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5"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4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6"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122555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4"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88"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 the quarterly period ended September 30, 2022</w:t>
      </w:r>
    </w:p>
    <w:p>
      <w:pPr>
        <w:spacing w:after="0" w:line="100"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118"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95" w:lineRule="exact"/>
        <w:rPr>
          <w:sz w:val="24"/>
          <w:szCs w:val="24"/>
          <w:color w:val="auto"/>
        </w:rPr>
      </w:pPr>
    </w:p>
    <w:tbl>
      <w:tblPr>
        <w:tblLayout w:type="fixed"/>
        <w:tblInd w:w="362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w w:val="94"/>
              </w:rPr>
              <w:t>For the transition period from</w:t>
            </w:r>
          </w:p>
        </w:tc>
        <w:tc>
          <w:tcPr>
            <w:tcW w:w="800" w:type="dxa"/>
            <w:vAlign w:val="bottom"/>
            <w:tcBorders>
              <w:bottom w:val="single" w:sz="8" w:color="auto"/>
            </w:tcBorders>
          </w:tcPr>
          <w:p>
            <w:pPr>
              <w:spacing w:after="0"/>
              <w:rPr>
                <w:sz w:val="16"/>
                <w:szCs w:val="16"/>
                <w:color w:val="auto"/>
              </w:rPr>
            </w:pPr>
          </w:p>
        </w:tc>
        <w:tc>
          <w:tcPr>
            <w:tcW w:w="320" w:type="dxa"/>
            <w:vAlign w:val="bottom"/>
          </w:tcPr>
          <w:p>
            <w:pPr>
              <w:ind w:left="40"/>
              <w:spacing w:after="0"/>
              <w:rPr>
                <w:sz w:val="20"/>
                <w:szCs w:val="20"/>
                <w:color w:val="auto"/>
              </w:rPr>
            </w:pPr>
            <w:r>
              <w:rPr>
                <w:rFonts w:ascii="Arial" w:cs="Arial" w:eastAsia="Arial" w:hAnsi="Arial"/>
                <w:sz w:val="16"/>
                <w:szCs w:val="16"/>
                <w:b w:val="1"/>
                <w:bCs w:val="1"/>
                <w:color w:val="auto"/>
              </w:rPr>
              <w:t>to</w:t>
            </w:r>
          </w:p>
        </w:tc>
      </w:tr>
      <w:tr>
        <w:trPr>
          <w:trHeight w:val="312"/>
        </w:trPr>
        <w:tc>
          <w:tcPr>
            <w:tcW w:w="3260" w:type="dxa"/>
            <w:vAlign w:val="bottom"/>
            <w:gridSpan w:val="3"/>
          </w:tcPr>
          <w:p>
            <w:pPr>
              <w:ind w:left="740"/>
              <w:spacing w:after="0"/>
              <w:rPr>
                <w:sz w:val="20"/>
                <w:szCs w:val="20"/>
                <w:color w:val="auto"/>
              </w:rPr>
            </w:pPr>
            <w:r>
              <w:rPr>
                <w:rFonts w:ascii="Arial" w:cs="Arial" w:eastAsia="Arial" w:hAnsi="Arial"/>
                <w:sz w:val="16"/>
                <w:szCs w:val="16"/>
                <w:b w:val="1"/>
                <w:bCs w:val="1"/>
                <w:color w:val="auto"/>
                <w:w w:val="91"/>
              </w:rPr>
              <w:t>Commission File Number 001-40815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97790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6" w:lineRule="exact"/>
        <w:rPr>
          <w:sz w:val="24"/>
          <w:szCs w:val="24"/>
          <w:color w:val="auto"/>
        </w:rPr>
      </w:pPr>
    </w:p>
    <w:p>
      <w:pPr>
        <w:jc w:val="center"/>
        <w:ind w:right="100"/>
        <w:spacing w:after="0"/>
        <w:rPr>
          <w:sz w:val="20"/>
          <w:szCs w:val="20"/>
          <w:color w:val="auto"/>
        </w:rPr>
      </w:pPr>
      <w:r>
        <w:rPr>
          <w:rFonts w:ascii="Arial" w:cs="Arial" w:eastAsia="Arial" w:hAnsi="Arial"/>
          <w:sz w:val="41"/>
          <w:szCs w:val="41"/>
          <w:b w:val="1"/>
          <w:bCs w:val="1"/>
          <w:color w:val="auto"/>
        </w:rPr>
        <w:t>Definitive Healthcare Corp.</w:t>
      </w:r>
    </w:p>
    <w:p>
      <w:pPr>
        <w:spacing w:after="0" w:line="44"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7600" w:type="dxa"/>
            <w:vAlign w:val="bottom"/>
            <w:gridSpan w:val="7"/>
          </w:tcPr>
          <w:p>
            <w:pPr>
              <w:jc w:val="center"/>
              <w:ind w:left="3503"/>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4480" w:type="dxa"/>
            <w:vAlign w:val="bottom"/>
            <w:gridSpan w:val="3"/>
            <w:vMerge w:val="restart"/>
          </w:tcPr>
          <w:p>
            <w:pPr>
              <w:jc w:val="center"/>
              <w:ind w:left="1023"/>
              <w:spacing w:after="0"/>
              <w:rPr>
                <w:sz w:val="20"/>
                <w:szCs w:val="20"/>
                <w:color w:val="auto"/>
              </w:rPr>
            </w:pPr>
            <w:r>
              <w:rPr>
                <w:rFonts w:ascii="Arial" w:cs="Arial" w:eastAsia="Arial" w:hAnsi="Arial"/>
                <w:sz w:val="16"/>
                <w:szCs w:val="16"/>
                <w:b w:val="1"/>
                <w:bCs w:val="1"/>
                <w:color w:val="auto"/>
                <w:w w:val="93"/>
              </w:rPr>
              <w:t>Delaware</w:t>
            </w:r>
          </w:p>
        </w:tc>
        <w:tc>
          <w:tcPr>
            <w:tcW w:w="22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0" w:type="dxa"/>
            <w:vAlign w:val="bottom"/>
            <w:vMerge w:val="restart"/>
          </w:tcPr>
          <w:p>
            <w:pPr>
              <w:jc w:val="right"/>
              <w:ind w:right="2324"/>
              <w:spacing w:after="0"/>
              <w:rPr>
                <w:sz w:val="20"/>
                <w:szCs w:val="20"/>
                <w:color w:val="auto"/>
              </w:rPr>
            </w:pPr>
            <w:r>
              <w:rPr>
                <w:rFonts w:ascii="Arial" w:cs="Arial" w:eastAsia="Arial" w:hAnsi="Arial"/>
                <w:sz w:val="16"/>
                <w:szCs w:val="16"/>
                <w:b w:val="1"/>
                <w:bCs w:val="1"/>
                <w:color w:val="auto"/>
              </w:rPr>
              <w:t>86-3988281</w:t>
            </w:r>
          </w:p>
        </w:tc>
        <w:tc>
          <w:tcPr>
            <w:tcW w:w="0" w:type="dxa"/>
            <w:vAlign w:val="bottom"/>
          </w:tcPr>
          <w:p>
            <w:pPr>
              <w:spacing w:after="0"/>
              <w:rPr>
                <w:sz w:val="1"/>
                <w:szCs w:val="1"/>
                <w:color w:val="auto"/>
              </w:rPr>
            </w:pPr>
          </w:p>
        </w:tc>
      </w:tr>
      <w:tr>
        <w:trPr>
          <w:trHeight w:val="389"/>
        </w:trPr>
        <w:tc>
          <w:tcPr>
            <w:tcW w:w="4480" w:type="dxa"/>
            <w:vAlign w:val="bottom"/>
            <w:gridSpan w:val="3"/>
            <w:vMerge w:val="continue"/>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480" w:type="dxa"/>
            <w:vAlign w:val="bottom"/>
            <w:gridSpan w:val="3"/>
          </w:tcPr>
          <w:p>
            <w:pPr>
              <w:jc w:val="center"/>
              <w:ind w:left="1043"/>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0" w:type="dxa"/>
            <w:vAlign w:val="bottom"/>
          </w:tcPr>
          <w:p>
            <w:pPr>
              <w:jc w:val="center"/>
              <w:ind w:right="1884"/>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480" w:type="dxa"/>
            <w:vAlign w:val="bottom"/>
            <w:gridSpan w:val="3"/>
          </w:tcPr>
          <w:p>
            <w:pPr>
              <w:jc w:val="center"/>
              <w:ind w:left="1043"/>
              <w:spacing w:after="0"/>
              <w:rPr>
                <w:sz w:val="20"/>
                <w:szCs w:val="20"/>
                <w:color w:val="auto"/>
              </w:rPr>
            </w:pPr>
            <w:r>
              <w:rPr>
                <w:rFonts w:ascii="Arial" w:cs="Arial" w:eastAsia="Arial" w:hAnsi="Arial"/>
                <w:sz w:val="14"/>
                <w:szCs w:val="14"/>
                <w:b w:val="1"/>
                <w:bCs w:val="1"/>
                <w:color w:val="auto"/>
                <w:w w:val="94"/>
              </w:rPr>
              <w:t>incorporation or organization)</w:t>
            </w:r>
          </w:p>
        </w:tc>
        <w:tc>
          <w:tcPr>
            <w:tcW w:w="2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0" w:type="dxa"/>
            <w:vAlign w:val="bottom"/>
          </w:tcPr>
          <w:p>
            <w:pPr>
              <w:jc w:val="center"/>
              <w:ind w:right="1904"/>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09"/>
        </w:trPr>
        <w:tc>
          <w:tcPr>
            <w:tcW w:w="4480" w:type="dxa"/>
            <w:vAlign w:val="bottom"/>
            <w:gridSpan w:val="3"/>
          </w:tcPr>
          <w:p>
            <w:pPr>
              <w:jc w:val="center"/>
              <w:ind w:left="1023"/>
              <w:spacing w:after="0"/>
              <w:rPr>
                <w:sz w:val="20"/>
                <w:szCs w:val="20"/>
                <w:color w:val="auto"/>
              </w:rPr>
            </w:pPr>
            <w:r>
              <w:rPr>
                <w:rFonts w:ascii="Arial" w:cs="Arial" w:eastAsia="Arial" w:hAnsi="Arial"/>
                <w:sz w:val="16"/>
                <w:szCs w:val="16"/>
                <w:b w:val="1"/>
                <w:bCs w:val="1"/>
                <w:color w:val="auto"/>
                <w:w w:val="91"/>
              </w:rPr>
              <w:t>492 Old Connecticut Path, Suite 401</w:t>
            </w: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80" w:type="dxa"/>
            <w:vAlign w:val="bottom"/>
            <w:gridSpan w:val="3"/>
          </w:tcPr>
          <w:p>
            <w:pPr>
              <w:jc w:val="center"/>
              <w:ind w:left="1023"/>
              <w:spacing w:after="0"/>
              <w:rPr>
                <w:sz w:val="20"/>
                <w:szCs w:val="20"/>
                <w:color w:val="auto"/>
              </w:rPr>
            </w:pPr>
            <w:r>
              <w:rPr>
                <w:rFonts w:ascii="Arial" w:cs="Arial" w:eastAsia="Arial" w:hAnsi="Arial"/>
                <w:sz w:val="16"/>
                <w:szCs w:val="16"/>
                <w:b w:val="1"/>
                <w:bCs w:val="1"/>
                <w:color w:val="auto"/>
                <w:w w:val="97"/>
              </w:rPr>
              <w:t>Framingham, MA</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0" w:type="dxa"/>
            <w:vAlign w:val="bottom"/>
          </w:tcPr>
          <w:p>
            <w:pPr>
              <w:jc w:val="right"/>
              <w:ind w:right="2504"/>
              <w:spacing w:after="0"/>
              <w:rPr>
                <w:sz w:val="20"/>
                <w:szCs w:val="20"/>
                <w:color w:val="auto"/>
              </w:rPr>
            </w:pPr>
            <w:r>
              <w:rPr>
                <w:rFonts w:ascii="Arial" w:cs="Arial" w:eastAsia="Arial" w:hAnsi="Arial"/>
                <w:sz w:val="16"/>
                <w:szCs w:val="16"/>
                <w:b w:val="1"/>
                <w:bCs w:val="1"/>
                <w:color w:val="auto"/>
              </w:rPr>
              <w:t>01701</w:t>
            </w:r>
          </w:p>
        </w:tc>
        <w:tc>
          <w:tcPr>
            <w:tcW w:w="0" w:type="dxa"/>
            <w:vAlign w:val="bottom"/>
          </w:tcPr>
          <w:p>
            <w:pPr>
              <w:spacing w:after="0"/>
              <w:rPr>
                <w:sz w:val="1"/>
                <w:szCs w:val="1"/>
                <w:color w:val="auto"/>
              </w:rPr>
            </w:pPr>
          </w:p>
        </w:tc>
      </w:tr>
      <w:tr>
        <w:trPr>
          <w:trHeight w:val="186"/>
        </w:trPr>
        <w:tc>
          <w:tcPr>
            <w:tcW w:w="4480" w:type="dxa"/>
            <w:vAlign w:val="bottom"/>
            <w:gridSpan w:val="3"/>
          </w:tcPr>
          <w:p>
            <w:pPr>
              <w:jc w:val="center"/>
              <w:ind w:left="102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0" w:type="dxa"/>
            <w:vAlign w:val="bottom"/>
          </w:tcPr>
          <w:p>
            <w:pPr>
              <w:jc w:val="center"/>
              <w:ind w:right="1904"/>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67"/>
        </w:trPr>
        <w:tc>
          <w:tcPr>
            <w:tcW w:w="4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1"/>
              </w:rPr>
              <w:t>(508) 720-4224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600" w:type="dxa"/>
            <w:vAlign w:val="bottom"/>
            <w:gridSpan w:val="7"/>
          </w:tcPr>
          <w:p>
            <w:pPr>
              <w:jc w:val="center"/>
              <w:ind w:left="3483"/>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480" w:type="dxa"/>
            <w:vAlign w:val="bottom"/>
            <w:gridSpan w:val="3"/>
            <w:vMerge w:val="restart"/>
          </w:tcPr>
          <w:p>
            <w:pPr>
              <w:ind w:left="500"/>
              <w:spacing w:after="0"/>
              <w:rPr>
                <w:sz w:val="20"/>
                <w:szCs w:val="20"/>
                <w:color w:val="auto"/>
              </w:rPr>
            </w:pPr>
            <w:r>
              <w:rPr>
                <w:rFonts w:ascii="Arial" w:cs="Arial" w:eastAsia="Arial" w:hAnsi="Arial"/>
                <w:sz w:val="16"/>
                <w:szCs w:val="16"/>
                <w:color w:val="auto"/>
                <w:w w:val="97"/>
              </w:rPr>
              <w:t>Securities registered pursuant to Section 12(b) of the Act:</w:t>
            </w:r>
          </w:p>
        </w:tc>
        <w:tc>
          <w:tcPr>
            <w:tcW w:w="22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4480" w:type="dxa"/>
            <w:vAlign w:val="bottom"/>
            <w:gridSpan w:val="3"/>
            <w:vMerge w:val="continue"/>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8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3"/>
              </w:rPr>
              <w:t>Title of Each Class</w:t>
            </w:r>
          </w:p>
        </w:tc>
        <w:tc>
          <w:tcPr>
            <w:tcW w:w="246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50"/>
        </w:trPr>
        <w:tc>
          <w:tcPr>
            <w:tcW w:w="44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0"/>
              </w:rPr>
              <w:t>Class A Common Stock, $0.001 par value</w:t>
            </w:r>
          </w:p>
        </w:tc>
        <w:tc>
          <w:tcPr>
            <w:tcW w:w="3120" w:type="dxa"/>
            <w:vAlign w:val="bottom"/>
            <w:gridSpan w:val="4"/>
          </w:tcPr>
          <w:p>
            <w:pPr>
              <w:jc w:val="center"/>
              <w:ind w:right="920"/>
              <w:spacing w:after="0"/>
              <w:rPr>
                <w:sz w:val="20"/>
                <w:szCs w:val="20"/>
                <w:color w:val="auto"/>
              </w:rPr>
            </w:pPr>
            <w:r>
              <w:rPr>
                <w:rFonts w:ascii="Arial" w:cs="Arial" w:eastAsia="Arial" w:hAnsi="Arial"/>
                <w:sz w:val="16"/>
                <w:szCs w:val="16"/>
                <w:b w:val="1"/>
                <w:bCs w:val="1"/>
                <w:color w:val="auto"/>
              </w:rPr>
              <w:t>DH</w:t>
            </w:r>
          </w:p>
        </w:tc>
        <w:tc>
          <w:tcPr>
            <w:tcW w:w="3600" w:type="dxa"/>
            <w:vAlign w:val="bottom"/>
          </w:tcPr>
          <w:p>
            <w:pPr>
              <w:ind w:left="380"/>
              <w:spacing w:after="0"/>
              <w:rPr>
                <w:sz w:val="20"/>
                <w:szCs w:val="20"/>
                <w:color w:val="auto"/>
              </w:rPr>
            </w:pPr>
            <w:r>
              <w:rPr>
                <w:rFonts w:ascii="Arial" w:cs="Arial" w:eastAsia="Arial" w:hAnsi="Arial"/>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91" w:lineRule="exact"/>
        <w:rPr>
          <w:sz w:val="24"/>
          <w:szCs w:val="24"/>
          <w:color w:val="auto"/>
        </w:rPr>
      </w:pPr>
    </w:p>
    <w:p>
      <w:pPr>
        <w:ind w:firstLine="509"/>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180" w:firstLine="509"/>
        <w:spacing w:after="0" w:line="20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jc w:val="both"/>
        <w:ind w:right="240" w:firstLine="509"/>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3"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290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3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290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1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260" w:type="dxa"/>
            <w:vAlign w:val="bottom"/>
          </w:tcPr>
          <w:p>
            <w:pPr>
              <w:ind w:left="2900"/>
              <w:spacing w:after="0"/>
              <w:rPr>
                <w:sz w:val="20"/>
                <w:szCs w:val="20"/>
                <w:color w:val="auto"/>
              </w:rPr>
            </w:pPr>
            <w:r>
              <w:rPr>
                <w:rFonts w:ascii="Arial" w:cs="Arial" w:eastAsia="Arial" w:hAnsi="Arial"/>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3" w:lineRule="exact"/>
        <w:rPr>
          <w:sz w:val="24"/>
          <w:szCs w:val="24"/>
          <w:color w:val="auto"/>
        </w:rPr>
      </w:pPr>
    </w:p>
    <w:p>
      <w:pPr>
        <w:ind w:right="80" w:firstLine="509"/>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left="520" w:right="2120"/>
        <w:spacing w:after="0" w:line="267" w:lineRule="exact"/>
        <w:rPr>
          <w:sz w:val="20"/>
          <w:szCs w:val="20"/>
          <w:color w:val="auto"/>
        </w:rPr>
      </w:pPr>
      <w:r>
        <w:rPr>
          <w:rFonts w:ascii="Arial" w:cs="Arial" w:eastAsia="Arial" w:hAnsi="Arial"/>
          <w:sz w:val="15"/>
          <w:szCs w:val="15"/>
          <w:color w:val="auto"/>
        </w:rPr>
        <w:t xml:space="preserve">Indicate by check mark whether the registrant is a shell company (as defined by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1, 2022, the number of outstanding shares of the registrant’s Class A Common Stock was 105,080,062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Definitive Healthcare Corp.</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Glossary</w:t>
            </w:r>
          </w:p>
        </w:tc>
        <w:tc>
          <w:tcPr>
            <w:tcW w:w="20" w:type="dxa"/>
            <w:vAlign w:val="bottom"/>
            <w:tcBorders>
              <w:bottom w:val="single" w:sz="8" w:color="0000EE"/>
            </w:tcBorders>
          </w:tcPr>
          <w:p>
            <w:pPr>
              <w:spacing w:after="0"/>
              <w:rPr>
                <w:sz w:val="24"/>
                <w:szCs w:val="24"/>
                <w:color w:val="auto"/>
              </w:rPr>
            </w:pPr>
          </w:p>
        </w:tc>
        <w:tc>
          <w:tcPr>
            <w:tcW w:w="8600" w:type="dxa"/>
            <w:vAlign w:val="bottom"/>
            <w:gridSpan w:val="21"/>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24"/>
          </w:tcPr>
          <w:p>
            <w:pPr>
              <w:spacing w:after="0"/>
              <w:rPr>
                <w:sz w:val="20"/>
                <w:szCs w:val="20"/>
                <w:color w:val="auto"/>
              </w:rPr>
            </w:pPr>
            <w:r>
              <w:rPr>
                <w:rFonts w:ascii="Arial" w:cs="Arial" w:eastAsia="Arial" w:hAnsi="Arial"/>
                <w:sz w:val="18"/>
                <w:szCs w:val="18"/>
                <w:color w:val="0000FF"/>
              </w:rPr>
              <w:t>Cautionary Note Regarding Forward-Looking Statements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w:t>
            </w:r>
          </w:p>
        </w:tc>
        <w:tc>
          <w:tcPr>
            <w:tcW w:w="414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FINANCIAL INFORMATION</w:t>
            </w:r>
          </w:p>
        </w:tc>
        <w:tc>
          <w:tcPr>
            <w:tcW w:w="5120" w:type="dxa"/>
            <w:vAlign w:val="bottom"/>
            <w:gridSpan w:val="8"/>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260" w:type="dxa"/>
            <w:vAlign w:val="bottom"/>
            <w:gridSpan w:val="24"/>
          </w:tcPr>
          <w:p>
            <w:pPr>
              <w:spacing w:after="0"/>
              <w:rPr>
                <w:sz w:val="20"/>
                <w:szCs w:val="20"/>
                <w:color w:val="auto"/>
              </w:rPr>
            </w:pPr>
            <w:r>
              <w:rPr>
                <w:rFonts w:ascii="Arial" w:cs="Arial" w:eastAsia="Arial" w:hAnsi="Arial"/>
                <w:sz w:val="18"/>
                <w:szCs w:val="18"/>
                <w:color w:val="0000FF"/>
              </w:rPr>
              <w:t>Condensed Consolidated Balance Sheets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8"/>
              </w:rPr>
              <w:t>Condensed Consolidated Statements of Operations</w:t>
            </w:r>
          </w:p>
        </w:tc>
        <w:tc>
          <w:tcPr>
            <w:tcW w:w="20" w:type="dxa"/>
            <w:vAlign w:val="bottom"/>
            <w:tcBorders>
              <w:bottom w:val="single" w:sz="8" w:color="0000EE"/>
            </w:tcBorders>
          </w:tcPr>
          <w:p>
            <w:pPr>
              <w:spacing w:after="0"/>
              <w:rPr>
                <w:sz w:val="24"/>
                <w:szCs w:val="24"/>
                <w:color w:val="auto"/>
              </w:rPr>
            </w:pPr>
          </w:p>
        </w:tc>
        <w:tc>
          <w:tcPr>
            <w:tcW w:w="5580" w:type="dxa"/>
            <w:vAlign w:val="bottom"/>
            <w:gridSpan w:val="10"/>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8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88"/>
              </w:rPr>
              <w:t>Condensed Consolidated Statements of Comprehensive Loss</w:t>
            </w:r>
          </w:p>
        </w:tc>
        <w:tc>
          <w:tcPr>
            <w:tcW w:w="4880" w:type="dxa"/>
            <w:vAlign w:val="bottom"/>
            <w:gridSpan w:val="3"/>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2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0"/>
              </w:rPr>
              <w:t>Condensed Consolidated Statements of Changes in Members’ Equity and Total Equity</w:t>
            </w:r>
          </w:p>
        </w:tc>
        <w:tc>
          <w:tcPr>
            <w:tcW w:w="3040" w:type="dxa"/>
            <w:vAlign w:val="bottom"/>
            <w:gridSpan w:val="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24"/>
          </w:tcPr>
          <w:p>
            <w:pPr>
              <w:spacing w:after="0"/>
              <w:rPr>
                <w:sz w:val="20"/>
                <w:szCs w:val="20"/>
                <w:color w:val="auto"/>
              </w:rPr>
            </w:pPr>
            <w:r>
              <w:rPr>
                <w:rFonts w:ascii="Arial" w:cs="Arial" w:eastAsia="Arial" w:hAnsi="Arial"/>
                <w:sz w:val="18"/>
                <w:szCs w:val="18"/>
                <w:color w:val="0000FF"/>
              </w:rPr>
              <w:t>Condensed Consolidated Statements of Cash Flows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8"/>
              </w:rPr>
              <w:t>Notes to the Condensed Consolidated Financial Statements</w:t>
            </w:r>
          </w:p>
        </w:tc>
        <w:tc>
          <w:tcPr>
            <w:tcW w:w="20" w:type="dxa"/>
            <w:vAlign w:val="bottom"/>
            <w:tcBorders>
              <w:bottom w:val="single" w:sz="8" w:color="0000EE"/>
            </w:tcBorders>
          </w:tcPr>
          <w:p>
            <w:pPr>
              <w:spacing w:after="0"/>
              <w:rPr>
                <w:sz w:val="24"/>
                <w:szCs w:val="24"/>
                <w:color w:val="auto"/>
              </w:rPr>
            </w:pPr>
          </w:p>
        </w:tc>
        <w:tc>
          <w:tcPr>
            <w:tcW w:w="4980" w:type="dxa"/>
            <w:vAlign w:val="bottom"/>
            <w:gridSpan w:val="6"/>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8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9260" w:type="dxa"/>
            <w:vAlign w:val="bottom"/>
            <w:gridSpan w:val="24"/>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FF"/>
            </w:tcBorders>
            <w:gridSpan w:val="19"/>
          </w:tcPr>
          <w:p>
            <w:pPr>
              <w:spacing w:after="0"/>
              <w:rPr>
                <w:sz w:val="20"/>
                <w:szCs w:val="20"/>
                <w:color w:val="auto"/>
              </w:rPr>
            </w:pPr>
            <w:r>
              <w:rPr>
                <w:rFonts w:ascii="Arial" w:cs="Arial" w:eastAsia="Arial" w:hAnsi="Arial"/>
                <w:sz w:val="18"/>
                <w:szCs w:val="18"/>
                <w:color w:val="0000FF"/>
              </w:rPr>
              <w:t>Controls and Procedures</w:t>
            </w:r>
          </w:p>
        </w:tc>
        <w:tc>
          <w:tcPr>
            <w:tcW w:w="4960" w:type="dxa"/>
            <w:vAlign w:val="bottom"/>
            <w:gridSpan w:val="5"/>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 w:type="dxa"/>
            <w:vAlign w:val="bottom"/>
            <w:gridSpan w:val="3"/>
            <w:vMerge w:val="continue"/>
          </w:tcPr>
          <w:p>
            <w:pPr>
              <w:spacing w:after="0"/>
              <w:rPr>
                <w:sz w:val="24"/>
                <w:szCs w:val="24"/>
                <w:color w:val="auto"/>
              </w:rPr>
            </w:pPr>
          </w:p>
        </w:tc>
        <w:tc>
          <w:tcPr>
            <w:tcW w:w="18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5"/>
              </w:rPr>
              <w:t>OTHER INFORMATION</w:t>
            </w:r>
          </w:p>
        </w:tc>
        <w:tc>
          <w:tcPr>
            <w:tcW w:w="7380" w:type="dxa"/>
            <w:vAlign w:val="bottom"/>
            <w:gridSpan w:val="15"/>
          </w:tcPr>
          <w:p>
            <w:pPr>
              <w:spacing w:after="0"/>
              <w:rPr>
                <w:sz w:val="24"/>
                <w:szCs w:val="24"/>
                <w:color w:val="auto"/>
              </w:rPr>
            </w:pPr>
          </w:p>
        </w:tc>
        <w:tc>
          <w:tcPr>
            <w:tcW w:w="920" w:type="dxa"/>
            <w:vAlign w:val="bottom"/>
          </w:tcPr>
          <w:p>
            <w:pPr>
              <w:jc w:val="right"/>
              <w:ind w:right="251"/>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260" w:type="dxa"/>
            <w:vAlign w:val="bottom"/>
            <w:gridSpan w:val="24"/>
          </w:tcPr>
          <w:p>
            <w:pPr>
              <w:spacing w:after="0"/>
              <w:rPr>
                <w:sz w:val="20"/>
                <w:szCs w:val="20"/>
                <w:color w:val="auto"/>
              </w:rPr>
            </w:pPr>
            <w:r>
              <w:rPr>
                <w:rFonts w:ascii="Arial" w:cs="Arial" w:eastAsia="Arial" w:hAnsi="Arial"/>
                <w:sz w:val="18"/>
                <w:szCs w:val="18"/>
                <w:color w:val="0000FF"/>
              </w:rPr>
              <w:t>Legal Proceedings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7"/>
              </w:rPr>
              <w:t>Risk Factors</w:t>
            </w:r>
          </w:p>
        </w:tc>
        <w:tc>
          <w:tcPr>
            <w:tcW w:w="20" w:type="dxa"/>
            <w:vAlign w:val="bottom"/>
            <w:tcBorders>
              <w:top w:val="single" w:sz="8" w:color="0000FF"/>
              <w:bottom w:val="single" w:sz="8" w:color="0000EE"/>
            </w:tcBorders>
          </w:tcPr>
          <w:p>
            <w:pPr>
              <w:spacing w:after="0"/>
              <w:rPr>
                <w:sz w:val="24"/>
                <w:szCs w:val="24"/>
                <w:color w:val="auto"/>
              </w:rPr>
            </w:pPr>
          </w:p>
        </w:tc>
        <w:tc>
          <w:tcPr>
            <w:tcW w:w="400" w:type="dxa"/>
            <w:vAlign w:val="bottom"/>
            <w:tcBorders>
              <w:top w:val="single" w:sz="8" w:color="0000FF"/>
            </w:tcBorders>
            <w:gridSpan w:val="2"/>
          </w:tcPr>
          <w:p>
            <w:pPr>
              <w:spacing w:after="0"/>
              <w:rPr>
                <w:sz w:val="24"/>
                <w:szCs w:val="24"/>
                <w:color w:val="auto"/>
              </w:rPr>
            </w:pPr>
          </w:p>
        </w:tc>
        <w:tc>
          <w:tcPr>
            <w:tcW w:w="7940" w:type="dxa"/>
            <w:vAlign w:val="bottom"/>
            <w:gridSpan w:val="17"/>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260" w:type="dxa"/>
            <w:vAlign w:val="bottom"/>
            <w:gridSpan w:val="24"/>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90"/>
              </w:rPr>
              <w:t>Defaults Upon Senior Securities</w:t>
            </w:r>
          </w:p>
        </w:tc>
        <w:tc>
          <w:tcPr>
            <w:tcW w:w="2020" w:type="dxa"/>
            <w:vAlign w:val="bottom"/>
            <w:tcBorders>
              <w:top w:val="single" w:sz="8" w:color="0000FF"/>
            </w:tcBorders>
            <w:gridSpan w:val="9"/>
          </w:tcPr>
          <w:p>
            <w:pPr>
              <w:spacing w:after="0"/>
              <w:rPr>
                <w:sz w:val="24"/>
                <w:szCs w:val="24"/>
                <w:color w:val="auto"/>
              </w:rPr>
            </w:pPr>
          </w:p>
        </w:tc>
        <w:tc>
          <w:tcPr>
            <w:tcW w:w="4920" w:type="dxa"/>
            <w:vAlign w:val="bottom"/>
            <w:gridSpan w:val="4"/>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9260" w:type="dxa"/>
            <w:vAlign w:val="bottom"/>
            <w:gridSpan w:val="24"/>
          </w:tcPr>
          <w:p>
            <w:pPr>
              <w:spacing w:after="0"/>
              <w:rPr>
                <w:sz w:val="20"/>
                <w:szCs w:val="20"/>
                <w:color w:val="auto"/>
              </w:rPr>
            </w:pPr>
            <w:r>
              <w:rPr>
                <w:rFonts w:ascii="Arial" w:cs="Arial" w:eastAsia="Arial" w:hAnsi="Arial"/>
                <w:sz w:val="18"/>
                <w:szCs w:val="18"/>
                <w:color w:val="0000FF"/>
              </w:rPr>
              <w:t>Mine Safety Disclosures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178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Other Information</w:t>
            </w:r>
          </w:p>
        </w:tc>
        <w:tc>
          <w:tcPr>
            <w:tcW w:w="7480" w:type="dxa"/>
            <w:vAlign w:val="bottom"/>
            <w:gridSpan w:val="16"/>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Exhibits</w:t>
            </w:r>
          </w:p>
        </w:tc>
        <w:tc>
          <w:tcPr>
            <w:tcW w:w="7960" w:type="dxa"/>
            <w:vAlign w:val="bottom"/>
            <w:gridSpan w:val="18"/>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40" w:type="dxa"/>
            <w:vAlign w:val="bottom"/>
            <w:gridSpan w:val="3"/>
          </w:tcPr>
          <w:p>
            <w:pPr>
              <w:ind w:left="20"/>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7"/>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6220" w:type="dxa"/>
            <w:vAlign w:val="bottom"/>
            <w:gridSpan w:val="22"/>
          </w:tcPr>
          <w:p>
            <w:pPr>
              <w:ind w:left="45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GLOSSARY</w:t>
      </w:r>
    </w:p>
    <w:p>
      <w:pPr>
        <w:spacing w:after="0" w:line="324"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As used in this quarterly report on Form 10-Q, the terms identified below have the meanings specified below unless otherwise noted or the context indicates otherwise. References in this Form 10-Q to “Definitive Healthcare Corp.” refer to Definitive Healthcare Corp. and not to any of its subsidiaries unless the context indicates otherwise. References in this Form 10-Q to “Definitive Healthcare”, "Definitive”, the “Company”, “we”, “us”, and “our” refer</w:t>
      </w:r>
    </w:p>
    <w:p>
      <w:pPr>
        <w:spacing w:after="0" w:line="2" w:lineRule="exact"/>
        <w:rPr>
          <w:sz w:val="20"/>
          <w:szCs w:val="20"/>
          <w:color w:val="auto"/>
        </w:rPr>
      </w:pPr>
    </w:p>
    <w:p>
      <w:pPr>
        <w:ind w:right="120" w:firstLine="8"/>
        <w:spacing w:after="0" w:line="303"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prior to the consummation of the Reorganization Transactions, to Definitive OpCo and its consolidated subsidiaries, and (2) after the consummation of the Reorganization Transactions, to Definitive Healthcare Corp. and its consolidated subsidiaries unless the context indicates otherwise.</w:t>
      </w:r>
    </w:p>
    <w:p>
      <w:pPr>
        <w:spacing w:after="0" w:line="248" w:lineRule="exact"/>
        <w:rPr>
          <w:rFonts w:ascii="Arial" w:cs="Arial" w:eastAsia="Arial" w:hAnsi="Arial"/>
          <w:sz w:val="16"/>
          <w:szCs w:val="16"/>
          <w:color w:val="auto"/>
        </w:rPr>
      </w:pPr>
    </w:p>
    <w:p>
      <w:pPr>
        <w:ind w:left="1020" w:hanging="503"/>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Advent</w:t>
      </w:r>
      <w:r>
        <w:rPr>
          <w:rFonts w:ascii="Arial" w:cs="Arial" w:eastAsia="Arial" w:hAnsi="Arial"/>
          <w:sz w:val="18"/>
          <w:szCs w:val="18"/>
          <w:color w:val="auto"/>
        </w:rPr>
        <w:t>” refers to funds affiliated with Advent International, a global private equity firm.</w:t>
      </w:r>
    </w:p>
    <w:p>
      <w:pPr>
        <w:spacing w:after="0" w:line="11" w:lineRule="exact"/>
        <w:rPr>
          <w:rFonts w:ascii="Arial" w:cs="Arial" w:eastAsia="Arial" w:hAnsi="Arial"/>
          <w:sz w:val="18"/>
          <w:szCs w:val="18"/>
          <w:color w:val="auto"/>
        </w:rPr>
      </w:pPr>
    </w:p>
    <w:p>
      <w:pPr>
        <w:ind w:left="1020" w:right="240" w:hanging="503"/>
        <w:spacing w:after="0" w:line="241"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Advent Acquisition</w:t>
      </w:r>
      <w:r>
        <w:rPr>
          <w:rFonts w:ascii="Arial" w:cs="Arial" w:eastAsia="Arial" w:hAnsi="Arial"/>
          <w:sz w:val="18"/>
          <w:szCs w:val="18"/>
          <w:color w:val="auto"/>
        </w:rPr>
        <w:t>” refers to the purchase of a majority of the issued and outstanding units of DH Holdings by Advent on July 16, 2019. The acquisition was accounted for as a business combination and purchase accounting was applied.</w:t>
      </w:r>
    </w:p>
    <w:p>
      <w:pPr>
        <w:spacing w:after="0" w:line="1" w:lineRule="exact"/>
        <w:rPr>
          <w:rFonts w:ascii="Arial" w:cs="Arial" w:eastAsia="Arial" w:hAnsi="Arial"/>
          <w:sz w:val="18"/>
          <w:szCs w:val="18"/>
          <w:color w:val="auto"/>
        </w:rPr>
      </w:pPr>
    </w:p>
    <w:p>
      <w:pPr>
        <w:ind w:left="1020" w:hanging="503"/>
        <w:spacing w:after="0" w:line="235"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AIDH Management Holdings, LLC</w:t>
      </w:r>
      <w:r>
        <w:rPr>
          <w:rFonts w:ascii="Arial" w:cs="Arial" w:eastAsia="Arial" w:hAnsi="Arial"/>
          <w:sz w:val="18"/>
          <w:szCs w:val="18"/>
          <w:color w:val="auto"/>
        </w:rPr>
        <w:t>” is a special purpose investment vehicle through which certain persons, primarily employees and certain legacy investors, indirectly hold interests in Definitive OpCo.</w:t>
      </w:r>
    </w:p>
    <w:p>
      <w:pPr>
        <w:spacing w:after="0" w:line="1" w:lineRule="exact"/>
        <w:rPr>
          <w:rFonts w:ascii="Arial" w:cs="Arial" w:eastAsia="Arial" w:hAnsi="Arial"/>
          <w:sz w:val="18"/>
          <w:szCs w:val="18"/>
          <w:color w:val="auto"/>
        </w:rPr>
      </w:pPr>
    </w:p>
    <w:p>
      <w:pPr>
        <w:jc w:val="both"/>
        <w:ind w:left="1020" w:right="80" w:hanging="503"/>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LLC Agreement</w:t>
      </w:r>
      <w:r>
        <w:rPr>
          <w:rFonts w:ascii="Arial" w:cs="Arial" w:eastAsia="Arial" w:hAnsi="Arial"/>
          <w:sz w:val="18"/>
          <w:szCs w:val="18"/>
          <w:color w:val="auto"/>
        </w:rPr>
        <w:t>” refers to the second amended and restated limited liability company agreement entered into by Definitive Opco pursuant to which members have the right to exchange all or a portion of their LLC units for newly issued shares of Class A Common Stock in Definitive Healthcare Corp.</w:t>
      </w:r>
    </w:p>
    <w:p>
      <w:pPr>
        <w:ind w:left="1020" w:hanging="503"/>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w:t>
      </w:r>
      <w:r>
        <w:rPr>
          <w:rFonts w:ascii="Arial" w:cs="Arial" w:eastAsia="Arial" w:hAnsi="Arial"/>
          <w:sz w:val="18"/>
          <w:szCs w:val="18"/>
          <w:color w:val="auto"/>
        </w:rPr>
        <w:t>” refers to annualized recurring revenue as of period end.</w:t>
      </w:r>
    </w:p>
    <w:p>
      <w:pPr>
        <w:spacing w:after="0" w:line="7" w:lineRule="exact"/>
        <w:rPr>
          <w:rFonts w:ascii="Arial" w:cs="Arial" w:eastAsia="Arial" w:hAnsi="Arial"/>
          <w:sz w:val="18"/>
          <w:szCs w:val="18"/>
          <w:color w:val="auto"/>
        </w:rPr>
      </w:pPr>
    </w:p>
    <w:p>
      <w:pPr>
        <w:ind w:left="1020" w:right="300" w:hanging="503"/>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Blocker Company</w:t>
      </w:r>
      <w:r>
        <w:rPr>
          <w:rFonts w:ascii="Arial" w:cs="Arial" w:eastAsia="Arial" w:hAnsi="Arial"/>
          <w:sz w:val="18"/>
          <w:szCs w:val="18"/>
          <w:color w:val="auto"/>
        </w:rPr>
        <w:t>” or “</w:t>
      </w:r>
      <w:r>
        <w:rPr>
          <w:rFonts w:ascii="Arial" w:cs="Arial" w:eastAsia="Arial" w:hAnsi="Arial"/>
          <w:sz w:val="18"/>
          <w:szCs w:val="18"/>
          <w:u w:val="single" w:color="auto"/>
          <w:color w:val="auto"/>
        </w:rPr>
        <w:t>Blocker Companies</w:t>
      </w:r>
      <w:r>
        <w:rPr>
          <w:rFonts w:ascii="Arial" w:cs="Arial" w:eastAsia="Arial" w:hAnsi="Arial"/>
          <w:sz w:val="18"/>
          <w:szCs w:val="18"/>
          <w:color w:val="auto"/>
        </w:rPr>
        <w:t>” refers to certain entities treated as corporations for U.S. tax purposes that held LLC units in Definitive OpCo which, through the Reorganization Transactions, were merged into Definitive Healthcare Corp. and are now holders of Class A Common Stock.</w:t>
      </w:r>
    </w:p>
    <w:p>
      <w:pPr>
        <w:jc w:val="both"/>
        <w:ind w:left="1020" w:right="60" w:hanging="503"/>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Units</w:t>
      </w:r>
      <w:r>
        <w:rPr>
          <w:rFonts w:ascii="Arial" w:cs="Arial" w:eastAsia="Arial" w:hAnsi="Arial"/>
          <w:sz w:val="18"/>
          <w:szCs w:val="18"/>
          <w:color w:val="auto"/>
        </w:rPr>
        <w:t>” refers to units granted by AIDH Management Holdings, LLC prior to the Reorganization Transactions intended to be treated as “profit interests” for U.S. federal income tax purposes which have economic interests similar to Stock Appreciation Rights (“SARS”) and which are subject to vesting.</w:t>
      </w:r>
    </w:p>
    <w:p>
      <w:pPr>
        <w:ind w:left="1020" w:hanging="503"/>
        <w:spacing w:after="0" w:line="236"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LLC Members</w:t>
      </w:r>
      <w:r>
        <w:rPr>
          <w:rFonts w:ascii="Arial" w:cs="Arial" w:eastAsia="Arial" w:hAnsi="Arial"/>
          <w:sz w:val="18"/>
          <w:szCs w:val="18"/>
          <w:color w:val="auto"/>
        </w:rPr>
        <w:t>” refers to holders of LLC Units under the Amended LLC Agreement.</w:t>
      </w:r>
    </w:p>
    <w:p>
      <w:pPr>
        <w:ind w:left="1020" w:right="46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Definitive OpCo</w:t>
      </w:r>
      <w:r>
        <w:rPr>
          <w:rFonts w:ascii="Arial" w:cs="Arial" w:eastAsia="Arial" w:hAnsi="Arial"/>
          <w:sz w:val="18"/>
          <w:szCs w:val="18"/>
          <w:color w:val="auto"/>
        </w:rPr>
        <w:t>” refers to AIDH TopCo, LLC, a Delaware limited liability company, and a subsidiary of Definitive Healthcare Corp., following the Reorganization Transactions.</w:t>
      </w:r>
    </w:p>
    <w:p>
      <w:pPr>
        <w:spacing w:after="0" w:line="1" w:lineRule="exact"/>
        <w:rPr>
          <w:rFonts w:ascii="Arial" w:cs="Arial" w:eastAsia="Arial" w:hAnsi="Arial"/>
          <w:sz w:val="18"/>
          <w:szCs w:val="18"/>
          <w:color w:val="auto"/>
        </w:rPr>
      </w:pPr>
    </w:p>
    <w:p>
      <w:pPr>
        <w:ind w:left="1020" w:right="240" w:hanging="503"/>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Definitive OpCo Units</w:t>
      </w:r>
      <w:r>
        <w:rPr>
          <w:rFonts w:ascii="Arial" w:cs="Arial" w:eastAsia="Arial" w:hAnsi="Arial"/>
          <w:sz w:val="18"/>
          <w:szCs w:val="18"/>
          <w:color w:val="auto"/>
        </w:rPr>
        <w:t>” refers to unvested Class B Units held by employees of the Company or indirectly through Definitive OpCo at the time of the Reorganization Transactions that were exchanged for unvested Definitive OpCo units based on their respective participation thresholds and the IPO price of $27.00 per share.</w:t>
      </w:r>
    </w:p>
    <w:p>
      <w:pPr>
        <w:ind w:left="1020" w:right="580" w:hanging="503"/>
        <w:spacing w:after="0" w:line="242"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DH Holdings</w:t>
      </w:r>
      <w:r>
        <w:rPr>
          <w:rFonts w:ascii="Arial" w:cs="Arial" w:eastAsia="Arial" w:hAnsi="Arial"/>
          <w:sz w:val="18"/>
          <w:szCs w:val="18"/>
          <w:color w:val="auto"/>
        </w:rPr>
        <w:t>” refers to Definitive Healthcare Holdings, LLC, a Delaware limited liability company and wholly-owned subsidiary of Definitive Healthcare Corp.</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Units</w:t>
      </w:r>
      <w:r>
        <w:rPr>
          <w:rFonts w:ascii="Arial" w:cs="Arial" w:eastAsia="Arial" w:hAnsi="Arial"/>
          <w:sz w:val="18"/>
          <w:szCs w:val="18"/>
          <w:color w:val="auto"/>
        </w:rPr>
        <w:t>” refers to limited liability company interests in Definitive OpCo.</w:t>
      </w:r>
    </w:p>
    <w:p>
      <w:pPr>
        <w:ind w:left="1020" w:hanging="503"/>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refers to the initial public offering of Class A Common Stock of Definitive Healthcare Corp.</w:t>
      </w:r>
    </w:p>
    <w:p>
      <w:pPr>
        <w:spacing w:after="0" w:line="7"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NDR</w:t>
      </w:r>
      <w:r>
        <w:rPr>
          <w:rFonts w:ascii="Arial" w:cs="Arial" w:eastAsia="Arial" w:hAnsi="Arial"/>
          <w:sz w:val="17"/>
          <w:szCs w:val="17"/>
          <w:color w:val="auto"/>
        </w:rPr>
        <w:t>” or “</w:t>
      </w:r>
      <w:r>
        <w:rPr>
          <w:rFonts w:ascii="Arial" w:cs="Arial" w:eastAsia="Arial" w:hAnsi="Arial"/>
          <w:sz w:val="17"/>
          <w:szCs w:val="17"/>
          <w:u w:val="single" w:color="auto"/>
          <w:color w:val="auto"/>
        </w:rPr>
        <w:t>Net Dollar Retention Rate</w:t>
      </w:r>
      <w:r>
        <w:rPr>
          <w:rFonts w:ascii="Arial" w:cs="Arial" w:eastAsia="Arial" w:hAnsi="Arial"/>
          <w:sz w:val="17"/>
          <w:szCs w:val="17"/>
          <w:color w:val="auto"/>
        </w:rPr>
        <w:t>” 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a period.</w:t>
      </w:r>
    </w:p>
    <w:p>
      <w:pPr>
        <w:ind w:left="1020" w:right="520" w:hanging="503"/>
        <w:spacing w:after="0" w:line="241"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Transactions</w:t>
      </w:r>
      <w:r>
        <w:rPr>
          <w:rFonts w:ascii="Arial" w:cs="Arial" w:eastAsia="Arial" w:hAnsi="Arial"/>
          <w:sz w:val="18"/>
          <w:szCs w:val="18"/>
          <w:color w:val="auto"/>
        </w:rPr>
        <w:t>” refers to transactions completed in connection with the Company’s IPO as defined within Note 1 to our unaudited condensed consolidated financial statements included in Part I, Item 1 of this Form 10-Q.</w:t>
      </w:r>
    </w:p>
    <w:p>
      <w:pPr>
        <w:spacing w:after="0" w:line="1" w:lineRule="exact"/>
        <w:rPr>
          <w:rFonts w:ascii="Arial" w:cs="Arial" w:eastAsia="Arial" w:hAnsi="Arial"/>
          <w:sz w:val="18"/>
          <w:szCs w:val="18"/>
          <w:color w:val="auto"/>
        </w:rPr>
      </w:pPr>
    </w:p>
    <w:p>
      <w:pPr>
        <w:ind w:left="1020" w:hanging="503"/>
        <w:spacing w:after="0" w:line="236"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Spectrum Equity</w:t>
      </w:r>
      <w:r>
        <w:rPr>
          <w:rFonts w:ascii="Arial" w:cs="Arial" w:eastAsia="Arial" w:hAnsi="Arial"/>
          <w:sz w:val="18"/>
          <w:szCs w:val="18"/>
          <w:color w:val="auto"/>
        </w:rPr>
        <w:t>” refers to investment funds associated with Spectrum Equity Management, L.P., a private equity firm.</w:t>
      </w:r>
    </w:p>
    <w:p>
      <w:pPr>
        <w:ind w:left="102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Sponsors</w:t>
      </w:r>
      <w:r>
        <w:rPr>
          <w:rFonts w:ascii="Arial" w:cs="Arial" w:eastAsia="Arial" w:hAnsi="Arial"/>
          <w:sz w:val="18"/>
          <w:szCs w:val="18"/>
          <w:color w:val="auto"/>
        </w:rPr>
        <w:t>” refers collectively to Advent, 22C Capital, and Spectrum Equity.</w:t>
      </w:r>
    </w:p>
    <w:p>
      <w:pPr>
        <w:ind w:left="1020" w:hanging="503"/>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22C Capital</w:t>
      </w:r>
      <w:r>
        <w:rPr>
          <w:rFonts w:ascii="Arial" w:cs="Arial" w:eastAsia="Arial" w:hAnsi="Arial"/>
          <w:sz w:val="18"/>
          <w:szCs w:val="18"/>
          <w:color w:val="auto"/>
        </w:rPr>
        <w:t>” refers to investment funds associated with 22C Capital LLC, a private equity firm.</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This Quarterly Report on Form 10-Q (“Quarterly Report”)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spacing w:after="0" w:line="42"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but are not limited to, regional, national or global political, economic, business, competitive, market and regulatory conditions.</w:t>
      </w:r>
    </w:p>
    <w:p>
      <w:pPr>
        <w:spacing w:after="0" w:line="78"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auto"/>
        </w:rPr>
        <w:t>For the reasons described above, we caution you against relying on any forward-looking statements, which should also be read in conjunction with Part I, Item 1A, “Risk Factors”, in our Annual Report on Form 10-K for the year ended December 31, 2021, or our “2021 Form 10-K”, and Part II, Item 1A in this Quarterly Report and the other cautionary statements that are included elsewhere in this Quarterly Report and in our public filings, including under “Management’s Discussion and Analysis of Financial Condition and Results of Operations.” Any forward-looking statement made by us speaks only as of the date on which we make it. We undertake no obligation to publicly update or revise any forward-looking statement, whether as a result of new information, future developments or otherwise, except as may be required by law.</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PART I -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DEFINITIVE HEALTHCARE CORP.</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 except number of shares and par value)</w:t>
      </w: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September 30, 2022</w:t>
            </w:r>
          </w:p>
        </w:tc>
        <w:tc>
          <w:tcPr>
            <w:tcW w:w="14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December 31, 2021</w:t>
            </w: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228,828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387,498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120,798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33,689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43,336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9,716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6,518</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Current portion of deferred contract costs</w:t>
            </w: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9,179</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3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402,210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444,232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10,051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5,105</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Deferred contract costs, net of current portion</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13,164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11,667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in equity securities</w:t>
            </w:r>
          </w:p>
        </w:tc>
        <w:tc>
          <w:tcPr>
            <w:tcW w:w="1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32,675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361,703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352,470</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1,322,959</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1,261,444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3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2,119,773</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2,115,988</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18,885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22,658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deferred revenue</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83,820</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83,611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Current portion of term loan</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6,875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6,875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operating lease liabilities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7720" w:type="dxa"/>
            <w:vAlign w:val="bottom"/>
            <w:tcBorders>
              <w:top w:val="single" w:sz="8" w:color="CFF0FC"/>
            </w:tcBorders>
          </w:tcPr>
          <w:p>
            <w:pPr>
              <w:ind w:left="38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121,552</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117,795</w:t>
            </w: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 term liabilities: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Term loan, net of current portion</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259,064</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263,808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Operating lease liabilities, net of current portion</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10,450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Tax receivable agreements liability</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157,175</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153,529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91,533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75,888</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1,973</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38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642,251</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612,726</w:t>
            </w:r>
          </w:p>
        </w:tc>
        <w:tc>
          <w:tcPr>
            <w:tcW w:w="100" w:type="dxa"/>
            <w:vAlign w:val="bottom"/>
          </w:tcPr>
          <w:p>
            <w:pPr>
              <w:spacing w:after="0"/>
              <w:rPr>
                <w:sz w:val="18"/>
                <w:szCs w:val="18"/>
                <w:color w:val="auto"/>
              </w:rPr>
            </w:pPr>
          </w:p>
        </w:tc>
      </w:tr>
      <w:tr>
        <w:trPr>
          <w:trHeight w:val="210"/>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62"/>
        </w:trPr>
        <w:tc>
          <w:tcPr>
            <w:tcW w:w="7720" w:type="dxa"/>
            <w:vAlign w:val="bottom"/>
          </w:tcPr>
          <w:p>
            <w:pPr>
              <w:ind w:left="200"/>
              <w:spacing w:after="0" w:line="162" w:lineRule="exact"/>
              <w:rPr>
                <w:sz w:val="20"/>
                <w:szCs w:val="20"/>
                <w:color w:val="auto"/>
              </w:rPr>
            </w:pPr>
            <w:r>
              <w:rPr>
                <w:rFonts w:ascii="Arial" w:cs="Arial" w:eastAsia="Arial" w:hAnsi="Arial"/>
                <w:sz w:val="18"/>
                <w:szCs w:val="18"/>
                <w:color w:val="auto"/>
              </w:rPr>
              <w:t>Class A Common Stock, par value $0.001, 600,000,000 shares authorized, 104,961,965 and</w:t>
            </w: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7720" w:type="dxa"/>
            <w:vAlign w:val="bottom"/>
          </w:tcPr>
          <w:p>
            <w:pPr>
              <w:ind w:left="200"/>
              <w:spacing w:after="0" w:line="189" w:lineRule="exact"/>
              <w:rPr>
                <w:sz w:val="20"/>
                <w:szCs w:val="20"/>
                <w:color w:val="auto"/>
              </w:rPr>
            </w:pPr>
            <w:r>
              <w:rPr>
                <w:rFonts w:ascii="Arial" w:cs="Arial" w:eastAsia="Arial" w:hAnsi="Arial"/>
                <w:sz w:val="18"/>
                <w:szCs w:val="18"/>
                <w:color w:val="auto"/>
              </w:rPr>
              <w:t>97,030,095 shares issued and outstanding at September 30, 2022 and December 31, 2021,</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4"/>
        </w:trPr>
        <w:tc>
          <w:tcPr>
            <w:tcW w:w="772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r>
      <w:tr>
        <w:trPr>
          <w:trHeight w:val="162"/>
        </w:trPr>
        <w:tc>
          <w:tcPr>
            <w:tcW w:w="772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Class B Common Stock, par value $0.00001, 65,000,000 shares authorized, 50,566,898 and</w:t>
            </w: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8"/>
        </w:trPr>
        <w:tc>
          <w:tcPr>
            <w:tcW w:w="7720" w:type="dxa"/>
            <w:vAlign w:val="bottom"/>
            <w:shd w:val="clear" w:color="auto" w:fill="CFF0FC"/>
          </w:tcPr>
          <w:p>
            <w:pPr>
              <w:ind w:left="200"/>
              <w:spacing w:after="0" w:line="189" w:lineRule="exact"/>
              <w:rPr>
                <w:sz w:val="20"/>
                <w:szCs w:val="20"/>
                <w:color w:val="auto"/>
              </w:rPr>
            </w:pPr>
            <w:r>
              <w:rPr>
                <w:rFonts w:ascii="Arial" w:cs="Arial" w:eastAsia="Arial" w:hAnsi="Arial"/>
                <w:sz w:val="18"/>
                <w:szCs w:val="18"/>
                <w:color w:val="auto"/>
                <w:w w:val="92"/>
              </w:rPr>
              <w:t>48,778,774 shares issued and outstanding, respectively, at September 30, 2022, and 58,244,627 and</w:t>
            </w:r>
          </w:p>
        </w:tc>
        <w:tc>
          <w:tcPr>
            <w:tcW w:w="16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44"/>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55,488,221 shares issued and outstanding, respectively at December 31, 2021</w:t>
            </w:r>
          </w:p>
        </w:tc>
        <w:tc>
          <w:tcPr>
            <w:tcW w:w="16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962,874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890,724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(34,140 )</w:t>
            </w: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(17,677 )</w:t>
            </w: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544,772</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630,056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380"/>
              <w:spacing w:after="0"/>
              <w:rPr>
                <w:sz w:val="20"/>
                <w:szCs w:val="20"/>
                <w:color w:val="auto"/>
              </w:rPr>
            </w:pPr>
            <w:r>
              <w:rPr>
                <w:rFonts w:ascii="Arial" w:cs="Arial" w:eastAsia="Arial" w:hAnsi="Arial"/>
                <w:sz w:val="18"/>
                <w:szCs w:val="18"/>
                <w:b w:val="1"/>
                <w:bCs w:val="1"/>
                <w:color w:val="auto"/>
              </w:rPr>
              <w:t>Total equity</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1,477,522</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1,503,262</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liabilities and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2,119,773</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2,115,988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-5391150</wp:posOffset>
            </wp:positionV>
            <wp:extent cx="6858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-5391150</wp:posOffset>
            </wp:positionV>
            <wp:extent cx="6858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-4285615</wp:posOffset>
            </wp:positionV>
            <wp:extent cx="685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-4285615</wp:posOffset>
            </wp:positionV>
            <wp:extent cx="685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-3154045</wp:posOffset>
            </wp:positionV>
            <wp:extent cx="6858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-2047875</wp:posOffset>
            </wp:positionV>
            <wp:extent cx="68580"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 w:name="page6"/>
    <w:bookmarkEnd w:id="5"/>
    <w:p>
      <w:pPr>
        <w:ind w:left="4120"/>
        <w:spacing w:after="0"/>
        <w:rPr>
          <w:sz w:val="20"/>
          <w:szCs w:val="20"/>
          <w:color w:val="auto"/>
        </w:rPr>
      </w:pPr>
      <w:r>
        <w:rPr>
          <w:rFonts w:ascii="Arial" w:cs="Arial" w:eastAsia="Arial" w:hAnsi="Arial"/>
          <w:sz w:val="18"/>
          <w:szCs w:val="18"/>
          <w:b w:val="1"/>
          <w:bCs w:val="1"/>
          <w:color w:val="auto"/>
        </w:rPr>
        <w:t>DEFINITIVE HEALTHCARE CORP.</w:t>
      </w:r>
    </w:p>
    <w:p>
      <w:pPr>
        <w:spacing w:after="0" w:line="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ind w:right="20"/>
        <w:spacing w:after="0" w:line="234" w:lineRule="auto"/>
        <w:rPr>
          <w:sz w:val="20"/>
          <w:szCs w:val="20"/>
          <w:color w:val="auto"/>
        </w:rPr>
      </w:pPr>
      <w:r>
        <w:rPr>
          <w:rFonts w:ascii="Arial" w:cs="Arial" w:eastAsia="Arial" w:hAnsi="Arial"/>
          <w:sz w:val="18"/>
          <w:szCs w:val="18"/>
          <w:i w:val="1"/>
          <w:iCs w:val="1"/>
          <w:color w:val="auto"/>
        </w:rPr>
        <w:t>(amounts in thousands, except share amounts and per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5"/>
          </w:tcPr>
          <w:p>
            <w:pPr>
              <w:jc w:val="right"/>
              <w:ind w:right="310"/>
              <w:spacing w:after="0"/>
              <w:rPr>
                <w:sz w:val="20"/>
                <w:szCs w:val="20"/>
                <w:color w:val="auto"/>
              </w:rPr>
            </w:pPr>
            <w:r>
              <w:rPr>
                <w:rFonts w:ascii="Arial" w:cs="Arial" w:eastAsia="Arial" w:hAnsi="Arial"/>
                <w:sz w:val="14"/>
                <w:szCs w:val="14"/>
                <w:b w:val="1"/>
                <w:bCs w:val="1"/>
                <w:color w:val="auto"/>
                <w:w w:val="94"/>
              </w:rPr>
              <w:t>Three Months Ended September 30,</w:t>
            </w:r>
          </w:p>
        </w:tc>
        <w:tc>
          <w:tcPr>
            <w:tcW w:w="160" w:type="dxa"/>
            <w:vAlign w:val="bottom"/>
          </w:tcPr>
          <w:p>
            <w:pPr>
              <w:spacing w:after="0"/>
              <w:rPr>
                <w:sz w:val="16"/>
                <w:szCs w:val="16"/>
                <w:color w:val="auto"/>
              </w:rPr>
            </w:pPr>
          </w:p>
        </w:tc>
        <w:tc>
          <w:tcPr>
            <w:tcW w:w="2480" w:type="dxa"/>
            <w:vAlign w:val="bottom"/>
            <w:gridSpan w:val="5"/>
          </w:tcPr>
          <w:p>
            <w:pPr>
              <w:jc w:val="right"/>
              <w:ind w:right="221"/>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69"/>
        </w:trPr>
        <w:tc>
          <w:tcPr>
            <w:tcW w:w="56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57,382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43,084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162,054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revenue exclusive of amortization</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6,569</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18,717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5,356</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47,658</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32,599</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129,224</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21,184</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14,376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66,062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9,205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4,746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33,564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10,037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9,760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30,105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Transaction, integration and restructuring expenses</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(137 )</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57,089</w:t>
            </w: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36,625</w:t>
            </w: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160,854</w:t>
            </w: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102,857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(9,431</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(4,026</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(31,630</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8"/>
                <w:szCs w:val="18"/>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(2,466 )</w:t>
            </w:r>
          </w:p>
        </w:tc>
        <w:tc>
          <w:tcPr>
            <w:tcW w:w="22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(7,186 )</w:t>
            </w:r>
          </w:p>
        </w:tc>
        <w:tc>
          <w:tcPr>
            <w:tcW w:w="16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(6,930 )</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(23,956 )</w:t>
            </w: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extinguishment of debt</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(9,873 )</w:t>
            </w: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(9,873 )</w:t>
            </w:r>
          </w:p>
        </w:tc>
        <w:tc>
          <w:tcPr>
            <w:tcW w:w="0" w:type="dxa"/>
            <w:vAlign w:val="bottom"/>
          </w:tcPr>
          <w:p>
            <w:pPr>
              <w:spacing w:after="0"/>
              <w:rPr>
                <w:sz w:val="1"/>
                <w:szCs w:val="1"/>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tcPr>
          <w:p>
            <w:pPr>
              <w:ind w:left="38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(16,940 )</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(33,686 )</w:t>
            </w: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Net loss before income taxes</w:t>
            </w:r>
          </w:p>
        </w:tc>
        <w:tc>
          <w:tcPr>
            <w:tcW w:w="1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(6,369</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(20,966</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(29,131</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(46,493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660" w:type="dxa"/>
            <w:vAlign w:val="bottom"/>
          </w:tcPr>
          <w:p>
            <w:pPr>
              <w:ind w:left="380"/>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6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(6,354</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(20,966</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(28,990</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(46,493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68"/>
        </w:trPr>
        <w:tc>
          <w:tcPr>
            <w:tcW w:w="5660" w:type="dxa"/>
            <w:vAlign w:val="bottom"/>
          </w:tcPr>
          <w:p>
            <w:pPr>
              <w:ind w:left="200"/>
              <w:spacing w:after="0" w:line="168" w:lineRule="exact"/>
              <w:rPr>
                <w:sz w:val="20"/>
                <w:szCs w:val="20"/>
                <w:color w:val="auto"/>
              </w:rPr>
            </w:pPr>
            <w:r>
              <w:rPr>
                <w:rFonts w:ascii="Arial" w:cs="Arial" w:eastAsia="Arial" w:hAnsi="Arial"/>
                <w:sz w:val="18"/>
                <w:szCs w:val="18"/>
                <w:color w:val="auto"/>
              </w:rPr>
              <w:t>Less: Net loss attributable to Definitive OpCo prior to the</w:t>
            </w:r>
          </w:p>
        </w:tc>
        <w:tc>
          <w:tcPr>
            <w:tcW w:w="140" w:type="dxa"/>
            <w:vAlign w:val="bottom"/>
          </w:tcPr>
          <w:p>
            <w:pPr>
              <w:spacing w:after="0"/>
              <w:rPr>
                <w:sz w:val="14"/>
                <w:szCs w:val="14"/>
                <w:color w:val="auto"/>
              </w:rPr>
            </w:pPr>
          </w:p>
        </w:tc>
        <w:tc>
          <w:tcPr>
            <w:tcW w:w="130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16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(7,816 )</w:t>
            </w:r>
          </w:p>
        </w:tc>
        <w:tc>
          <w:tcPr>
            <w:tcW w:w="160" w:type="dxa"/>
            <w:vAlign w:val="bottom"/>
          </w:tcPr>
          <w:p>
            <w:pPr>
              <w:spacing w:after="0"/>
              <w:rPr>
                <w:sz w:val="14"/>
                <w:szCs w:val="14"/>
                <w:color w:val="auto"/>
              </w:rPr>
            </w:pPr>
          </w:p>
        </w:tc>
        <w:tc>
          <w:tcPr>
            <w:tcW w:w="120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color w:val="auto"/>
              </w:rPr>
              <w:t>(33,343 )</w:t>
            </w:r>
          </w:p>
        </w:tc>
        <w:tc>
          <w:tcPr>
            <w:tcW w:w="0" w:type="dxa"/>
            <w:vAlign w:val="bottom"/>
          </w:tcPr>
          <w:p>
            <w:pPr>
              <w:spacing w:after="0"/>
              <w:rPr>
                <w:sz w:val="1"/>
                <w:szCs w:val="1"/>
                <w:color w:val="auto"/>
              </w:rPr>
            </w:pPr>
          </w:p>
        </w:tc>
      </w:tr>
      <w:tr>
        <w:trPr>
          <w:trHeight w:val="136"/>
        </w:trPr>
        <w:tc>
          <w:tcPr>
            <w:tcW w:w="5660" w:type="dxa"/>
            <w:vAlign w:val="bottom"/>
            <w:vMerge w:val="restart"/>
          </w:tcPr>
          <w:p>
            <w:pPr>
              <w:ind w:left="200"/>
              <w:spacing w:after="0"/>
              <w:rPr>
                <w:sz w:val="20"/>
                <w:szCs w:val="20"/>
                <w:color w:val="auto"/>
              </w:rPr>
            </w:pPr>
            <w:r>
              <w:rPr>
                <w:rFonts w:ascii="Arial" w:cs="Arial" w:eastAsia="Arial" w:hAnsi="Arial"/>
                <w:sz w:val="18"/>
                <w:szCs w:val="18"/>
                <w:color w:val="auto"/>
              </w:rPr>
              <w:t>Reorganization Transactions</w:t>
            </w:r>
          </w:p>
        </w:tc>
        <w:tc>
          <w:tcPr>
            <w:tcW w:w="1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5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Less: Net loss attributable to noncontrolling interests</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(3,665 )</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(5,172 )</w:t>
            </w: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(12,527 )</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(5,172 )</w:t>
            </w:r>
          </w:p>
        </w:tc>
        <w:tc>
          <w:tcPr>
            <w:tcW w:w="0" w:type="dxa"/>
            <w:vAlign w:val="bottom"/>
          </w:tcPr>
          <w:p>
            <w:pPr>
              <w:spacing w:after="0"/>
              <w:rPr>
                <w:sz w:val="1"/>
                <w:szCs w:val="1"/>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tcPr>
          <w:p>
            <w:pPr>
              <w:ind w:left="560"/>
              <w:spacing w:after="0"/>
              <w:rPr>
                <w:sz w:val="20"/>
                <w:szCs w:val="20"/>
                <w:color w:val="auto"/>
              </w:rPr>
            </w:pPr>
            <w:r>
              <w:rPr>
                <w:rFonts w:ascii="Arial" w:cs="Arial" w:eastAsia="Arial" w:hAnsi="Arial"/>
                <w:sz w:val="18"/>
                <w:szCs w:val="18"/>
                <w:color w:val="auto"/>
              </w:rPr>
              <w:t>Net loss attributable to Definitive Healthcare Corp.</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(2,689 )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(7,978 )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(16,463 )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(7,978 )</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per share of Class A Common Stock:</w:t>
            </w: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80"/>
              <w:spacing w:after="0" w:line="216" w:lineRule="exact"/>
              <w:rPr>
                <w:sz w:val="20"/>
                <w:szCs w:val="20"/>
                <w:color w:val="auto"/>
              </w:rPr>
            </w:pPr>
            <w:r>
              <w:rPr>
                <w:rFonts w:ascii="Arial" w:cs="Arial" w:eastAsia="Arial" w:hAnsi="Arial"/>
                <w:sz w:val="18"/>
                <w:szCs w:val="18"/>
                <w:color w:val="auto"/>
              </w:rPr>
              <w:t xml:space="preserve">Basic and diluted </w:t>
            </w:r>
            <w:r>
              <w:rPr>
                <w:rFonts w:ascii="Arial" w:cs="Arial" w:eastAsia="Arial" w:hAnsi="Arial"/>
                <w:sz w:val="24"/>
                <w:szCs w:val="24"/>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(0.03 )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(0.09 )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(0.16 )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(0.09 )</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 average Class A Common Stock outstanding:</w:t>
            </w: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80"/>
              <w:spacing w:after="0" w:line="216" w:lineRule="exact"/>
              <w:rPr>
                <w:sz w:val="20"/>
                <w:szCs w:val="20"/>
                <w:color w:val="auto"/>
              </w:rPr>
            </w:pPr>
            <w:r>
              <w:rPr>
                <w:rFonts w:ascii="Arial" w:cs="Arial" w:eastAsia="Arial" w:hAnsi="Arial"/>
                <w:sz w:val="18"/>
                <w:szCs w:val="18"/>
                <w:color w:val="auto"/>
              </w:rPr>
              <w:t xml:space="preserve">Basic and diluted </w:t>
            </w:r>
            <w:r>
              <w:rPr>
                <w:rFonts w:ascii="Arial" w:cs="Arial" w:eastAsia="Arial" w:hAnsi="Arial"/>
                <w:sz w:val="24"/>
                <w:szCs w:val="24"/>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102,904,565</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88,263,333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99,776,742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88,263,333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-3419475</wp:posOffset>
            </wp:positionV>
            <wp:extent cx="7747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-3419475</wp:posOffset>
            </wp:positionV>
            <wp:extent cx="6858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-3419475</wp:posOffset>
            </wp:positionV>
            <wp:extent cx="6858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-3419475</wp:posOffset>
            </wp:positionV>
            <wp:extent cx="6858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-2588260</wp:posOffset>
            </wp:positionV>
            <wp:extent cx="7747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-2588260</wp:posOffset>
            </wp:positionV>
            <wp:extent cx="6858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-2588260</wp:posOffset>
            </wp:positionV>
            <wp:extent cx="6858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-2588260</wp:posOffset>
            </wp:positionV>
            <wp:extent cx="6858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-1748155</wp:posOffset>
            </wp:positionV>
            <wp:extent cx="7747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-1748155</wp:posOffset>
            </wp:positionV>
            <wp:extent cx="6858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-1748155</wp:posOffset>
            </wp:positionV>
            <wp:extent cx="6858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-1748155</wp:posOffset>
            </wp:positionV>
            <wp:extent cx="6858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-1174115</wp:posOffset>
            </wp:positionV>
            <wp:extent cx="77470" cy="265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26543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-1174115</wp:posOffset>
            </wp:positionV>
            <wp:extent cx="68580" cy="265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-1174115</wp:posOffset>
            </wp:positionV>
            <wp:extent cx="68580" cy="265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-1174115</wp:posOffset>
            </wp:positionV>
            <wp:extent cx="68580" cy="265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-770890</wp:posOffset>
            </wp:positionV>
            <wp:extent cx="7747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-770890</wp:posOffset>
            </wp:positionV>
            <wp:extent cx="6858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-770890</wp:posOffset>
            </wp:positionV>
            <wp:extent cx="6858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-770890</wp:posOffset>
            </wp:positionV>
            <wp:extent cx="6858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69" w:lineRule="exact"/>
        <w:rPr>
          <w:sz w:val="20"/>
          <w:szCs w:val="20"/>
          <w:color w:val="auto"/>
        </w:rPr>
      </w:pPr>
    </w:p>
    <w:p>
      <w:pPr>
        <w:ind w:firstLine="8"/>
        <w:spacing w:after="0" w:line="358" w:lineRule="auto"/>
        <w:tabs>
          <w:tab w:leader="none" w:pos="204" w:val="left"/>
        </w:tabs>
        <w:numPr>
          <w:ilvl w:val="0"/>
          <w:numId w:val="4"/>
        </w:numPr>
        <w:rPr>
          <w:rFonts w:ascii="Arial" w:cs="Arial" w:eastAsia="Arial" w:hAnsi="Arial"/>
          <w:sz w:val="12"/>
          <w:szCs w:val="12"/>
          <w:color w:val="auto"/>
        </w:rPr>
      </w:pPr>
      <w:r>
        <w:rPr>
          <w:rFonts w:ascii="Arial" w:cs="Arial" w:eastAsia="Arial" w:hAnsi="Arial"/>
          <w:sz w:val="12"/>
          <w:szCs w:val="12"/>
          <w:color w:val="auto"/>
        </w:rPr>
        <w:t>Basic and diluted net loss per share of Class A Common Stock is applicable only for the periods beginning from September 15, 2021, which is the period following the IPO and related Reorganization Transactions. See Note 19 for the number of shares used in the computation of net loss per share of Class A Common Stock and the basis for the computation of net loss per share.</w:t>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6" w:name="page7"/>
    <w:bookmarkEnd w:id="6"/>
    <w:p>
      <w:pPr>
        <w:ind w:left="4120"/>
        <w:spacing w:after="0"/>
        <w:rPr>
          <w:sz w:val="20"/>
          <w:szCs w:val="20"/>
          <w:color w:val="auto"/>
        </w:rPr>
      </w:pPr>
      <w:r>
        <w:rPr>
          <w:rFonts w:ascii="Arial" w:cs="Arial" w:eastAsia="Arial" w:hAnsi="Arial"/>
          <w:sz w:val="18"/>
          <w:szCs w:val="18"/>
          <w:b w:val="1"/>
          <w:bCs w:val="1"/>
          <w:color w:val="auto"/>
        </w:rPr>
        <w:t>DEFINITIVE HEALTHCARE CORP.</w:t>
      </w:r>
    </w:p>
    <w:p>
      <w:pPr>
        <w:spacing w:after="0" w:line="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CONDENSED CONSOLIDATED STATEMENTS OF COMPREHENSIVE LOSS</w:t>
      </w:r>
    </w:p>
    <w:p>
      <w:pPr>
        <w:jc w:val="center"/>
        <w:ind w:right="40"/>
        <w:spacing w:after="0" w:line="234" w:lineRule="auto"/>
        <w:rPr>
          <w:sz w:val="20"/>
          <w:szCs w:val="20"/>
          <w:color w:val="auto"/>
        </w:rPr>
      </w:pPr>
      <w:r>
        <w:rPr>
          <w:rFonts w:ascii="Arial" w:cs="Arial" w:eastAsia="Arial" w:hAnsi="Arial"/>
          <w:sz w:val="18"/>
          <w:szCs w:val="18"/>
          <w:i w:val="1"/>
          <w:iCs w:val="1"/>
          <w:color w:val="auto"/>
        </w:rPr>
        <w:t>(amounts in thousands)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3000" w:type="dxa"/>
            <w:vAlign w:val="bottom"/>
            <w:gridSpan w:val="6"/>
          </w:tcPr>
          <w:p>
            <w:pPr>
              <w:jc w:val="right"/>
              <w:ind w:right="421"/>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620" w:type="dxa"/>
            <w:vAlign w:val="bottom"/>
            <w:gridSpan w:val="5"/>
          </w:tcPr>
          <w:p>
            <w:pPr>
              <w:jc w:val="right"/>
              <w:ind w:right="301"/>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69"/>
        </w:trPr>
        <w:tc>
          <w:tcPr>
            <w:tcW w:w="544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780" w:type="dxa"/>
            <w:vAlign w:val="bottom"/>
            <w:shd w:val="clear" w:color="auto" w:fill="CFF0FC"/>
          </w:tcPr>
          <w:p>
            <w:pPr>
              <w:jc w:val="right"/>
              <w:ind w:right="57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(6,354</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(20,966</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(28,990</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(46,493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7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(528 )</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(417 )</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0"/>
              <w:spacing w:after="0"/>
              <w:rPr>
                <w:sz w:val="20"/>
                <w:szCs w:val="20"/>
                <w:color w:val="auto"/>
              </w:rPr>
            </w:pPr>
            <w:r>
              <w:rPr>
                <w:rFonts w:ascii="Arial" w:cs="Arial" w:eastAsia="Arial" w:hAnsi="Arial"/>
                <w:sz w:val="18"/>
                <w:szCs w:val="18"/>
                <w:color w:val="auto"/>
              </w:rPr>
              <w:t>Unrealized gain (loss) on available-for-sale securities</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Arial" w:cs="Arial" w:eastAsia="Arial" w:hAnsi="Arial"/>
                <w:sz w:val="18"/>
                <w:szCs w:val="18"/>
                <w:color w:val="auto"/>
              </w:rPr>
              <w:t>(406 )</w:t>
            </w:r>
          </w:p>
        </w:tc>
        <w:tc>
          <w:tcPr>
            <w:tcW w:w="30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Unrealized gain on interest rate hedging instruments</w:t>
            </w:r>
          </w:p>
        </w:tc>
        <w:tc>
          <w:tcPr>
            <w:tcW w:w="7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6,673</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440" w:type="dxa"/>
            <w:vAlign w:val="bottom"/>
          </w:tcPr>
          <w:p>
            <w:pPr>
              <w:ind w:left="380"/>
              <w:spacing w:after="0"/>
              <w:rPr>
                <w:sz w:val="20"/>
                <w:szCs w:val="20"/>
                <w:color w:val="auto"/>
              </w:rPr>
            </w:pPr>
            <w:r>
              <w:rPr>
                <w:rFonts w:ascii="Arial" w:cs="Arial" w:eastAsia="Arial" w:hAnsi="Arial"/>
                <w:sz w:val="18"/>
                <w:szCs w:val="18"/>
                <w:color w:val="auto"/>
              </w:rPr>
              <w:t>Comprehensive loss</w:t>
            </w:r>
          </w:p>
        </w:tc>
        <w:tc>
          <w:tcPr>
            <w:tcW w:w="780" w:type="dxa"/>
            <w:vAlign w:val="bottom"/>
          </w:tcPr>
          <w:p>
            <w:pPr>
              <w:spacing w:after="0"/>
              <w:rPr>
                <w:sz w:val="18"/>
                <w:szCs w:val="18"/>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w w:val="86"/>
              </w:rPr>
              <w:t>(3,503 )</w:t>
            </w:r>
          </w:p>
        </w:tc>
        <w:tc>
          <w:tcPr>
            <w:tcW w:w="30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(20,955 )</w:t>
            </w:r>
          </w:p>
        </w:tc>
        <w:tc>
          <w:tcPr>
            <w:tcW w:w="18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Arial" w:cs="Arial" w:eastAsia="Arial" w:hAnsi="Arial"/>
                <w:sz w:val="18"/>
                <w:szCs w:val="18"/>
                <w:color w:val="auto"/>
              </w:rPr>
              <w:t>(23,140 )</w:t>
            </w: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(46,338 )</w:t>
            </w:r>
          </w:p>
        </w:tc>
      </w:tr>
      <w:tr>
        <w:trPr>
          <w:trHeight w:val="175"/>
        </w:trPr>
        <w:tc>
          <w:tcPr>
            <w:tcW w:w="544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w w:val="95"/>
              </w:rPr>
              <w:t>Less: Comprehensive loss attributable to Definitive OpCo prior to the</w:t>
            </w: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5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Reorganization Transactions</w:t>
            </w:r>
          </w:p>
        </w:tc>
        <w:tc>
          <w:tcPr>
            <w:tcW w:w="78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(7,818 )</w:t>
            </w:r>
          </w:p>
        </w:tc>
        <w:tc>
          <w:tcPr>
            <w:tcW w:w="18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(33,201 )</w:t>
            </w:r>
          </w:p>
        </w:tc>
      </w:tr>
      <w:tr>
        <w:trPr>
          <w:trHeight w:val="216"/>
        </w:trPr>
        <w:tc>
          <w:tcPr>
            <w:tcW w:w="5440" w:type="dxa"/>
            <w:vAlign w:val="bottom"/>
          </w:tcPr>
          <w:p>
            <w:pPr>
              <w:ind w:left="200"/>
              <w:spacing w:after="0"/>
              <w:rPr>
                <w:sz w:val="20"/>
                <w:szCs w:val="20"/>
                <w:color w:val="auto"/>
              </w:rPr>
            </w:pPr>
            <w:r>
              <w:rPr>
                <w:rFonts w:ascii="Arial" w:cs="Arial" w:eastAsia="Arial" w:hAnsi="Arial"/>
                <w:sz w:val="18"/>
                <w:szCs w:val="18"/>
                <w:color w:val="auto"/>
              </w:rPr>
              <w:t>Less: Comprehensive loss attributable to noncontrolling interests</w:t>
            </w:r>
          </w:p>
        </w:tc>
        <w:tc>
          <w:tcPr>
            <w:tcW w:w="780" w:type="dxa"/>
            <w:vAlign w:val="bottom"/>
          </w:tcPr>
          <w:p>
            <w:pPr>
              <w:spacing w:after="0"/>
              <w:rPr>
                <w:sz w:val="18"/>
                <w:szCs w:val="18"/>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w w:val="86"/>
              </w:rPr>
              <w:t>(2,731 )</w:t>
            </w:r>
          </w:p>
        </w:tc>
        <w:tc>
          <w:tcPr>
            <w:tcW w:w="30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(5,167 )</w:t>
            </w:r>
          </w:p>
        </w:tc>
        <w:tc>
          <w:tcPr>
            <w:tcW w:w="18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Arial" w:cs="Arial" w:eastAsia="Arial" w:hAnsi="Arial"/>
                <w:sz w:val="18"/>
                <w:szCs w:val="18"/>
                <w:color w:val="auto"/>
              </w:rPr>
              <w:t>(10,526 )</w:t>
            </w: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(5,167 )</w:t>
            </w:r>
          </w:p>
        </w:tc>
      </w:tr>
      <w:tr>
        <w:trPr>
          <w:trHeight w:val="250"/>
        </w:trPr>
        <w:tc>
          <w:tcPr>
            <w:tcW w:w="54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Comprehensive loss attributable to Definitive Healthcare Corp.</w:t>
            </w:r>
          </w:p>
        </w:tc>
        <w:tc>
          <w:tcPr>
            <w:tcW w:w="780" w:type="dxa"/>
            <w:vAlign w:val="bottom"/>
            <w:tcBorders>
              <w:top w:val="single" w:sz="8" w:color="auto"/>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(7,970</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(12,614</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-710565</wp:posOffset>
            </wp:positionV>
            <wp:extent cx="7747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-710565</wp:posOffset>
            </wp:positionV>
            <wp:extent cx="6858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-710565</wp:posOffset>
            </wp:positionV>
            <wp:extent cx="6858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-24765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DEFINITIVE HEALTHCARE CORP.</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CHANGES IN MEMBERS’ EQUITY AND TOTAL EQUITY</w:t>
      </w:r>
    </w:p>
    <w:p>
      <w:pPr>
        <w:jc w:val="center"/>
        <w:ind w:right="40"/>
        <w:spacing w:after="0"/>
        <w:rPr>
          <w:sz w:val="20"/>
          <w:szCs w:val="20"/>
          <w:color w:val="auto"/>
        </w:rPr>
      </w:pPr>
      <w:r>
        <w:rPr>
          <w:rFonts w:ascii="Arial" w:cs="Arial" w:eastAsia="Arial" w:hAnsi="Arial"/>
          <w:sz w:val="18"/>
          <w:szCs w:val="18"/>
          <w:i w:val="1"/>
          <w:iCs w:val="1"/>
          <w:color w:val="auto"/>
        </w:rPr>
        <w:t>(amounts in thousands, except share and unit amounts)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8"/>
              </w:rPr>
              <w:t>Additional</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ind w:right="61"/>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Comprehensiv</w:t>
            </w:r>
          </w:p>
        </w:tc>
        <w:tc>
          <w:tcPr>
            <w:tcW w:w="120" w:type="dxa"/>
            <w:vAlign w:val="bottom"/>
          </w:tcPr>
          <w:p>
            <w:pPr>
              <w:spacing w:after="0"/>
              <w:rPr>
                <w:sz w:val="11"/>
                <w:szCs w:val="11"/>
                <w:color w:val="auto"/>
              </w:rPr>
            </w:pPr>
          </w:p>
        </w:tc>
        <w:tc>
          <w:tcPr>
            <w:tcW w:w="9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Noncontrollin</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Class A</w:t>
            </w:r>
          </w:p>
        </w:tc>
        <w:tc>
          <w:tcPr>
            <w:tcW w:w="160" w:type="dxa"/>
            <w:vAlign w:val="bottom"/>
          </w:tcPr>
          <w:p>
            <w:pPr>
              <w:spacing w:after="0"/>
              <w:rPr>
                <w:sz w:val="14"/>
                <w:szCs w:val="14"/>
                <w:color w:val="auto"/>
              </w:rPr>
            </w:pPr>
          </w:p>
        </w:tc>
        <w:tc>
          <w:tcPr>
            <w:tcW w:w="700" w:type="dxa"/>
            <w:vAlign w:val="bottom"/>
          </w:tcPr>
          <w:p>
            <w:pPr>
              <w:jc w:val="right"/>
              <w:ind w:right="140"/>
              <w:spacing w:after="0"/>
              <w:rPr>
                <w:sz w:val="20"/>
                <w:szCs w:val="20"/>
                <w:color w:val="auto"/>
              </w:rPr>
            </w:pPr>
            <w:r>
              <w:rPr>
                <w:rFonts w:ascii="Arial" w:cs="Arial" w:eastAsia="Arial" w:hAnsi="Arial"/>
                <w:sz w:val="13"/>
                <w:szCs w:val="13"/>
                <w:b w:val="1"/>
                <w:bCs w:val="1"/>
                <w:color w:val="auto"/>
                <w:w w:val="96"/>
              </w:rPr>
              <w:t>Class A</w:t>
            </w:r>
          </w:p>
        </w:tc>
        <w:tc>
          <w:tcPr>
            <w:tcW w:w="14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Class B</w:t>
            </w:r>
          </w:p>
        </w:tc>
        <w:tc>
          <w:tcPr>
            <w:tcW w:w="180" w:type="dxa"/>
            <w:vAlign w:val="bottom"/>
          </w:tcPr>
          <w:p>
            <w:pPr>
              <w:spacing w:after="0"/>
              <w:rPr>
                <w:sz w:val="14"/>
                <w:szCs w:val="14"/>
                <w:color w:val="auto"/>
              </w:rPr>
            </w:pPr>
          </w:p>
        </w:tc>
        <w:tc>
          <w:tcPr>
            <w:tcW w:w="760" w:type="dxa"/>
            <w:vAlign w:val="bottom"/>
          </w:tcPr>
          <w:p>
            <w:pPr>
              <w:ind w:left="100"/>
              <w:spacing w:after="0"/>
              <w:rPr>
                <w:sz w:val="20"/>
                <w:szCs w:val="20"/>
                <w:color w:val="auto"/>
              </w:rPr>
            </w:pPr>
            <w:r>
              <w:rPr>
                <w:rFonts w:ascii="Arial" w:cs="Arial" w:eastAsia="Arial" w:hAnsi="Arial"/>
                <w:sz w:val="13"/>
                <w:szCs w:val="13"/>
                <w:b w:val="1"/>
                <w:bCs w:val="1"/>
                <w:color w:val="auto"/>
              </w:rPr>
              <w:t>Class B</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Paid-In</w:t>
            </w:r>
          </w:p>
        </w:tc>
        <w:tc>
          <w:tcPr>
            <w:tcW w:w="1040" w:type="dxa"/>
            <w:vAlign w:val="bottom"/>
            <w:gridSpan w:val="4"/>
          </w:tcPr>
          <w:p>
            <w:pPr>
              <w:jc w:val="right"/>
              <w:ind w:right="237"/>
              <w:spacing w:after="0"/>
              <w:rPr>
                <w:sz w:val="20"/>
                <w:szCs w:val="20"/>
                <w:color w:val="auto"/>
              </w:rPr>
            </w:pPr>
            <w:r>
              <w:rPr>
                <w:rFonts w:ascii="Arial" w:cs="Arial" w:eastAsia="Arial" w:hAnsi="Arial"/>
                <w:sz w:val="13"/>
                <w:szCs w:val="13"/>
                <w:b w:val="1"/>
                <w:bCs w:val="1"/>
                <w:color w:val="auto"/>
                <w:w w:val="88"/>
              </w:rPr>
              <w:t>Accumulated</w:t>
            </w:r>
          </w:p>
        </w:tc>
        <w:tc>
          <w:tcPr>
            <w:tcW w:w="660" w:type="dxa"/>
            <w:vAlign w:val="bottom"/>
          </w:tcPr>
          <w:p>
            <w:pPr>
              <w:jc w:val="center"/>
              <w:ind w:right="41"/>
              <w:spacing w:after="0"/>
              <w:rPr>
                <w:sz w:val="20"/>
                <w:szCs w:val="20"/>
                <w:color w:val="auto"/>
              </w:rPr>
            </w:pPr>
            <w:r>
              <w:rPr>
                <w:rFonts w:ascii="Arial" w:cs="Arial" w:eastAsia="Arial" w:hAnsi="Arial"/>
                <w:sz w:val="13"/>
                <w:szCs w:val="13"/>
                <w:b w:val="1"/>
                <w:bCs w:val="1"/>
                <w:color w:val="auto"/>
                <w:w w:val="82"/>
              </w:rPr>
              <w:t>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4"/>
              </w:rPr>
              <w:t>g</w:t>
            </w:r>
          </w:p>
        </w:tc>
        <w:tc>
          <w:tcPr>
            <w:tcW w:w="18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2320" w:type="dxa"/>
            <w:vAlign w:val="bottom"/>
          </w:tcPr>
          <w:p>
            <w:pPr>
              <w:spacing w:after="0"/>
              <w:rPr>
                <w:sz w:val="15"/>
                <w:szCs w:val="15"/>
                <w:color w:val="auto"/>
              </w:rPr>
            </w:pPr>
          </w:p>
        </w:tc>
        <w:tc>
          <w:tcPr>
            <w:tcW w:w="114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5"/>
                <w:szCs w:val="15"/>
                <w:color w:val="auto"/>
              </w:rPr>
            </w:pPr>
          </w:p>
        </w:tc>
        <w:tc>
          <w:tcPr>
            <w:tcW w:w="82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87"/>
              </w:rPr>
              <w:t>Income</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320" w:type="dxa"/>
            <w:vAlign w:val="bottom"/>
            <w:vMerge w:val="restart"/>
            <w:shd w:val="clear" w:color="auto" w:fill="CFF0FC"/>
          </w:tcPr>
          <w:p>
            <w:pPr>
              <w:ind w:left="20"/>
              <w:spacing w:after="0"/>
              <w:rPr>
                <w:sz w:val="20"/>
                <w:szCs w:val="20"/>
                <w:color w:val="auto"/>
              </w:rPr>
            </w:pPr>
            <w:r>
              <w:rPr>
                <w:rFonts w:ascii="Arial" w:cs="Arial" w:eastAsia="Arial" w:hAnsi="Arial"/>
                <w:sz w:val="16"/>
                <w:szCs w:val="16"/>
                <w:color w:val="auto"/>
              </w:rPr>
              <w:t>Balance at January 1, 2022</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97,030,095</w:t>
            </w:r>
          </w:p>
        </w:tc>
        <w:tc>
          <w:tcPr>
            <w:tcW w:w="120" w:type="dxa"/>
            <w:vAlign w:val="bottom"/>
            <w:shd w:val="clear" w:color="auto" w:fill="CFF0FC"/>
          </w:tcPr>
          <w:p>
            <w:pPr>
              <w:spacing w:after="0"/>
              <w:rPr>
                <w:sz w:val="14"/>
                <w:szCs w:val="14"/>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6" w:lineRule="exact"/>
              <w:rPr>
                <w:sz w:val="20"/>
                <w:szCs w:val="20"/>
                <w:color w:val="auto"/>
              </w:rPr>
            </w:pPr>
            <w:r>
              <w:rPr>
                <w:rFonts w:ascii="Arial" w:cs="Arial" w:eastAsia="Arial" w:hAnsi="Arial"/>
                <w:sz w:val="16"/>
                <w:szCs w:val="16"/>
                <w:color w:val="auto"/>
              </w:rPr>
              <w:t>58,244,62</w:t>
            </w:r>
          </w:p>
        </w:tc>
        <w:tc>
          <w:tcPr>
            <w:tcW w:w="120" w:type="dxa"/>
            <w:vAlign w:val="bottom"/>
            <w:shd w:val="clear" w:color="auto" w:fill="CFF0FC"/>
          </w:tcPr>
          <w:p>
            <w:pPr>
              <w:spacing w:after="0"/>
              <w:rPr>
                <w:sz w:val="14"/>
                <w:szCs w:val="14"/>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FF0FC"/>
          </w:tcPr>
          <w:p>
            <w:pPr>
              <w:ind w:left="580"/>
              <w:spacing w:after="0"/>
              <w:rPr>
                <w:sz w:val="20"/>
                <w:szCs w:val="20"/>
                <w:color w:val="auto"/>
              </w:rPr>
            </w:pPr>
            <w:r>
              <w:rPr>
                <w:rFonts w:ascii="Arial" w:cs="Arial" w:eastAsia="Arial" w:hAnsi="Arial"/>
                <w:sz w:val="16"/>
                <w:szCs w:val="16"/>
                <w:color w:val="auto"/>
                <w:w w:val="99"/>
              </w:rPr>
              <w:t>—</w:t>
            </w:r>
          </w:p>
        </w:tc>
        <w:tc>
          <w:tcPr>
            <w:tcW w:w="22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890,724</w:t>
            </w:r>
          </w:p>
        </w:tc>
        <w:tc>
          <w:tcPr>
            <w:tcW w:w="120" w:type="dxa"/>
            <w:vAlign w:val="bottom"/>
            <w:shd w:val="clear" w:color="auto" w:fill="CFF0FC"/>
          </w:tcPr>
          <w:p>
            <w:pPr>
              <w:spacing w:after="0"/>
              <w:rPr>
                <w:sz w:val="14"/>
                <w:szCs w:val="14"/>
                <w:color w:val="auto"/>
              </w:rPr>
            </w:pPr>
          </w:p>
        </w:tc>
        <w:tc>
          <w:tcPr>
            <w:tcW w:w="160" w:type="dxa"/>
            <w:vAlign w:val="bottom"/>
            <w:vMerge w:val="restart"/>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(17,677 ) $</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630,056</w:t>
            </w:r>
          </w:p>
        </w:tc>
        <w:tc>
          <w:tcPr>
            <w:tcW w:w="100" w:type="dxa"/>
            <w:vAlign w:val="bottom"/>
            <w:shd w:val="clear" w:color="auto" w:fill="CFF0FC"/>
          </w:tcPr>
          <w:p>
            <w:pPr>
              <w:spacing w:after="0"/>
              <w:rPr>
                <w:sz w:val="14"/>
                <w:szCs w:val="14"/>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98"/>
              </w:rPr>
              <w:t>1,503,262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320" w:type="dxa"/>
            <w:vAlign w:val="bottom"/>
            <w:vMerge w:val="continue"/>
            <w:shd w:val="clear" w:color="auto" w:fill="CFF0FC"/>
          </w:tcPr>
          <w:p>
            <w:pPr>
              <w:spacing w:after="0"/>
              <w:rPr>
                <w:sz w:val="9"/>
                <w:szCs w:val="9"/>
                <w:color w:val="auto"/>
              </w:rPr>
            </w:pPr>
          </w:p>
        </w:tc>
        <w:tc>
          <w:tcPr>
            <w:tcW w:w="114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vMerge w:val="continue"/>
            <w:shd w:val="clear" w:color="auto" w:fill="CFF0FC"/>
          </w:tcPr>
          <w:p>
            <w:pPr>
              <w:spacing w:after="0"/>
              <w:rPr>
                <w:sz w:val="9"/>
                <w:szCs w:val="9"/>
                <w:color w:val="auto"/>
              </w:rPr>
            </w:pPr>
          </w:p>
        </w:tc>
        <w:tc>
          <w:tcPr>
            <w:tcW w:w="700" w:type="dxa"/>
            <w:vAlign w:val="bottom"/>
            <w:vMerge w:val="continue"/>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9"/>
                <w:szCs w:val="9"/>
                <w:color w:val="auto"/>
              </w:rPr>
            </w:pPr>
          </w:p>
        </w:tc>
        <w:tc>
          <w:tcPr>
            <w:tcW w:w="180" w:type="dxa"/>
            <w:vAlign w:val="bottom"/>
            <w:vMerge w:val="continue"/>
            <w:shd w:val="clear" w:color="auto" w:fill="CFF0FC"/>
          </w:tcPr>
          <w:p>
            <w:pPr>
              <w:spacing w:after="0"/>
              <w:rPr>
                <w:sz w:val="9"/>
                <w:szCs w:val="9"/>
                <w:color w:val="auto"/>
              </w:rPr>
            </w:pPr>
          </w:p>
        </w:tc>
        <w:tc>
          <w:tcPr>
            <w:tcW w:w="760" w:type="dxa"/>
            <w:vAlign w:val="bottom"/>
            <w:vMerge w:val="continue"/>
            <w:shd w:val="clear" w:color="auto" w:fill="CFF0FC"/>
          </w:tcPr>
          <w:p>
            <w:pPr>
              <w:spacing w:after="0"/>
              <w:rPr>
                <w:sz w:val="9"/>
                <w:szCs w:val="9"/>
                <w:color w:val="auto"/>
              </w:rPr>
            </w:pPr>
          </w:p>
        </w:tc>
        <w:tc>
          <w:tcPr>
            <w:tcW w:w="220" w:type="dxa"/>
            <w:vAlign w:val="bottom"/>
            <w:gridSpan w:val="2"/>
            <w:vMerge w:val="continue"/>
            <w:shd w:val="clear" w:color="auto" w:fill="CFF0FC"/>
          </w:tcPr>
          <w:p>
            <w:pPr>
              <w:spacing w:after="0"/>
              <w:rPr>
                <w:sz w:val="9"/>
                <w:szCs w:val="9"/>
                <w:color w:val="auto"/>
              </w:rPr>
            </w:pPr>
          </w:p>
        </w:tc>
        <w:tc>
          <w:tcPr>
            <w:tcW w:w="68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vMerge w:val="continue"/>
            <w:shd w:val="clear" w:color="auto" w:fill="CFF0FC"/>
          </w:tcPr>
          <w:p>
            <w:pPr>
              <w:spacing w:after="0"/>
              <w:rPr>
                <w:sz w:val="9"/>
                <w:szCs w:val="9"/>
                <w:color w:val="auto"/>
              </w:rPr>
            </w:pPr>
          </w:p>
        </w:tc>
        <w:tc>
          <w:tcPr>
            <w:tcW w:w="880" w:type="dxa"/>
            <w:vAlign w:val="bottom"/>
            <w:gridSpan w:val="3"/>
            <w:vMerge w:val="continue"/>
            <w:shd w:val="clear" w:color="auto" w:fill="CFF0FC"/>
          </w:tcPr>
          <w:p>
            <w:pPr>
              <w:spacing w:after="0"/>
              <w:rPr>
                <w:sz w:val="9"/>
                <w:szCs w:val="9"/>
                <w:color w:val="auto"/>
              </w:rPr>
            </w:pPr>
          </w:p>
        </w:tc>
        <w:tc>
          <w:tcPr>
            <w:tcW w:w="660" w:type="dxa"/>
            <w:vAlign w:val="bottom"/>
            <w:vMerge w:val="continue"/>
            <w:shd w:val="clear" w:color="auto" w:fill="CFF0FC"/>
          </w:tcPr>
          <w:p>
            <w:pPr>
              <w:spacing w:after="0"/>
              <w:rPr>
                <w:sz w:val="9"/>
                <w:szCs w:val="9"/>
                <w:color w:val="auto"/>
              </w:rPr>
            </w:pPr>
          </w:p>
        </w:tc>
        <w:tc>
          <w:tcPr>
            <w:tcW w:w="260" w:type="dxa"/>
            <w:vAlign w:val="bottom"/>
            <w:gridSpan w:val="2"/>
            <w:vMerge w:val="continue"/>
            <w:shd w:val="clear" w:color="auto" w:fill="CFF0FC"/>
          </w:tcPr>
          <w:p>
            <w:pPr>
              <w:spacing w:after="0"/>
              <w:rPr>
                <w:sz w:val="9"/>
                <w:szCs w:val="9"/>
                <w:color w:val="auto"/>
              </w:rPr>
            </w:pPr>
          </w:p>
        </w:tc>
        <w:tc>
          <w:tcPr>
            <w:tcW w:w="68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vMerge w:val="continue"/>
            <w:shd w:val="clear" w:color="auto" w:fill="CFF0FC"/>
          </w:tcPr>
          <w:p>
            <w:pPr>
              <w:spacing w:after="0"/>
              <w:rPr>
                <w:sz w:val="9"/>
                <w:szCs w:val="9"/>
                <w:color w:val="auto"/>
              </w:rPr>
            </w:pPr>
          </w:p>
        </w:tc>
        <w:tc>
          <w:tcPr>
            <w:tcW w:w="74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320" w:type="dxa"/>
            <w:vAlign w:val="bottom"/>
            <w:shd w:val="clear" w:color="auto" w:fill="CFF0FC"/>
          </w:tcPr>
          <w:p>
            <w:pPr>
              <w:spacing w:after="0"/>
              <w:rPr>
                <w:sz w:val="7"/>
                <w:szCs w:val="7"/>
                <w:color w:val="auto"/>
              </w:rPr>
            </w:pPr>
          </w:p>
        </w:tc>
        <w:tc>
          <w:tcPr>
            <w:tcW w:w="114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60" w:type="dxa"/>
            <w:vAlign w:val="bottom"/>
            <w:vMerge w:val="continue"/>
            <w:shd w:val="clear" w:color="auto" w:fill="CFF0FC"/>
          </w:tcPr>
          <w:p>
            <w:pPr>
              <w:spacing w:after="0"/>
              <w:rPr>
                <w:sz w:val="7"/>
                <w:szCs w:val="7"/>
                <w:color w:val="auto"/>
              </w:rPr>
            </w:pPr>
          </w:p>
        </w:tc>
        <w:tc>
          <w:tcPr>
            <w:tcW w:w="700" w:type="dxa"/>
            <w:vAlign w:val="bottom"/>
            <w:vMerge w:val="continue"/>
            <w:shd w:val="clear" w:color="auto" w:fill="CFF0FC"/>
          </w:tcPr>
          <w:p>
            <w:pPr>
              <w:spacing w:after="0"/>
              <w:rPr>
                <w:sz w:val="7"/>
                <w:szCs w:val="7"/>
                <w:color w:val="auto"/>
              </w:rPr>
            </w:pPr>
          </w:p>
        </w:tc>
        <w:tc>
          <w:tcPr>
            <w:tcW w:w="960" w:type="dxa"/>
            <w:vAlign w:val="bottom"/>
            <w:gridSpan w:val="2"/>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80" w:type="dxa"/>
            <w:vAlign w:val="bottom"/>
            <w:vMerge w:val="continue"/>
            <w:shd w:val="clear" w:color="auto" w:fill="CFF0FC"/>
          </w:tcPr>
          <w:p>
            <w:pPr>
              <w:spacing w:after="0"/>
              <w:rPr>
                <w:sz w:val="7"/>
                <w:szCs w:val="7"/>
                <w:color w:val="auto"/>
              </w:rPr>
            </w:pPr>
          </w:p>
        </w:tc>
        <w:tc>
          <w:tcPr>
            <w:tcW w:w="760" w:type="dxa"/>
            <w:vAlign w:val="bottom"/>
            <w:vMerge w:val="continue"/>
            <w:shd w:val="clear" w:color="auto" w:fill="CFF0FC"/>
          </w:tcPr>
          <w:p>
            <w:pPr>
              <w:spacing w:after="0"/>
              <w:rPr>
                <w:sz w:val="7"/>
                <w:szCs w:val="7"/>
                <w:color w:val="auto"/>
              </w:rPr>
            </w:pPr>
          </w:p>
        </w:tc>
        <w:tc>
          <w:tcPr>
            <w:tcW w:w="220" w:type="dxa"/>
            <w:vAlign w:val="bottom"/>
            <w:gridSpan w:val="2"/>
            <w:vMerge w:val="continue"/>
            <w:shd w:val="clear" w:color="auto" w:fill="CFF0FC"/>
          </w:tcPr>
          <w:p>
            <w:pPr>
              <w:spacing w:after="0"/>
              <w:rPr>
                <w:sz w:val="7"/>
                <w:szCs w:val="7"/>
                <w:color w:val="auto"/>
              </w:rPr>
            </w:pPr>
          </w:p>
        </w:tc>
        <w:tc>
          <w:tcPr>
            <w:tcW w:w="68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60" w:type="dxa"/>
            <w:vAlign w:val="bottom"/>
            <w:vMerge w:val="continue"/>
            <w:shd w:val="clear" w:color="auto" w:fill="CFF0FC"/>
          </w:tcPr>
          <w:p>
            <w:pPr>
              <w:spacing w:after="0"/>
              <w:rPr>
                <w:sz w:val="7"/>
                <w:szCs w:val="7"/>
                <w:color w:val="auto"/>
              </w:rPr>
            </w:pPr>
          </w:p>
        </w:tc>
        <w:tc>
          <w:tcPr>
            <w:tcW w:w="880" w:type="dxa"/>
            <w:vAlign w:val="bottom"/>
            <w:gridSpan w:val="3"/>
            <w:vMerge w:val="continue"/>
            <w:shd w:val="clear" w:color="auto" w:fill="CFF0FC"/>
          </w:tcPr>
          <w:p>
            <w:pPr>
              <w:spacing w:after="0"/>
              <w:rPr>
                <w:sz w:val="7"/>
                <w:szCs w:val="7"/>
                <w:color w:val="auto"/>
              </w:rPr>
            </w:pPr>
          </w:p>
        </w:tc>
        <w:tc>
          <w:tcPr>
            <w:tcW w:w="660" w:type="dxa"/>
            <w:vAlign w:val="bottom"/>
            <w:vMerge w:val="continue"/>
            <w:shd w:val="clear" w:color="auto" w:fill="CFF0FC"/>
          </w:tcPr>
          <w:p>
            <w:pPr>
              <w:spacing w:after="0"/>
              <w:rPr>
                <w:sz w:val="7"/>
                <w:szCs w:val="7"/>
                <w:color w:val="auto"/>
              </w:rPr>
            </w:pPr>
          </w:p>
        </w:tc>
        <w:tc>
          <w:tcPr>
            <w:tcW w:w="260" w:type="dxa"/>
            <w:vAlign w:val="bottom"/>
            <w:gridSpan w:val="2"/>
            <w:vMerge w:val="continue"/>
            <w:shd w:val="clear" w:color="auto" w:fill="CFF0FC"/>
          </w:tcPr>
          <w:p>
            <w:pPr>
              <w:spacing w:after="0"/>
              <w:rPr>
                <w:sz w:val="7"/>
                <w:szCs w:val="7"/>
                <w:color w:val="auto"/>
              </w:rPr>
            </w:pPr>
          </w:p>
        </w:tc>
        <w:tc>
          <w:tcPr>
            <w:tcW w:w="68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80" w:type="dxa"/>
            <w:vAlign w:val="bottom"/>
            <w:vMerge w:val="continue"/>
            <w:shd w:val="clear" w:color="auto" w:fill="CFF0FC"/>
          </w:tcPr>
          <w:p>
            <w:pPr>
              <w:spacing w:after="0"/>
              <w:rPr>
                <w:sz w:val="7"/>
                <w:szCs w:val="7"/>
                <w:color w:val="auto"/>
              </w:rPr>
            </w:pPr>
          </w:p>
        </w:tc>
        <w:tc>
          <w:tcPr>
            <w:tcW w:w="74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60" w:type="dxa"/>
            <w:vAlign w:val="bottom"/>
          </w:tcPr>
          <w:p>
            <w:pPr>
              <w:ind w:left="5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(8,624 )</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(4,433 )</w:t>
            </w:r>
          </w:p>
        </w:tc>
        <w:tc>
          <w:tcPr>
            <w:tcW w:w="1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(13,057 )</w:t>
            </w:r>
          </w:p>
        </w:tc>
        <w:tc>
          <w:tcPr>
            <w:tcW w:w="0" w:type="dxa"/>
            <w:vAlign w:val="bottom"/>
          </w:tcPr>
          <w:p>
            <w:pPr>
              <w:spacing w:after="0"/>
              <w:rPr>
                <w:sz w:val="1"/>
                <w:szCs w:val="1"/>
                <w:color w:val="auto"/>
              </w:rPr>
            </w:pPr>
          </w:p>
        </w:tc>
      </w:tr>
      <w:tr>
        <w:trPr>
          <w:trHeight w:val="203"/>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income</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ind w:left="58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80" w:type="dxa"/>
            <w:vAlign w:val="bottom"/>
            <w:gridSpan w:val="3"/>
            <w:shd w:val="clear" w:color="auto" w:fill="CFF0FC"/>
          </w:tcPr>
          <w:p>
            <w:pPr>
              <w:jc w:val="right"/>
              <w:ind w:right="197"/>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856</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20"/>
              <w:spacing w:after="0"/>
              <w:rPr>
                <w:sz w:val="20"/>
                <w:szCs w:val="20"/>
                <w:color w:val="auto"/>
              </w:rPr>
            </w:pPr>
            <w:r>
              <w:rPr>
                <w:rFonts w:ascii="Arial" w:cs="Arial" w:eastAsia="Arial" w:hAnsi="Arial"/>
                <w:sz w:val="16"/>
                <w:szCs w:val="16"/>
                <w:color w:val="auto"/>
              </w:rPr>
              <w:t>Vested incentive units</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60" w:type="dxa"/>
            <w:vAlign w:val="bottom"/>
          </w:tcPr>
          <w:p>
            <w:pPr>
              <w:ind w:left="5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(696 )</w:t>
            </w:r>
          </w:p>
        </w:tc>
        <w:tc>
          <w:tcPr>
            <w:tcW w:w="160" w:type="dxa"/>
            <w:vAlign w:val="bottom"/>
          </w:tcPr>
          <w:p>
            <w:pPr>
              <w:spacing w:after="0"/>
              <w:rPr>
                <w:sz w:val="17"/>
                <w:szCs w:val="17"/>
                <w:color w:val="auto"/>
              </w:rPr>
            </w:pPr>
          </w:p>
        </w:tc>
        <w:tc>
          <w:tcPr>
            <w:tcW w:w="880" w:type="dxa"/>
            <w:vAlign w:val="bottom"/>
            <w:gridSpan w:val="3"/>
          </w:tcPr>
          <w:p>
            <w:pPr>
              <w:jc w:val="right"/>
              <w:ind w:right="197"/>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Effect of LLC unit exchanges</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544,302</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8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(544,302 )</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ind w:left="58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gridSpan w:val="3"/>
            <w:shd w:val="clear" w:color="auto" w:fill="CFF0FC"/>
          </w:tcPr>
          <w:p>
            <w:pPr>
              <w:jc w:val="right"/>
              <w:ind w:right="197"/>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(5,978 )</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(897 )</w:t>
            </w:r>
          </w:p>
        </w:tc>
        <w:tc>
          <w:tcPr>
            <w:tcW w:w="0" w:type="dxa"/>
            <w:vAlign w:val="bottom"/>
          </w:tcPr>
          <w:p>
            <w:pPr>
              <w:spacing w:after="0"/>
              <w:rPr>
                <w:sz w:val="1"/>
                <w:szCs w:val="1"/>
                <w:color w:val="auto"/>
              </w:rPr>
            </w:pPr>
          </w:p>
        </w:tc>
      </w:tr>
      <w:tr>
        <w:trPr>
          <w:trHeight w:val="203"/>
        </w:trPr>
        <w:tc>
          <w:tcPr>
            <w:tcW w:w="2320" w:type="dxa"/>
            <w:vAlign w:val="bottom"/>
          </w:tcPr>
          <w:p>
            <w:pPr>
              <w:ind w:left="20"/>
              <w:spacing w:after="0"/>
              <w:rPr>
                <w:sz w:val="20"/>
                <w:szCs w:val="20"/>
                <w:color w:val="auto"/>
              </w:rPr>
            </w:pPr>
            <w:r>
              <w:rPr>
                <w:rFonts w:ascii="Arial" w:cs="Arial" w:eastAsia="Arial" w:hAnsi="Arial"/>
                <w:sz w:val="16"/>
                <w:szCs w:val="16"/>
                <w:color w:val="auto"/>
                <w:w w:val="95"/>
              </w:rPr>
              <w:t>Forfeited unvested incentive units</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6"/>
                <w:szCs w:val="16"/>
                <w:color w:val="auto"/>
              </w:rPr>
              <w:t>(33,549 )</w:t>
            </w:r>
          </w:p>
        </w:tc>
        <w:tc>
          <w:tcPr>
            <w:tcW w:w="180" w:type="dxa"/>
            <w:vAlign w:val="bottom"/>
          </w:tcPr>
          <w:p>
            <w:pPr>
              <w:spacing w:after="0"/>
              <w:rPr>
                <w:sz w:val="17"/>
                <w:szCs w:val="17"/>
                <w:color w:val="auto"/>
              </w:rPr>
            </w:pPr>
          </w:p>
        </w:tc>
        <w:tc>
          <w:tcPr>
            <w:tcW w:w="760" w:type="dxa"/>
            <w:vAlign w:val="bottom"/>
          </w:tcPr>
          <w:p>
            <w:pPr>
              <w:ind w:left="5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3"/>
          </w:tcPr>
          <w:p>
            <w:pPr>
              <w:jc w:val="right"/>
              <w:ind w:right="197"/>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Equity-based compensation</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ind w:left="58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4,377</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gridSpan w:val="3"/>
            <w:shd w:val="clear" w:color="auto" w:fill="CFF0FC"/>
          </w:tcPr>
          <w:p>
            <w:pPr>
              <w:jc w:val="right"/>
              <w:ind w:right="197"/>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6,872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320" w:type="dxa"/>
            <w:vAlign w:val="bottom"/>
          </w:tcPr>
          <w:p>
            <w:pPr>
              <w:ind w:left="20"/>
              <w:spacing w:after="0" w:line="166" w:lineRule="exact"/>
              <w:rPr>
                <w:sz w:val="20"/>
                <w:szCs w:val="20"/>
                <w:color w:val="auto"/>
              </w:rPr>
            </w:pPr>
            <w:r>
              <w:rPr>
                <w:rFonts w:ascii="Arial" w:cs="Arial" w:eastAsia="Arial" w:hAnsi="Arial"/>
                <w:sz w:val="16"/>
                <w:szCs w:val="16"/>
                <w:color w:val="auto"/>
              </w:rPr>
              <w:t>Distributions to noncontrolling</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ind w:left="5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(258 )</w:t>
            </w:r>
          </w:p>
        </w:tc>
        <w:tc>
          <w:tcPr>
            <w:tcW w:w="180" w:type="dxa"/>
            <w:vAlign w:val="bottom"/>
          </w:tcPr>
          <w:p>
            <w:pPr>
              <w:spacing w:after="0"/>
              <w:rPr>
                <w:sz w:val="14"/>
                <w:szCs w:val="14"/>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(258 )</w:t>
            </w:r>
          </w:p>
        </w:tc>
        <w:tc>
          <w:tcPr>
            <w:tcW w:w="0" w:type="dxa"/>
            <w:vAlign w:val="bottom"/>
          </w:tcPr>
          <w:p>
            <w:pPr>
              <w:spacing w:after="0"/>
              <w:rPr>
                <w:sz w:val="1"/>
                <w:szCs w:val="1"/>
                <w:color w:val="auto"/>
              </w:rPr>
            </w:pPr>
          </w:p>
        </w:tc>
      </w:tr>
      <w:tr>
        <w:trPr>
          <w:trHeight w:val="185"/>
        </w:trPr>
        <w:tc>
          <w:tcPr>
            <w:tcW w:w="2320" w:type="dxa"/>
            <w:vAlign w:val="bottom"/>
          </w:tcPr>
          <w:p>
            <w:pPr>
              <w:ind w:left="20"/>
              <w:spacing w:after="0"/>
              <w:rPr>
                <w:sz w:val="20"/>
                <w:szCs w:val="20"/>
                <w:color w:val="auto"/>
              </w:rPr>
            </w:pPr>
            <w:r>
              <w:rPr>
                <w:rFonts w:ascii="Arial" w:cs="Arial" w:eastAsia="Arial" w:hAnsi="Arial"/>
                <w:sz w:val="16"/>
                <w:szCs w:val="16"/>
                <w:color w:val="auto"/>
              </w:rPr>
              <w:t>interests</w:t>
            </w:r>
          </w:p>
        </w:tc>
        <w:tc>
          <w:tcPr>
            <w:tcW w:w="114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320" w:type="dxa"/>
            <w:vAlign w:val="bottom"/>
            <w:vMerge w:val="restart"/>
            <w:shd w:val="clear" w:color="auto" w:fill="CFF0FC"/>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97,574,397</w:t>
            </w:r>
          </w:p>
        </w:tc>
        <w:tc>
          <w:tcPr>
            <w:tcW w:w="120" w:type="dxa"/>
            <w:vAlign w:val="bottom"/>
            <w:shd w:val="clear" w:color="auto" w:fill="CFF0FC"/>
          </w:tcPr>
          <w:p>
            <w:pPr>
              <w:spacing w:after="0"/>
              <w:rPr>
                <w:sz w:val="13"/>
                <w:szCs w:val="13"/>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98</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9" w:lineRule="exact"/>
              <w:rPr>
                <w:sz w:val="20"/>
                <w:szCs w:val="20"/>
                <w:color w:val="auto"/>
              </w:rPr>
            </w:pPr>
            <w:r>
              <w:rPr>
                <w:rFonts w:ascii="Arial" w:cs="Arial" w:eastAsia="Arial" w:hAnsi="Arial"/>
                <w:sz w:val="16"/>
                <w:szCs w:val="16"/>
                <w:color w:val="auto"/>
              </w:rPr>
              <w:t>57,666,77</w:t>
            </w:r>
          </w:p>
        </w:tc>
        <w:tc>
          <w:tcPr>
            <w:tcW w:w="120" w:type="dxa"/>
            <w:vAlign w:val="bottom"/>
            <w:shd w:val="clear" w:color="auto" w:fill="CFF0FC"/>
          </w:tcPr>
          <w:p>
            <w:pPr>
              <w:spacing w:after="0"/>
              <w:rPr>
                <w:sz w:val="13"/>
                <w:szCs w:val="13"/>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FF0FC"/>
          </w:tcPr>
          <w:p>
            <w:pPr>
              <w:ind w:left="580"/>
              <w:spacing w:after="0"/>
              <w:rPr>
                <w:sz w:val="20"/>
                <w:szCs w:val="20"/>
                <w:color w:val="auto"/>
              </w:rPr>
            </w:pPr>
            <w:r>
              <w:rPr>
                <w:rFonts w:ascii="Arial" w:cs="Arial" w:eastAsia="Arial" w:hAnsi="Arial"/>
                <w:sz w:val="16"/>
                <w:szCs w:val="16"/>
                <w:color w:val="auto"/>
                <w:w w:val="99"/>
              </w:rPr>
              <w:t>—</w:t>
            </w:r>
          </w:p>
        </w:tc>
        <w:tc>
          <w:tcPr>
            <w:tcW w:w="100" w:type="dxa"/>
            <w:vAlign w:val="bottom"/>
            <w:vMerge w:val="restart"/>
            <w:shd w:val="clear" w:color="auto" w:fill="CFF0FC"/>
          </w:tcPr>
          <w:p>
            <w:pPr>
              <w:spacing w:after="0"/>
              <w:rPr>
                <w:sz w:val="13"/>
                <w:szCs w:val="13"/>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899,485</w:t>
            </w:r>
          </w:p>
        </w:tc>
        <w:tc>
          <w:tcPr>
            <w:tcW w:w="120" w:type="dxa"/>
            <w:vAlign w:val="bottom"/>
            <w:shd w:val="clear" w:color="auto" w:fill="CFF0FC"/>
          </w:tcPr>
          <w:p>
            <w:pPr>
              <w:spacing w:after="0"/>
              <w:rPr>
                <w:sz w:val="13"/>
                <w:szCs w:val="13"/>
                <w:color w:val="auto"/>
              </w:rPr>
            </w:pPr>
          </w:p>
        </w:tc>
        <w:tc>
          <w:tcPr>
            <w:tcW w:w="160" w:type="dxa"/>
            <w:vAlign w:val="bottom"/>
            <w:vMerge w:val="restart"/>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(26,301 ) $</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918</w:t>
            </w: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623,065</w:t>
            </w:r>
          </w:p>
        </w:tc>
        <w:tc>
          <w:tcPr>
            <w:tcW w:w="100" w:type="dxa"/>
            <w:vAlign w:val="bottom"/>
            <w:shd w:val="clear" w:color="auto" w:fill="CFF0FC"/>
          </w:tcPr>
          <w:p>
            <w:pPr>
              <w:spacing w:after="0"/>
              <w:rPr>
                <w:sz w:val="13"/>
                <w:szCs w:val="13"/>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98"/>
              </w:rPr>
              <w:t>1,497,265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320" w:type="dxa"/>
            <w:vAlign w:val="bottom"/>
            <w:vMerge w:val="continue"/>
            <w:shd w:val="clear" w:color="auto" w:fill="CFF0FC"/>
          </w:tcPr>
          <w:p>
            <w:pPr>
              <w:spacing w:after="0"/>
              <w:rPr>
                <w:sz w:val="9"/>
                <w:szCs w:val="9"/>
                <w:color w:val="auto"/>
              </w:rPr>
            </w:pPr>
          </w:p>
        </w:tc>
        <w:tc>
          <w:tcPr>
            <w:tcW w:w="114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vMerge w:val="continue"/>
            <w:shd w:val="clear" w:color="auto" w:fill="CFF0FC"/>
          </w:tcPr>
          <w:p>
            <w:pPr>
              <w:spacing w:after="0"/>
              <w:rPr>
                <w:sz w:val="9"/>
                <w:szCs w:val="9"/>
                <w:color w:val="auto"/>
              </w:rPr>
            </w:pPr>
          </w:p>
        </w:tc>
        <w:tc>
          <w:tcPr>
            <w:tcW w:w="700" w:type="dxa"/>
            <w:vAlign w:val="bottom"/>
            <w:vMerge w:val="continue"/>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9"/>
                <w:szCs w:val="9"/>
                <w:color w:val="auto"/>
              </w:rPr>
            </w:pPr>
          </w:p>
        </w:tc>
        <w:tc>
          <w:tcPr>
            <w:tcW w:w="180" w:type="dxa"/>
            <w:vAlign w:val="bottom"/>
            <w:vMerge w:val="continue"/>
            <w:shd w:val="clear" w:color="auto" w:fill="CFF0FC"/>
          </w:tcPr>
          <w:p>
            <w:pPr>
              <w:spacing w:after="0"/>
              <w:rPr>
                <w:sz w:val="9"/>
                <w:szCs w:val="9"/>
                <w:color w:val="auto"/>
              </w:rPr>
            </w:pPr>
          </w:p>
        </w:tc>
        <w:tc>
          <w:tcPr>
            <w:tcW w:w="760" w:type="dxa"/>
            <w:vAlign w:val="bottom"/>
            <w:vMerge w:val="continue"/>
            <w:shd w:val="clear" w:color="auto" w:fill="CFF0FC"/>
          </w:tcPr>
          <w:p>
            <w:pPr>
              <w:spacing w:after="0"/>
              <w:rPr>
                <w:sz w:val="9"/>
                <w:szCs w:val="9"/>
                <w:color w:val="auto"/>
              </w:rPr>
            </w:pPr>
          </w:p>
        </w:tc>
        <w:tc>
          <w:tcPr>
            <w:tcW w:w="100" w:type="dxa"/>
            <w:vAlign w:val="bottom"/>
            <w:vMerge w:val="continue"/>
            <w:shd w:val="clear" w:color="auto" w:fill="CFF0FC"/>
          </w:tcPr>
          <w:p>
            <w:pPr>
              <w:spacing w:after="0"/>
              <w:rPr>
                <w:sz w:val="9"/>
                <w:szCs w:val="9"/>
                <w:color w:val="auto"/>
              </w:rPr>
            </w:pPr>
          </w:p>
        </w:tc>
        <w:tc>
          <w:tcPr>
            <w:tcW w:w="120" w:type="dxa"/>
            <w:vAlign w:val="bottom"/>
            <w:vMerge w:val="continue"/>
            <w:shd w:val="clear" w:color="auto" w:fill="CFF0FC"/>
          </w:tcPr>
          <w:p>
            <w:pPr>
              <w:spacing w:after="0"/>
              <w:rPr>
                <w:sz w:val="9"/>
                <w:szCs w:val="9"/>
                <w:color w:val="auto"/>
              </w:rPr>
            </w:pPr>
          </w:p>
        </w:tc>
        <w:tc>
          <w:tcPr>
            <w:tcW w:w="68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vMerge w:val="continue"/>
            <w:shd w:val="clear" w:color="auto" w:fill="CFF0FC"/>
          </w:tcPr>
          <w:p>
            <w:pPr>
              <w:spacing w:after="0"/>
              <w:rPr>
                <w:sz w:val="9"/>
                <w:szCs w:val="9"/>
                <w:color w:val="auto"/>
              </w:rPr>
            </w:pPr>
          </w:p>
        </w:tc>
        <w:tc>
          <w:tcPr>
            <w:tcW w:w="880" w:type="dxa"/>
            <w:vAlign w:val="bottom"/>
            <w:gridSpan w:val="3"/>
            <w:vMerge w:val="continue"/>
            <w:shd w:val="clear" w:color="auto" w:fill="CFF0FC"/>
          </w:tcPr>
          <w:p>
            <w:pPr>
              <w:spacing w:after="0"/>
              <w:rPr>
                <w:sz w:val="9"/>
                <w:szCs w:val="9"/>
                <w:color w:val="auto"/>
              </w:rPr>
            </w:pPr>
          </w:p>
        </w:tc>
        <w:tc>
          <w:tcPr>
            <w:tcW w:w="660" w:type="dxa"/>
            <w:vAlign w:val="bottom"/>
            <w:vMerge w:val="continue"/>
            <w:shd w:val="clear" w:color="auto" w:fill="CFF0FC"/>
          </w:tcPr>
          <w:p>
            <w:pPr>
              <w:spacing w:after="0"/>
              <w:rPr>
                <w:sz w:val="9"/>
                <w:szCs w:val="9"/>
                <w:color w:val="auto"/>
              </w:rPr>
            </w:pPr>
          </w:p>
        </w:tc>
        <w:tc>
          <w:tcPr>
            <w:tcW w:w="260" w:type="dxa"/>
            <w:vAlign w:val="bottom"/>
            <w:gridSpan w:val="2"/>
            <w:vMerge w:val="continue"/>
            <w:shd w:val="clear" w:color="auto" w:fill="CFF0FC"/>
          </w:tcPr>
          <w:p>
            <w:pPr>
              <w:spacing w:after="0"/>
              <w:rPr>
                <w:sz w:val="9"/>
                <w:szCs w:val="9"/>
                <w:color w:val="auto"/>
              </w:rPr>
            </w:pPr>
          </w:p>
        </w:tc>
        <w:tc>
          <w:tcPr>
            <w:tcW w:w="68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vMerge w:val="continue"/>
            <w:shd w:val="clear" w:color="auto" w:fill="CFF0FC"/>
          </w:tcPr>
          <w:p>
            <w:pPr>
              <w:spacing w:after="0"/>
              <w:rPr>
                <w:sz w:val="9"/>
                <w:szCs w:val="9"/>
                <w:color w:val="auto"/>
              </w:rPr>
            </w:pPr>
          </w:p>
        </w:tc>
        <w:tc>
          <w:tcPr>
            <w:tcW w:w="74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320" w:type="dxa"/>
            <w:vAlign w:val="bottom"/>
            <w:shd w:val="clear" w:color="auto" w:fill="CFF0FC"/>
          </w:tcPr>
          <w:p>
            <w:pPr>
              <w:spacing w:after="0"/>
              <w:rPr>
                <w:sz w:val="7"/>
                <w:szCs w:val="7"/>
                <w:color w:val="auto"/>
              </w:rPr>
            </w:pPr>
          </w:p>
        </w:tc>
        <w:tc>
          <w:tcPr>
            <w:tcW w:w="114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60" w:type="dxa"/>
            <w:vAlign w:val="bottom"/>
            <w:vMerge w:val="continue"/>
            <w:shd w:val="clear" w:color="auto" w:fill="CFF0FC"/>
          </w:tcPr>
          <w:p>
            <w:pPr>
              <w:spacing w:after="0"/>
              <w:rPr>
                <w:sz w:val="7"/>
                <w:szCs w:val="7"/>
                <w:color w:val="auto"/>
              </w:rPr>
            </w:pPr>
          </w:p>
        </w:tc>
        <w:tc>
          <w:tcPr>
            <w:tcW w:w="700" w:type="dxa"/>
            <w:vAlign w:val="bottom"/>
            <w:vMerge w:val="continue"/>
            <w:shd w:val="clear" w:color="auto" w:fill="CFF0FC"/>
          </w:tcPr>
          <w:p>
            <w:pPr>
              <w:spacing w:after="0"/>
              <w:rPr>
                <w:sz w:val="7"/>
                <w:szCs w:val="7"/>
                <w:color w:val="auto"/>
              </w:rPr>
            </w:pPr>
          </w:p>
        </w:tc>
        <w:tc>
          <w:tcPr>
            <w:tcW w:w="960" w:type="dxa"/>
            <w:vAlign w:val="bottom"/>
            <w:gridSpan w:val="2"/>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80" w:type="dxa"/>
            <w:vAlign w:val="bottom"/>
            <w:vMerge w:val="continue"/>
            <w:shd w:val="clear" w:color="auto" w:fill="CFF0FC"/>
          </w:tcPr>
          <w:p>
            <w:pPr>
              <w:spacing w:after="0"/>
              <w:rPr>
                <w:sz w:val="7"/>
                <w:szCs w:val="7"/>
                <w:color w:val="auto"/>
              </w:rPr>
            </w:pPr>
          </w:p>
        </w:tc>
        <w:tc>
          <w:tcPr>
            <w:tcW w:w="760" w:type="dxa"/>
            <w:vAlign w:val="bottom"/>
            <w:vMerge w:val="continue"/>
            <w:shd w:val="clear" w:color="auto" w:fill="CFF0FC"/>
          </w:tcPr>
          <w:p>
            <w:pPr>
              <w:spacing w:after="0"/>
              <w:rPr>
                <w:sz w:val="7"/>
                <w:szCs w:val="7"/>
                <w:color w:val="auto"/>
              </w:rPr>
            </w:pPr>
          </w:p>
        </w:tc>
        <w:tc>
          <w:tcPr>
            <w:tcW w:w="100" w:type="dxa"/>
            <w:vAlign w:val="bottom"/>
            <w:vMerge w:val="continue"/>
            <w:shd w:val="clear" w:color="auto" w:fill="CFF0FC"/>
          </w:tcPr>
          <w:p>
            <w:pPr>
              <w:spacing w:after="0"/>
              <w:rPr>
                <w:sz w:val="7"/>
                <w:szCs w:val="7"/>
                <w:color w:val="auto"/>
              </w:rPr>
            </w:pPr>
          </w:p>
        </w:tc>
        <w:tc>
          <w:tcPr>
            <w:tcW w:w="120" w:type="dxa"/>
            <w:vAlign w:val="bottom"/>
            <w:vMerge w:val="continue"/>
            <w:shd w:val="clear" w:color="auto" w:fill="CFF0FC"/>
          </w:tcPr>
          <w:p>
            <w:pPr>
              <w:spacing w:after="0"/>
              <w:rPr>
                <w:sz w:val="7"/>
                <w:szCs w:val="7"/>
                <w:color w:val="auto"/>
              </w:rPr>
            </w:pPr>
          </w:p>
        </w:tc>
        <w:tc>
          <w:tcPr>
            <w:tcW w:w="68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60" w:type="dxa"/>
            <w:vAlign w:val="bottom"/>
            <w:vMerge w:val="continue"/>
            <w:shd w:val="clear" w:color="auto" w:fill="CFF0FC"/>
          </w:tcPr>
          <w:p>
            <w:pPr>
              <w:spacing w:after="0"/>
              <w:rPr>
                <w:sz w:val="7"/>
                <w:szCs w:val="7"/>
                <w:color w:val="auto"/>
              </w:rPr>
            </w:pPr>
          </w:p>
        </w:tc>
        <w:tc>
          <w:tcPr>
            <w:tcW w:w="880" w:type="dxa"/>
            <w:vAlign w:val="bottom"/>
            <w:gridSpan w:val="3"/>
            <w:vMerge w:val="continue"/>
            <w:shd w:val="clear" w:color="auto" w:fill="CFF0FC"/>
          </w:tcPr>
          <w:p>
            <w:pPr>
              <w:spacing w:after="0"/>
              <w:rPr>
                <w:sz w:val="7"/>
                <w:szCs w:val="7"/>
                <w:color w:val="auto"/>
              </w:rPr>
            </w:pPr>
          </w:p>
        </w:tc>
        <w:tc>
          <w:tcPr>
            <w:tcW w:w="660" w:type="dxa"/>
            <w:vAlign w:val="bottom"/>
            <w:vMerge w:val="continue"/>
            <w:shd w:val="clear" w:color="auto" w:fill="CFF0FC"/>
          </w:tcPr>
          <w:p>
            <w:pPr>
              <w:spacing w:after="0"/>
              <w:rPr>
                <w:sz w:val="7"/>
                <w:szCs w:val="7"/>
                <w:color w:val="auto"/>
              </w:rPr>
            </w:pPr>
          </w:p>
        </w:tc>
        <w:tc>
          <w:tcPr>
            <w:tcW w:w="260" w:type="dxa"/>
            <w:vAlign w:val="bottom"/>
            <w:gridSpan w:val="2"/>
            <w:vMerge w:val="continue"/>
            <w:shd w:val="clear" w:color="auto" w:fill="CFF0FC"/>
          </w:tcPr>
          <w:p>
            <w:pPr>
              <w:spacing w:after="0"/>
              <w:rPr>
                <w:sz w:val="7"/>
                <w:szCs w:val="7"/>
                <w:color w:val="auto"/>
              </w:rPr>
            </w:pPr>
          </w:p>
        </w:tc>
        <w:tc>
          <w:tcPr>
            <w:tcW w:w="68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80" w:type="dxa"/>
            <w:vAlign w:val="bottom"/>
            <w:vMerge w:val="continue"/>
            <w:shd w:val="clear" w:color="auto" w:fill="CFF0FC"/>
          </w:tcPr>
          <w:p>
            <w:pPr>
              <w:spacing w:after="0"/>
              <w:rPr>
                <w:sz w:val="7"/>
                <w:szCs w:val="7"/>
                <w:color w:val="auto"/>
              </w:rPr>
            </w:pPr>
          </w:p>
        </w:tc>
        <w:tc>
          <w:tcPr>
            <w:tcW w:w="74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60" w:type="dxa"/>
            <w:vAlign w:val="bottom"/>
          </w:tcPr>
          <w:p>
            <w:pPr>
              <w:ind w:left="5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(5,150 )</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(4,429 )</w:t>
            </w:r>
          </w:p>
        </w:tc>
        <w:tc>
          <w:tcPr>
            <w:tcW w:w="1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(9,579 )</w:t>
            </w:r>
          </w:p>
        </w:tc>
        <w:tc>
          <w:tcPr>
            <w:tcW w:w="0" w:type="dxa"/>
            <w:vAlign w:val="bottom"/>
          </w:tcPr>
          <w:p>
            <w:pPr>
              <w:spacing w:after="0"/>
              <w:rPr>
                <w:sz w:val="1"/>
                <w:szCs w:val="1"/>
                <w:color w:val="auto"/>
              </w:rPr>
            </w:pPr>
          </w:p>
        </w:tc>
      </w:tr>
      <w:tr>
        <w:trPr>
          <w:trHeight w:val="203"/>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income</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ind w:left="58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80" w:type="dxa"/>
            <w:vAlign w:val="bottom"/>
            <w:gridSpan w:val="3"/>
            <w:shd w:val="clear" w:color="auto" w:fill="CFF0FC"/>
          </w:tcPr>
          <w:p>
            <w:pPr>
              <w:jc w:val="right"/>
              <w:ind w:right="197"/>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1,076</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20"/>
              <w:spacing w:after="0"/>
              <w:rPr>
                <w:sz w:val="20"/>
                <w:szCs w:val="20"/>
                <w:color w:val="auto"/>
              </w:rPr>
            </w:pPr>
            <w:r>
              <w:rPr>
                <w:rFonts w:ascii="Arial" w:cs="Arial" w:eastAsia="Arial" w:hAnsi="Arial"/>
                <w:sz w:val="16"/>
                <w:szCs w:val="16"/>
                <w:color w:val="auto"/>
              </w:rPr>
              <w:t>Vested incentive units</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60" w:type="dxa"/>
            <w:vAlign w:val="bottom"/>
          </w:tcPr>
          <w:p>
            <w:pPr>
              <w:ind w:left="5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(358 )</w:t>
            </w:r>
          </w:p>
        </w:tc>
        <w:tc>
          <w:tcPr>
            <w:tcW w:w="160" w:type="dxa"/>
            <w:vAlign w:val="bottom"/>
          </w:tcPr>
          <w:p>
            <w:pPr>
              <w:spacing w:after="0"/>
              <w:rPr>
                <w:sz w:val="17"/>
                <w:szCs w:val="17"/>
                <w:color w:val="auto"/>
              </w:rPr>
            </w:pPr>
          </w:p>
        </w:tc>
        <w:tc>
          <w:tcPr>
            <w:tcW w:w="880" w:type="dxa"/>
            <w:vAlign w:val="bottom"/>
            <w:gridSpan w:val="3"/>
          </w:tcPr>
          <w:p>
            <w:pPr>
              <w:jc w:val="right"/>
              <w:ind w:right="197"/>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2320" w:type="dxa"/>
            <w:vAlign w:val="bottom"/>
            <w:shd w:val="clear" w:color="auto" w:fill="CFF0FC"/>
          </w:tcPr>
          <w:p>
            <w:pPr>
              <w:ind w:left="20"/>
              <w:spacing w:after="0" w:line="166" w:lineRule="exact"/>
              <w:rPr>
                <w:sz w:val="20"/>
                <w:szCs w:val="20"/>
                <w:color w:val="auto"/>
              </w:rPr>
            </w:pPr>
            <w:r>
              <w:rPr>
                <w:rFonts w:ascii="Arial" w:cs="Arial" w:eastAsia="Arial" w:hAnsi="Arial"/>
                <w:sz w:val="16"/>
                <w:szCs w:val="16"/>
                <w:color w:val="auto"/>
              </w:rPr>
              <w:t>Issuance of Class A Common</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11,729</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4"/>
                <w:szCs w:val="14"/>
                <w:color w:val="auto"/>
              </w:rPr>
            </w:pPr>
          </w:p>
        </w:tc>
        <w:tc>
          <w:tcPr>
            <w:tcW w:w="9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ind w:left="58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3"/>
            <w:vMerge w:val="restart"/>
            <w:shd w:val="clear" w:color="auto" w:fill="CFF0FC"/>
          </w:tcPr>
          <w:p>
            <w:pPr>
              <w:jc w:val="right"/>
              <w:ind w:right="197"/>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(45 )</w:t>
            </w:r>
          </w:p>
        </w:tc>
        <w:tc>
          <w:tcPr>
            <w:tcW w:w="180" w:type="dxa"/>
            <w:vAlign w:val="bottom"/>
            <w:shd w:val="clear" w:color="auto" w:fill="CFF0FC"/>
          </w:tcPr>
          <w:p>
            <w:pPr>
              <w:spacing w:after="0"/>
              <w:rPr>
                <w:sz w:val="14"/>
                <w:szCs w:val="14"/>
                <w:color w:val="auto"/>
              </w:rPr>
            </w:pPr>
          </w:p>
        </w:tc>
        <w:tc>
          <w:tcPr>
            <w:tcW w:w="8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upon vesting of RSUs</w:t>
            </w:r>
          </w:p>
        </w:tc>
        <w:tc>
          <w:tcPr>
            <w:tcW w:w="114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gridSpan w:val="3"/>
            <w:vMerge w:val="continue"/>
            <w:shd w:val="clear" w:color="auto" w:fill="CFF0FC"/>
          </w:tcPr>
          <w:p>
            <w:pPr>
              <w:spacing w:after="0"/>
              <w:rPr>
                <w:sz w:val="17"/>
                <w:szCs w:val="17"/>
                <w:color w:val="auto"/>
              </w:rPr>
            </w:pPr>
          </w:p>
        </w:tc>
        <w:tc>
          <w:tcPr>
            <w:tcW w:w="66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320" w:type="dxa"/>
            <w:vAlign w:val="bottom"/>
            <w:vMerge w:val="restart"/>
          </w:tcPr>
          <w:p>
            <w:pPr>
              <w:ind w:left="20"/>
              <w:spacing w:after="0"/>
              <w:rPr>
                <w:sz w:val="20"/>
                <w:szCs w:val="20"/>
                <w:color w:val="auto"/>
              </w:rPr>
            </w:pPr>
            <w:r>
              <w:rPr>
                <w:rFonts w:ascii="Arial" w:cs="Arial" w:eastAsia="Arial" w:hAnsi="Arial"/>
                <w:sz w:val="16"/>
                <w:szCs w:val="16"/>
                <w:color w:val="auto"/>
              </w:rPr>
              <w:t>Effect of LLC unit exchanges</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gridSpan w:val="2"/>
          </w:tcPr>
          <w:p>
            <w:pPr>
              <w:jc w:val="right"/>
              <w:spacing w:after="0" w:line="152" w:lineRule="exact"/>
              <w:rPr>
                <w:sz w:val="20"/>
                <w:szCs w:val="20"/>
                <w:color w:val="auto"/>
              </w:rPr>
            </w:pPr>
            <w:r>
              <w:rPr>
                <w:rFonts w:ascii="Arial" w:cs="Arial" w:eastAsia="Arial" w:hAnsi="Arial"/>
                <w:sz w:val="16"/>
                <w:szCs w:val="16"/>
                <w:color w:val="auto"/>
              </w:rPr>
              <w:t>(2,898,58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320" w:type="dxa"/>
            <w:vAlign w:val="bottom"/>
            <w:vMerge w:val="continue"/>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2,898,589</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8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9 )</w:t>
            </w:r>
          </w:p>
        </w:tc>
        <w:tc>
          <w:tcPr>
            <w:tcW w:w="180" w:type="dxa"/>
            <w:vAlign w:val="bottom"/>
          </w:tcPr>
          <w:p>
            <w:pPr>
              <w:spacing w:after="0"/>
              <w:rPr>
                <w:sz w:val="10"/>
                <w:szCs w:val="10"/>
                <w:color w:val="auto"/>
              </w:rPr>
            </w:pPr>
          </w:p>
        </w:tc>
        <w:tc>
          <w:tcPr>
            <w:tcW w:w="760" w:type="dxa"/>
            <w:vAlign w:val="bottom"/>
            <w:vMerge w:val="restart"/>
          </w:tcPr>
          <w:p>
            <w:pPr>
              <w:ind w:left="5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24,818</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3"/>
            <w:vMerge w:val="restart"/>
          </w:tcPr>
          <w:p>
            <w:pPr>
              <w:jc w:val="right"/>
              <w:ind w:right="197"/>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(29,438 )</w:t>
            </w:r>
          </w:p>
        </w:tc>
        <w:tc>
          <w:tcPr>
            <w:tcW w:w="180" w:type="dxa"/>
            <w:vAlign w:val="bottom"/>
          </w:tcPr>
          <w:p>
            <w:pPr>
              <w:spacing w:after="0"/>
              <w:rPr>
                <w:sz w:val="10"/>
                <w:szCs w:val="10"/>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(4,618 )</w:t>
            </w:r>
          </w:p>
        </w:tc>
        <w:tc>
          <w:tcPr>
            <w:tcW w:w="0" w:type="dxa"/>
            <w:vAlign w:val="bottom"/>
          </w:tcPr>
          <w:p>
            <w:pPr>
              <w:spacing w:after="0"/>
              <w:rPr>
                <w:sz w:val="1"/>
                <w:szCs w:val="1"/>
                <w:color w:val="auto"/>
              </w:rPr>
            </w:pPr>
          </w:p>
        </w:tc>
      </w:tr>
      <w:tr>
        <w:trPr>
          <w:trHeight w:val="87"/>
        </w:trPr>
        <w:tc>
          <w:tcPr>
            <w:tcW w:w="232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5"/>
              </w:rPr>
              <w:t>Forfeited unvested incentive units</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(22,807 )</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ind w:left="58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80" w:type="dxa"/>
            <w:vAlign w:val="bottom"/>
            <w:gridSpan w:val="3"/>
            <w:shd w:val="clear" w:color="auto" w:fill="CFF0FC"/>
          </w:tcPr>
          <w:p>
            <w:pPr>
              <w:jc w:val="right"/>
              <w:ind w:right="197"/>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320" w:type="dxa"/>
            <w:vAlign w:val="bottom"/>
          </w:tcPr>
          <w:p>
            <w:pPr>
              <w:ind w:left="20"/>
              <w:spacing w:after="0"/>
              <w:rPr>
                <w:sz w:val="20"/>
                <w:szCs w:val="20"/>
                <w:color w:val="auto"/>
              </w:rPr>
            </w:pPr>
            <w:r>
              <w:rPr>
                <w:rFonts w:ascii="Arial" w:cs="Arial" w:eastAsia="Arial" w:hAnsi="Arial"/>
                <w:sz w:val="16"/>
                <w:szCs w:val="16"/>
                <w:color w:val="auto"/>
              </w:rPr>
              <w:t>Equity-based compensation</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60" w:type="dxa"/>
            <w:vAlign w:val="bottom"/>
          </w:tcPr>
          <w:p>
            <w:pPr>
              <w:ind w:left="5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5,852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3"/>
          </w:tcPr>
          <w:p>
            <w:pPr>
              <w:jc w:val="right"/>
              <w:ind w:right="197"/>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9,005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320" w:type="dxa"/>
            <w:vAlign w:val="bottom"/>
            <w:shd w:val="clear" w:color="auto" w:fill="CFF0FC"/>
          </w:tcPr>
          <w:p>
            <w:pPr>
              <w:ind w:left="20"/>
              <w:spacing w:after="0" w:line="166" w:lineRule="exact"/>
              <w:rPr>
                <w:sz w:val="20"/>
                <w:szCs w:val="20"/>
                <w:color w:val="auto"/>
              </w:rPr>
            </w:pPr>
            <w:r>
              <w:rPr>
                <w:rFonts w:ascii="Arial" w:cs="Arial" w:eastAsia="Arial" w:hAnsi="Arial"/>
                <w:sz w:val="16"/>
                <w:szCs w:val="16"/>
                <w:color w:val="auto"/>
              </w:rPr>
              <w:t>Distributions to noncontrolling</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ind w:left="58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FF0FC"/>
          </w:tcPr>
          <w:p>
            <w:pPr>
              <w:spacing w:after="0"/>
              <w:rPr>
                <w:sz w:val="14"/>
                <w:szCs w:val="14"/>
                <w:color w:val="auto"/>
              </w:rPr>
            </w:pPr>
          </w:p>
        </w:tc>
        <w:tc>
          <w:tcPr>
            <w:tcW w:w="140" w:type="dxa"/>
            <w:vAlign w:val="bottom"/>
            <w:vMerge w:val="restart"/>
            <w:shd w:val="clear" w:color="auto" w:fill="CFF0FC"/>
          </w:tcPr>
          <w:p>
            <w:pPr>
              <w:spacing w:after="0"/>
              <w:rPr>
                <w:sz w:val="14"/>
                <w:szCs w:val="14"/>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(5,029 )</w:t>
            </w:r>
          </w:p>
        </w:tc>
        <w:tc>
          <w:tcPr>
            <w:tcW w:w="180" w:type="dxa"/>
            <w:vAlign w:val="bottom"/>
            <w:shd w:val="clear" w:color="auto" w:fill="CFF0FC"/>
          </w:tcPr>
          <w:p>
            <w:pPr>
              <w:spacing w:after="0"/>
              <w:rPr>
                <w:sz w:val="14"/>
                <w:szCs w:val="14"/>
                <w:color w:val="auto"/>
              </w:rPr>
            </w:pPr>
          </w:p>
        </w:tc>
        <w:tc>
          <w:tcPr>
            <w:tcW w:w="8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(5,029 )</w:t>
            </w:r>
          </w:p>
        </w:tc>
        <w:tc>
          <w:tcPr>
            <w:tcW w:w="0" w:type="dxa"/>
            <w:vAlign w:val="bottom"/>
          </w:tcPr>
          <w:p>
            <w:pPr>
              <w:spacing w:after="0"/>
              <w:rPr>
                <w:sz w:val="1"/>
                <w:szCs w:val="1"/>
                <w:color w:val="auto"/>
              </w:rPr>
            </w:pPr>
          </w:p>
        </w:tc>
      </w:tr>
      <w:tr>
        <w:trPr>
          <w:trHeight w:val="185"/>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interests</w:t>
            </w:r>
          </w:p>
        </w:tc>
        <w:tc>
          <w:tcPr>
            <w:tcW w:w="1140" w:type="dxa"/>
            <w:vAlign w:val="bottom"/>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100,484,715</w:t>
            </w:r>
          </w:p>
        </w:tc>
        <w:tc>
          <w:tcPr>
            <w:tcW w:w="1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6"/>
                <w:szCs w:val="16"/>
                <w:color w:val="auto"/>
              </w:rPr>
              <w:t>54,745,38</w:t>
            </w:r>
          </w:p>
        </w:tc>
        <w:tc>
          <w:tcPr>
            <w:tcW w:w="1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ind w:left="580"/>
              <w:spacing w:after="0"/>
              <w:rPr>
                <w:sz w:val="20"/>
                <w:szCs w:val="20"/>
                <w:color w:val="auto"/>
              </w:rPr>
            </w:pPr>
            <w:r>
              <w:rPr>
                <w:rFonts w:ascii="Arial" w:cs="Arial" w:eastAsia="Arial" w:hAnsi="Arial"/>
                <w:sz w:val="16"/>
                <w:szCs w:val="16"/>
                <w:color w:val="auto"/>
                <w:w w:val="99"/>
              </w:rPr>
              <w:t>—</w:t>
            </w:r>
          </w:p>
        </w:tc>
        <w:tc>
          <w:tcPr>
            <w:tcW w:w="100" w:type="dxa"/>
            <w:vAlign w:val="bottom"/>
            <w:vMerge w:val="restart"/>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929,842</w:t>
            </w:r>
          </w:p>
        </w:tc>
        <w:tc>
          <w:tcPr>
            <w:tcW w:w="120" w:type="dxa"/>
            <w:vAlign w:val="bottom"/>
          </w:tcPr>
          <w:p>
            <w:pPr>
              <w:spacing w:after="0"/>
              <w:rPr>
                <w:sz w:val="13"/>
                <w:szCs w:val="13"/>
                <w:color w:val="auto"/>
              </w:rPr>
            </w:pPr>
          </w:p>
        </w:tc>
        <w:tc>
          <w:tcPr>
            <w:tcW w:w="160" w:type="dxa"/>
            <w:vAlign w:val="bottom"/>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gridSpan w:val="3"/>
            <w:vMerge w:val="restart"/>
          </w:tcPr>
          <w:p>
            <w:pPr>
              <w:jc w:val="right"/>
              <w:spacing w:after="0"/>
              <w:rPr>
                <w:sz w:val="20"/>
                <w:szCs w:val="20"/>
                <w:color w:val="auto"/>
              </w:rPr>
            </w:pPr>
            <w:r>
              <w:rPr>
                <w:rFonts w:ascii="Arial" w:cs="Arial" w:eastAsia="Arial" w:hAnsi="Arial"/>
                <w:sz w:val="16"/>
                <w:szCs w:val="16"/>
                <w:color w:val="auto"/>
              </w:rPr>
              <w:t>(31,451 ) $</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1,994</w:t>
            </w: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588,215</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w w:val="98"/>
              </w:rPr>
              <w:t>1,488,700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32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32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ind w:left="58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(2,689 )</w:t>
            </w: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(3,665 )</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(6,354 )</w:t>
            </w:r>
          </w:p>
        </w:tc>
        <w:tc>
          <w:tcPr>
            <w:tcW w:w="0" w:type="dxa"/>
            <w:vAlign w:val="bottom"/>
          </w:tcPr>
          <w:p>
            <w:pPr>
              <w:spacing w:after="0"/>
              <w:rPr>
                <w:sz w:val="1"/>
                <w:szCs w:val="1"/>
                <w:color w:val="auto"/>
              </w:rPr>
            </w:pPr>
          </w:p>
        </w:tc>
      </w:tr>
      <w:tr>
        <w:trPr>
          <w:trHeight w:val="203"/>
        </w:trPr>
        <w:tc>
          <w:tcPr>
            <w:tcW w:w="232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60" w:type="dxa"/>
            <w:vAlign w:val="bottom"/>
          </w:tcPr>
          <w:p>
            <w:pPr>
              <w:ind w:left="5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3"/>
          </w:tcPr>
          <w:p>
            <w:pPr>
              <w:jc w:val="right"/>
              <w:ind w:right="197"/>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934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Vested incentive units</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ind w:left="58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(5,728 )</w:t>
            </w:r>
          </w:p>
        </w:tc>
        <w:tc>
          <w:tcPr>
            <w:tcW w:w="160" w:type="dxa"/>
            <w:vAlign w:val="bottom"/>
            <w:shd w:val="clear" w:color="auto" w:fill="CFF0FC"/>
          </w:tcPr>
          <w:p>
            <w:pPr>
              <w:spacing w:after="0"/>
              <w:rPr>
                <w:sz w:val="17"/>
                <w:szCs w:val="17"/>
                <w:color w:val="auto"/>
              </w:rPr>
            </w:pPr>
          </w:p>
        </w:tc>
        <w:tc>
          <w:tcPr>
            <w:tcW w:w="880" w:type="dxa"/>
            <w:vAlign w:val="bottom"/>
            <w:gridSpan w:val="3"/>
            <w:shd w:val="clear" w:color="auto" w:fill="CFF0FC"/>
          </w:tcPr>
          <w:p>
            <w:pPr>
              <w:jc w:val="right"/>
              <w:ind w:right="197"/>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5,728</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2320" w:type="dxa"/>
            <w:vAlign w:val="bottom"/>
          </w:tcPr>
          <w:p>
            <w:pPr>
              <w:ind w:left="20"/>
              <w:spacing w:after="0" w:line="166" w:lineRule="exact"/>
              <w:rPr>
                <w:sz w:val="20"/>
                <w:szCs w:val="20"/>
                <w:color w:val="auto"/>
              </w:rPr>
            </w:pPr>
            <w:r>
              <w:rPr>
                <w:rFonts w:ascii="Arial" w:cs="Arial" w:eastAsia="Arial" w:hAnsi="Arial"/>
                <w:sz w:val="16"/>
                <w:szCs w:val="16"/>
                <w:color w:val="auto"/>
              </w:rPr>
              <w:t>Issuance of Class A Common</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440,317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60" w:type="dxa"/>
            <w:vAlign w:val="bottom"/>
            <w:vMerge w:val="restart"/>
          </w:tcPr>
          <w:p>
            <w:pPr>
              <w:ind w:left="5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1,079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vMerge w:val="restart"/>
          </w:tcPr>
          <w:p>
            <w:pPr>
              <w:jc w:val="right"/>
              <w:ind w:right="197"/>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(1,079 )</w:t>
            </w:r>
          </w:p>
        </w:tc>
        <w:tc>
          <w:tcPr>
            <w:tcW w:w="180" w:type="dxa"/>
            <w:vAlign w:val="bottom"/>
          </w:tcPr>
          <w:p>
            <w:pPr>
              <w:spacing w:after="0"/>
              <w:rPr>
                <w:sz w:val="14"/>
                <w:szCs w:val="14"/>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320" w:type="dxa"/>
            <w:vAlign w:val="bottom"/>
          </w:tcPr>
          <w:p>
            <w:pPr>
              <w:ind w:left="20"/>
              <w:spacing w:after="0"/>
              <w:rPr>
                <w:sz w:val="20"/>
                <w:szCs w:val="20"/>
                <w:color w:val="auto"/>
              </w:rPr>
            </w:pPr>
            <w:r>
              <w:rPr>
                <w:rFonts w:ascii="Arial" w:cs="Arial" w:eastAsia="Arial" w:hAnsi="Arial"/>
                <w:sz w:val="16"/>
                <w:szCs w:val="16"/>
                <w:color w:val="auto"/>
              </w:rPr>
              <w:t>Stock upon vesting of RSUs</w:t>
            </w: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320" w:type="dxa"/>
            <w:vAlign w:val="bottom"/>
            <w:shd w:val="clear" w:color="auto" w:fill="CFF0FC"/>
          </w:tcPr>
          <w:p>
            <w:pPr>
              <w:ind w:left="20"/>
              <w:spacing w:after="0" w:line="166" w:lineRule="exact"/>
              <w:rPr>
                <w:sz w:val="20"/>
                <w:szCs w:val="20"/>
                <w:color w:val="auto"/>
              </w:rPr>
            </w:pPr>
            <w:r>
              <w:rPr>
                <w:rFonts w:ascii="Arial" w:cs="Arial" w:eastAsia="Arial" w:hAnsi="Arial"/>
                <w:sz w:val="16"/>
                <w:szCs w:val="16"/>
                <w:color w:val="auto"/>
              </w:rPr>
              <w:t>Shares withheld related to net</w:t>
            </w:r>
          </w:p>
        </w:tc>
        <w:tc>
          <w:tcPr>
            <w:tcW w:w="12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(136,000 )</w:t>
            </w:r>
          </w:p>
        </w:tc>
        <w:tc>
          <w:tcPr>
            <w:tcW w:w="16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4"/>
                <w:szCs w:val="14"/>
                <w:color w:val="auto"/>
              </w:rPr>
            </w:pPr>
          </w:p>
        </w:tc>
        <w:tc>
          <w:tcPr>
            <w:tcW w:w="9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ind w:left="58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(2,745 )</w:t>
            </w:r>
          </w:p>
        </w:tc>
        <w:tc>
          <w:tcPr>
            <w:tcW w:w="160" w:type="dxa"/>
            <w:vAlign w:val="bottom"/>
            <w:shd w:val="clear" w:color="auto" w:fill="CFF0FC"/>
          </w:tcPr>
          <w:p>
            <w:pPr>
              <w:spacing w:after="0"/>
              <w:rPr>
                <w:sz w:val="14"/>
                <w:szCs w:val="14"/>
                <w:color w:val="auto"/>
              </w:rPr>
            </w:pPr>
          </w:p>
        </w:tc>
        <w:tc>
          <w:tcPr>
            <w:tcW w:w="880" w:type="dxa"/>
            <w:vAlign w:val="bottom"/>
            <w:gridSpan w:val="3"/>
            <w:vMerge w:val="restart"/>
            <w:shd w:val="clear" w:color="auto" w:fill="CFF0FC"/>
          </w:tcPr>
          <w:p>
            <w:pPr>
              <w:jc w:val="right"/>
              <w:ind w:right="197"/>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4"/>
                <w:szCs w:val="14"/>
                <w:color w:val="auto"/>
              </w:rPr>
            </w:pPr>
          </w:p>
        </w:tc>
        <w:tc>
          <w:tcPr>
            <w:tcW w:w="8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(2,745 )</w:t>
            </w:r>
          </w:p>
        </w:tc>
        <w:tc>
          <w:tcPr>
            <w:tcW w:w="0" w:type="dxa"/>
            <w:vAlign w:val="bottom"/>
          </w:tcPr>
          <w:p>
            <w:pPr>
              <w:spacing w:after="0"/>
              <w:rPr>
                <w:sz w:val="1"/>
                <w:szCs w:val="1"/>
                <w:color w:val="auto"/>
              </w:rPr>
            </w:pPr>
          </w:p>
        </w:tc>
      </w:tr>
      <w:tr>
        <w:trPr>
          <w:trHeight w:val="199"/>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 settlement</w:t>
            </w:r>
          </w:p>
        </w:tc>
        <w:tc>
          <w:tcPr>
            <w:tcW w:w="126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gridSpan w:val="3"/>
            <w:vMerge w:val="continue"/>
            <w:shd w:val="clear" w:color="auto" w:fill="CFF0FC"/>
          </w:tcPr>
          <w:p>
            <w:pPr>
              <w:spacing w:after="0"/>
              <w:rPr>
                <w:sz w:val="17"/>
                <w:szCs w:val="17"/>
                <w:color w:val="auto"/>
              </w:rPr>
            </w:pPr>
          </w:p>
        </w:tc>
        <w:tc>
          <w:tcPr>
            <w:tcW w:w="66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320" w:type="dxa"/>
            <w:vAlign w:val="bottom"/>
            <w:vMerge w:val="restart"/>
          </w:tcPr>
          <w:p>
            <w:pPr>
              <w:ind w:left="20"/>
              <w:spacing w:after="0"/>
              <w:rPr>
                <w:sz w:val="20"/>
                <w:szCs w:val="20"/>
                <w:color w:val="auto"/>
              </w:rPr>
            </w:pPr>
            <w:r>
              <w:rPr>
                <w:rFonts w:ascii="Arial" w:cs="Arial" w:eastAsia="Arial" w:hAnsi="Arial"/>
                <w:sz w:val="16"/>
                <w:szCs w:val="16"/>
                <w:color w:val="auto"/>
              </w:rPr>
              <w:t>Effect of LLC unit exchanges</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gridSpan w:val="2"/>
          </w:tcPr>
          <w:p>
            <w:pPr>
              <w:jc w:val="right"/>
              <w:spacing w:after="0" w:line="152" w:lineRule="exact"/>
              <w:rPr>
                <w:sz w:val="20"/>
                <w:szCs w:val="20"/>
                <w:color w:val="auto"/>
              </w:rPr>
            </w:pPr>
            <w:r>
              <w:rPr>
                <w:rFonts w:ascii="Arial" w:cs="Arial" w:eastAsia="Arial" w:hAnsi="Arial"/>
                <w:sz w:val="16"/>
                <w:szCs w:val="16"/>
                <w:color w:val="auto"/>
              </w:rPr>
              <w:t>(4,172,93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320" w:type="dxa"/>
            <w:vAlign w:val="bottom"/>
            <w:vMerge w:val="continue"/>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4,172,933</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08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3 )</w:t>
            </w:r>
          </w:p>
        </w:tc>
        <w:tc>
          <w:tcPr>
            <w:tcW w:w="180" w:type="dxa"/>
            <w:vAlign w:val="bottom"/>
          </w:tcPr>
          <w:p>
            <w:pPr>
              <w:spacing w:after="0"/>
              <w:rPr>
                <w:sz w:val="10"/>
                <w:szCs w:val="10"/>
                <w:color w:val="auto"/>
              </w:rPr>
            </w:pPr>
          </w:p>
        </w:tc>
        <w:tc>
          <w:tcPr>
            <w:tcW w:w="760" w:type="dxa"/>
            <w:vAlign w:val="bottom"/>
            <w:vMerge w:val="restart"/>
          </w:tcPr>
          <w:p>
            <w:pPr>
              <w:ind w:left="5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34,285</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3"/>
            <w:vMerge w:val="restart"/>
          </w:tcPr>
          <w:p>
            <w:pPr>
              <w:jc w:val="right"/>
              <w:ind w:right="197"/>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(46,701 )</w:t>
            </w:r>
          </w:p>
        </w:tc>
        <w:tc>
          <w:tcPr>
            <w:tcW w:w="180" w:type="dxa"/>
            <w:vAlign w:val="bottom"/>
          </w:tcPr>
          <w:p>
            <w:pPr>
              <w:spacing w:after="0"/>
              <w:rPr>
                <w:sz w:val="10"/>
                <w:szCs w:val="10"/>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(12,411 )</w:t>
            </w:r>
          </w:p>
        </w:tc>
        <w:tc>
          <w:tcPr>
            <w:tcW w:w="0" w:type="dxa"/>
            <w:vAlign w:val="bottom"/>
          </w:tcPr>
          <w:p>
            <w:pPr>
              <w:spacing w:after="0"/>
              <w:rPr>
                <w:sz w:val="1"/>
                <w:szCs w:val="1"/>
                <w:color w:val="auto"/>
              </w:rPr>
            </w:pPr>
          </w:p>
        </w:tc>
      </w:tr>
      <w:tr>
        <w:trPr>
          <w:trHeight w:val="87"/>
        </w:trPr>
        <w:tc>
          <w:tcPr>
            <w:tcW w:w="232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5"/>
              </w:rPr>
              <w:t>Forfeited unvested incentive units</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(5,549 )</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ind w:left="58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80" w:type="dxa"/>
            <w:vAlign w:val="bottom"/>
            <w:gridSpan w:val="3"/>
            <w:shd w:val="clear" w:color="auto" w:fill="CFF0FC"/>
          </w:tcPr>
          <w:p>
            <w:pPr>
              <w:jc w:val="right"/>
              <w:ind w:right="197"/>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320" w:type="dxa"/>
            <w:vAlign w:val="bottom"/>
          </w:tcPr>
          <w:p>
            <w:pPr>
              <w:ind w:left="20"/>
              <w:spacing w:after="0"/>
              <w:rPr>
                <w:sz w:val="20"/>
                <w:szCs w:val="20"/>
                <w:color w:val="auto"/>
              </w:rPr>
            </w:pPr>
            <w:r>
              <w:rPr>
                <w:rFonts w:ascii="Arial" w:cs="Arial" w:eastAsia="Arial" w:hAnsi="Arial"/>
                <w:sz w:val="16"/>
                <w:szCs w:val="16"/>
                <w:color w:val="auto"/>
              </w:rPr>
              <w:t>Equity-based compensation</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60" w:type="dxa"/>
            <w:vAlign w:val="bottom"/>
          </w:tcPr>
          <w:p>
            <w:pPr>
              <w:ind w:left="5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6,141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3"/>
          </w:tcPr>
          <w:p>
            <w:pPr>
              <w:jc w:val="right"/>
              <w:ind w:right="197"/>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9,133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320" w:type="dxa"/>
            <w:vAlign w:val="bottom"/>
            <w:shd w:val="clear" w:color="auto" w:fill="CFF0FC"/>
          </w:tcPr>
          <w:p>
            <w:pPr>
              <w:ind w:left="20"/>
              <w:spacing w:after="0" w:line="166" w:lineRule="exact"/>
              <w:rPr>
                <w:sz w:val="20"/>
                <w:szCs w:val="20"/>
                <w:color w:val="auto"/>
              </w:rPr>
            </w:pPr>
            <w:r>
              <w:rPr>
                <w:rFonts w:ascii="Arial" w:cs="Arial" w:eastAsia="Arial" w:hAnsi="Arial"/>
                <w:sz w:val="16"/>
                <w:szCs w:val="16"/>
                <w:color w:val="auto"/>
              </w:rPr>
              <w:t>Distributions to noncontrolling</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ind w:left="58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FF0FC"/>
          </w:tcPr>
          <w:p>
            <w:pPr>
              <w:spacing w:after="0"/>
              <w:rPr>
                <w:sz w:val="14"/>
                <w:szCs w:val="14"/>
                <w:color w:val="auto"/>
              </w:rPr>
            </w:pPr>
          </w:p>
        </w:tc>
        <w:tc>
          <w:tcPr>
            <w:tcW w:w="140" w:type="dxa"/>
            <w:vAlign w:val="bottom"/>
            <w:vMerge w:val="restart"/>
            <w:shd w:val="clear" w:color="auto" w:fill="CFF0FC"/>
          </w:tcPr>
          <w:p>
            <w:pPr>
              <w:spacing w:after="0"/>
              <w:rPr>
                <w:sz w:val="14"/>
                <w:szCs w:val="14"/>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(1,652 )</w:t>
            </w:r>
          </w:p>
        </w:tc>
        <w:tc>
          <w:tcPr>
            <w:tcW w:w="180" w:type="dxa"/>
            <w:vAlign w:val="bottom"/>
            <w:shd w:val="clear" w:color="auto" w:fill="CFF0FC"/>
          </w:tcPr>
          <w:p>
            <w:pPr>
              <w:spacing w:after="0"/>
              <w:rPr>
                <w:sz w:val="14"/>
                <w:szCs w:val="14"/>
                <w:color w:val="auto"/>
              </w:rPr>
            </w:pPr>
          </w:p>
        </w:tc>
        <w:tc>
          <w:tcPr>
            <w:tcW w:w="8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(1,652 )</w:t>
            </w:r>
          </w:p>
        </w:tc>
        <w:tc>
          <w:tcPr>
            <w:tcW w:w="0" w:type="dxa"/>
            <w:vAlign w:val="bottom"/>
          </w:tcPr>
          <w:p>
            <w:pPr>
              <w:spacing w:after="0"/>
              <w:rPr>
                <w:sz w:val="1"/>
                <w:szCs w:val="1"/>
                <w:color w:val="auto"/>
              </w:rPr>
            </w:pPr>
          </w:p>
        </w:tc>
      </w:tr>
      <w:tr>
        <w:trPr>
          <w:trHeight w:val="185"/>
        </w:trPr>
        <w:tc>
          <w:tcPr>
            <w:tcW w:w="2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interests</w:t>
            </w:r>
          </w:p>
        </w:tc>
        <w:tc>
          <w:tcPr>
            <w:tcW w:w="1140" w:type="dxa"/>
            <w:vAlign w:val="bottom"/>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32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7"/>
              </w:rPr>
              <w:t>Balance at September 30, 2022</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104,961,965</w:t>
            </w:r>
          </w:p>
        </w:tc>
        <w:tc>
          <w:tcPr>
            <w:tcW w:w="1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105</w:t>
            </w:r>
          </w:p>
        </w:tc>
        <w:tc>
          <w:tcPr>
            <w:tcW w:w="14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6"/>
                <w:szCs w:val="16"/>
                <w:color w:val="auto"/>
              </w:rPr>
              <w:t>50,566,89</w:t>
            </w:r>
          </w:p>
        </w:tc>
        <w:tc>
          <w:tcPr>
            <w:tcW w:w="1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ind w:left="580"/>
              <w:spacing w:after="0"/>
              <w:rPr>
                <w:sz w:val="20"/>
                <w:szCs w:val="20"/>
                <w:color w:val="auto"/>
              </w:rPr>
            </w:pPr>
            <w:r>
              <w:rPr>
                <w:rFonts w:ascii="Arial" w:cs="Arial" w:eastAsia="Arial" w:hAnsi="Arial"/>
                <w:sz w:val="16"/>
                <w:szCs w:val="16"/>
                <w:color w:val="auto"/>
                <w:w w:val="99"/>
              </w:rPr>
              <w:t>—</w:t>
            </w:r>
          </w:p>
        </w:tc>
        <w:tc>
          <w:tcPr>
            <w:tcW w:w="100" w:type="dxa"/>
            <w:vAlign w:val="bottom"/>
            <w:vMerge w:val="restart"/>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962,874</w:t>
            </w:r>
          </w:p>
        </w:tc>
        <w:tc>
          <w:tcPr>
            <w:tcW w:w="120" w:type="dxa"/>
            <w:vAlign w:val="bottom"/>
          </w:tcPr>
          <w:p>
            <w:pPr>
              <w:spacing w:after="0"/>
              <w:rPr>
                <w:sz w:val="13"/>
                <w:szCs w:val="13"/>
                <w:color w:val="auto"/>
              </w:rPr>
            </w:pPr>
          </w:p>
        </w:tc>
        <w:tc>
          <w:tcPr>
            <w:tcW w:w="160" w:type="dxa"/>
            <w:vAlign w:val="bottom"/>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gridSpan w:val="3"/>
            <w:vMerge w:val="restart"/>
          </w:tcPr>
          <w:p>
            <w:pPr>
              <w:jc w:val="right"/>
              <w:spacing w:after="0"/>
              <w:rPr>
                <w:sz w:val="20"/>
                <w:szCs w:val="20"/>
                <w:color w:val="auto"/>
              </w:rPr>
            </w:pPr>
            <w:r>
              <w:rPr>
                <w:rFonts w:ascii="Arial" w:cs="Arial" w:eastAsia="Arial" w:hAnsi="Arial"/>
                <w:sz w:val="16"/>
                <w:szCs w:val="16"/>
                <w:color w:val="auto"/>
              </w:rPr>
              <w:t>(34,140 ) $</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3,911</w:t>
            </w: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544,772</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w w:val="98"/>
              </w:rPr>
              <w:t>1,477,522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3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3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-2065020</wp:posOffset>
            </wp:positionV>
            <wp:extent cx="76835" cy="2400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-2065020</wp:posOffset>
            </wp:positionV>
            <wp:extent cx="76835" cy="240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-2065020</wp:posOffset>
            </wp:positionV>
            <wp:extent cx="77470" cy="2400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-2065020</wp:posOffset>
            </wp:positionV>
            <wp:extent cx="68580" cy="2400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-2065020</wp:posOffset>
            </wp:positionV>
            <wp:extent cx="68580" cy="2400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-2065020</wp:posOffset>
            </wp:positionV>
            <wp:extent cx="68580" cy="2400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-2065020</wp:posOffset>
            </wp:positionV>
            <wp:extent cx="68580" cy="2400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-2065020</wp:posOffset>
            </wp:positionV>
            <wp:extent cx="68580" cy="2400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2400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-264795</wp:posOffset>
            </wp:positionV>
            <wp:extent cx="76835" cy="265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-264795</wp:posOffset>
            </wp:positionV>
            <wp:extent cx="76835" cy="265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-264795</wp:posOffset>
            </wp:positionV>
            <wp:extent cx="77470" cy="265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26543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-264795</wp:posOffset>
            </wp:positionV>
            <wp:extent cx="68580" cy="265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-264795</wp:posOffset>
            </wp:positionV>
            <wp:extent cx="68580" cy="265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-264795</wp:posOffset>
            </wp:positionV>
            <wp:extent cx="68580" cy="265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-264795</wp:posOffset>
            </wp:positionV>
            <wp:extent cx="68580" cy="265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-264795</wp:posOffset>
            </wp:positionV>
            <wp:extent cx="68580" cy="265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265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DEFINITIVE HEALTHCARE CORP.</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MEMBERS’ EQUITY AND TOTAL EQUITY (CONTINUED)</w:t>
      </w:r>
    </w:p>
    <w:p>
      <w:pPr>
        <w:jc w:val="center"/>
        <w:ind w:right="40"/>
        <w:spacing w:after="0"/>
        <w:rPr>
          <w:sz w:val="20"/>
          <w:szCs w:val="20"/>
          <w:color w:val="auto"/>
        </w:rPr>
      </w:pPr>
      <w:r>
        <w:rPr>
          <w:rFonts w:ascii="Arial" w:cs="Arial" w:eastAsia="Arial" w:hAnsi="Arial"/>
          <w:sz w:val="18"/>
          <w:szCs w:val="18"/>
          <w:i w:val="1"/>
          <w:iCs w:val="1"/>
          <w:color w:val="auto"/>
        </w:rPr>
        <w:t>(amounts in thousands, except share and unit amounts)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right w:val="single" w:sz="8" w:color="auto"/>
            </w:tcBorders>
          </w:tcPr>
          <w:p>
            <w:pPr>
              <w:jc w:val="center"/>
              <w:ind w:right="164"/>
              <w:spacing w:after="0"/>
              <w:rPr>
                <w:sz w:val="20"/>
                <w:szCs w:val="20"/>
                <w:color w:val="auto"/>
              </w:rPr>
            </w:pPr>
            <w:r>
              <w:rPr>
                <w:rFonts w:ascii="Arial" w:cs="Arial" w:eastAsia="Arial" w:hAnsi="Arial"/>
                <w:sz w:val="13"/>
                <w:szCs w:val="13"/>
                <w:b w:val="1"/>
                <w:bCs w:val="1"/>
                <w:color w:val="auto"/>
                <w:w w:val="94"/>
              </w:rPr>
              <w:t>AIDH TopCo,</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tcPr>
          <w:p>
            <w:pPr>
              <w:jc w:val="center"/>
              <w:ind w:right="164"/>
              <w:spacing w:after="0" w:line="126" w:lineRule="exact"/>
              <w:rPr>
                <w:sz w:val="20"/>
                <w:szCs w:val="20"/>
                <w:color w:val="auto"/>
              </w:rPr>
            </w:pPr>
            <w:r>
              <w:rPr>
                <w:rFonts w:ascii="Arial" w:cs="Arial" w:eastAsia="Arial" w:hAnsi="Arial"/>
                <w:sz w:val="13"/>
                <w:szCs w:val="13"/>
                <w:b w:val="1"/>
                <w:bCs w:val="1"/>
                <w:color w:val="auto"/>
                <w:w w:val="95"/>
              </w:rPr>
              <w:t>LLC (Prior to</w:t>
            </w: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Borders>
              <w:right w:val="single" w:sz="8" w:color="auto"/>
            </w:tcBorders>
          </w:tcPr>
          <w:p>
            <w:pPr>
              <w:jc w:val="center"/>
              <w:ind w:right="164"/>
              <w:spacing w:after="0" w:line="131" w:lineRule="exact"/>
              <w:rPr>
                <w:sz w:val="20"/>
                <w:szCs w:val="20"/>
                <w:color w:val="auto"/>
              </w:rPr>
            </w:pPr>
            <w:r>
              <w:rPr>
                <w:rFonts w:ascii="Arial" w:cs="Arial" w:eastAsia="Arial" w:hAnsi="Arial"/>
                <w:sz w:val="13"/>
                <w:szCs w:val="13"/>
                <w:b w:val="1"/>
                <w:bCs w:val="1"/>
                <w:color w:val="auto"/>
                <w:w w:val="89"/>
              </w:rPr>
              <w:t>Reorganization</w:t>
            </w: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jc w:val="center"/>
              <w:ind w:right="144"/>
              <w:spacing w:after="0"/>
              <w:rPr>
                <w:sz w:val="20"/>
                <w:szCs w:val="20"/>
                <w:color w:val="auto"/>
              </w:rPr>
            </w:pPr>
            <w:r>
              <w:rPr>
                <w:rFonts w:ascii="Arial" w:cs="Arial" w:eastAsia="Arial" w:hAnsi="Arial"/>
                <w:sz w:val="13"/>
                <w:szCs w:val="13"/>
                <w:b w:val="1"/>
                <w:bCs w:val="1"/>
                <w:color w:val="auto"/>
                <w:w w:val="86"/>
              </w:rPr>
              <w:t>Transactions)</w:t>
            </w: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5"/>
          </w:tcPr>
          <w:p>
            <w:pPr>
              <w:jc w:val="center"/>
              <w:ind w:right="41"/>
              <w:spacing w:after="0"/>
              <w:rPr>
                <w:sz w:val="20"/>
                <w:szCs w:val="20"/>
                <w:color w:val="auto"/>
              </w:rPr>
            </w:pPr>
            <w:r>
              <w:rPr>
                <w:rFonts w:ascii="Arial" w:cs="Arial" w:eastAsia="Arial" w:hAnsi="Arial"/>
                <w:sz w:val="13"/>
                <w:szCs w:val="13"/>
                <w:b w:val="1"/>
                <w:bCs w:val="1"/>
                <w:color w:val="auto"/>
                <w:w w:val="90"/>
              </w:rPr>
              <w:t>Definitive Healthcare Corp.</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5"/>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Additional</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center"/>
              <w:ind w:right="161"/>
              <w:spacing w:after="0"/>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94"/>
              </w:rPr>
              <w:t>Accumulate</w:t>
            </w:r>
          </w:p>
        </w:tc>
        <w:tc>
          <w:tcPr>
            <w:tcW w:w="9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Comprehensi</w:t>
            </w: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Noncontrollin</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right w:val="single" w:sz="8" w:color="auto"/>
            </w:tcBorders>
          </w:tcPr>
          <w:p>
            <w:pPr>
              <w:jc w:val="center"/>
              <w:ind w:right="144"/>
              <w:spacing w:after="0"/>
              <w:rPr>
                <w:sz w:val="20"/>
                <w:szCs w:val="20"/>
                <w:color w:val="auto"/>
              </w:rPr>
            </w:pPr>
            <w:r>
              <w:rPr>
                <w:rFonts w:ascii="Arial" w:cs="Arial" w:eastAsia="Arial" w:hAnsi="Arial"/>
                <w:sz w:val="13"/>
                <w:szCs w:val="13"/>
                <w:b w:val="1"/>
                <w:bCs w:val="1"/>
                <w:color w:val="auto"/>
                <w:w w:val="89"/>
              </w:rPr>
              <w:t>Members'</w:t>
            </w:r>
          </w:p>
        </w:tc>
        <w:tc>
          <w:tcPr>
            <w:tcW w:w="860" w:type="dxa"/>
            <w:vAlign w:val="bottom"/>
          </w:tcPr>
          <w:p>
            <w:pPr>
              <w:jc w:val="right"/>
              <w:ind w:right="161"/>
              <w:spacing w:after="0"/>
              <w:rPr>
                <w:sz w:val="20"/>
                <w:szCs w:val="20"/>
                <w:color w:val="auto"/>
              </w:rPr>
            </w:pPr>
            <w:r>
              <w:rPr>
                <w:rFonts w:ascii="Arial" w:cs="Arial" w:eastAsia="Arial" w:hAnsi="Arial"/>
                <w:sz w:val="13"/>
                <w:szCs w:val="13"/>
                <w:b w:val="1"/>
                <w:bCs w:val="1"/>
                <w:color w:val="auto"/>
              </w:rPr>
              <w:t>Class A</w:t>
            </w:r>
          </w:p>
        </w:tc>
        <w:tc>
          <w:tcPr>
            <w:tcW w:w="18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3"/>
                <w:szCs w:val="13"/>
                <w:b w:val="1"/>
                <w:bCs w:val="1"/>
                <w:color w:val="auto"/>
              </w:rPr>
              <w:t>Class A</w:t>
            </w:r>
          </w:p>
        </w:tc>
        <w:tc>
          <w:tcPr>
            <w:tcW w:w="860" w:type="dxa"/>
            <w:vAlign w:val="bottom"/>
          </w:tcPr>
          <w:p>
            <w:pPr>
              <w:jc w:val="right"/>
              <w:ind w:right="181"/>
              <w:spacing w:after="0"/>
              <w:rPr>
                <w:sz w:val="20"/>
                <w:szCs w:val="20"/>
                <w:color w:val="auto"/>
              </w:rPr>
            </w:pPr>
            <w:r>
              <w:rPr>
                <w:rFonts w:ascii="Arial" w:cs="Arial" w:eastAsia="Arial" w:hAnsi="Arial"/>
                <w:sz w:val="13"/>
                <w:szCs w:val="13"/>
                <w:b w:val="1"/>
                <w:bCs w:val="1"/>
                <w:color w:val="auto"/>
              </w:rPr>
              <w:t>Class B</w:t>
            </w:r>
          </w:p>
        </w:tc>
        <w:tc>
          <w:tcPr>
            <w:tcW w:w="16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3"/>
                <w:szCs w:val="13"/>
                <w:b w:val="1"/>
                <w:bCs w:val="1"/>
                <w:color w:val="auto"/>
              </w:rPr>
              <w:t>Class B</w:t>
            </w:r>
          </w:p>
        </w:tc>
        <w:tc>
          <w:tcPr>
            <w:tcW w:w="180" w:type="dxa"/>
            <w:vAlign w:val="bottom"/>
          </w:tcPr>
          <w:p>
            <w:pPr>
              <w:spacing w:after="0"/>
              <w:rPr>
                <w:sz w:val="14"/>
                <w:szCs w:val="14"/>
                <w:color w:val="auto"/>
              </w:rPr>
            </w:pPr>
          </w:p>
        </w:tc>
        <w:tc>
          <w:tcPr>
            <w:tcW w:w="660" w:type="dxa"/>
            <w:vAlign w:val="bottom"/>
          </w:tcPr>
          <w:p>
            <w:pPr>
              <w:jc w:val="center"/>
              <w:ind w:right="101"/>
              <w:spacing w:after="0"/>
              <w:rPr>
                <w:sz w:val="20"/>
                <w:szCs w:val="20"/>
                <w:color w:val="auto"/>
              </w:rPr>
            </w:pPr>
            <w:r>
              <w:rPr>
                <w:rFonts w:ascii="Arial" w:cs="Arial" w:eastAsia="Arial" w:hAnsi="Arial"/>
                <w:sz w:val="13"/>
                <w:szCs w:val="13"/>
                <w:b w:val="1"/>
                <w:bCs w:val="1"/>
                <w:color w:val="auto"/>
                <w:w w:val="92"/>
              </w:rPr>
              <w:t>Paid-In</w:t>
            </w:r>
          </w:p>
        </w:tc>
        <w:tc>
          <w:tcPr>
            <w:tcW w:w="18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Arial" w:cs="Arial" w:eastAsia="Arial" w:hAnsi="Arial"/>
                <w:sz w:val="13"/>
                <w:szCs w:val="13"/>
                <w:b w:val="1"/>
                <w:bCs w:val="1"/>
                <w:color w:val="auto"/>
              </w:rPr>
              <w:t>d</w:t>
            </w:r>
          </w:p>
        </w:tc>
        <w:tc>
          <w:tcPr>
            <w:tcW w:w="220" w:type="dxa"/>
            <w:vAlign w:val="bottom"/>
          </w:tcPr>
          <w:p>
            <w:pPr>
              <w:spacing w:after="0"/>
              <w:rPr>
                <w:sz w:val="14"/>
                <w:szCs w:val="14"/>
                <w:color w:val="auto"/>
              </w:rPr>
            </w:pPr>
          </w:p>
        </w:tc>
        <w:tc>
          <w:tcPr>
            <w:tcW w:w="720" w:type="dxa"/>
            <w:vAlign w:val="bottom"/>
          </w:tcPr>
          <w:p>
            <w:pPr>
              <w:jc w:val="center"/>
              <w:ind w:right="161"/>
              <w:spacing w:after="0"/>
              <w:rPr>
                <w:sz w:val="20"/>
                <w:szCs w:val="20"/>
                <w:color w:val="auto"/>
              </w:rPr>
            </w:pPr>
            <w:r>
              <w:rPr>
                <w:rFonts w:ascii="Arial" w:cs="Arial" w:eastAsia="Arial" w:hAnsi="Arial"/>
                <w:sz w:val="13"/>
                <w:szCs w:val="13"/>
                <w:b w:val="1"/>
                <w:bCs w:val="1"/>
                <w:color w:val="auto"/>
                <w:w w:val="82"/>
              </w:rPr>
              <w:t>ve</w:t>
            </w:r>
          </w:p>
        </w:tc>
        <w:tc>
          <w:tcPr>
            <w:tcW w:w="160" w:type="dxa"/>
            <w:vAlign w:val="bottom"/>
          </w:tcPr>
          <w:p>
            <w:pPr>
              <w:spacing w:after="0"/>
              <w:rPr>
                <w:sz w:val="14"/>
                <w:szCs w:val="14"/>
                <w:color w:val="auto"/>
              </w:rPr>
            </w:pPr>
          </w:p>
        </w:tc>
        <w:tc>
          <w:tcPr>
            <w:tcW w:w="720" w:type="dxa"/>
            <w:vAlign w:val="bottom"/>
          </w:tcPr>
          <w:p>
            <w:pPr>
              <w:jc w:val="center"/>
              <w:ind w:right="101"/>
              <w:spacing w:after="0"/>
              <w:rPr>
                <w:sz w:val="20"/>
                <w:szCs w:val="20"/>
                <w:color w:val="auto"/>
              </w:rPr>
            </w:pPr>
            <w:r>
              <w:rPr>
                <w:rFonts w:ascii="Arial" w:cs="Arial" w:eastAsia="Arial" w:hAnsi="Arial"/>
                <w:sz w:val="13"/>
                <w:szCs w:val="13"/>
                <w:b w:val="1"/>
                <w:bCs w:val="1"/>
                <w:color w:val="auto"/>
                <w:w w:val="74"/>
              </w:rPr>
              <w:t>g</w:t>
            </w:r>
          </w:p>
        </w:tc>
        <w:tc>
          <w:tcPr>
            <w:tcW w:w="960" w:type="dxa"/>
            <w:vAlign w:val="bottom"/>
          </w:tcPr>
          <w:p>
            <w:pPr>
              <w:jc w:val="right"/>
              <w:ind w:right="28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2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jc w:val="center"/>
              <w:ind w:right="124"/>
              <w:spacing w:after="0"/>
              <w:rPr>
                <w:sz w:val="20"/>
                <w:szCs w:val="20"/>
                <w:color w:val="auto"/>
              </w:rPr>
            </w:pPr>
            <w:r>
              <w:rPr>
                <w:rFonts w:ascii="Arial" w:cs="Arial" w:eastAsia="Arial" w:hAnsi="Arial"/>
                <w:sz w:val="13"/>
                <w:szCs w:val="13"/>
                <w:b w:val="1"/>
                <w:bCs w:val="1"/>
                <w:color w:val="auto"/>
                <w:w w:val="90"/>
              </w:rPr>
              <w:t>Equity</w:t>
            </w:r>
          </w:p>
        </w:tc>
        <w:tc>
          <w:tcPr>
            <w:tcW w:w="86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Stock</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Amount</w:t>
            </w:r>
          </w:p>
        </w:tc>
        <w:tc>
          <w:tcPr>
            <w:tcW w:w="86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Stock</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Amount</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01"/>
              <w:spacing w:after="0"/>
              <w:rPr>
                <w:sz w:val="20"/>
                <w:szCs w:val="20"/>
                <w:color w:val="auto"/>
              </w:rPr>
            </w:pPr>
            <w:r>
              <w:rPr>
                <w:rFonts w:ascii="Arial" w:cs="Arial" w:eastAsia="Arial" w:hAnsi="Arial"/>
                <w:sz w:val="13"/>
                <w:szCs w:val="13"/>
                <w:b w:val="1"/>
                <w:bCs w:val="1"/>
                <w:color w:val="auto"/>
                <w:w w:val="92"/>
              </w:rPr>
              <w:t>Capital</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Deficit</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(Loss) Income</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21"/>
              <w:spacing w:after="0"/>
              <w:rPr>
                <w:sz w:val="20"/>
                <w:szCs w:val="20"/>
                <w:color w:val="auto"/>
              </w:rPr>
            </w:pPr>
            <w:r>
              <w:rPr>
                <w:rFonts w:ascii="Arial" w:cs="Arial" w:eastAsia="Arial" w:hAnsi="Arial"/>
                <w:sz w:val="13"/>
                <w:szCs w:val="13"/>
                <w:b w:val="1"/>
                <w:bCs w:val="1"/>
                <w:color w:val="auto"/>
                <w:w w:val="88"/>
              </w:rPr>
              <w:t>Interests</w:t>
            </w:r>
          </w:p>
        </w:tc>
        <w:tc>
          <w:tcPr>
            <w:tcW w:w="96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03"/>
        </w:trPr>
        <w:tc>
          <w:tcPr>
            <w:tcW w:w="2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January 1, 2021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1,195,694</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ind w:left="4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ind w:lef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ind w:lef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ind w:right="8"/>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(131 ) $</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96"/>
              </w:rPr>
              <w:t>$ 1,195,563</w:t>
            </w:r>
          </w:p>
        </w:tc>
        <w:tc>
          <w:tcPr>
            <w:tcW w:w="0" w:type="dxa"/>
            <w:vAlign w:val="bottom"/>
          </w:tcPr>
          <w:p>
            <w:pPr>
              <w:spacing w:after="0"/>
              <w:rPr>
                <w:sz w:val="1"/>
                <w:szCs w:val="1"/>
                <w:color w:val="auto"/>
              </w:rPr>
            </w:pPr>
          </w:p>
        </w:tc>
      </w:tr>
      <w:tr>
        <w:trPr>
          <w:trHeight w:val="152"/>
        </w:trPr>
        <w:tc>
          <w:tcPr>
            <w:tcW w:w="2220" w:type="dxa"/>
            <w:vAlign w:val="bottom"/>
          </w:tcPr>
          <w:p>
            <w:pPr>
              <w:ind w:left="20"/>
              <w:spacing w:after="0" w:line="152" w:lineRule="exact"/>
              <w:rPr>
                <w:sz w:val="20"/>
                <w:szCs w:val="20"/>
                <w:color w:val="auto"/>
              </w:rPr>
            </w:pPr>
            <w:r>
              <w:rPr>
                <w:rFonts w:ascii="Arial" w:cs="Arial" w:eastAsia="Arial" w:hAnsi="Arial"/>
                <w:sz w:val="16"/>
                <w:szCs w:val="16"/>
                <w:color w:val="auto"/>
                <w:w w:val="97"/>
              </w:rPr>
              <w:t>Net loss prior to Reorganization</w:t>
            </w:r>
          </w:p>
        </w:tc>
        <w:tc>
          <w:tcPr>
            <w:tcW w:w="100" w:type="dxa"/>
            <w:vAlign w:val="bottom"/>
          </w:tcPr>
          <w:p>
            <w:pPr>
              <w:spacing w:after="0"/>
              <w:rPr>
                <w:sz w:val="13"/>
                <w:szCs w:val="13"/>
                <w:color w:val="auto"/>
              </w:rPr>
            </w:pPr>
          </w:p>
        </w:tc>
        <w:tc>
          <w:tcPr>
            <w:tcW w:w="10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(10,487 )</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74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40" w:type="dxa"/>
            <w:vAlign w:val="bottom"/>
            <w:vMerge w:val="restart"/>
          </w:tcPr>
          <w:p>
            <w:pPr>
              <w:ind w:left="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66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600" w:type="dxa"/>
            <w:vAlign w:val="bottom"/>
            <w:vMerge w:val="restart"/>
          </w:tcPr>
          <w:p>
            <w:pPr>
              <w:ind w:lef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72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(10,487 )</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Transactions</w:t>
            </w:r>
          </w:p>
        </w:tc>
        <w:tc>
          <w:tcPr>
            <w:tcW w:w="100" w:type="dxa"/>
            <w:vAlign w:val="bottom"/>
          </w:tcPr>
          <w:p>
            <w:pPr>
              <w:spacing w:after="0"/>
              <w:rPr>
                <w:sz w:val="18"/>
                <w:szCs w:val="18"/>
                <w:color w:val="auto"/>
              </w:rPr>
            </w:pPr>
          </w:p>
        </w:tc>
        <w:tc>
          <w:tcPr>
            <w:tcW w:w="1080" w:type="dxa"/>
            <w:vAlign w:val="bottom"/>
            <w:tcBorders>
              <w:right w:val="single" w:sz="8" w:color="auto"/>
            </w:tcBorders>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220" w:type="dxa"/>
            <w:vAlign w:val="bottom"/>
            <w:shd w:val="clear" w:color="auto" w:fill="CFF0FC"/>
          </w:tcPr>
          <w:p>
            <w:pPr>
              <w:ind w:left="20"/>
              <w:spacing w:after="0" w:line="155" w:lineRule="exact"/>
              <w:rPr>
                <w:sz w:val="20"/>
                <w:szCs w:val="20"/>
                <w:color w:val="auto"/>
              </w:rPr>
            </w:pPr>
            <w:r>
              <w:rPr>
                <w:rFonts w:ascii="Arial" w:cs="Arial" w:eastAsia="Arial" w:hAnsi="Arial"/>
                <w:sz w:val="16"/>
                <w:szCs w:val="16"/>
                <w:color w:val="auto"/>
              </w:rPr>
              <w:t>Other comprehensive income</w:t>
            </w:r>
          </w:p>
        </w:tc>
        <w:tc>
          <w:tcPr>
            <w:tcW w:w="100" w:type="dxa"/>
            <w:vAlign w:val="bottom"/>
            <w:shd w:val="clear" w:color="auto" w:fill="CFF0FC"/>
          </w:tcPr>
          <w:p>
            <w:pPr>
              <w:spacing w:after="0"/>
              <w:rPr>
                <w:sz w:val="13"/>
                <w:szCs w:val="13"/>
                <w:color w:val="auto"/>
              </w:rPr>
            </w:pPr>
          </w:p>
        </w:tc>
        <w:tc>
          <w:tcPr>
            <w:tcW w:w="1080" w:type="dxa"/>
            <w:vAlign w:val="bottom"/>
            <w:tcBorders>
              <w:right w:val="single" w:sz="8" w:color="auto"/>
            </w:tcBorders>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22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prior to Reorganization</w:t>
            </w:r>
          </w:p>
        </w:tc>
        <w:tc>
          <w:tcPr>
            <w:tcW w:w="100" w:type="dxa"/>
            <w:vAlign w:val="bottom"/>
            <w:shd w:val="clear" w:color="auto" w:fill="CFF0FC"/>
          </w:tcPr>
          <w:p>
            <w:pPr>
              <w:spacing w:after="0"/>
              <w:rPr>
                <w:sz w:val="15"/>
                <w:szCs w:val="15"/>
                <w:color w:val="auto"/>
              </w:rPr>
            </w:pPr>
          </w:p>
        </w:tc>
        <w:tc>
          <w:tcPr>
            <w:tcW w:w="1080" w:type="dxa"/>
            <w:vAlign w:val="bottom"/>
            <w:tcBorders>
              <w:right w:val="single" w:sz="8" w:color="auto"/>
            </w:tcBorders>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Transactions</w:t>
            </w:r>
          </w:p>
        </w:tc>
        <w:tc>
          <w:tcPr>
            <w:tcW w:w="100" w:type="dxa"/>
            <w:vAlign w:val="bottom"/>
            <w:shd w:val="clear" w:color="auto" w:fill="CFF0FC"/>
          </w:tcPr>
          <w:p>
            <w:pPr>
              <w:spacing w:after="0"/>
              <w:rPr>
                <w:sz w:val="18"/>
                <w:szCs w:val="18"/>
                <w:color w:val="auto"/>
              </w:rPr>
            </w:pPr>
          </w:p>
        </w:tc>
        <w:tc>
          <w:tcPr>
            <w:tcW w:w="1080" w:type="dxa"/>
            <w:vAlign w:val="bottom"/>
            <w:tcBorders>
              <w:right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ind w:left="4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ind w:lef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163</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152"/>
        </w:trPr>
        <w:tc>
          <w:tcPr>
            <w:tcW w:w="2220" w:type="dxa"/>
            <w:vAlign w:val="bottom"/>
          </w:tcPr>
          <w:p>
            <w:pPr>
              <w:ind w:left="20"/>
              <w:spacing w:after="0" w:line="152" w:lineRule="exact"/>
              <w:rPr>
                <w:sz w:val="20"/>
                <w:szCs w:val="20"/>
                <w:color w:val="auto"/>
              </w:rPr>
            </w:pPr>
            <w:r>
              <w:rPr>
                <w:rFonts w:ascii="Arial" w:cs="Arial" w:eastAsia="Arial" w:hAnsi="Arial"/>
                <w:sz w:val="16"/>
                <w:szCs w:val="16"/>
                <w:color w:val="auto"/>
                <w:w w:val="93"/>
              </w:rPr>
              <w:t>Equity-based compensation prior</w:t>
            </w:r>
          </w:p>
        </w:tc>
        <w:tc>
          <w:tcPr>
            <w:tcW w:w="100" w:type="dxa"/>
            <w:vAlign w:val="bottom"/>
          </w:tcPr>
          <w:p>
            <w:pPr>
              <w:spacing w:after="0"/>
              <w:rPr>
                <w:sz w:val="13"/>
                <w:szCs w:val="13"/>
                <w:color w:val="auto"/>
              </w:rPr>
            </w:pPr>
          </w:p>
        </w:tc>
        <w:tc>
          <w:tcPr>
            <w:tcW w:w="1080" w:type="dxa"/>
            <w:vAlign w:val="bottom"/>
            <w:tcBorders>
              <w:right w:val="single" w:sz="8" w:color="auto"/>
            </w:tcBorders>
            <w:vMerge w:val="restart"/>
          </w:tcPr>
          <w:p>
            <w:pPr>
              <w:jc w:val="right"/>
              <w:ind w:right="44"/>
              <w:spacing w:after="0"/>
              <w:rPr>
                <w:sz w:val="20"/>
                <w:szCs w:val="20"/>
                <w:color w:val="auto"/>
              </w:rPr>
            </w:pPr>
            <w:r>
              <w:rPr>
                <w:rFonts w:ascii="Arial" w:cs="Arial" w:eastAsia="Arial" w:hAnsi="Arial"/>
                <w:sz w:val="16"/>
                <w:szCs w:val="16"/>
                <w:color w:val="auto"/>
              </w:rPr>
              <w:t>406</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74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40" w:type="dxa"/>
            <w:vAlign w:val="bottom"/>
            <w:vMerge w:val="restart"/>
          </w:tcPr>
          <w:p>
            <w:pPr>
              <w:ind w:left="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66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600" w:type="dxa"/>
            <w:vAlign w:val="bottom"/>
            <w:vMerge w:val="restart"/>
          </w:tcPr>
          <w:p>
            <w:pPr>
              <w:ind w:lef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72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41"/>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199"/>
        </w:trPr>
        <w:tc>
          <w:tcPr>
            <w:tcW w:w="2220" w:type="dxa"/>
            <w:vAlign w:val="bottom"/>
          </w:tcPr>
          <w:p>
            <w:pPr>
              <w:ind w:left="20"/>
              <w:spacing w:after="0"/>
              <w:rPr>
                <w:sz w:val="20"/>
                <w:szCs w:val="20"/>
                <w:color w:val="auto"/>
              </w:rPr>
            </w:pPr>
            <w:r>
              <w:rPr>
                <w:rFonts w:ascii="Arial" w:cs="Arial" w:eastAsia="Arial" w:hAnsi="Arial"/>
                <w:sz w:val="16"/>
                <w:szCs w:val="16"/>
                <w:color w:val="auto"/>
                <w:w w:val="98"/>
              </w:rPr>
              <w:t>to Reorganization Transactions</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1,185,613</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ind w:left="4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ind w:lef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ind w:lef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ind w:right="8"/>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32</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96"/>
              </w:rPr>
              <w:t>$ 1,185,645</w:t>
            </w:r>
          </w:p>
        </w:tc>
        <w:tc>
          <w:tcPr>
            <w:tcW w:w="0" w:type="dxa"/>
            <w:vAlign w:val="bottom"/>
          </w:tcPr>
          <w:p>
            <w:pPr>
              <w:spacing w:after="0"/>
              <w:rPr>
                <w:sz w:val="1"/>
                <w:szCs w:val="1"/>
                <w:color w:val="auto"/>
              </w:rPr>
            </w:pPr>
          </w:p>
        </w:tc>
      </w:tr>
      <w:tr>
        <w:trPr>
          <w:trHeight w:val="152"/>
        </w:trPr>
        <w:tc>
          <w:tcPr>
            <w:tcW w:w="2220" w:type="dxa"/>
            <w:vAlign w:val="bottom"/>
          </w:tcPr>
          <w:p>
            <w:pPr>
              <w:ind w:left="20"/>
              <w:spacing w:after="0" w:line="152" w:lineRule="exact"/>
              <w:rPr>
                <w:sz w:val="20"/>
                <w:szCs w:val="20"/>
                <w:color w:val="auto"/>
              </w:rPr>
            </w:pPr>
            <w:r>
              <w:rPr>
                <w:rFonts w:ascii="Arial" w:cs="Arial" w:eastAsia="Arial" w:hAnsi="Arial"/>
                <w:sz w:val="16"/>
                <w:szCs w:val="16"/>
                <w:color w:val="auto"/>
                <w:w w:val="97"/>
              </w:rPr>
              <w:t>Net loss prior to Reorganization</w:t>
            </w:r>
          </w:p>
        </w:tc>
        <w:tc>
          <w:tcPr>
            <w:tcW w:w="100" w:type="dxa"/>
            <w:vAlign w:val="bottom"/>
          </w:tcPr>
          <w:p>
            <w:pPr>
              <w:spacing w:after="0"/>
              <w:rPr>
                <w:sz w:val="13"/>
                <w:szCs w:val="13"/>
                <w:color w:val="auto"/>
              </w:rPr>
            </w:pPr>
          </w:p>
        </w:tc>
        <w:tc>
          <w:tcPr>
            <w:tcW w:w="10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(15,040 )</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74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40" w:type="dxa"/>
            <w:vAlign w:val="bottom"/>
            <w:vMerge w:val="restart"/>
          </w:tcPr>
          <w:p>
            <w:pPr>
              <w:ind w:left="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66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600" w:type="dxa"/>
            <w:vAlign w:val="bottom"/>
            <w:vMerge w:val="restart"/>
          </w:tcPr>
          <w:p>
            <w:pPr>
              <w:ind w:lef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72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(15,040 )</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Transactions</w:t>
            </w:r>
          </w:p>
        </w:tc>
        <w:tc>
          <w:tcPr>
            <w:tcW w:w="100" w:type="dxa"/>
            <w:vAlign w:val="bottom"/>
          </w:tcPr>
          <w:p>
            <w:pPr>
              <w:spacing w:after="0"/>
              <w:rPr>
                <w:sz w:val="18"/>
                <w:szCs w:val="18"/>
                <w:color w:val="auto"/>
              </w:rPr>
            </w:pPr>
          </w:p>
        </w:tc>
        <w:tc>
          <w:tcPr>
            <w:tcW w:w="1080" w:type="dxa"/>
            <w:vAlign w:val="bottom"/>
            <w:tcBorders>
              <w:right w:val="single" w:sz="8" w:color="auto"/>
            </w:tcBorders>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220" w:type="dxa"/>
            <w:vAlign w:val="bottom"/>
            <w:shd w:val="clear" w:color="auto" w:fill="CFF0FC"/>
          </w:tcPr>
          <w:p>
            <w:pPr>
              <w:ind w:left="20"/>
              <w:spacing w:after="0" w:line="155" w:lineRule="exact"/>
              <w:rPr>
                <w:sz w:val="20"/>
                <w:szCs w:val="20"/>
                <w:color w:val="auto"/>
              </w:rPr>
            </w:pPr>
            <w:r>
              <w:rPr>
                <w:rFonts w:ascii="Arial" w:cs="Arial" w:eastAsia="Arial" w:hAnsi="Arial"/>
                <w:sz w:val="16"/>
                <w:szCs w:val="16"/>
                <w:color w:val="auto"/>
                <w:w w:val="98"/>
              </w:rPr>
              <w:t>Other comprehensive loss prior</w:t>
            </w:r>
          </w:p>
        </w:tc>
        <w:tc>
          <w:tcPr>
            <w:tcW w:w="100" w:type="dxa"/>
            <w:vAlign w:val="bottom"/>
            <w:shd w:val="clear" w:color="auto" w:fill="CFF0FC"/>
          </w:tcPr>
          <w:p>
            <w:pPr>
              <w:spacing w:after="0"/>
              <w:rPr>
                <w:sz w:val="13"/>
                <w:szCs w:val="13"/>
                <w:color w:val="auto"/>
              </w:rPr>
            </w:pPr>
          </w:p>
        </w:tc>
        <w:tc>
          <w:tcPr>
            <w:tcW w:w="1080" w:type="dxa"/>
            <w:vAlign w:val="bottom"/>
            <w:tcBorders>
              <w:right w:val="single" w:sz="8" w:color="auto"/>
            </w:tcBorders>
            <w:vMerge w:val="restart"/>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740" w:type="dxa"/>
            <w:vAlign w:val="bottom"/>
            <w:vMerge w:val="restart"/>
            <w:shd w:val="clear" w:color="auto" w:fill="CFF0FC"/>
          </w:tcPr>
          <w:p>
            <w:pPr>
              <w:ind w:left="44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640" w:type="dxa"/>
            <w:vAlign w:val="bottom"/>
            <w:vMerge w:val="restart"/>
            <w:shd w:val="clear" w:color="auto" w:fill="CFF0FC"/>
          </w:tcPr>
          <w:p>
            <w:pPr>
              <w:ind w:left="4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660" w:type="dxa"/>
            <w:vAlign w:val="bottom"/>
            <w:vMerge w:val="restart"/>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600" w:type="dxa"/>
            <w:vAlign w:val="bottom"/>
            <w:vMerge w:val="restart"/>
            <w:shd w:val="clear" w:color="auto" w:fill="CFF0FC"/>
          </w:tcPr>
          <w:p>
            <w:pPr>
              <w:ind w:lef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3"/>
                <w:szCs w:val="13"/>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(19 )</w:t>
            </w:r>
          </w:p>
        </w:tc>
        <w:tc>
          <w:tcPr>
            <w:tcW w:w="160" w:type="dxa"/>
            <w:vAlign w:val="bottom"/>
            <w:shd w:val="clear" w:color="auto" w:fill="CFF0FC"/>
          </w:tcPr>
          <w:p>
            <w:pPr>
              <w:spacing w:after="0"/>
              <w:rPr>
                <w:sz w:val="13"/>
                <w:szCs w:val="13"/>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199"/>
        </w:trPr>
        <w:tc>
          <w:tcPr>
            <w:tcW w:w="2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w w:val="98"/>
              </w:rPr>
              <w:t>to Reorganization Transactions</w:t>
            </w:r>
          </w:p>
        </w:tc>
        <w:tc>
          <w:tcPr>
            <w:tcW w:w="1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right w:val="single" w:sz="8" w:color="auto"/>
            </w:tcBorders>
            <w:vMerge w:val="continue"/>
            <w:shd w:val="clear" w:color="auto" w:fill="CFF0FC"/>
          </w:tcPr>
          <w:p>
            <w:pPr>
              <w:spacing w:after="0"/>
              <w:rPr>
                <w:sz w:val="17"/>
                <w:szCs w:val="17"/>
                <w:color w:val="auto"/>
              </w:rPr>
            </w:pPr>
          </w:p>
        </w:tc>
        <w:tc>
          <w:tcPr>
            <w:tcW w:w="86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vMerge w:val="continue"/>
            <w:shd w:val="clear" w:color="auto" w:fill="CFF0FC"/>
          </w:tcPr>
          <w:p>
            <w:pPr>
              <w:spacing w:after="0"/>
              <w:rPr>
                <w:sz w:val="17"/>
                <w:szCs w:val="17"/>
                <w:color w:val="auto"/>
              </w:rPr>
            </w:pPr>
          </w:p>
        </w:tc>
        <w:tc>
          <w:tcPr>
            <w:tcW w:w="86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vMerge w:val="continue"/>
            <w:shd w:val="clear" w:color="auto" w:fill="CFF0FC"/>
          </w:tcPr>
          <w:p>
            <w:pPr>
              <w:spacing w:after="0"/>
              <w:rPr>
                <w:sz w:val="17"/>
                <w:szCs w:val="17"/>
                <w:color w:val="auto"/>
              </w:rPr>
            </w:pPr>
          </w:p>
        </w:tc>
        <w:tc>
          <w:tcPr>
            <w:tcW w:w="96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220" w:type="dxa"/>
            <w:vAlign w:val="bottom"/>
          </w:tcPr>
          <w:p>
            <w:pPr>
              <w:ind w:left="20"/>
              <w:spacing w:after="0" w:line="146" w:lineRule="exact"/>
              <w:rPr>
                <w:sz w:val="20"/>
                <w:szCs w:val="20"/>
                <w:color w:val="auto"/>
              </w:rPr>
            </w:pPr>
            <w:r>
              <w:rPr>
                <w:rFonts w:ascii="Arial" w:cs="Arial" w:eastAsia="Arial" w:hAnsi="Arial"/>
                <w:sz w:val="16"/>
                <w:szCs w:val="16"/>
                <w:color w:val="auto"/>
                <w:w w:val="93"/>
              </w:rPr>
              <w:t>Equity-based compensation prior</w:t>
            </w:r>
          </w:p>
        </w:tc>
        <w:tc>
          <w:tcPr>
            <w:tcW w:w="100" w:type="dxa"/>
            <w:vAlign w:val="bottom"/>
          </w:tcPr>
          <w:p>
            <w:pPr>
              <w:spacing w:after="0"/>
              <w:rPr>
                <w:sz w:val="12"/>
                <w:szCs w:val="12"/>
                <w:color w:val="auto"/>
              </w:rPr>
            </w:pPr>
          </w:p>
        </w:tc>
        <w:tc>
          <w:tcPr>
            <w:tcW w:w="1080" w:type="dxa"/>
            <w:vAlign w:val="bottom"/>
            <w:tcBorders>
              <w:right w:val="single" w:sz="8" w:color="auto"/>
            </w:tcBorders>
            <w:vMerge w:val="restart"/>
          </w:tcPr>
          <w:p>
            <w:pPr>
              <w:jc w:val="right"/>
              <w:ind w:right="44"/>
              <w:spacing w:after="0"/>
              <w:rPr>
                <w:sz w:val="20"/>
                <w:szCs w:val="20"/>
                <w:color w:val="auto"/>
              </w:rPr>
            </w:pPr>
            <w:r>
              <w:rPr>
                <w:rFonts w:ascii="Arial" w:cs="Arial" w:eastAsia="Arial" w:hAnsi="Arial"/>
                <w:sz w:val="16"/>
                <w:szCs w:val="16"/>
                <w:color w:val="auto"/>
              </w:rPr>
              <w:t>1,615</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74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640" w:type="dxa"/>
            <w:vAlign w:val="bottom"/>
            <w:vMerge w:val="restart"/>
          </w:tcPr>
          <w:p>
            <w:pPr>
              <w:ind w:left="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66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600" w:type="dxa"/>
            <w:vAlign w:val="bottom"/>
            <w:vMerge w:val="restart"/>
          </w:tcPr>
          <w:p>
            <w:pPr>
              <w:ind w:lef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2"/>
                <w:szCs w:val="12"/>
                <w:color w:val="auto"/>
              </w:rPr>
            </w:pPr>
          </w:p>
        </w:tc>
        <w:tc>
          <w:tcPr>
            <w:tcW w:w="72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41"/>
              <w:spacing w:after="0"/>
              <w:rPr>
                <w:sz w:val="20"/>
                <w:szCs w:val="20"/>
                <w:color w:val="auto"/>
              </w:rPr>
            </w:pPr>
            <w:r>
              <w:rPr>
                <w:rFonts w:ascii="Arial" w:cs="Arial" w:eastAsia="Arial" w:hAnsi="Arial"/>
                <w:sz w:val="16"/>
                <w:szCs w:val="16"/>
                <w:color w:val="auto"/>
              </w:rPr>
              <w:t>1,615</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w w:val="98"/>
              </w:rPr>
              <w:t>to Reorganization Transactions</w:t>
            </w:r>
          </w:p>
        </w:tc>
        <w:tc>
          <w:tcPr>
            <w:tcW w:w="100" w:type="dxa"/>
            <w:vAlign w:val="bottom"/>
          </w:tcPr>
          <w:p>
            <w:pPr>
              <w:spacing w:after="0"/>
              <w:rPr>
                <w:sz w:val="18"/>
                <w:szCs w:val="18"/>
                <w:color w:val="auto"/>
              </w:rPr>
            </w:pPr>
          </w:p>
        </w:tc>
        <w:tc>
          <w:tcPr>
            <w:tcW w:w="1080" w:type="dxa"/>
            <w:vAlign w:val="bottom"/>
            <w:tcBorders>
              <w:right w:val="single" w:sz="8" w:color="auto"/>
            </w:tcBorders>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220" w:type="dxa"/>
            <w:vAlign w:val="bottom"/>
            <w:shd w:val="clear" w:color="auto" w:fill="CFF0FC"/>
          </w:tcPr>
          <w:p>
            <w:pPr>
              <w:ind w:left="20"/>
              <w:spacing w:after="0" w:line="155" w:lineRule="exact"/>
              <w:rPr>
                <w:sz w:val="20"/>
                <w:szCs w:val="20"/>
                <w:color w:val="auto"/>
              </w:rPr>
            </w:pPr>
            <w:r>
              <w:rPr>
                <w:rFonts w:ascii="Arial" w:cs="Arial" w:eastAsia="Arial" w:hAnsi="Arial"/>
                <w:sz w:val="16"/>
                <w:szCs w:val="16"/>
                <w:color w:val="auto"/>
                <w:w w:val="99"/>
              </w:rPr>
              <w:t>Members' contributions prior to</w:t>
            </w:r>
          </w:p>
        </w:tc>
        <w:tc>
          <w:tcPr>
            <w:tcW w:w="100" w:type="dxa"/>
            <w:vAlign w:val="bottom"/>
            <w:shd w:val="clear" w:color="auto" w:fill="CFF0FC"/>
          </w:tcPr>
          <w:p>
            <w:pPr>
              <w:spacing w:after="0"/>
              <w:rPr>
                <w:sz w:val="13"/>
                <w:szCs w:val="13"/>
                <w:color w:val="auto"/>
              </w:rPr>
            </w:pPr>
          </w:p>
        </w:tc>
        <w:tc>
          <w:tcPr>
            <w:tcW w:w="1080" w:type="dxa"/>
            <w:vAlign w:val="bottom"/>
            <w:tcBorders>
              <w:right w:val="single" w:sz="8" w:color="auto"/>
            </w:tcBorders>
            <w:vMerge w:val="restart"/>
            <w:shd w:val="clear" w:color="auto" w:fill="CFF0FC"/>
          </w:tcPr>
          <w:p>
            <w:pPr>
              <w:jc w:val="right"/>
              <w:ind w:right="44"/>
              <w:spacing w:after="0"/>
              <w:rPr>
                <w:sz w:val="20"/>
                <w:szCs w:val="20"/>
                <w:color w:val="auto"/>
              </w:rPr>
            </w:pPr>
            <w:r>
              <w:rPr>
                <w:rFonts w:ascii="Arial" w:cs="Arial" w:eastAsia="Arial" w:hAnsi="Arial"/>
                <w:sz w:val="16"/>
                <w:szCs w:val="16"/>
                <w:color w:val="auto"/>
              </w:rPr>
              <w:t>5,500</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740" w:type="dxa"/>
            <w:vAlign w:val="bottom"/>
            <w:vMerge w:val="restart"/>
            <w:shd w:val="clear" w:color="auto" w:fill="CFF0FC"/>
          </w:tcPr>
          <w:p>
            <w:pPr>
              <w:ind w:left="44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640" w:type="dxa"/>
            <w:vAlign w:val="bottom"/>
            <w:vMerge w:val="restart"/>
            <w:shd w:val="clear" w:color="auto" w:fill="CFF0FC"/>
          </w:tcPr>
          <w:p>
            <w:pPr>
              <w:ind w:left="4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660" w:type="dxa"/>
            <w:vAlign w:val="bottom"/>
            <w:vMerge w:val="restart"/>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600" w:type="dxa"/>
            <w:vAlign w:val="bottom"/>
            <w:vMerge w:val="restart"/>
            <w:shd w:val="clear" w:color="auto" w:fill="CFF0FC"/>
          </w:tcPr>
          <w:p>
            <w:pPr>
              <w:ind w:lef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3"/>
                <w:szCs w:val="13"/>
                <w:color w:val="auto"/>
              </w:rPr>
            </w:pPr>
          </w:p>
        </w:tc>
        <w:tc>
          <w:tcPr>
            <w:tcW w:w="720" w:type="dxa"/>
            <w:vAlign w:val="bottom"/>
            <w:vMerge w:val="restart"/>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FF0FC"/>
          </w:tcPr>
          <w:p>
            <w:pPr>
              <w:jc w:val="right"/>
              <w:ind w:right="41"/>
              <w:spacing w:after="0"/>
              <w:rPr>
                <w:sz w:val="20"/>
                <w:szCs w:val="20"/>
                <w:color w:val="auto"/>
              </w:rPr>
            </w:pPr>
            <w:r>
              <w:rPr>
                <w:rFonts w:ascii="Arial" w:cs="Arial" w:eastAsia="Arial" w:hAnsi="Arial"/>
                <w:sz w:val="16"/>
                <w:szCs w:val="16"/>
                <w:color w:val="auto"/>
              </w:rPr>
              <w:t>5,500</w:t>
            </w:r>
          </w:p>
        </w:tc>
        <w:tc>
          <w:tcPr>
            <w:tcW w:w="0" w:type="dxa"/>
            <w:vAlign w:val="bottom"/>
          </w:tcPr>
          <w:p>
            <w:pPr>
              <w:spacing w:after="0"/>
              <w:rPr>
                <w:sz w:val="1"/>
                <w:szCs w:val="1"/>
                <w:color w:val="auto"/>
              </w:rPr>
            </w:pPr>
          </w:p>
        </w:tc>
      </w:tr>
      <w:tr>
        <w:trPr>
          <w:trHeight w:val="212"/>
        </w:trPr>
        <w:tc>
          <w:tcPr>
            <w:tcW w:w="2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Reorganization Transactions</w:t>
            </w:r>
          </w:p>
        </w:tc>
        <w:tc>
          <w:tcPr>
            <w:tcW w:w="100" w:type="dxa"/>
            <w:vAlign w:val="bottom"/>
            <w:shd w:val="clear" w:color="auto" w:fill="CFF0FC"/>
          </w:tcPr>
          <w:p>
            <w:pPr>
              <w:spacing w:after="0"/>
              <w:rPr>
                <w:sz w:val="18"/>
                <w:szCs w:val="18"/>
                <w:color w:val="auto"/>
              </w:rPr>
            </w:pPr>
          </w:p>
        </w:tc>
        <w:tc>
          <w:tcPr>
            <w:tcW w:w="1080" w:type="dxa"/>
            <w:vAlign w:val="bottom"/>
            <w:tcBorders>
              <w:right w:val="single" w:sz="8" w:color="auto"/>
            </w:tcBorders>
            <w:vMerge w:val="continue"/>
            <w:shd w:val="clear" w:color="auto" w:fill="CFF0FC"/>
          </w:tcPr>
          <w:p>
            <w:pPr>
              <w:spacing w:after="0"/>
              <w:rPr>
                <w:sz w:val="18"/>
                <w:szCs w:val="18"/>
                <w:color w:val="auto"/>
              </w:rPr>
            </w:pPr>
          </w:p>
        </w:tc>
        <w:tc>
          <w:tcPr>
            <w:tcW w:w="86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86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220" w:type="dxa"/>
            <w:vAlign w:val="bottom"/>
          </w:tcPr>
          <w:p>
            <w:pPr>
              <w:ind w:left="20"/>
              <w:spacing w:after="0" w:line="152" w:lineRule="exact"/>
              <w:rPr>
                <w:sz w:val="20"/>
                <w:szCs w:val="20"/>
                <w:color w:val="auto"/>
              </w:rPr>
            </w:pPr>
            <w:r>
              <w:rPr>
                <w:rFonts w:ascii="Arial" w:cs="Arial" w:eastAsia="Arial" w:hAnsi="Arial"/>
                <w:sz w:val="16"/>
                <w:szCs w:val="16"/>
                <w:color w:val="auto"/>
                <w:w w:val="94"/>
              </w:rPr>
              <w:t>Distributions to members prior to</w:t>
            </w:r>
          </w:p>
        </w:tc>
        <w:tc>
          <w:tcPr>
            <w:tcW w:w="100" w:type="dxa"/>
            <w:vAlign w:val="bottom"/>
          </w:tcPr>
          <w:p>
            <w:pPr>
              <w:spacing w:after="0"/>
              <w:rPr>
                <w:sz w:val="13"/>
                <w:szCs w:val="13"/>
                <w:color w:val="auto"/>
              </w:rPr>
            </w:pPr>
          </w:p>
        </w:tc>
        <w:tc>
          <w:tcPr>
            <w:tcW w:w="10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(3,328 )</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74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40" w:type="dxa"/>
            <w:vAlign w:val="bottom"/>
            <w:vMerge w:val="restart"/>
          </w:tcPr>
          <w:p>
            <w:pPr>
              <w:ind w:left="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66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600" w:type="dxa"/>
            <w:vAlign w:val="bottom"/>
            <w:vMerge w:val="restart"/>
          </w:tcPr>
          <w:p>
            <w:pPr>
              <w:ind w:lef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72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(3,328 )</w:t>
            </w:r>
          </w:p>
        </w:tc>
        <w:tc>
          <w:tcPr>
            <w:tcW w:w="0" w:type="dxa"/>
            <w:vAlign w:val="bottom"/>
          </w:tcPr>
          <w:p>
            <w:pPr>
              <w:spacing w:after="0"/>
              <w:rPr>
                <w:sz w:val="1"/>
                <w:szCs w:val="1"/>
                <w:color w:val="auto"/>
              </w:rPr>
            </w:pPr>
          </w:p>
        </w:tc>
      </w:tr>
      <w:tr>
        <w:trPr>
          <w:trHeight w:val="199"/>
        </w:trPr>
        <w:tc>
          <w:tcPr>
            <w:tcW w:w="2220" w:type="dxa"/>
            <w:vAlign w:val="bottom"/>
          </w:tcPr>
          <w:p>
            <w:pPr>
              <w:ind w:left="20"/>
              <w:spacing w:after="0"/>
              <w:rPr>
                <w:sz w:val="20"/>
                <w:szCs w:val="20"/>
                <w:color w:val="auto"/>
              </w:rPr>
            </w:pPr>
            <w:r>
              <w:rPr>
                <w:rFonts w:ascii="Arial" w:cs="Arial" w:eastAsia="Arial" w:hAnsi="Arial"/>
                <w:sz w:val="16"/>
                <w:szCs w:val="16"/>
                <w:color w:val="auto"/>
              </w:rPr>
              <w:t>Reorganization Transactions</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1,174,360</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ind w:left="4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ind w:lef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ind w:lef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ind w:right="8"/>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13</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96"/>
              </w:rPr>
              <w:t>$ 1,174,373</w:t>
            </w:r>
          </w:p>
        </w:tc>
        <w:tc>
          <w:tcPr>
            <w:tcW w:w="0" w:type="dxa"/>
            <w:vAlign w:val="bottom"/>
          </w:tcPr>
          <w:p>
            <w:pPr>
              <w:spacing w:after="0"/>
              <w:rPr>
                <w:sz w:val="1"/>
                <w:szCs w:val="1"/>
                <w:color w:val="auto"/>
              </w:rPr>
            </w:pPr>
          </w:p>
        </w:tc>
      </w:tr>
      <w:tr>
        <w:trPr>
          <w:trHeight w:val="152"/>
        </w:trPr>
        <w:tc>
          <w:tcPr>
            <w:tcW w:w="2220" w:type="dxa"/>
            <w:vAlign w:val="bottom"/>
          </w:tcPr>
          <w:p>
            <w:pPr>
              <w:ind w:left="20"/>
              <w:spacing w:after="0" w:line="152" w:lineRule="exact"/>
              <w:rPr>
                <w:sz w:val="20"/>
                <w:szCs w:val="20"/>
                <w:color w:val="auto"/>
              </w:rPr>
            </w:pPr>
            <w:r>
              <w:rPr>
                <w:rFonts w:ascii="Arial" w:cs="Arial" w:eastAsia="Arial" w:hAnsi="Arial"/>
                <w:sz w:val="16"/>
                <w:szCs w:val="16"/>
                <w:color w:val="auto"/>
                <w:w w:val="97"/>
              </w:rPr>
              <w:t>Net loss prior to Reorganization</w:t>
            </w:r>
          </w:p>
        </w:tc>
        <w:tc>
          <w:tcPr>
            <w:tcW w:w="100" w:type="dxa"/>
            <w:vAlign w:val="bottom"/>
          </w:tcPr>
          <w:p>
            <w:pPr>
              <w:spacing w:after="0"/>
              <w:rPr>
                <w:sz w:val="13"/>
                <w:szCs w:val="13"/>
                <w:color w:val="auto"/>
              </w:rPr>
            </w:pPr>
          </w:p>
        </w:tc>
        <w:tc>
          <w:tcPr>
            <w:tcW w:w="10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(7,816 )</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74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40" w:type="dxa"/>
            <w:vAlign w:val="bottom"/>
            <w:vMerge w:val="restart"/>
          </w:tcPr>
          <w:p>
            <w:pPr>
              <w:ind w:left="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66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600" w:type="dxa"/>
            <w:vAlign w:val="bottom"/>
            <w:vMerge w:val="restart"/>
          </w:tcPr>
          <w:p>
            <w:pPr>
              <w:ind w:lef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72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(7,816 )</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Transactions</w:t>
            </w:r>
          </w:p>
        </w:tc>
        <w:tc>
          <w:tcPr>
            <w:tcW w:w="100" w:type="dxa"/>
            <w:vAlign w:val="bottom"/>
          </w:tcPr>
          <w:p>
            <w:pPr>
              <w:spacing w:after="0"/>
              <w:rPr>
                <w:sz w:val="18"/>
                <w:szCs w:val="18"/>
                <w:color w:val="auto"/>
              </w:rPr>
            </w:pPr>
          </w:p>
        </w:tc>
        <w:tc>
          <w:tcPr>
            <w:tcW w:w="1080" w:type="dxa"/>
            <w:vAlign w:val="bottom"/>
            <w:tcBorders>
              <w:right w:val="single" w:sz="8" w:color="auto"/>
            </w:tcBorders>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220" w:type="dxa"/>
            <w:vAlign w:val="bottom"/>
            <w:shd w:val="clear" w:color="auto" w:fill="CFF0FC"/>
          </w:tcPr>
          <w:p>
            <w:pPr>
              <w:ind w:left="20"/>
              <w:spacing w:after="0" w:line="155" w:lineRule="exact"/>
              <w:rPr>
                <w:sz w:val="20"/>
                <w:szCs w:val="20"/>
                <w:color w:val="auto"/>
              </w:rPr>
            </w:pPr>
            <w:r>
              <w:rPr>
                <w:rFonts w:ascii="Arial" w:cs="Arial" w:eastAsia="Arial" w:hAnsi="Arial"/>
                <w:sz w:val="16"/>
                <w:szCs w:val="16"/>
                <w:color w:val="auto"/>
                <w:w w:val="98"/>
              </w:rPr>
              <w:t>Other comprehensive loss prior</w:t>
            </w:r>
          </w:p>
        </w:tc>
        <w:tc>
          <w:tcPr>
            <w:tcW w:w="100" w:type="dxa"/>
            <w:vAlign w:val="bottom"/>
            <w:shd w:val="clear" w:color="auto" w:fill="CFF0FC"/>
          </w:tcPr>
          <w:p>
            <w:pPr>
              <w:spacing w:after="0"/>
              <w:rPr>
                <w:sz w:val="13"/>
                <w:szCs w:val="13"/>
                <w:color w:val="auto"/>
              </w:rPr>
            </w:pPr>
          </w:p>
        </w:tc>
        <w:tc>
          <w:tcPr>
            <w:tcW w:w="1080" w:type="dxa"/>
            <w:vAlign w:val="bottom"/>
            <w:tcBorders>
              <w:right w:val="single" w:sz="8" w:color="auto"/>
            </w:tcBorders>
            <w:vMerge w:val="restart"/>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740" w:type="dxa"/>
            <w:vAlign w:val="bottom"/>
            <w:vMerge w:val="restart"/>
            <w:shd w:val="clear" w:color="auto" w:fill="CFF0FC"/>
          </w:tcPr>
          <w:p>
            <w:pPr>
              <w:ind w:left="44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640" w:type="dxa"/>
            <w:vAlign w:val="bottom"/>
            <w:vMerge w:val="restart"/>
            <w:shd w:val="clear" w:color="auto" w:fill="CFF0FC"/>
          </w:tcPr>
          <w:p>
            <w:pPr>
              <w:ind w:left="4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660" w:type="dxa"/>
            <w:vAlign w:val="bottom"/>
            <w:vMerge w:val="restart"/>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600" w:type="dxa"/>
            <w:vAlign w:val="bottom"/>
            <w:vMerge w:val="restart"/>
            <w:shd w:val="clear" w:color="auto" w:fill="CFF0FC"/>
          </w:tcPr>
          <w:p>
            <w:pPr>
              <w:ind w:lef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3"/>
                <w:szCs w:val="13"/>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(2 )</w:t>
            </w:r>
          </w:p>
        </w:tc>
        <w:tc>
          <w:tcPr>
            <w:tcW w:w="160" w:type="dxa"/>
            <w:vAlign w:val="bottom"/>
            <w:shd w:val="clear" w:color="auto" w:fill="CFF0FC"/>
          </w:tcPr>
          <w:p>
            <w:pPr>
              <w:spacing w:after="0"/>
              <w:rPr>
                <w:sz w:val="13"/>
                <w:szCs w:val="13"/>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199"/>
        </w:trPr>
        <w:tc>
          <w:tcPr>
            <w:tcW w:w="2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w w:val="98"/>
              </w:rPr>
              <w:t>to Reorganization Transactions</w:t>
            </w:r>
          </w:p>
        </w:tc>
        <w:tc>
          <w:tcPr>
            <w:tcW w:w="1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right w:val="single" w:sz="8" w:color="auto"/>
            </w:tcBorders>
            <w:vMerge w:val="continue"/>
            <w:shd w:val="clear" w:color="auto" w:fill="CFF0FC"/>
          </w:tcPr>
          <w:p>
            <w:pPr>
              <w:spacing w:after="0"/>
              <w:rPr>
                <w:sz w:val="17"/>
                <w:szCs w:val="17"/>
                <w:color w:val="auto"/>
              </w:rPr>
            </w:pPr>
          </w:p>
        </w:tc>
        <w:tc>
          <w:tcPr>
            <w:tcW w:w="86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vMerge w:val="continue"/>
            <w:shd w:val="clear" w:color="auto" w:fill="CFF0FC"/>
          </w:tcPr>
          <w:p>
            <w:pPr>
              <w:spacing w:after="0"/>
              <w:rPr>
                <w:sz w:val="17"/>
                <w:szCs w:val="17"/>
                <w:color w:val="auto"/>
              </w:rPr>
            </w:pPr>
          </w:p>
        </w:tc>
        <w:tc>
          <w:tcPr>
            <w:tcW w:w="86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vMerge w:val="continue"/>
            <w:shd w:val="clear" w:color="auto" w:fill="CFF0FC"/>
          </w:tcPr>
          <w:p>
            <w:pPr>
              <w:spacing w:after="0"/>
              <w:rPr>
                <w:sz w:val="17"/>
                <w:szCs w:val="17"/>
                <w:color w:val="auto"/>
              </w:rPr>
            </w:pPr>
          </w:p>
        </w:tc>
        <w:tc>
          <w:tcPr>
            <w:tcW w:w="96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220" w:type="dxa"/>
            <w:vAlign w:val="bottom"/>
          </w:tcPr>
          <w:p>
            <w:pPr>
              <w:ind w:left="20"/>
              <w:spacing w:after="0" w:line="146" w:lineRule="exact"/>
              <w:rPr>
                <w:sz w:val="20"/>
                <w:szCs w:val="20"/>
                <w:color w:val="auto"/>
              </w:rPr>
            </w:pPr>
            <w:r>
              <w:rPr>
                <w:rFonts w:ascii="Arial" w:cs="Arial" w:eastAsia="Arial" w:hAnsi="Arial"/>
                <w:sz w:val="16"/>
                <w:szCs w:val="16"/>
                <w:color w:val="auto"/>
                <w:w w:val="93"/>
              </w:rPr>
              <w:t>Equity-based compensation prior</w:t>
            </w:r>
          </w:p>
        </w:tc>
        <w:tc>
          <w:tcPr>
            <w:tcW w:w="100" w:type="dxa"/>
            <w:vAlign w:val="bottom"/>
          </w:tcPr>
          <w:p>
            <w:pPr>
              <w:spacing w:after="0"/>
              <w:rPr>
                <w:sz w:val="12"/>
                <w:szCs w:val="12"/>
                <w:color w:val="auto"/>
              </w:rPr>
            </w:pPr>
          </w:p>
        </w:tc>
        <w:tc>
          <w:tcPr>
            <w:tcW w:w="10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(278 )</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74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640" w:type="dxa"/>
            <w:vAlign w:val="bottom"/>
            <w:vMerge w:val="restart"/>
          </w:tcPr>
          <w:p>
            <w:pPr>
              <w:ind w:left="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66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600" w:type="dxa"/>
            <w:vAlign w:val="bottom"/>
            <w:vMerge w:val="restart"/>
          </w:tcPr>
          <w:p>
            <w:pPr>
              <w:ind w:lef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2"/>
                <w:szCs w:val="12"/>
                <w:color w:val="auto"/>
              </w:rPr>
            </w:pPr>
          </w:p>
        </w:tc>
        <w:tc>
          <w:tcPr>
            <w:tcW w:w="72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(278 )</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w w:val="98"/>
              </w:rPr>
              <w:t>to Reorganization Transactions</w:t>
            </w:r>
          </w:p>
        </w:tc>
        <w:tc>
          <w:tcPr>
            <w:tcW w:w="100" w:type="dxa"/>
            <w:vAlign w:val="bottom"/>
          </w:tcPr>
          <w:p>
            <w:pPr>
              <w:spacing w:after="0"/>
              <w:rPr>
                <w:sz w:val="18"/>
                <w:szCs w:val="18"/>
                <w:color w:val="auto"/>
              </w:rPr>
            </w:pPr>
          </w:p>
        </w:tc>
        <w:tc>
          <w:tcPr>
            <w:tcW w:w="1080" w:type="dxa"/>
            <w:vAlign w:val="bottom"/>
            <w:tcBorders>
              <w:right w:val="single" w:sz="8" w:color="auto"/>
            </w:tcBorders>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220" w:type="dxa"/>
            <w:vAlign w:val="bottom"/>
            <w:shd w:val="clear" w:color="auto" w:fill="CFF0FC"/>
          </w:tcPr>
          <w:p>
            <w:pPr>
              <w:ind w:left="20"/>
              <w:spacing w:after="0" w:line="155" w:lineRule="exact"/>
              <w:rPr>
                <w:sz w:val="20"/>
                <w:szCs w:val="20"/>
                <w:color w:val="auto"/>
              </w:rPr>
            </w:pPr>
            <w:r>
              <w:rPr>
                <w:rFonts w:ascii="Arial" w:cs="Arial" w:eastAsia="Arial" w:hAnsi="Arial"/>
                <w:sz w:val="16"/>
                <w:szCs w:val="16"/>
                <w:color w:val="auto"/>
                <w:w w:val="94"/>
              </w:rPr>
              <w:t>Distributions to members prior to</w:t>
            </w:r>
          </w:p>
        </w:tc>
        <w:tc>
          <w:tcPr>
            <w:tcW w:w="100" w:type="dxa"/>
            <w:vAlign w:val="bottom"/>
            <w:shd w:val="clear" w:color="auto" w:fill="CFF0FC"/>
          </w:tcPr>
          <w:p>
            <w:pPr>
              <w:spacing w:after="0"/>
              <w:rPr>
                <w:sz w:val="13"/>
                <w:szCs w:val="13"/>
                <w:color w:val="auto"/>
              </w:rPr>
            </w:pPr>
          </w:p>
        </w:tc>
        <w:tc>
          <w:tcPr>
            <w:tcW w:w="1080" w:type="dxa"/>
            <w:vAlign w:val="bottom"/>
            <w:tcBorders>
              <w:right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(3,811 )</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740" w:type="dxa"/>
            <w:vAlign w:val="bottom"/>
            <w:vMerge w:val="restart"/>
            <w:shd w:val="clear" w:color="auto" w:fill="CFF0FC"/>
          </w:tcPr>
          <w:p>
            <w:pPr>
              <w:ind w:left="44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640" w:type="dxa"/>
            <w:vAlign w:val="bottom"/>
            <w:vMerge w:val="restart"/>
            <w:shd w:val="clear" w:color="auto" w:fill="CFF0FC"/>
          </w:tcPr>
          <w:p>
            <w:pPr>
              <w:ind w:left="4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660" w:type="dxa"/>
            <w:vAlign w:val="bottom"/>
            <w:vMerge w:val="restart"/>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600" w:type="dxa"/>
            <w:vAlign w:val="bottom"/>
            <w:vMerge w:val="restart"/>
            <w:shd w:val="clear" w:color="auto" w:fill="CFF0FC"/>
          </w:tcPr>
          <w:p>
            <w:pPr>
              <w:ind w:lef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3"/>
                <w:szCs w:val="13"/>
                <w:color w:val="auto"/>
              </w:rPr>
            </w:pPr>
          </w:p>
        </w:tc>
        <w:tc>
          <w:tcPr>
            <w:tcW w:w="720" w:type="dxa"/>
            <w:vAlign w:val="bottom"/>
            <w:vMerge w:val="restart"/>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(3,811 )</w:t>
            </w:r>
          </w:p>
        </w:tc>
        <w:tc>
          <w:tcPr>
            <w:tcW w:w="0" w:type="dxa"/>
            <w:vAlign w:val="bottom"/>
          </w:tcPr>
          <w:p>
            <w:pPr>
              <w:spacing w:after="0"/>
              <w:rPr>
                <w:sz w:val="1"/>
                <w:szCs w:val="1"/>
                <w:color w:val="auto"/>
              </w:rPr>
            </w:pPr>
          </w:p>
        </w:tc>
      </w:tr>
      <w:tr>
        <w:trPr>
          <w:trHeight w:val="212"/>
        </w:trPr>
        <w:tc>
          <w:tcPr>
            <w:tcW w:w="2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Reorganization Transactions</w:t>
            </w:r>
          </w:p>
        </w:tc>
        <w:tc>
          <w:tcPr>
            <w:tcW w:w="100" w:type="dxa"/>
            <w:vAlign w:val="bottom"/>
            <w:shd w:val="clear" w:color="auto" w:fill="CFF0FC"/>
          </w:tcPr>
          <w:p>
            <w:pPr>
              <w:spacing w:after="0"/>
              <w:rPr>
                <w:sz w:val="18"/>
                <w:szCs w:val="18"/>
                <w:color w:val="auto"/>
              </w:rPr>
            </w:pPr>
          </w:p>
        </w:tc>
        <w:tc>
          <w:tcPr>
            <w:tcW w:w="1080" w:type="dxa"/>
            <w:vAlign w:val="bottom"/>
            <w:tcBorders>
              <w:right w:val="single" w:sz="8" w:color="auto"/>
            </w:tcBorders>
            <w:vMerge w:val="continue"/>
            <w:shd w:val="clear" w:color="auto" w:fill="CFF0FC"/>
          </w:tcPr>
          <w:p>
            <w:pPr>
              <w:spacing w:after="0"/>
              <w:rPr>
                <w:sz w:val="18"/>
                <w:szCs w:val="18"/>
                <w:color w:val="auto"/>
              </w:rPr>
            </w:pPr>
          </w:p>
        </w:tc>
        <w:tc>
          <w:tcPr>
            <w:tcW w:w="86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86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220" w:type="dxa"/>
            <w:vAlign w:val="bottom"/>
          </w:tcPr>
          <w:p>
            <w:pPr>
              <w:ind w:left="20"/>
              <w:spacing w:after="0" w:line="148" w:lineRule="exact"/>
              <w:rPr>
                <w:sz w:val="20"/>
                <w:szCs w:val="20"/>
                <w:color w:val="auto"/>
              </w:rPr>
            </w:pPr>
            <w:r>
              <w:rPr>
                <w:rFonts w:ascii="Arial" w:cs="Arial" w:eastAsia="Arial" w:hAnsi="Arial"/>
                <w:sz w:val="16"/>
                <w:szCs w:val="16"/>
                <w:b w:val="1"/>
                <w:bCs w:val="1"/>
                <w:color w:val="auto"/>
              </w:rPr>
              <w:t>Impacts of Reorganization</w:t>
            </w:r>
          </w:p>
        </w:tc>
        <w:tc>
          <w:tcPr>
            <w:tcW w:w="10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20"/>
              <w:spacing w:after="0" w:line="175" w:lineRule="exact"/>
              <w:rPr>
                <w:sz w:val="20"/>
                <w:szCs w:val="20"/>
                <w:color w:val="auto"/>
              </w:rPr>
            </w:pPr>
            <w:r>
              <w:rPr>
                <w:rFonts w:ascii="Arial" w:cs="Arial" w:eastAsia="Arial" w:hAnsi="Arial"/>
                <w:sz w:val="16"/>
                <w:szCs w:val="16"/>
                <w:b w:val="1"/>
                <w:bCs w:val="1"/>
                <w:color w:val="auto"/>
                <w:w w:val="96"/>
              </w:rPr>
              <w:t>Transactions and Intial Public</w:t>
            </w:r>
          </w:p>
        </w:tc>
        <w:tc>
          <w:tcPr>
            <w:tcW w:w="10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Arial" w:cs="Arial" w:eastAsia="Arial" w:hAnsi="Arial"/>
                <w:sz w:val="16"/>
                <w:szCs w:val="16"/>
                <w:b w:val="1"/>
                <w:bCs w:val="1"/>
                <w:color w:val="auto"/>
              </w:rPr>
              <w:t>Offering IPO</w:t>
            </w:r>
          </w:p>
        </w:tc>
        <w:tc>
          <w:tcPr>
            <w:tcW w:w="10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220" w:type="dxa"/>
            <w:vAlign w:val="bottom"/>
            <w:shd w:val="clear" w:color="auto" w:fill="CFF0FC"/>
          </w:tcPr>
          <w:p>
            <w:pPr>
              <w:ind w:left="20"/>
              <w:spacing w:after="0" w:line="155" w:lineRule="exact"/>
              <w:rPr>
                <w:sz w:val="20"/>
                <w:szCs w:val="20"/>
                <w:color w:val="auto"/>
              </w:rPr>
            </w:pPr>
            <w:r>
              <w:rPr>
                <w:rFonts w:ascii="Arial" w:cs="Arial" w:eastAsia="Arial" w:hAnsi="Arial"/>
                <w:sz w:val="16"/>
                <w:szCs w:val="16"/>
                <w:color w:val="auto"/>
              </w:rPr>
              <w:t>Initial effect of the</w:t>
            </w:r>
          </w:p>
        </w:tc>
        <w:tc>
          <w:tcPr>
            <w:tcW w:w="100" w:type="dxa"/>
            <w:vAlign w:val="bottom"/>
            <w:shd w:val="clear" w:color="auto" w:fill="CFF0FC"/>
          </w:tcPr>
          <w:p>
            <w:pPr>
              <w:spacing w:after="0"/>
              <w:rPr>
                <w:sz w:val="13"/>
                <w:szCs w:val="13"/>
                <w:color w:val="auto"/>
              </w:rPr>
            </w:pPr>
          </w:p>
        </w:tc>
        <w:tc>
          <w:tcPr>
            <w:tcW w:w="1080" w:type="dxa"/>
            <w:vAlign w:val="bottom"/>
            <w:tcBorders>
              <w:right w:val="single" w:sz="8" w:color="auto"/>
            </w:tcBorders>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w w:val="92"/>
              </w:rPr>
              <w:t>Reorganization Transactions and</w:t>
            </w:r>
          </w:p>
        </w:tc>
        <w:tc>
          <w:tcPr>
            <w:tcW w:w="100" w:type="dxa"/>
            <w:vAlign w:val="bottom"/>
            <w:shd w:val="clear" w:color="auto" w:fill="CFF0FC"/>
          </w:tcPr>
          <w:p>
            <w:pPr>
              <w:spacing w:after="0"/>
              <w:rPr>
                <w:sz w:val="15"/>
                <w:szCs w:val="15"/>
                <w:color w:val="auto"/>
              </w:rPr>
            </w:pPr>
          </w:p>
        </w:tc>
        <w:tc>
          <w:tcPr>
            <w:tcW w:w="1080" w:type="dxa"/>
            <w:vAlign w:val="bottom"/>
            <w:tcBorders>
              <w:right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(1,162,455 )</w:t>
            </w:r>
          </w:p>
        </w:tc>
        <w:tc>
          <w:tcPr>
            <w:tcW w:w="860" w:type="dxa"/>
            <w:vAlign w:val="bottom"/>
            <w:shd w:val="clear" w:color="auto" w:fill="CFF0FC"/>
          </w:tcPr>
          <w:p>
            <w:pPr>
              <w:jc w:val="right"/>
              <w:spacing w:after="0" w:line="175" w:lineRule="exact"/>
              <w:rPr>
                <w:sz w:val="20"/>
                <w:szCs w:val="20"/>
                <w:color w:val="auto"/>
              </w:rPr>
            </w:pPr>
            <w:r>
              <w:rPr>
                <w:rFonts w:ascii="Arial" w:cs="Arial" w:eastAsia="Arial" w:hAnsi="Arial"/>
                <w:sz w:val="16"/>
                <w:szCs w:val="16"/>
                <w:color w:val="auto"/>
              </w:rPr>
              <w:t>72,871,73</w:t>
            </w:r>
          </w:p>
        </w:tc>
        <w:tc>
          <w:tcPr>
            <w:tcW w:w="18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ind w:left="440"/>
              <w:spacing w:after="0"/>
              <w:rPr>
                <w:sz w:val="20"/>
                <w:szCs w:val="20"/>
                <w:color w:val="auto"/>
              </w:rPr>
            </w:pPr>
            <w:r>
              <w:rPr>
                <w:rFonts w:ascii="Arial" w:cs="Arial" w:eastAsia="Arial" w:hAnsi="Arial"/>
                <w:sz w:val="16"/>
                <w:szCs w:val="16"/>
                <w:color w:val="auto"/>
              </w:rPr>
              <w:t>73</w:t>
            </w:r>
          </w:p>
        </w:tc>
        <w:tc>
          <w:tcPr>
            <w:tcW w:w="860" w:type="dxa"/>
            <w:vAlign w:val="bottom"/>
            <w:shd w:val="clear" w:color="auto" w:fill="CFF0FC"/>
          </w:tcPr>
          <w:p>
            <w:pPr>
              <w:jc w:val="right"/>
              <w:ind w:right="1"/>
              <w:spacing w:after="0" w:line="175" w:lineRule="exact"/>
              <w:rPr>
                <w:sz w:val="20"/>
                <w:szCs w:val="20"/>
                <w:color w:val="auto"/>
              </w:rPr>
            </w:pPr>
            <w:r>
              <w:rPr>
                <w:rFonts w:ascii="Arial" w:cs="Arial" w:eastAsia="Arial" w:hAnsi="Arial"/>
                <w:sz w:val="16"/>
                <w:szCs w:val="16"/>
                <w:color w:val="auto"/>
              </w:rPr>
              <w:t>61,262,05</w:t>
            </w:r>
          </w:p>
        </w:tc>
        <w:tc>
          <w:tcPr>
            <w:tcW w:w="160" w:type="dxa"/>
            <w:vAlign w:val="bottom"/>
            <w:shd w:val="clear" w:color="auto" w:fill="CFF0FC"/>
          </w:tcPr>
          <w:p>
            <w:pPr>
              <w:spacing w:after="0"/>
              <w:rPr>
                <w:sz w:val="15"/>
                <w:szCs w:val="15"/>
                <w:color w:val="auto"/>
              </w:rPr>
            </w:pPr>
          </w:p>
        </w:tc>
        <w:tc>
          <w:tcPr>
            <w:tcW w:w="640" w:type="dxa"/>
            <w:vAlign w:val="bottom"/>
            <w:vMerge w:val="restart"/>
            <w:shd w:val="clear" w:color="auto" w:fill="CFF0FC"/>
          </w:tcPr>
          <w:p>
            <w:pPr>
              <w:ind w:left="4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5"/>
                <w:szCs w:val="15"/>
                <w:color w:val="auto"/>
              </w:rPr>
            </w:pPr>
          </w:p>
        </w:tc>
        <w:tc>
          <w:tcPr>
            <w:tcW w:w="660" w:type="dxa"/>
            <w:vAlign w:val="bottom"/>
            <w:vMerge w:val="restart"/>
            <w:shd w:val="clear" w:color="auto" w:fill="CFF0FC"/>
          </w:tcPr>
          <w:p>
            <w:pPr>
              <w:jc w:val="right"/>
              <w:ind w:right="1"/>
              <w:spacing w:after="0"/>
              <w:rPr>
                <w:sz w:val="20"/>
                <w:szCs w:val="20"/>
                <w:color w:val="auto"/>
              </w:rPr>
            </w:pPr>
            <w:r>
              <w:rPr>
                <w:rFonts w:ascii="Arial" w:cs="Arial" w:eastAsia="Arial" w:hAnsi="Arial"/>
                <w:sz w:val="16"/>
                <w:szCs w:val="16"/>
                <w:color w:val="auto"/>
                <w:w w:val="96"/>
              </w:rPr>
              <w:t>351,075</w:t>
            </w:r>
          </w:p>
        </w:tc>
        <w:tc>
          <w:tcPr>
            <w:tcW w:w="180" w:type="dxa"/>
            <w:vAlign w:val="bottom"/>
            <w:shd w:val="clear" w:color="auto" w:fill="CFF0FC"/>
          </w:tcPr>
          <w:p>
            <w:pPr>
              <w:spacing w:after="0"/>
              <w:rPr>
                <w:sz w:val="15"/>
                <w:szCs w:val="15"/>
                <w:color w:val="auto"/>
              </w:rPr>
            </w:pPr>
          </w:p>
        </w:tc>
        <w:tc>
          <w:tcPr>
            <w:tcW w:w="600" w:type="dxa"/>
            <w:vAlign w:val="bottom"/>
            <w:vMerge w:val="restart"/>
            <w:shd w:val="clear" w:color="auto" w:fill="CFF0FC"/>
          </w:tcPr>
          <w:p>
            <w:pPr>
              <w:ind w:lef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720" w:type="dxa"/>
            <w:vAlign w:val="bottom"/>
            <w:vMerge w:val="restart"/>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5"/>
                <w:szCs w:val="15"/>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593,861</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(217,446 )</w:t>
            </w:r>
          </w:p>
        </w:tc>
        <w:tc>
          <w:tcPr>
            <w:tcW w:w="0" w:type="dxa"/>
            <w:vAlign w:val="bottom"/>
          </w:tcPr>
          <w:p>
            <w:pPr>
              <w:spacing w:after="0"/>
              <w:rPr>
                <w:sz w:val="1"/>
                <w:szCs w:val="1"/>
                <w:color w:val="auto"/>
              </w:rPr>
            </w:pPr>
          </w:p>
        </w:tc>
      </w:tr>
      <w:tr>
        <w:trPr>
          <w:trHeight w:val="212"/>
        </w:trPr>
        <w:tc>
          <w:tcPr>
            <w:tcW w:w="22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IPO on noncontrolling interests</w:t>
            </w:r>
          </w:p>
        </w:tc>
        <w:tc>
          <w:tcPr>
            <w:tcW w:w="100" w:type="dxa"/>
            <w:vAlign w:val="bottom"/>
            <w:shd w:val="clear" w:color="auto" w:fill="CFF0FC"/>
          </w:tcPr>
          <w:p>
            <w:pPr>
              <w:spacing w:after="0"/>
              <w:rPr>
                <w:sz w:val="18"/>
                <w:szCs w:val="18"/>
                <w:color w:val="auto"/>
              </w:rPr>
            </w:pPr>
          </w:p>
        </w:tc>
        <w:tc>
          <w:tcPr>
            <w:tcW w:w="1080" w:type="dxa"/>
            <w:vAlign w:val="bottom"/>
            <w:tcBorders>
              <w:right w:val="single" w:sz="8" w:color="auto"/>
            </w:tcBorders>
            <w:vMerge w:val="continue"/>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80" w:type="dxa"/>
            <w:vAlign w:val="bottom"/>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8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2</w:t>
            </w:r>
          </w:p>
        </w:tc>
        <w:tc>
          <w:tcPr>
            <w:tcW w:w="16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2220" w:type="dxa"/>
            <w:vAlign w:val="bottom"/>
          </w:tcPr>
          <w:p>
            <w:pPr>
              <w:ind w:left="20"/>
              <w:spacing w:after="0"/>
              <w:rPr>
                <w:sz w:val="20"/>
                <w:szCs w:val="20"/>
                <w:color w:val="auto"/>
              </w:rPr>
            </w:pPr>
            <w:r>
              <w:rPr>
                <w:rFonts w:ascii="Arial" w:cs="Arial" w:eastAsia="Arial" w:hAnsi="Arial"/>
                <w:sz w:val="16"/>
                <w:szCs w:val="16"/>
                <w:color w:val="auto"/>
              </w:rPr>
              <w:t>Issuance of Class A Common</w:t>
            </w:r>
          </w:p>
        </w:tc>
        <w:tc>
          <w:tcPr>
            <w:tcW w:w="5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20" w:type="dxa"/>
            <w:vAlign w:val="bottom"/>
          </w:tcPr>
          <w:p>
            <w:pPr>
              <w:ind w:left="20"/>
              <w:spacing w:after="0" w:line="175" w:lineRule="exact"/>
              <w:rPr>
                <w:sz w:val="20"/>
                <w:szCs w:val="20"/>
                <w:color w:val="auto"/>
              </w:rPr>
            </w:pPr>
            <w:r>
              <w:rPr>
                <w:rFonts w:ascii="Arial" w:cs="Arial" w:eastAsia="Arial" w:hAnsi="Arial"/>
                <w:sz w:val="16"/>
                <w:szCs w:val="16"/>
                <w:color w:val="auto"/>
              </w:rPr>
              <w:t>Stock in IPO, net of costs of</w:t>
            </w:r>
          </w:p>
        </w:tc>
        <w:tc>
          <w:tcPr>
            <w:tcW w:w="500" w:type="dxa"/>
            <w:vAlign w:val="bottom"/>
          </w:tcPr>
          <w:p>
            <w:pPr>
              <w:spacing w:after="0"/>
              <w:rPr>
                <w:sz w:val="15"/>
                <w:szCs w:val="15"/>
                <w:color w:val="auto"/>
              </w:rPr>
            </w:pPr>
          </w:p>
        </w:tc>
        <w:tc>
          <w:tcPr>
            <w:tcW w:w="700" w:type="dxa"/>
            <w:vAlign w:val="bottom"/>
            <w:tcBorders>
              <w:right w:val="single" w:sz="8" w:color="auto"/>
            </w:tcBorders>
            <w:vMerge w:val="restart"/>
          </w:tcPr>
          <w:p>
            <w:pPr>
              <w:ind w:left="4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line="175" w:lineRule="exact"/>
              <w:rPr>
                <w:sz w:val="20"/>
                <w:szCs w:val="20"/>
                <w:color w:val="auto"/>
              </w:rPr>
            </w:pPr>
            <w:r>
              <w:rPr>
                <w:rFonts w:ascii="Arial" w:cs="Arial" w:eastAsia="Arial" w:hAnsi="Arial"/>
                <w:sz w:val="16"/>
                <w:szCs w:val="16"/>
                <w:color w:val="auto"/>
              </w:rPr>
              <w:t>17,888,88</w:t>
            </w:r>
          </w:p>
        </w:tc>
        <w:tc>
          <w:tcPr>
            <w:tcW w:w="360" w:type="dxa"/>
            <w:vAlign w:val="bottom"/>
          </w:tcPr>
          <w:p>
            <w:pPr>
              <w:spacing w:after="0"/>
              <w:rPr>
                <w:sz w:val="15"/>
                <w:szCs w:val="15"/>
                <w:color w:val="auto"/>
              </w:rPr>
            </w:pPr>
          </w:p>
        </w:tc>
        <w:tc>
          <w:tcPr>
            <w:tcW w:w="560" w:type="dxa"/>
            <w:vAlign w:val="bottom"/>
            <w:vMerge w:val="restart"/>
          </w:tcPr>
          <w:p>
            <w:pPr>
              <w:jc w:val="right"/>
              <w:ind w:right="99"/>
              <w:spacing w:after="0"/>
              <w:rPr>
                <w:sz w:val="20"/>
                <w:szCs w:val="20"/>
                <w:color w:val="auto"/>
              </w:rPr>
            </w:pPr>
            <w:r>
              <w:rPr>
                <w:rFonts w:ascii="Arial" w:cs="Arial" w:eastAsia="Arial" w:hAnsi="Arial"/>
                <w:sz w:val="16"/>
                <w:szCs w:val="16"/>
                <w:color w:val="auto"/>
              </w:rPr>
              <w:t>18</w:t>
            </w:r>
          </w:p>
        </w:tc>
        <w:tc>
          <w:tcPr>
            <w:tcW w:w="86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44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39"/>
              <w:spacing w:after="0"/>
              <w:rPr>
                <w:sz w:val="20"/>
                <w:szCs w:val="20"/>
                <w:color w:val="auto"/>
              </w:rPr>
            </w:pPr>
            <w:r>
              <w:rPr>
                <w:rFonts w:ascii="Arial" w:cs="Arial" w:eastAsia="Arial" w:hAnsi="Arial"/>
                <w:sz w:val="16"/>
                <w:szCs w:val="16"/>
                <w:color w:val="auto"/>
              </w:rPr>
              <w:t>441,400</w:t>
            </w:r>
          </w:p>
        </w:tc>
        <w:tc>
          <w:tcPr>
            <w:tcW w:w="180" w:type="dxa"/>
            <w:vAlign w:val="bottom"/>
          </w:tcPr>
          <w:p>
            <w:pPr>
              <w:spacing w:after="0"/>
              <w:rPr>
                <w:sz w:val="15"/>
                <w:szCs w:val="15"/>
                <w:color w:val="auto"/>
              </w:rPr>
            </w:pPr>
          </w:p>
        </w:tc>
        <w:tc>
          <w:tcPr>
            <w:tcW w:w="980" w:type="dxa"/>
            <w:vAlign w:val="bottom"/>
            <w:vMerge w:val="restart"/>
          </w:tcPr>
          <w:p>
            <w:pPr>
              <w:jc w:val="right"/>
              <w:ind w:right="399"/>
              <w:spacing w:after="0"/>
              <w:rPr>
                <w:sz w:val="20"/>
                <w:szCs w:val="20"/>
                <w:color w:val="auto"/>
              </w:rPr>
            </w:pPr>
            <w:r>
              <w:rPr>
                <w:rFonts w:ascii="Arial" w:cs="Arial" w:eastAsia="Arial" w:hAnsi="Arial"/>
                <w:sz w:val="16"/>
                <w:szCs w:val="16"/>
                <w:color w:val="auto"/>
              </w:rPr>
              <w:t>—</w:t>
            </w:r>
          </w:p>
        </w:tc>
        <w:tc>
          <w:tcPr>
            <w:tcW w:w="480" w:type="dxa"/>
            <w:vAlign w:val="bottom"/>
            <w:vMerge w:val="restart"/>
          </w:tcPr>
          <w:p>
            <w:pPr>
              <w:ind w:lef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7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441,418</w:t>
            </w:r>
          </w:p>
        </w:tc>
        <w:tc>
          <w:tcPr>
            <w:tcW w:w="0" w:type="dxa"/>
            <w:vAlign w:val="bottom"/>
          </w:tcPr>
          <w:p>
            <w:pPr>
              <w:spacing w:after="0"/>
              <w:rPr>
                <w:sz w:val="1"/>
                <w:szCs w:val="1"/>
                <w:color w:val="auto"/>
              </w:rPr>
            </w:pPr>
          </w:p>
        </w:tc>
      </w:tr>
      <w:tr>
        <w:trPr>
          <w:trHeight w:val="199"/>
        </w:trPr>
        <w:tc>
          <w:tcPr>
            <w:tcW w:w="2220" w:type="dxa"/>
            <w:vAlign w:val="bottom"/>
          </w:tcPr>
          <w:p>
            <w:pPr>
              <w:ind w:left="20"/>
              <w:spacing w:after="0"/>
              <w:rPr>
                <w:sz w:val="20"/>
                <w:szCs w:val="20"/>
                <w:color w:val="auto"/>
              </w:rPr>
            </w:pPr>
            <w:r>
              <w:rPr>
                <w:rFonts w:ascii="Arial" w:cs="Arial" w:eastAsia="Arial" w:hAnsi="Arial"/>
                <w:sz w:val="16"/>
                <w:szCs w:val="16"/>
                <w:color w:val="auto"/>
              </w:rPr>
              <w:t>$11,394</w:t>
            </w:r>
          </w:p>
        </w:tc>
        <w:tc>
          <w:tcPr>
            <w:tcW w:w="500" w:type="dxa"/>
            <w:vAlign w:val="bottom"/>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3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220" w:type="dxa"/>
            <w:vAlign w:val="bottom"/>
            <w:shd w:val="clear" w:color="auto" w:fill="CFF0FC"/>
          </w:tcPr>
          <w:p>
            <w:pPr>
              <w:ind w:left="20"/>
              <w:spacing w:after="0" w:line="166" w:lineRule="exact"/>
              <w:rPr>
                <w:sz w:val="20"/>
                <w:szCs w:val="20"/>
                <w:color w:val="auto"/>
              </w:rPr>
            </w:pPr>
            <w:r>
              <w:rPr>
                <w:rFonts w:ascii="Arial" w:cs="Arial" w:eastAsia="Arial" w:hAnsi="Arial"/>
                <w:sz w:val="16"/>
                <w:szCs w:val="16"/>
                <w:color w:val="auto"/>
              </w:rPr>
              <w:t>Repurchase of Definitive</w:t>
            </w:r>
          </w:p>
        </w:tc>
        <w:tc>
          <w:tcPr>
            <w:tcW w:w="500" w:type="dxa"/>
            <w:vAlign w:val="bottom"/>
            <w:shd w:val="clear" w:color="auto" w:fill="CFF0FC"/>
          </w:tcPr>
          <w:p>
            <w:pPr>
              <w:spacing w:after="0"/>
              <w:rPr>
                <w:sz w:val="14"/>
                <w:szCs w:val="14"/>
                <w:color w:val="auto"/>
              </w:rPr>
            </w:pPr>
          </w:p>
        </w:tc>
        <w:tc>
          <w:tcPr>
            <w:tcW w:w="700" w:type="dxa"/>
            <w:vAlign w:val="bottom"/>
            <w:tcBorders>
              <w:right w:val="single" w:sz="8" w:color="auto"/>
            </w:tcBorders>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20"/>
              <w:spacing w:after="0" w:line="162" w:lineRule="exact"/>
              <w:rPr>
                <w:sz w:val="20"/>
                <w:szCs w:val="20"/>
                <w:color w:val="auto"/>
              </w:rPr>
            </w:pPr>
            <w:r>
              <w:rPr>
                <w:rFonts w:ascii="Arial" w:cs="Arial" w:eastAsia="Arial" w:hAnsi="Arial"/>
                <w:sz w:val="16"/>
                <w:szCs w:val="16"/>
                <w:color w:val="auto"/>
              </w:rPr>
              <w:t>Healthcare Corp. shares in</w:t>
            </w:r>
          </w:p>
        </w:tc>
        <w:tc>
          <w:tcPr>
            <w:tcW w:w="500" w:type="dxa"/>
            <w:vAlign w:val="bottom"/>
            <w:shd w:val="clear" w:color="auto" w:fill="CFF0FC"/>
          </w:tcPr>
          <w:p>
            <w:pPr>
              <w:spacing w:after="0"/>
              <w:rPr>
                <w:sz w:val="14"/>
                <w:szCs w:val="14"/>
                <w:color w:val="auto"/>
              </w:rPr>
            </w:pPr>
          </w:p>
        </w:tc>
        <w:tc>
          <w:tcPr>
            <w:tcW w:w="700" w:type="dxa"/>
            <w:vAlign w:val="bottom"/>
            <w:tcBorders>
              <w:right w:val="single" w:sz="8" w:color="auto"/>
            </w:tcBorders>
            <w:shd w:val="clear" w:color="auto" w:fill="CFF0FC"/>
          </w:tcPr>
          <w:p>
            <w:pPr>
              <w:spacing w:after="0"/>
              <w:rPr>
                <w:sz w:val="14"/>
                <w:szCs w:val="14"/>
                <w:color w:val="auto"/>
              </w:rPr>
            </w:pPr>
          </w:p>
        </w:tc>
        <w:tc>
          <w:tcPr>
            <w:tcW w:w="880" w:type="dxa"/>
            <w:vAlign w:val="bottom"/>
            <w:shd w:val="clear" w:color="auto" w:fill="CFF0FC"/>
          </w:tcPr>
          <w:p>
            <w:pPr>
              <w:jc w:val="right"/>
              <w:ind w:right="19"/>
              <w:spacing w:after="0" w:line="162" w:lineRule="exact"/>
              <w:rPr>
                <w:sz w:val="20"/>
                <w:szCs w:val="20"/>
                <w:color w:val="auto"/>
              </w:rPr>
            </w:pPr>
            <w:r>
              <w:rPr>
                <w:rFonts w:ascii="Arial" w:cs="Arial" w:eastAsia="Arial" w:hAnsi="Arial"/>
                <w:sz w:val="16"/>
                <w:szCs w:val="16"/>
                <w:color w:val="auto"/>
              </w:rPr>
              <w:t>(2,497,28</w:t>
            </w:r>
          </w:p>
        </w:tc>
        <w:tc>
          <w:tcPr>
            <w:tcW w:w="3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connection with the IPO</w:t>
            </w:r>
          </w:p>
        </w:tc>
        <w:tc>
          <w:tcPr>
            <w:tcW w:w="50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ind w:left="40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8 )</w:t>
            </w:r>
          </w:p>
        </w:tc>
        <w:tc>
          <w:tcPr>
            <w:tcW w:w="36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(3 )</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(63,209 )</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(63,212 )</w:t>
            </w:r>
          </w:p>
        </w:tc>
        <w:tc>
          <w:tcPr>
            <w:tcW w:w="0" w:type="dxa"/>
            <w:vAlign w:val="bottom"/>
          </w:tcPr>
          <w:p>
            <w:pPr>
              <w:spacing w:after="0"/>
              <w:rPr>
                <w:sz w:val="1"/>
                <w:szCs w:val="1"/>
                <w:color w:val="auto"/>
              </w:rPr>
            </w:pPr>
          </w:p>
        </w:tc>
      </w:tr>
      <w:tr>
        <w:trPr>
          <w:trHeight w:val="152"/>
        </w:trPr>
        <w:tc>
          <w:tcPr>
            <w:tcW w:w="2220" w:type="dxa"/>
            <w:vAlign w:val="bottom"/>
          </w:tcPr>
          <w:p>
            <w:pPr>
              <w:ind w:left="20"/>
              <w:spacing w:after="0" w:line="152" w:lineRule="exact"/>
              <w:rPr>
                <w:sz w:val="20"/>
                <w:szCs w:val="20"/>
                <w:color w:val="auto"/>
              </w:rPr>
            </w:pPr>
            <w:r>
              <w:rPr>
                <w:rFonts w:ascii="Arial" w:cs="Arial" w:eastAsia="Arial" w:hAnsi="Arial"/>
                <w:sz w:val="16"/>
                <w:szCs w:val="16"/>
                <w:color w:val="auto"/>
                <w:w w:val="98"/>
              </w:rPr>
              <w:t>Repurchase of Definitive OpCo</w:t>
            </w:r>
          </w:p>
        </w:tc>
        <w:tc>
          <w:tcPr>
            <w:tcW w:w="50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jc w:val="right"/>
              <w:ind w:right="39"/>
              <w:spacing w:after="0" w:line="152" w:lineRule="exact"/>
              <w:rPr>
                <w:sz w:val="20"/>
                <w:szCs w:val="20"/>
                <w:color w:val="auto"/>
              </w:rPr>
            </w:pPr>
            <w:r>
              <w:rPr>
                <w:rFonts w:ascii="Arial" w:cs="Arial" w:eastAsia="Arial" w:hAnsi="Arial"/>
                <w:sz w:val="16"/>
                <w:szCs w:val="16"/>
                <w:color w:val="auto"/>
              </w:rPr>
              <w:t>(1,169,37</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220" w:type="dxa"/>
            <w:vAlign w:val="bottom"/>
          </w:tcPr>
          <w:p>
            <w:pPr>
              <w:ind w:left="20"/>
              <w:spacing w:after="0"/>
              <w:rPr>
                <w:sz w:val="20"/>
                <w:szCs w:val="20"/>
                <w:color w:val="auto"/>
              </w:rPr>
            </w:pPr>
            <w:r>
              <w:rPr>
                <w:rFonts w:ascii="Arial" w:cs="Arial" w:eastAsia="Arial" w:hAnsi="Arial"/>
                <w:sz w:val="16"/>
                <w:szCs w:val="16"/>
                <w:color w:val="auto"/>
              </w:rPr>
              <w:t>units in connection with IPO</w:t>
            </w:r>
          </w:p>
        </w:tc>
        <w:tc>
          <w:tcPr>
            <w:tcW w:w="500" w:type="dxa"/>
            <w:vAlign w:val="bottom"/>
          </w:tcPr>
          <w:p>
            <w:pPr>
              <w:spacing w:after="0"/>
              <w:rPr>
                <w:sz w:val="18"/>
                <w:szCs w:val="18"/>
                <w:color w:val="auto"/>
              </w:rPr>
            </w:pPr>
          </w:p>
        </w:tc>
        <w:tc>
          <w:tcPr>
            <w:tcW w:w="70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8 )</w:t>
            </w:r>
          </w:p>
        </w:tc>
        <w:tc>
          <w:tcPr>
            <w:tcW w:w="32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(29,600 )</w:t>
            </w:r>
          </w:p>
        </w:tc>
        <w:tc>
          <w:tcPr>
            <w:tcW w:w="18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480" w:type="dxa"/>
            <w:vAlign w:val="bottom"/>
          </w:tcPr>
          <w:p>
            <w:pPr>
              <w:ind w:lef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(29,600 )</w:t>
            </w:r>
          </w:p>
        </w:tc>
        <w:tc>
          <w:tcPr>
            <w:tcW w:w="0" w:type="dxa"/>
            <w:vAlign w:val="bottom"/>
          </w:tcPr>
          <w:p>
            <w:pPr>
              <w:spacing w:after="0"/>
              <w:rPr>
                <w:sz w:val="1"/>
                <w:szCs w:val="1"/>
                <w:color w:val="auto"/>
              </w:rPr>
            </w:pPr>
          </w:p>
        </w:tc>
      </w:tr>
      <w:tr>
        <w:trPr>
          <w:trHeight w:val="166"/>
        </w:trPr>
        <w:tc>
          <w:tcPr>
            <w:tcW w:w="2220" w:type="dxa"/>
            <w:vAlign w:val="bottom"/>
            <w:shd w:val="clear" w:color="auto" w:fill="CFF0FC"/>
          </w:tcPr>
          <w:p>
            <w:pPr>
              <w:ind w:left="20"/>
              <w:spacing w:after="0" w:line="166" w:lineRule="exact"/>
              <w:rPr>
                <w:sz w:val="20"/>
                <w:szCs w:val="20"/>
                <w:color w:val="auto"/>
              </w:rPr>
            </w:pPr>
            <w:r>
              <w:rPr>
                <w:rFonts w:ascii="Arial" w:cs="Arial" w:eastAsia="Arial" w:hAnsi="Arial"/>
                <w:sz w:val="16"/>
                <w:szCs w:val="16"/>
                <w:color w:val="auto"/>
              </w:rPr>
              <w:t>Net loss subsequent to</w:t>
            </w:r>
          </w:p>
        </w:tc>
        <w:tc>
          <w:tcPr>
            <w:tcW w:w="500" w:type="dxa"/>
            <w:vAlign w:val="bottom"/>
            <w:shd w:val="clear" w:color="auto" w:fill="CFF0FC"/>
          </w:tcPr>
          <w:p>
            <w:pPr>
              <w:spacing w:after="0"/>
              <w:rPr>
                <w:sz w:val="14"/>
                <w:szCs w:val="14"/>
                <w:color w:val="auto"/>
              </w:rPr>
            </w:pPr>
          </w:p>
        </w:tc>
        <w:tc>
          <w:tcPr>
            <w:tcW w:w="700" w:type="dxa"/>
            <w:vAlign w:val="bottom"/>
            <w:tcBorders>
              <w:right w:val="single" w:sz="8" w:color="auto"/>
            </w:tcBorders>
            <w:vMerge w:val="restart"/>
            <w:shd w:val="clear" w:color="auto" w:fill="CFF0FC"/>
          </w:tcPr>
          <w:p>
            <w:pPr>
              <w:ind w:left="40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4"/>
                <w:szCs w:val="14"/>
                <w:color w:val="auto"/>
              </w:rPr>
            </w:pPr>
          </w:p>
        </w:tc>
        <w:tc>
          <w:tcPr>
            <w:tcW w:w="560" w:type="dxa"/>
            <w:vAlign w:val="bottom"/>
            <w:vMerge w:val="restart"/>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4"/>
                <w:szCs w:val="14"/>
                <w:color w:val="auto"/>
              </w:rPr>
            </w:pPr>
          </w:p>
        </w:tc>
        <w:tc>
          <w:tcPr>
            <w:tcW w:w="440" w:type="dxa"/>
            <w:vAlign w:val="bottom"/>
            <w:vMerge w:val="restart"/>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ind w:right="319"/>
              <w:spacing w:after="0"/>
              <w:rPr>
                <w:sz w:val="20"/>
                <w:szCs w:val="20"/>
                <w:color w:val="auto"/>
              </w:rPr>
            </w:pPr>
            <w:r>
              <w:rPr>
                <w:rFonts w:ascii="Arial" w:cs="Arial" w:eastAsia="Arial" w:hAnsi="Arial"/>
                <w:sz w:val="16"/>
                <w:szCs w:val="16"/>
                <w:color w:val="auto"/>
              </w:rPr>
              <w:t>(7,978 )</w:t>
            </w:r>
          </w:p>
        </w:tc>
        <w:tc>
          <w:tcPr>
            <w:tcW w:w="48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4"/>
                <w:szCs w:val="14"/>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(5,172 )</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(13,150 )</w:t>
            </w:r>
          </w:p>
        </w:tc>
        <w:tc>
          <w:tcPr>
            <w:tcW w:w="0" w:type="dxa"/>
            <w:vAlign w:val="bottom"/>
          </w:tcPr>
          <w:p>
            <w:pPr>
              <w:spacing w:after="0"/>
              <w:rPr>
                <w:sz w:val="1"/>
                <w:szCs w:val="1"/>
                <w:color w:val="auto"/>
              </w:rPr>
            </w:pPr>
          </w:p>
        </w:tc>
      </w:tr>
      <w:tr>
        <w:trPr>
          <w:trHeight w:val="199"/>
        </w:trPr>
        <w:tc>
          <w:tcPr>
            <w:tcW w:w="2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Reorganization Transactions</w:t>
            </w:r>
          </w:p>
        </w:tc>
        <w:tc>
          <w:tcPr>
            <w:tcW w:w="500" w:type="dxa"/>
            <w:vAlign w:val="bottom"/>
            <w:shd w:val="clear" w:color="auto" w:fill="CFF0FC"/>
          </w:tcPr>
          <w:p>
            <w:pPr>
              <w:spacing w:after="0"/>
              <w:rPr>
                <w:sz w:val="17"/>
                <w:szCs w:val="17"/>
                <w:color w:val="auto"/>
              </w:rPr>
            </w:pPr>
          </w:p>
        </w:tc>
        <w:tc>
          <w:tcPr>
            <w:tcW w:w="700" w:type="dxa"/>
            <w:vAlign w:val="bottom"/>
            <w:tcBorders>
              <w:right w:val="single" w:sz="8" w:color="auto"/>
            </w:tcBorders>
            <w:vMerge w:val="continue"/>
            <w:shd w:val="clear" w:color="auto" w:fill="CFF0FC"/>
          </w:tcPr>
          <w:p>
            <w:pPr>
              <w:spacing w:after="0"/>
              <w:rPr>
                <w:sz w:val="17"/>
                <w:szCs w:val="17"/>
                <w:color w:val="auto"/>
              </w:rPr>
            </w:pPr>
          </w:p>
        </w:tc>
        <w:tc>
          <w:tcPr>
            <w:tcW w:w="880" w:type="dxa"/>
            <w:vAlign w:val="bottom"/>
            <w:vMerge w:val="continue"/>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560" w:type="dxa"/>
            <w:vAlign w:val="bottom"/>
            <w:vMerge w:val="continue"/>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40" w:type="dxa"/>
            <w:vAlign w:val="bottom"/>
            <w:vMerge w:val="continue"/>
            <w:shd w:val="clear" w:color="auto" w:fill="CFF0FC"/>
          </w:tcPr>
          <w:p>
            <w:pPr>
              <w:spacing w:after="0"/>
              <w:rPr>
                <w:sz w:val="17"/>
                <w:szCs w:val="17"/>
                <w:color w:val="auto"/>
              </w:rPr>
            </w:pPr>
          </w:p>
        </w:tc>
        <w:tc>
          <w:tcPr>
            <w:tcW w:w="8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vMerge w:val="continue"/>
            <w:shd w:val="clear" w:color="auto" w:fill="CFF0FC"/>
          </w:tcPr>
          <w:p>
            <w:pPr>
              <w:spacing w:after="0"/>
              <w:rPr>
                <w:sz w:val="17"/>
                <w:szCs w:val="17"/>
                <w:color w:val="auto"/>
              </w:rPr>
            </w:pPr>
          </w:p>
        </w:tc>
        <w:tc>
          <w:tcPr>
            <w:tcW w:w="48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vMerge w:val="continue"/>
            <w:shd w:val="clear" w:color="auto" w:fill="CFF0FC"/>
          </w:tcPr>
          <w:p>
            <w:pPr>
              <w:spacing w:after="0"/>
              <w:rPr>
                <w:sz w:val="17"/>
                <w:szCs w:val="17"/>
                <w:color w:val="auto"/>
              </w:rPr>
            </w:pPr>
          </w:p>
        </w:tc>
        <w:tc>
          <w:tcPr>
            <w:tcW w:w="92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rPr>
              <w:t>Other comprehensive income</w:t>
            </w:r>
          </w:p>
        </w:tc>
        <w:tc>
          <w:tcPr>
            <w:tcW w:w="50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20" w:type="dxa"/>
            <w:vAlign w:val="bottom"/>
          </w:tcPr>
          <w:p>
            <w:pPr>
              <w:ind w:left="20"/>
              <w:spacing w:after="0" w:line="175" w:lineRule="exact"/>
              <w:rPr>
                <w:sz w:val="20"/>
                <w:szCs w:val="20"/>
                <w:color w:val="auto"/>
              </w:rPr>
            </w:pPr>
            <w:r>
              <w:rPr>
                <w:rFonts w:ascii="Arial" w:cs="Arial" w:eastAsia="Arial" w:hAnsi="Arial"/>
                <w:sz w:val="16"/>
                <w:szCs w:val="16"/>
                <w:color w:val="auto"/>
              </w:rPr>
              <w:t>subsequent to Reorganization</w:t>
            </w:r>
          </w:p>
        </w:tc>
        <w:tc>
          <w:tcPr>
            <w:tcW w:w="500" w:type="dxa"/>
            <w:vAlign w:val="bottom"/>
          </w:tcPr>
          <w:p>
            <w:pPr>
              <w:spacing w:after="0"/>
              <w:rPr>
                <w:sz w:val="15"/>
                <w:szCs w:val="15"/>
                <w:color w:val="auto"/>
              </w:rPr>
            </w:pPr>
          </w:p>
        </w:tc>
        <w:tc>
          <w:tcPr>
            <w:tcW w:w="700" w:type="dxa"/>
            <w:vAlign w:val="bottom"/>
            <w:tcBorders>
              <w:right w:val="single" w:sz="8" w:color="auto"/>
            </w:tcBorders>
            <w:vMerge w:val="restart"/>
          </w:tcPr>
          <w:p>
            <w:pPr>
              <w:ind w:left="40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56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44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980" w:type="dxa"/>
            <w:vAlign w:val="bottom"/>
            <w:vMerge w:val="restart"/>
          </w:tcPr>
          <w:p>
            <w:pPr>
              <w:jc w:val="right"/>
              <w:ind w:right="399"/>
              <w:spacing w:after="0"/>
              <w:rPr>
                <w:sz w:val="20"/>
                <w:szCs w:val="20"/>
                <w:color w:val="auto"/>
              </w:rPr>
            </w:pPr>
            <w:r>
              <w:rPr>
                <w:rFonts w:ascii="Arial" w:cs="Arial" w:eastAsia="Arial" w:hAnsi="Arial"/>
                <w:sz w:val="16"/>
                <w:szCs w:val="16"/>
                <w:color w:val="auto"/>
              </w:rPr>
              <w:t>—</w:t>
            </w:r>
          </w:p>
        </w:tc>
        <w:tc>
          <w:tcPr>
            <w:tcW w:w="480" w:type="dxa"/>
            <w:vAlign w:val="bottom"/>
            <w:vMerge w:val="restart"/>
          </w:tcPr>
          <w:p>
            <w:pPr>
              <w:ind w:left="260"/>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5"/>
                <w:szCs w:val="15"/>
                <w:color w:val="auto"/>
              </w:rPr>
            </w:pPr>
          </w:p>
        </w:tc>
        <w:tc>
          <w:tcPr>
            <w:tcW w:w="7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9"/>
        </w:trPr>
        <w:tc>
          <w:tcPr>
            <w:tcW w:w="2220" w:type="dxa"/>
            <w:vAlign w:val="bottom"/>
          </w:tcPr>
          <w:p>
            <w:pPr>
              <w:ind w:left="20"/>
              <w:spacing w:after="0"/>
              <w:rPr>
                <w:sz w:val="20"/>
                <w:szCs w:val="20"/>
                <w:color w:val="auto"/>
              </w:rPr>
            </w:pPr>
            <w:r>
              <w:rPr>
                <w:rFonts w:ascii="Arial" w:cs="Arial" w:eastAsia="Arial" w:hAnsi="Arial"/>
                <w:sz w:val="16"/>
                <w:szCs w:val="16"/>
                <w:color w:val="auto"/>
              </w:rPr>
              <w:t>Transactions and IPO</w:t>
            </w:r>
          </w:p>
        </w:tc>
        <w:tc>
          <w:tcPr>
            <w:tcW w:w="500" w:type="dxa"/>
            <w:vAlign w:val="bottom"/>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220" w:type="dxa"/>
            <w:vAlign w:val="bottom"/>
            <w:shd w:val="clear" w:color="auto" w:fill="CFF0FC"/>
          </w:tcPr>
          <w:p>
            <w:pPr>
              <w:ind w:left="20"/>
              <w:spacing w:after="0" w:line="166" w:lineRule="exact"/>
              <w:rPr>
                <w:sz w:val="20"/>
                <w:szCs w:val="20"/>
                <w:color w:val="auto"/>
              </w:rPr>
            </w:pPr>
            <w:r>
              <w:rPr>
                <w:rFonts w:ascii="Arial" w:cs="Arial" w:eastAsia="Arial" w:hAnsi="Arial"/>
                <w:sz w:val="16"/>
                <w:szCs w:val="16"/>
                <w:color w:val="auto"/>
              </w:rPr>
              <w:t>Equity-based compensation</w:t>
            </w:r>
          </w:p>
        </w:tc>
        <w:tc>
          <w:tcPr>
            <w:tcW w:w="500" w:type="dxa"/>
            <w:vAlign w:val="bottom"/>
            <w:shd w:val="clear" w:color="auto" w:fill="CFF0FC"/>
          </w:tcPr>
          <w:p>
            <w:pPr>
              <w:spacing w:after="0"/>
              <w:rPr>
                <w:sz w:val="14"/>
                <w:szCs w:val="14"/>
                <w:color w:val="auto"/>
              </w:rPr>
            </w:pPr>
          </w:p>
        </w:tc>
        <w:tc>
          <w:tcPr>
            <w:tcW w:w="700" w:type="dxa"/>
            <w:vAlign w:val="bottom"/>
            <w:tcBorders>
              <w:right w:val="single" w:sz="8" w:color="auto"/>
            </w:tcBorders>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2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subsequent to Reorganization</w:t>
            </w:r>
          </w:p>
        </w:tc>
        <w:tc>
          <w:tcPr>
            <w:tcW w:w="500" w:type="dxa"/>
            <w:vAlign w:val="bottom"/>
            <w:shd w:val="clear" w:color="auto" w:fill="CFF0FC"/>
          </w:tcPr>
          <w:p>
            <w:pPr>
              <w:spacing w:after="0"/>
              <w:rPr>
                <w:sz w:val="15"/>
                <w:szCs w:val="15"/>
                <w:color w:val="auto"/>
              </w:rPr>
            </w:pPr>
          </w:p>
        </w:tc>
        <w:tc>
          <w:tcPr>
            <w:tcW w:w="700" w:type="dxa"/>
            <w:vAlign w:val="bottom"/>
            <w:tcBorders>
              <w:right w:val="single" w:sz="8" w:color="auto"/>
            </w:tcBorders>
            <w:vMerge w:val="restart"/>
            <w:shd w:val="clear" w:color="auto" w:fill="CFF0FC"/>
          </w:tcPr>
          <w:p>
            <w:pPr>
              <w:ind w:left="40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5"/>
                <w:szCs w:val="15"/>
                <w:color w:val="auto"/>
              </w:rPr>
            </w:pPr>
          </w:p>
        </w:tc>
        <w:tc>
          <w:tcPr>
            <w:tcW w:w="560" w:type="dxa"/>
            <w:vAlign w:val="bottom"/>
            <w:vMerge w:val="restart"/>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5"/>
                <w:szCs w:val="15"/>
                <w:color w:val="auto"/>
              </w:rPr>
            </w:pPr>
          </w:p>
        </w:tc>
        <w:tc>
          <w:tcPr>
            <w:tcW w:w="440" w:type="dxa"/>
            <w:vAlign w:val="bottom"/>
            <w:vMerge w:val="restart"/>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1,574</w:t>
            </w:r>
          </w:p>
        </w:tc>
        <w:tc>
          <w:tcPr>
            <w:tcW w:w="180" w:type="dxa"/>
            <w:vAlign w:val="bottom"/>
            <w:shd w:val="clear" w:color="auto" w:fill="CFF0FC"/>
          </w:tcPr>
          <w:p>
            <w:pPr>
              <w:spacing w:after="0"/>
              <w:rPr>
                <w:sz w:val="15"/>
                <w:szCs w:val="15"/>
                <w:color w:val="auto"/>
              </w:rPr>
            </w:pPr>
          </w:p>
        </w:tc>
        <w:tc>
          <w:tcPr>
            <w:tcW w:w="980" w:type="dxa"/>
            <w:vAlign w:val="bottom"/>
            <w:vMerge w:val="restart"/>
            <w:shd w:val="clear" w:color="auto" w:fill="CFF0FC"/>
          </w:tcPr>
          <w:p>
            <w:pPr>
              <w:jc w:val="right"/>
              <w:ind w:right="399"/>
              <w:spacing w:after="0"/>
              <w:rPr>
                <w:sz w:val="20"/>
                <w:szCs w:val="20"/>
                <w:color w:val="auto"/>
              </w:rPr>
            </w:pPr>
            <w:r>
              <w:rPr>
                <w:rFonts w:ascii="Arial" w:cs="Arial" w:eastAsia="Arial" w:hAnsi="Arial"/>
                <w:sz w:val="16"/>
                <w:szCs w:val="16"/>
                <w:color w:val="auto"/>
              </w:rPr>
              <w:t>—</w:t>
            </w:r>
          </w:p>
        </w:tc>
        <w:tc>
          <w:tcPr>
            <w:tcW w:w="48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5"/>
                <w:szCs w:val="15"/>
                <w:color w:val="auto"/>
              </w:rPr>
            </w:pPr>
          </w:p>
        </w:tc>
        <w:tc>
          <w:tcPr>
            <w:tcW w:w="72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1,021</w:t>
            </w:r>
          </w:p>
        </w:tc>
        <w:tc>
          <w:tcPr>
            <w:tcW w:w="92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2,595</w:t>
            </w:r>
          </w:p>
        </w:tc>
        <w:tc>
          <w:tcPr>
            <w:tcW w:w="0" w:type="dxa"/>
            <w:vAlign w:val="bottom"/>
          </w:tcPr>
          <w:p>
            <w:pPr>
              <w:spacing w:after="0"/>
              <w:rPr>
                <w:sz w:val="1"/>
                <w:szCs w:val="1"/>
                <w:color w:val="auto"/>
              </w:rPr>
            </w:pPr>
          </w:p>
        </w:tc>
      </w:tr>
      <w:tr>
        <w:trPr>
          <w:trHeight w:val="199"/>
        </w:trPr>
        <w:tc>
          <w:tcPr>
            <w:tcW w:w="2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Transactions</w:t>
            </w:r>
          </w:p>
        </w:tc>
        <w:tc>
          <w:tcPr>
            <w:tcW w:w="500" w:type="dxa"/>
            <w:vAlign w:val="bottom"/>
            <w:shd w:val="clear" w:color="auto" w:fill="CFF0FC"/>
          </w:tcPr>
          <w:p>
            <w:pPr>
              <w:spacing w:after="0"/>
              <w:rPr>
                <w:sz w:val="17"/>
                <w:szCs w:val="17"/>
                <w:color w:val="auto"/>
              </w:rPr>
            </w:pPr>
          </w:p>
        </w:tc>
        <w:tc>
          <w:tcPr>
            <w:tcW w:w="700" w:type="dxa"/>
            <w:vAlign w:val="bottom"/>
            <w:tcBorders>
              <w:right w:val="single" w:sz="8" w:color="auto"/>
            </w:tcBorders>
            <w:vMerge w:val="continue"/>
            <w:shd w:val="clear" w:color="auto" w:fill="CFF0FC"/>
          </w:tcPr>
          <w:p>
            <w:pPr>
              <w:spacing w:after="0"/>
              <w:rPr>
                <w:sz w:val="17"/>
                <w:szCs w:val="17"/>
                <w:color w:val="auto"/>
              </w:rPr>
            </w:pPr>
          </w:p>
        </w:tc>
        <w:tc>
          <w:tcPr>
            <w:tcW w:w="880" w:type="dxa"/>
            <w:vAlign w:val="bottom"/>
            <w:vMerge w:val="continue"/>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560" w:type="dxa"/>
            <w:vAlign w:val="bottom"/>
            <w:vMerge w:val="continue"/>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40" w:type="dxa"/>
            <w:vAlign w:val="bottom"/>
            <w:vMerge w:val="continue"/>
            <w:shd w:val="clear" w:color="auto" w:fill="CFF0FC"/>
          </w:tcPr>
          <w:p>
            <w:pPr>
              <w:spacing w:after="0"/>
              <w:rPr>
                <w:sz w:val="17"/>
                <w:szCs w:val="17"/>
                <w:color w:val="auto"/>
              </w:rPr>
            </w:pPr>
          </w:p>
        </w:tc>
        <w:tc>
          <w:tcPr>
            <w:tcW w:w="8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vMerge w:val="continue"/>
            <w:shd w:val="clear" w:color="auto" w:fill="CFF0FC"/>
          </w:tcPr>
          <w:p>
            <w:pPr>
              <w:spacing w:after="0"/>
              <w:rPr>
                <w:sz w:val="17"/>
                <w:szCs w:val="17"/>
                <w:color w:val="auto"/>
              </w:rPr>
            </w:pPr>
          </w:p>
        </w:tc>
        <w:tc>
          <w:tcPr>
            <w:tcW w:w="48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vMerge w:val="continue"/>
            <w:shd w:val="clear" w:color="auto" w:fill="CFF0FC"/>
          </w:tcPr>
          <w:p>
            <w:pPr>
              <w:spacing w:after="0"/>
              <w:rPr>
                <w:sz w:val="17"/>
                <w:szCs w:val="17"/>
                <w:color w:val="auto"/>
              </w:rPr>
            </w:pPr>
          </w:p>
        </w:tc>
        <w:tc>
          <w:tcPr>
            <w:tcW w:w="92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rPr>
              <w:t>Forfeited unvested incentive</w:t>
            </w:r>
          </w:p>
        </w:tc>
        <w:tc>
          <w:tcPr>
            <w:tcW w:w="500" w:type="dxa"/>
            <w:vAlign w:val="bottom"/>
          </w:tcPr>
          <w:p>
            <w:pPr>
              <w:spacing w:after="0"/>
              <w:rPr>
                <w:sz w:val="14"/>
                <w:szCs w:val="14"/>
                <w:color w:val="auto"/>
              </w:rPr>
            </w:pPr>
          </w:p>
        </w:tc>
        <w:tc>
          <w:tcPr>
            <w:tcW w:w="700" w:type="dxa"/>
            <w:vAlign w:val="bottom"/>
            <w:tcBorders>
              <w:right w:val="single" w:sz="8" w:color="auto"/>
            </w:tcBorders>
            <w:vMerge w:val="restart"/>
          </w:tcPr>
          <w:p>
            <w:pPr>
              <w:ind w:left="40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56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(72,149 )</w:t>
            </w:r>
          </w:p>
        </w:tc>
        <w:tc>
          <w:tcPr>
            <w:tcW w:w="320" w:type="dxa"/>
            <w:vAlign w:val="bottom"/>
          </w:tcPr>
          <w:p>
            <w:pPr>
              <w:spacing w:after="0"/>
              <w:rPr>
                <w:sz w:val="14"/>
                <w:szCs w:val="14"/>
                <w:color w:val="auto"/>
              </w:rPr>
            </w:pPr>
          </w:p>
        </w:tc>
        <w:tc>
          <w:tcPr>
            <w:tcW w:w="44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80" w:type="dxa"/>
            <w:vAlign w:val="bottom"/>
            <w:vMerge w:val="restart"/>
          </w:tcPr>
          <w:p>
            <w:pPr>
              <w:jc w:val="right"/>
              <w:ind w:right="399"/>
              <w:spacing w:after="0"/>
              <w:rPr>
                <w:sz w:val="20"/>
                <w:szCs w:val="20"/>
                <w:color w:val="auto"/>
              </w:rPr>
            </w:pPr>
            <w:r>
              <w:rPr>
                <w:rFonts w:ascii="Arial" w:cs="Arial" w:eastAsia="Arial" w:hAnsi="Arial"/>
                <w:sz w:val="16"/>
                <w:szCs w:val="16"/>
                <w:color w:val="auto"/>
              </w:rPr>
              <w:t>—</w:t>
            </w:r>
          </w:p>
        </w:tc>
        <w:tc>
          <w:tcPr>
            <w:tcW w:w="480" w:type="dxa"/>
            <w:vAlign w:val="bottom"/>
            <w:vMerge w:val="restart"/>
          </w:tcPr>
          <w:p>
            <w:pPr>
              <w:ind w:lef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7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220" w:type="dxa"/>
            <w:vAlign w:val="bottom"/>
          </w:tcPr>
          <w:p>
            <w:pPr>
              <w:ind w:left="20"/>
              <w:spacing w:after="0"/>
              <w:rPr>
                <w:sz w:val="20"/>
                <w:szCs w:val="20"/>
                <w:color w:val="auto"/>
              </w:rPr>
            </w:pPr>
            <w:r>
              <w:rPr>
                <w:rFonts w:ascii="Arial" w:cs="Arial" w:eastAsia="Arial" w:hAnsi="Arial"/>
                <w:sz w:val="16"/>
                <w:szCs w:val="16"/>
                <w:color w:val="auto"/>
              </w:rPr>
              <w:t>units</w:t>
            </w:r>
          </w:p>
        </w:tc>
        <w:tc>
          <w:tcPr>
            <w:tcW w:w="500" w:type="dxa"/>
            <w:vAlign w:val="bottom"/>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Vested incentive units</w:t>
            </w:r>
          </w:p>
        </w:tc>
        <w:tc>
          <w:tcPr>
            <w:tcW w:w="5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right w:val="single" w:sz="8" w:color="auto"/>
            </w:tcBorders>
            <w:shd w:val="clear" w:color="auto" w:fill="CFF0FC"/>
          </w:tcPr>
          <w:p>
            <w:pPr>
              <w:ind w:left="4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(467 )</w:t>
            </w: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467</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222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3"/>
              </w:rPr>
              <w:t>Balance at September 30, 2021</w:t>
            </w:r>
          </w:p>
        </w:tc>
        <w:tc>
          <w:tcPr>
            <w:tcW w:w="500" w:type="dxa"/>
            <w:vAlign w:val="bottom"/>
            <w:vMerge w:val="restart"/>
          </w:tcPr>
          <w:p>
            <w:pPr>
              <w:jc w:val="right"/>
              <w:ind w:right="319"/>
              <w:spacing w:after="0"/>
              <w:rPr>
                <w:sz w:val="20"/>
                <w:szCs w:val="20"/>
                <w:color w:val="auto"/>
              </w:rPr>
            </w:pPr>
            <w:r>
              <w:rPr>
                <w:rFonts w:ascii="Arial" w:cs="Arial" w:eastAsia="Arial" w:hAnsi="Arial"/>
                <w:sz w:val="16"/>
                <w:szCs w:val="16"/>
                <w:color w:val="auto"/>
                <w:w w:val="89"/>
              </w:rPr>
              <w:t>$</w:t>
            </w:r>
          </w:p>
        </w:tc>
        <w:tc>
          <w:tcPr>
            <w:tcW w:w="700" w:type="dxa"/>
            <w:vAlign w:val="bottom"/>
            <w:tcBorders>
              <w:right w:val="single" w:sz="8" w:color="auto"/>
            </w:tcBorders>
            <w:vMerge w:val="restart"/>
          </w:tcPr>
          <w:p>
            <w:pPr>
              <w:ind w:left="4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line="159" w:lineRule="exact"/>
              <w:rPr>
                <w:sz w:val="20"/>
                <w:szCs w:val="20"/>
                <w:color w:val="auto"/>
              </w:rPr>
            </w:pPr>
            <w:r>
              <w:rPr>
                <w:rFonts w:ascii="Arial" w:cs="Arial" w:eastAsia="Arial" w:hAnsi="Arial"/>
                <w:sz w:val="16"/>
                <w:szCs w:val="16"/>
                <w:color w:val="auto"/>
              </w:rPr>
              <w:t>88,263,33</w:t>
            </w:r>
          </w:p>
        </w:tc>
        <w:tc>
          <w:tcPr>
            <w:tcW w:w="36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jc w:val="right"/>
              <w:ind w:right="99"/>
              <w:spacing w:after="0"/>
              <w:rPr>
                <w:sz w:val="20"/>
                <w:szCs w:val="20"/>
                <w:color w:val="auto"/>
              </w:rPr>
            </w:pPr>
            <w:r>
              <w:rPr>
                <w:rFonts w:ascii="Arial" w:cs="Arial" w:eastAsia="Arial" w:hAnsi="Arial"/>
                <w:sz w:val="16"/>
                <w:szCs w:val="16"/>
                <w:color w:val="auto"/>
              </w:rPr>
              <w:t>88</w:t>
            </w:r>
          </w:p>
        </w:tc>
        <w:tc>
          <w:tcPr>
            <w:tcW w:w="860" w:type="dxa"/>
            <w:vAlign w:val="bottom"/>
          </w:tcPr>
          <w:p>
            <w:pPr>
              <w:jc w:val="right"/>
              <w:ind w:right="39"/>
              <w:spacing w:after="0" w:line="159" w:lineRule="exact"/>
              <w:rPr>
                <w:sz w:val="20"/>
                <w:szCs w:val="20"/>
                <w:color w:val="auto"/>
              </w:rPr>
            </w:pPr>
            <w:r>
              <w:rPr>
                <w:rFonts w:ascii="Arial" w:cs="Arial" w:eastAsia="Arial" w:hAnsi="Arial"/>
                <w:sz w:val="16"/>
                <w:szCs w:val="16"/>
                <w:color w:val="auto"/>
              </w:rPr>
              <w:t>60,020,52</w:t>
            </w: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44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39"/>
              <w:spacing w:after="0"/>
              <w:rPr>
                <w:sz w:val="20"/>
                <w:szCs w:val="20"/>
                <w:color w:val="auto"/>
              </w:rPr>
            </w:pPr>
            <w:r>
              <w:rPr>
                <w:rFonts w:ascii="Arial" w:cs="Arial" w:eastAsia="Arial" w:hAnsi="Arial"/>
                <w:sz w:val="16"/>
                <w:szCs w:val="16"/>
                <w:color w:val="auto"/>
              </w:rPr>
              <w:t>$ 700,773</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ind w:right="199"/>
              <w:spacing w:after="0"/>
              <w:rPr>
                <w:sz w:val="20"/>
                <w:szCs w:val="20"/>
                <w:color w:val="auto"/>
              </w:rPr>
            </w:pPr>
            <w:r>
              <w:rPr>
                <w:rFonts w:ascii="Arial" w:cs="Arial" w:eastAsia="Arial" w:hAnsi="Arial"/>
                <w:sz w:val="16"/>
                <w:szCs w:val="16"/>
                <w:color w:val="auto"/>
                <w:w w:val="99"/>
              </w:rPr>
              <w:t>(7,978 ) $</w:t>
            </w:r>
          </w:p>
        </w:tc>
        <w:tc>
          <w:tcPr>
            <w:tcW w:w="480" w:type="dxa"/>
            <w:vAlign w:val="bottom"/>
            <w:vMerge w:val="restart"/>
          </w:tcPr>
          <w:p>
            <w:pPr>
              <w:ind w:left="260"/>
              <w:spacing w:after="0"/>
              <w:rPr>
                <w:sz w:val="20"/>
                <w:szCs w:val="20"/>
                <w:color w:val="auto"/>
              </w:rPr>
            </w:pPr>
            <w:r>
              <w:rPr>
                <w:rFonts w:ascii="Arial" w:cs="Arial" w:eastAsia="Arial" w:hAnsi="Arial"/>
                <w:sz w:val="16"/>
                <w:szCs w:val="16"/>
                <w:color w:val="auto"/>
              </w:rPr>
              <w:t>24</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19"/>
              <w:spacing w:after="0"/>
              <w:rPr>
                <w:sz w:val="20"/>
                <w:szCs w:val="20"/>
                <w:color w:val="auto"/>
              </w:rPr>
            </w:pPr>
            <w:r>
              <w:rPr>
                <w:rFonts w:ascii="Arial" w:cs="Arial" w:eastAsia="Arial" w:hAnsi="Arial"/>
                <w:sz w:val="16"/>
                <w:szCs w:val="16"/>
                <w:color w:val="auto"/>
              </w:rPr>
              <w:t>590,177</w:t>
            </w: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w w:val="92"/>
              </w:rPr>
              <w:t>$ 1,283,084</w:t>
            </w:r>
          </w:p>
        </w:tc>
        <w:tc>
          <w:tcPr>
            <w:tcW w:w="0" w:type="dxa"/>
            <w:vAlign w:val="bottom"/>
          </w:tcPr>
          <w:p>
            <w:pPr>
              <w:spacing w:after="0"/>
              <w:rPr>
                <w:sz w:val="1"/>
                <w:szCs w:val="1"/>
                <w:color w:val="auto"/>
              </w:rPr>
            </w:pPr>
          </w:p>
        </w:tc>
      </w:tr>
      <w:tr>
        <w:trPr>
          <w:trHeight w:val="199"/>
        </w:trPr>
        <w:tc>
          <w:tcPr>
            <w:tcW w:w="2220" w:type="dxa"/>
            <w:vAlign w:val="bottom"/>
            <w:vMerge w:val="continue"/>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right w:val="single" w:sz="8" w:color="auto"/>
            </w:tcBorders>
            <w:vMerge w:val="continue"/>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32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 w:name="page11"/>
    <w:bookmarkEnd w:id="10"/>
    <w:p>
      <w:pPr>
        <w:ind w:left="3540"/>
        <w:spacing w:after="0"/>
        <w:rPr>
          <w:sz w:val="20"/>
          <w:szCs w:val="20"/>
          <w:color w:val="auto"/>
        </w:rPr>
      </w:pPr>
      <w:r>
        <w:rPr>
          <w:rFonts w:ascii="Arial" w:cs="Arial" w:eastAsia="Arial" w:hAnsi="Arial"/>
          <w:sz w:val="18"/>
          <w:szCs w:val="18"/>
          <w:b w:val="1"/>
          <w:bCs w:val="1"/>
          <w:color w:val="auto"/>
        </w:rPr>
        <w:t>DEFINITIVE HEALTHCARE CORP.</w:t>
      </w:r>
    </w:p>
    <w:p>
      <w:pPr>
        <w:spacing w:after="0" w:line="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20"/>
        <w:spacing w:after="0" w:line="234" w:lineRule="auto"/>
        <w:rPr>
          <w:sz w:val="20"/>
          <w:szCs w:val="20"/>
          <w:color w:val="auto"/>
        </w:rPr>
      </w:pPr>
      <w:r>
        <w:rPr>
          <w:rFonts w:ascii="Arial" w:cs="Arial" w:eastAsia="Arial" w:hAnsi="Arial"/>
          <w:sz w:val="18"/>
          <w:szCs w:val="18"/>
          <w:i w:val="1"/>
          <w:iCs w:val="1"/>
          <w:color w:val="auto"/>
        </w:rPr>
        <w:t>(amounts in thousands)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69"/>
        </w:trPr>
        <w:tc>
          <w:tcPr>
            <w:tcW w:w="71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83"/>
        </w:trPr>
        <w:tc>
          <w:tcPr>
            <w:tcW w:w="714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Cash flows provided by operating activities:</w:t>
            </w: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140" w:type="dxa"/>
            <w:vAlign w:val="bottom"/>
          </w:tcPr>
          <w:p>
            <w:pPr>
              <w:ind w:left="360"/>
              <w:spacing w:after="0"/>
              <w:rPr>
                <w:sz w:val="20"/>
                <w:szCs w:val="20"/>
                <w:color w:val="auto"/>
              </w:rPr>
            </w:pPr>
            <w:r>
              <w:rPr>
                <w:rFonts w:ascii="Arial" w:cs="Arial" w:eastAsia="Arial" w:hAnsi="Arial"/>
                <w:sz w:val="15"/>
                <w:szCs w:val="15"/>
                <w:color w:val="auto"/>
              </w:rPr>
              <w:t>Net loss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04"/>
              <w:spacing w:after="0"/>
              <w:rPr>
                <w:sz w:val="20"/>
                <w:szCs w:val="20"/>
                <w:color w:val="auto"/>
              </w:rPr>
            </w:pPr>
            <w:r>
              <w:rPr>
                <w:rFonts w:ascii="Arial" w:cs="Arial" w:eastAsia="Arial" w:hAnsi="Arial"/>
                <w:sz w:val="15"/>
                <w:szCs w:val="15"/>
                <w:color w:val="auto"/>
              </w:rPr>
              <w:t>(28,990 )</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120" w:type="dxa"/>
            <w:vAlign w:val="bottom"/>
            <w:gridSpan w:val="2"/>
          </w:tcPr>
          <w:p>
            <w:pPr>
              <w:jc w:val="right"/>
              <w:ind w:right="40"/>
              <w:spacing w:after="0"/>
              <w:rPr>
                <w:sz w:val="20"/>
                <w:szCs w:val="20"/>
                <w:color w:val="auto"/>
              </w:rPr>
            </w:pPr>
            <w:r>
              <w:rPr>
                <w:rFonts w:ascii="Arial" w:cs="Arial" w:eastAsia="Arial" w:hAnsi="Arial"/>
                <w:sz w:val="15"/>
                <w:szCs w:val="15"/>
                <w:color w:val="auto"/>
              </w:rPr>
              <w:t>(46,493 )</w:t>
            </w:r>
          </w:p>
        </w:tc>
      </w:tr>
      <w:tr>
        <w:trPr>
          <w:trHeight w:val="189"/>
        </w:trPr>
        <w:tc>
          <w:tcPr>
            <w:tcW w:w="7140" w:type="dxa"/>
            <w:vAlign w:val="bottom"/>
            <w:shd w:val="clear" w:color="auto" w:fill="CFF0FC"/>
          </w:tcPr>
          <w:p>
            <w:pPr>
              <w:spacing w:after="0"/>
              <w:rPr>
                <w:sz w:val="20"/>
                <w:szCs w:val="20"/>
                <w:color w:val="auto"/>
              </w:rPr>
            </w:pPr>
            <w:r>
              <w:rPr>
                <w:rFonts w:ascii="Arial" w:cs="Arial" w:eastAsia="Arial" w:hAnsi="Arial"/>
                <w:sz w:val="15"/>
                <w:szCs w:val="15"/>
                <w:color w:val="auto"/>
              </w:rPr>
              <w:t>Adjustments to reconcile net loss to net cash provided by operating activities:</w:t>
            </w: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140" w:type="dxa"/>
            <w:vAlign w:val="bottom"/>
          </w:tcPr>
          <w:p>
            <w:pPr>
              <w:ind w:left="640"/>
              <w:spacing w:after="0"/>
              <w:rPr>
                <w:sz w:val="20"/>
                <w:szCs w:val="20"/>
                <w:color w:val="auto"/>
              </w:rPr>
            </w:pPr>
            <w:r>
              <w:rPr>
                <w:rFonts w:ascii="Arial" w:cs="Arial" w:eastAsia="Arial" w:hAnsi="Arial"/>
                <w:sz w:val="15"/>
                <w:szCs w:val="15"/>
                <w:color w:val="auto"/>
              </w:rPr>
              <w:t>Depreciation and amortization</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1,721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1,193</w:t>
            </w:r>
          </w:p>
        </w:tc>
        <w:tc>
          <w:tcPr>
            <w:tcW w:w="100" w:type="dxa"/>
            <w:vAlign w:val="bottom"/>
          </w:tcPr>
          <w:p>
            <w:pPr>
              <w:spacing w:after="0"/>
              <w:rPr>
                <w:sz w:val="16"/>
                <w:szCs w:val="16"/>
                <w:color w:val="auto"/>
              </w:rPr>
            </w:pPr>
          </w:p>
        </w:tc>
      </w:tr>
      <w:tr>
        <w:trPr>
          <w:trHeight w:val="189"/>
        </w:trPr>
        <w:tc>
          <w:tcPr>
            <w:tcW w:w="7140" w:type="dxa"/>
            <w:vAlign w:val="bottom"/>
            <w:shd w:val="clear" w:color="auto" w:fill="CFF0FC"/>
          </w:tcPr>
          <w:p>
            <w:pPr>
              <w:ind w:left="640"/>
              <w:spacing w:after="0"/>
              <w:rPr>
                <w:sz w:val="20"/>
                <w:szCs w:val="20"/>
                <w:color w:val="auto"/>
              </w:rPr>
            </w:pPr>
            <w:r>
              <w:rPr>
                <w:rFonts w:ascii="Arial" w:cs="Arial" w:eastAsia="Arial" w:hAnsi="Arial"/>
                <w:sz w:val="15"/>
                <w:szCs w:val="15"/>
                <w:color w:val="auto"/>
              </w:rPr>
              <w:t>Amortization of intangible assets</w:t>
            </w: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42,497</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43,517</w:t>
            </w:r>
          </w:p>
        </w:tc>
        <w:tc>
          <w:tcPr>
            <w:tcW w:w="100" w:type="dxa"/>
            <w:vAlign w:val="bottom"/>
            <w:shd w:val="clear" w:color="auto" w:fill="CFF0FC"/>
          </w:tcPr>
          <w:p>
            <w:pPr>
              <w:spacing w:after="0"/>
              <w:rPr>
                <w:sz w:val="16"/>
                <w:szCs w:val="16"/>
                <w:color w:val="auto"/>
              </w:rPr>
            </w:pPr>
          </w:p>
        </w:tc>
      </w:tr>
      <w:tr>
        <w:trPr>
          <w:trHeight w:val="189"/>
        </w:trPr>
        <w:tc>
          <w:tcPr>
            <w:tcW w:w="7140" w:type="dxa"/>
            <w:vAlign w:val="bottom"/>
          </w:tcPr>
          <w:p>
            <w:pPr>
              <w:ind w:left="640"/>
              <w:spacing w:after="0"/>
              <w:rPr>
                <w:sz w:val="20"/>
                <w:szCs w:val="20"/>
                <w:color w:val="auto"/>
              </w:rPr>
            </w:pPr>
            <w:r>
              <w:rPr>
                <w:rFonts w:ascii="Arial" w:cs="Arial" w:eastAsia="Arial" w:hAnsi="Arial"/>
                <w:sz w:val="15"/>
                <w:szCs w:val="15"/>
                <w:color w:val="auto"/>
              </w:rPr>
              <w:t>Amortization of deferred contract costs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6,274</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3,195</w:t>
            </w:r>
          </w:p>
        </w:tc>
        <w:tc>
          <w:tcPr>
            <w:tcW w:w="100" w:type="dxa"/>
            <w:vAlign w:val="bottom"/>
          </w:tcPr>
          <w:p>
            <w:pPr>
              <w:spacing w:after="0"/>
              <w:rPr>
                <w:sz w:val="16"/>
                <w:szCs w:val="16"/>
                <w:color w:val="auto"/>
              </w:rPr>
            </w:pPr>
          </w:p>
        </w:tc>
      </w:tr>
      <w:tr>
        <w:trPr>
          <w:trHeight w:val="189"/>
        </w:trPr>
        <w:tc>
          <w:tcPr>
            <w:tcW w:w="7140" w:type="dxa"/>
            <w:vAlign w:val="bottom"/>
            <w:shd w:val="clear" w:color="auto" w:fill="CFF0FC"/>
          </w:tcPr>
          <w:p>
            <w:pPr>
              <w:ind w:left="640"/>
              <w:spacing w:after="0"/>
              <w:rPr>
                <w:sz w:val="20"/>
                <w:szCs w:val="20"/>
                <w:color w:val="auto"/>
              </w:rPr>
            </w:pPr>
            <w:r>
              <w:rPr>
                <w:rFonts w:ascii="Arial" w:cs="Arial" w:eastAsia="Arial" w:hAnsi="Arial"/>
                <w:sz w:val="15"/>
                <w:szCs w:val="15"/>
                <w:color w:val="auto"/>
              </w:rPr>
              <w:t>Equity-based compensation</w:t>
            </w: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25,010</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4,338</w:t>
            </w:r>
          </w:p>
        </w:tc>
        <w:tc>
          <w:tcPr>
            <w:tcW w:w="100" w:type="dxa"/>
            <w:vAlign w:val="bottom"/>
            <w:shd w:val="clear" w:color="auto" w:fill="CFF0FC"/>
          </w:tcPr>
          <w:p>
            <w:pPr>
              <w:spacing w:after="0"/>
              <w:rPr>
                <w:sz w:val="16"/>
                <w:szCs w:val="16"/>
                <w:color w:val="auto"/>
              </w:rPr>
            </w:pPr>
          </w:p>
        </w:tc>
      </w:tr>
      <w:tr>
        <w:trPr>
          <w:trHeight w:val="189"/>
        </w:trPr>
        <w:tc>
          <w:tcPr>
            <w:tcW w:w="7140" w:type="dxa"/>
            <w:vAlign w:val="bottom"/>
          </w:tcPr>
          <w:p>
            <w:pPr>
              <w:ind w:left="640"/>
              <w:spacing w:after="0"/>
              <w:rPr>
                <w:sz w:val="20"/>
                <w:szCs w:val="20"/>
                <w:color w:val="auto"/>
              </w:rPr>
            </w:pPr>
            <w:r>
              <w:rPr>
                <w:rFonts w:ascii="Arial" w:cs="Arial" w:eastAsia="Arial" w:hAnsi="Arial"/>
                <w:sz w:val="15"/>
                <w:szCs w:val="15"/>
                <w:color w:val="auto"/>
              </w:rPr>
              <w:t>Amortization of debt issuance costs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527</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1,522</w:t>
            </w:r>
          </w:p>
        </w:tc>
        <w:tc>
          <w:tcPr>
            <w:tcW w:w="100" w:type="dxa"/>
            <w:vAlign w:val="bottom"/>
          </w:tcPr>
          <w:p>
            <w:pPr>
              <w:spacing w:after="0"/>
              <w:rPr>
                <w:sz w:val="16"/>
                <w:szCs w:val="16"/>
                <w:color w:val="auto"/>
              </w:rPr>
            </w:pPr>
          </w:p>
        </w:tc>
      </w:tr>
      <w:tr>
        <w:trPr>
          <w:trHeight w:val="189"/>
        </w:trPr>
        <w:tc>
          <w:tcPr>
            <w:tcW w:w="7140" w:type="dxa"/>
            <w:vAlign w:val="bottom"/>
            <w:shd w:val="clear" w:color="auto" w:fill="CFF0FC"/>
          </w:tcPr>
          <w:p>
            <w:pPr>
              <w:ind w:left="640"/>
              <w:spacing w:after="0"/>
              <w:rPr>
                <w:sz w:val="20"/>
                <w:szCs w:val="20"/>
                <w:color w:val="auto"/>
              </w:rPr>
            </w:pPr>
            <w:r>
              <w:rPr>
                <w:rFonts w:ascii="Arial" w:cs="Arial" w:eastAsia="Arial" w:hAnsi="Arial"/>
                <w:sz w:val="15"/>
                <w:szCs w:val="15"/>
                <w:color w:val="auto"/>
              </w:rPr>
              <w:t>Allowance for doubtful accounts</w:t>
            </w: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769</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w:t>
            </w:r>
          </w:p>
        </w:tc>
        <w:tc>
          <w:tcPr>
            <w:tcW w:w="100" w:type="dxa"/>
            <w:vAlign w:val="bottom"/>
            <w:shd w:val="clear" w:color="auto" w:fill="CFF0FC"/>
          </w:tcPr>
          <w:p>
            <w:pPr>
              <w:spacing w:after="0"/>
              <w:rPr>
                <w:sz w:val="16"/>
                <w:szCs w:val="16"/>
                <w:color w:val="auto"/>
              </w:rPr>
            </w:pPr>
          </w:p>
        </w:tc>
      </w:tr>
      <w:tr>
        <w:trPr>
          <w:trHeight w:val="189"/>
        </w:trPr>
        <w:tc>
          <w:tcPr>
            <w:tcW w:w="7140" w:type="dxa"/>
            <w:vAlign w:val="bottom"/>
          </w:tcPr>
          <w:p>
            <w:pPr>
              <w:ind w:left="640"/>
              <w:spacing w:after="0"/>
              <w:rPr>
                <w:sz w:val="20"/>
                <w:szCs w:val="20"/>
                <w:color w:val="auto"/>
              </w:rPr>
            </w:pPr>
            <w:r>
              <w:rPr>
                <w:rFonts w:ascii="Arial" w:cs="Arial" w:eastAsia="Arial" w:hAnsi="Arial"/>
                <w:sz w:val="15"/>
                <w:szCs w:val="15"/>
                <w:color w:val="auto"/>
              </w:rPr>
              <w:t>Loss on extinguishment of debt</w:t>
            </w:r>
          </w:p>
        </w:tc>
        <w:tc>
          <w:tcPr>
            <w:tcW w:w="220" w:type="dxa"/>
            <w:vAlign w:val="bottom"/>
          </w:tcPr>
          <w:p>
            <w:pPr>
              <w:spacing w:after="0"/>
              <w:rPr>
                <w:sz w:val="16"/>
                <w:szCs w:val="16"/>
                <w:color w:val="auto"/>
              </w:rPr>
            </w:pPr>
          </w:p>
        </w:tc>
        <w:tc>
          <w:tcPr>
            <w:tcW w:w="1320" w:type="dxa"/>
            <w:vAlign w:val="bottom"/>
            <w:gridSpan w:val="2"/>
          </w:tcPr>
          <w:p>
            <w:pPr>
              <w:jc w:val="right"/>
              <w:ind w:right="18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9,843</w:t>
            </w:r>
          </w:p>
        </w:tc>
        <w:tc>
          <w:tcPr>
            <w:tcW w:w="100" w:type="dxa"/>
            <w:vAlign w:val="bottom"/>
          </w:tcPr>
          <w:p>
            <w:pPr>
              <w:spacing w:after="0"/>
              <w:rPr>
                <w:sz w:val="16"/>
                <w:szCs w:val="16"/>
                <w:color w:val="auto"/>
              </w:rPr>
            </w:pPr>
          </w:p>
        </w:tc>
      </w:tr>
      <w:tr>
        <w:trPr>
          <w:trHeight w:val="189"/>
        </w:trPr>
        <w:tc>
          <w:tcPr>
            <w:tcW w:w="7140" w:type="dxa"/>
            <w:vAlign w:val="bottom"/>
            <w:shd w:val="clear" w:color="auto" w:fill="CFF0FC"/>
          </w:tcPr>
          <w:p>
            <w:pPr>
              <w:ind w:left="640"/>
              <w:spacing w:after="0"/>
              <w:rPr>
                <w:sz w:val="20"/>
                <w:szCs w:val="20"/>
                <w:color w:val="auto"/>
              </w:rPr>
            </w:pPr>
            <w:r>
              <w:rPr>
                <w:rFonts w:ascii="Arial" w:cs="Arial" w:eastAsia="Arial" w:hAnsi="Arial"/>
                <w:sz w:val="15"/>
                <w:szCs w:val="15"/>
                <w:color w:val="auto"/>
              </w:rPr>
              <w:t>Non-cash restructuring charges related to office leases</w:t>
            </w: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1,023</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7140" w:type="dxa"/>
            <w:vAlign w:val="bottom"/>
          </w:tcPr>
          <w:p>
            <w:pPr>
              <w:ind w:left="640"/>
              <w:spacing w:after="0"/>
              <w:rPr>
                <w:sz w:val="20"/>
                <w:szCs w:val="20"/>
                <w:color w:val="auto"/>
              </w:rPr>
            </w:pPr>
            <w:r>
              <w:rPr>
                <w:rFonts w:ascii="Arial" w:cs="Arial" w:eastAsia="Arial" w:hAnsi="Arial"/>
                <w:sz w:val="15"/>
                <w:szCs w:val="15"/>
                <w:color w:val="auto"/>
              </w:rPr>
              <w:t>Tax receivable agreement remeasurement</w:t>
            </w:r>
          </w:p>
        </w:tc>
        <w:tc>
          <w:tcPr>
            <w:tcW w:w="220" w:type="dxa"/>
            <w:vAlign w:val="bottom"/>
          </w:tcPr>
          <w:p>
            <w:pPr>
              <w:spacing w:after="0"/>
              <w:rPr>
                <w:sz w:val="16"/>
                <w:szCs w:val="16"/>
                <w:color w:val="auto"/>
              </w:rPr>
            </w:pPr>
          </w:p>
        </w:tc>
        <w:tc>
          <w:tcPr>
            <w:tcW w:w="1320" w:type="dxa"/>
            <w:vAlign w:val="bottom"/>
            <w:gridSpan w:val="2"/>
          </w:tcPr>
          <w:p>
            <w:pPr>
              <w:jc w:val="right"/>
              <w:ind w:right="104"/>
              <w:spacing w:after="0"/>
              <w:rPr>
                <w:sz w:val="20"/>
                <w:szCs w:val="20"/>
                <w:color w:val="auto"/>
              </w:rPr>
            </w:pPr>
            <w:r>
              <w:rPr>
                <w:rFonts w:ascii="Arial" w:cs="Arial" w:eastAsia="Arial" w:hAnsi="Arial"/>
                <w:sz w:val="15"/>
                <w:szCs w:val="15"/>
                <w:color w:val="auto"/>
              </w:rPr>
              <w:t>(8,296 )</w:t>
            </w:r>
          </w:p>
        </w:tc>
        <w:tc>
          <w:tcPr>
            <w:tcW w:w="3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7140" w:type="dxa"/>
            <w:vAlign w:val="bottom"/>
            <w:shd w:val="clear" w:color="auto" w:fill="CFF0FC"/>
          </w:tcPr>
          <w:p>
            <w:pPr>
              <w:ind w:left="640"/>
              <w:spacing w:after="0"/>
              <w:rPr>
                <w:sz w:val="20"/>
                <w:szCs w:val="20"/>
                <w:color w:val="auto"/>
              </w:rPr>
            </w:pPr>
            <w:r>
              <w:rPr>
                <w:rFonts w:ascii="Arial" w:cs="Arial" w:eastAsia="Arial" w:hAnsi="Arial"/>
                <w:sz w:val="15"/>
                <w:szCs w:val="15"/>
                <w:color w:val="auto"/>
              </w:rPr>
              <w:t>Changes in fair value of contingent consideration</w:t>
            </w:r>
          </w:p>
        </w:tc>
        <w:tc>
          <w:tcPr>
            <w:tcW w:w="2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84"/>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3,169</w:t>
            </w:r>
          </w:p>
        </w:tc>
        <w:tc>
          <w:tcPr>
            <w:tcW w:w="100" w:type="dxa"/>
            <w:vAlign w:val="bottom"/>
            <w:shd w:val="clear" w:color="auto" w:fill="CFF0FC"/>
          </w:tcPr>
          <w:p>
            <w:pPr>
              <w:spacing w:after="0"/>
              <w:rPr>
                <w:sz w:val="16"/>
                <w:szCs w:val="16"/>
                <w:color w:val="auto"/>
              </w:rPr>
            </w:pPr>
          </w:p>
        </w:tc>
      </w:tr>
      <w:tr>
        <w:trPr>
          <w:trHeight w:val="189"/>
        </w:trPr>
        <w:tc>
          <w:tcPr>
            <w:tcW w:w="7140" w:type="dxa"/>
            <w:vAlign w:val="bottom"/>
          </w:tcPr>
          <w:p>
            <w:pPr>
              <w:ind w:left="640"/>
              <w:spacing w:after="0"/>
              <w:rPr>
                <w:sz w:val="20"/>
                <w:szCs w:val="20"/>
                <w:color w:val="auto"/>
              </w:rPr>
            </w:pPr>
            <w:r>
              <w:rPr>
                <w:rFonts w:ascii="Arial" w:cs="Arial" w:eastAsia="Arial" w:hAnsi="Arial"/>
                <w:sz w:val="15"/>
                <w:szCs w:val="15"/>
                <w:color w:val="auto"/>
              </w:rPr>
              <w:t>Deferred income taxes</w:t>
            </w:r>
          </w:p>
        </w:tc>
        <w:tc>
          <w:tcPr>
            <w:tcW w:w="220" w:type="dxa"/>
            <w:vAlign w:val="bottom"/>
          </w:tcPr>
          <w:p>
            <w:pPr>
              <w:spacing w:after="0"/>
              <w:rPr>
                <w:sz w:val="16"/>
                <w:szCs w:val="16"/>
                <w:color w:val="auto"/>
              </w:rPr>
            </w:pPr>
          </w:p>
        </w:tc>
        <w:tc>
          <w:tcPr>
            <w:tcW w:w="1320" w:type="dxa"/>
            <w:vAlign w:val="bottom"/>
            <w:gridSpan w:val="2"/>
          </w:tcPr>
          <w:p>
            <w:pPr>
              <w:jc w:val="right"/>
              <w:ind w:right="104"/>
              <w:spacing w:after="0"/>
              <w:rPr>
                <w:sz w:val="20"/>
                <w:szCs w:val="20"/>
                <w:color w:val="auto"/>
              </w:rPr>
            </w:pPr>
            <w:r>
              <w:rPr>
                <w:rFonts w:ascii="Arial" w:cs="Arial" w:eastAsia="Arial" w:hAnsi="Arial"/>
                <w:sz w:val="15"/>
                <w:szCs w:val="15"/>
                <w:color w:val="auto"/>
              </w:rPr>
              <w:t>(206 )</w:t>
            </w:r>
          </w:p>
        </w:tc>
        <w:tc>
          <w:tcPr>
            <w:tcW w:w="3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71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Changes in operating assets and liabilities:</w:t>
            </w: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140" w:type="dxa"/>
            <w:vAlign w:val="bottom"/>
          </w:tcPr>
          <w:p>
            <w:pPr>
              <w:ind w:left="640"/>
              <w:spacing w:after="0"/>
              <w:rPr>
                <w:sz w:val="20"/>
                <w:szCs w:val="20"/>
                <w:color w:val="auto"/>
              </w:rPr>
            </w:pPr>
            <w:r>
              <w:rPr>
                <w:rFonts w:ascii="Arial" w:cs="Arial" w:eastAsia="Arial" w:hAnsi="Arial"/>
                <w:sz w:val="15"/>
                <w:szCs w:val="15"/>
                <w:color w:val="auto"/>
              </w:rPr>
              <w:t>Accounts receivable</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12,454</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5,179</w:t>
            </w:r>
          </w:p>
        </w:tc>
        <w:tc>
          <w:tcPr>
            <w:tcW w:w="100" w:type="dxa"/>
            <w:vAlign w:val="bottom"/>
          </w:tcPr>
          <w:p>
            <w:pPr>
              <w:spacing w:after="0"/>
              <w:rPr>
                <w:sz w:val="16"/>
                <w:szCs w:val="16"/>
                <w:color w:val="auto"/>
              </w:rPr>
            </w:pPr>
          </w:p>
        </w:tc>
      </w:tr>
      <w:tr>
        <w:trPr>
          <w:trHeight w:val="189"/>
        </w:trPr>
        <w:tc>
          <w:tcPr>
            <w:tcW w:w="7140" w:type="dxa"/>
            <w:vAlign w:val="bottom"/>
            <w:shd w:val="clear" w:color="auto" w:fill="CFF0FC"/>
          </w:tcPr>
          <w:p>
            <w:pPr>
              <w:ind w:left="640"/>
              <w:spacing w:after="0"/>
              <w:rPr>
                <w:sz w:val="20"/>
                <w:szCs w:val="20"/>
                <w:color w:val="auto"/>
              </w:rPr>
            </w:pPr>
            <w:r>
              <w:rPr>
                <w:rFonts w:ascii="Arial" w:cs="Arial" w:eastAsia="Arial" w:hAnsi="Arial"/>
                <w:sz w:val="15"/>
                <w:szCs w:val="15"/>
                <w:color w:val="auto"/>
              </w:rPr>
              <w:t>Prepaid expenses and other current assets</w:t>
            </w: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2,554</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(561 )</w:t>
            </w:r>
          </w:p>
        </w:tc>
      </w:tr>
      <w:tr>
        <w:trPr>
          <w:trHeight w:val="189"/>
        </w:trPr>
        <w:tc>
          <w:tcPr>
            <w:tcW w:w="7140" w:type="dxa"/>
            <w:vAlign w:val="bottom"/>
          </w:tcPr>
          <w:p>
            <w:pPr>
              <w:ind w:left="640"/>
              <w:spacing w:after="0"/>
              <w:rPr>
                <w:sz w:val="20"/>
                <w:szCs w:val="20"/>
                <w:color w:val="auto"/>
              </w:rPr>
            </w:pPr>
            <w:r>
              <w:rPr>
                <w:rFonts w:ascii="Arial" w:cs="Arial" w:eastAsia="Arial" w:hAnsi="Arial"/>
                <w:sz w:val="15"/>
                <w:szCs w:val="15"/>
                <w:color w:val="auto"/>
              </w:rPr>
              <w:t>Deferred contract costs</w:t>
            </w:r>
          </w:p>
        </w:tc>
        <w:tc>
          <w:tcPr>
            <w:tcW w:w="220" w:type="dxa"/>
            <w:vAlign w:val="bottom"/>
          </w:tcPr>
          <w:p>
            <w:pPr>
              <w:spacing w:after="0"/>
              <w:rPr>
                <w:sz w:val="16"/>
                <w:szCs w:val="16"/>
                <w:color w:val="auto"/>
              </w:rPr>
            </w:pPr>
          </w:p>
        </w:tc>
        <w:tc>
          <w:tcPr>
            <w:tcW w:w="1320" w:type="dxa"/>
            <w:vAlign w:val="bottom"/>
            <w:gridSpan w:val="2"/>
          </w:tcPr>
          <w:p>
            <w:pPr>
              <w:jc w:val="right"/>
              <w:ind w:right="104"/>
              <w:spacing w:after="0"/>
              <w:rPr>
                <w:sz w:val="20"/>
                <w:szCs w:val="20"/>
                <w:color w:val="auto"/>
              </w:rPr>
            </w:pPr>
            <w:r>
              <w:rPr>
                <w:rFonts w:ascii="Arial" w:cs="Arial" w:eastAsia="Arial" w:hAnsi="Arial"/>
                <w:sz w:val="15"/>
                <w:szCs w:val="15"/>
                <w:color w:val="auto"/>
              </w:rPr>
              <w:t>(10,070 )</w:t>
            </w:r>
          </w:p>
        </w:tc>
        <w:tc>
          <w:tcPr>
            <w:tcW w:w="30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5"/>
                <w:szCs w:val="15"/>
                <w:color w:val="auto"/>
              </w:rPr>
              <w:t>(9,043 )</w:t>
            </w:r>
          </w:p>
        </w:tc>
      </w:tr>
      <w:tr>
        <w:trPr>
          <w:trHeight w:val="189"/>
        </w:trPr>
        <w:tc>
          <w:tcPr>
            <w:tcW w:w="7140" w:type="dxa"/>
            <w:vAlign w:val="bottom"/>
            <w:shd w:val="clear" w:color="auto" w:fill="CFF0FC"/>
          </w:tcPr>
          <w:p>
            <w:pPr>
              <w:ind w:left="640"/>
              <w:spacing w:after="0"/>
              <w:rPr>
                <w:sz w:val="20"/>
                <w:szCs w:val="20"/>
                <w:color w:val="auto"/>
              </w:rPr>
            </w:pPr>
            <w:r>
              <w:rPr>
                <w:rFonts w:ascii="Arial" w:cs="Arial" w:eastAsia="Arial" w:hAnsi="Arial"/>
                <w:sz w:val="15"/>
                <w:szCs w:val="15"/>
                <w:color w:val="auto"/>
              </w:rPr>
              <w:t>Contingent consideration</w:t>
            </w:r>
          </w:p>
        </w:tc>
        <w:tc>
          <w:tcPr>
            <w:tcW w:w="2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04"/>
              <w:spacing w:after="0"/>
              <w:rPr>
                <w:sz w:val="20"/>
                <w:szCs w:val="20"/>
                <w:color w:val="auto"/>
              </w:rPr>
            </w:pPr>
            <w:r>
              <w:rPr>
                <w:rFonts w:ascii="Arial" w:cs="Arial" w:eastAsia="Arial" w:hAnsi="Arial"/>
                <w:sz w:val="15"/>
                <w:szCs w:val="15"/>
                <w:color w:val="auto"/>
              </w:rPr>
              <w:t>(6,400 )</w:t>
            </w:r>
          </w:p>
        </w:tc>
        <w:tc>
          <w:tcPr>
            <w:tcW w:w="3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7140" w:type="dxa"/>
            <w:vAlign w:val="bottom"/>
          </w:tcPr>
          <w:p>
            <w:pPr>
              <w:ind w:left="640"/>
              <w:spacing w:after="0"/>
              <w:rPr>
                <w:sz w:val="20"/>
                <w:szCs w:val="20"/>
                <w:color w:val="auto"/>
              </w:rPr>
            </w:pPr>
            <w:r>
              <w:rPr>
                <w:rFonts w:ascii="Arial" w:cs="Arial" w:eastAsia="Arial" w:hAnsi="Arial"/>
                <w:sz w:val="15"/>
                <w:szCs w:val="15"/>
                <w:color w:val="auto"/>
              </w:rPr>
              <w:t>Accounts payable, accrued expenses and other current liabilities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3,956</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5"/>
                <w:szCs w:val="15"/>
                <w:color w:val="auto"/>
              </w:rPr>
              <w:t>(3,965 )</w:t>
            </w:r>
          </w:p>
        </w:tc>
      </w:tr>
      <w:tr>
        <w:trPr>
          <w:trHeight w:val="189"/>
        </w:trPr>
        <w:tc>
          <w:tcPr>
            <w:tcW w:w="7140" w:type="dxa"/>
            <w:vAlign w:val="bottom"/>
            <w:shd w:val="clear" w:color="auto" w:fill="CFF0FC"/>
          </w:tcPr>
          <w:p>
            <w:pPr>
              <w:ind w:left="640"/>
              <w:spacing w:after="0"/>
              <w:rPr>
                <w:sz w:val="20"/>
                <w:szCs w:val="20"/>
                <w:color w:val="auto"/>
              </w:rPr>
            </w:pPr>
            <w:r>
              <w:rPr>
                <w:rFonts w:ascii="Arial" w:cs="Arial" w:eastAsia="Arial" w:hAnsi="Arial"/>
                <w:sz w:val="15"/>
                <w:szCs w:val="15"/>
                <w:color w:val="auto"/>
              </w:rPr>
              <w:t>Deferred revenue</w:t>
            </w:r>
          </w:p>
        </w:tc>
        <w:tc>
          <w:tcPr>
            <w:tcW w:w="2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04"/>
              <w:spacing w:after="0"/>
              <w:rPr>
                <w:sz w:val="20"/>
                <w:szCs w:val="20"/>
                <w:color w:val="auto"/>
              </w:rPr>
            </w:pPr>
            <w:r>
              <w:rPr>
                <w:rFonts w:ascii="Arial" w:cs="Arial" w:eastAsia="Arial" w:hAnsi="Arial"/>
                <w:sz w:val="15"/>
                <w:szCs w:val="15"/>
                <w:color w:val="auto"/>
              </w:rPr>
              <w:t>(3,024 )</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9,023</w:t>
            </w:r>
          </w:p>
        </w:tc>
        <w:tc>
          <w:tcPr>
            <w:tcW w:w="100" w:type="dxa"/>
            <w:vAlign w:val="bottom"/>
            <w:shd w:val="clear" w:color="auto" w:fill="CFF0FC"/>
          </w:tcPr>
          <w:p>
            <w:pPr>
              <w:spacing w:after="0"/>
              <w:rPr>
                <w:sz w:val="16"/>
                <w:szCs w:val="16"/>
                <w:color w:val="auto"/>
              </w:rPr>
            </w:pPr>
          </w:p>
        </w:tc>
      </w:tr>
      <w:tr>
        <w:trPr>
          <w:trHeight w:val="183"/>
        </w:trPr>
        <w:tc>
          <w:tcPr>
            <w:tcW w:w="7140" w:type="dxa"/>
            <w:vAlign w:val="bottom"/>
            <w:tcBorders>
              <w:top w:val="single" w:sz="8" w:color="CFF0FC"/>
            </w:tcBorders>
          </w:tcPr>
          <w:p>
            <w:pPr>
              <w:spacing w:after="0"/>
              <w:rPr>
                <w:sz w:val="20"/>
                <w:szCs w:val="20"/>
                <w:color w:val="auto"/>
              </w:rPr>
            </w:pPr>
            <w:r>
              <w:rPr>
                <w:rFonts w:ascii="Arial" w:cs="Arial" w:eastAsia="Arial" w:hAnsi="Arial"/>
                <w:sz w:val="15"/>
                <w:szCs w:val="15"/>
                <w:color w:val="auto"/>
              </w:rPr>
              <w:t>Net cash provided by operating activities</w:t>
            </w:r>
          </w:p>
        </w:tc>
        <w:tc>
          <w:tcPr>
            <w:tcW w:w="2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39,799</w:t>
            </w:r>
          </w:p>
        </w:tc>
        <w:tc>
          <w:tcPr>
            <w:tcW w:w="240" w:type="dxa"/>
            <w:vAlign w:val="bottom"/>
            <w:tcBorders>
              <w:top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20,993</w:t>
            </w:r>
          </w:p>
        </w:tc>
        <w:tc>
          <w:tcPr>
            <w:tcW w:w="100" w:type="dxa"/>
            <w:vAlign w:val="bottom"/>
            <w:tcBorders>
              <w:top w:val="single" w:sz="8" w:color="CFF0FC"/>
            </w:tcBorders>
          </w:tcPr>
          <w:p>
            <w:pPr>
              <w:spacing w:after="0"/>
              <w:rPr>
                <w:sz w:val="15"/>
                <w:szCs w:val="15"/>
                <w:color w:val="auto"/>
              </w:rPr>
            </w:pPr>
          </w:p>
        </w:tc>
      </w:tr>
      <w:tr>
        <w:trPr>
          <w:trHeight w:val="183"/>
        </w:trPr>
        <w:tc>
          <w:tcPr>
            <w:tcW w:w="714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Cash flows used in investing activities:</w:t>
            </w: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140" w:type="dxa"/>
            <w:vAlign w:val="bottom"/>
          </w:tcPr>
          <w:p>
            <w:pPr>
              <w:ind w:left="360"/>
              <w:spacing w:after="0"/>
              <w:rPr>
                <w:sz w:val="20"/>
                <w:szCs w:val="20"/>
                <w:color w:val="auto"/>
              </w:rPr>
            </w:pPr>
            <w:r>
              <w:rPr>
                <w:rFonts w:ascii="Arial" w:cs="Arial" w:eastAsia="Arial" w:hAnsi="Arial"/>
                <w:sz w:val="15"/>
                <w:szCs w:val="15"/>
                <w:color w:val="auto"/>
              </w:rPr>
              <w:t>Purchases of property, equipment and other assets</w:t>
            </w:r>
          </w:p>
        </w:tc>
        <w:tc>
          <w:tcPr>
            <w:tcW w:w="220" w:type="dxa"/>
            <w:vAlign w:val="bottom"/>
          </w:tcPr>
          <w:p>
            <w:pPr>
              <w:spacing w:after="0"/>
              <w:rPr>
                <w:sz w:val="16"/>
                <w:szCs w:val="16"/>
                <w:color w:val="auto"/>
              </w:rPr>
            </w:pPr>
          </w:p>
        </w:tc>
        <w:tc>
          <w:tcPr>
            <w:tcW w:w="1320" w:type="dxa"/>
            <w:vAlign w:val="bottom"/>
            <w:gridSpan w:val="2"/>
          </w:tcPr>
          <w:p>
            <w:pPr>
              <w:jc w:val="right"/>
              <w:ind w:right="104"/>
              <w:spacing w:after="0"/>
              <w:rPr>
                <w:sz w:val="20"/>
                <w:szCs w:val="20"/>
                <w:color w:val="auto"/>
              </w:rPr>
            </w:pPr>
            <w:r>
              <w:rPr>
                <w:rFonts w:ascii="Arial" w:cs="Arial" w:eastAsia="Arial" w:hAnsi="Arial"/>
                <w:sz w:val="15"/>
                <w:szCs w:val="15"/>
                <w:color w:val="auto"/>
              </w:rPr>
              <w:t>(3,455 )</w:t>
            </w:r>
          </w:p>
        </w:tc>
        <w:tc>
          <w:tcPr>
            <w:tcW w:w="30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5"/>
                <w:szCs w:val="15"/>
                <w:color w:val="auto"/>
              </w:rPr>
              <w:t>(5,662 )</w:t>
            </w:r>
          </w:p>
        </w:tc>
      </w:tr>
      <w:tr>
        <w:trPr>
          <w:trHeight w:val="189"/>
        </w:trPr>
        <w:tc>
          <w:tcPr>
            <w:tcW w:w="71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Purchases of short-term investments</w:t>
            </w:r>
          </w:p>
        </w:tc>
        <w:tc>
          <w:tcPr>
            <w:tcW w:w="2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04"/>
              <w:spacing w:after="0"/>
              <w:rPr>
                <w:sz w:val="20"/>
                <w:szCs w:val="20"/>
                <w:color w:val="auto"/>
              </w:rPr>
            </w:pPr>
            <w:r>
              <w:rPr>
                <w:rFonts w:ascii="Arial" w:cs="Arial" w:eastAsia="Arial" w:hAnsi="Arial"/>
                <w:sz w:val="15"/>
                <w:szCs w:val="15"/>
                <w:color w:val="auto"/>
              </w:rPr>
              <w:t>(217,266 )</w:t>
            </w:r>
          </w:p>
        </w:tc>
        <w:tc>
          <w:tcPr>
            <w:tcW w:w="3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7140" w:type="dxa"/>
            <w:vAlign w:val="bottom"/>
          </w:tcPr>
          <w:p>
            <w:pPr>
              <w:ind w:left="360"/>
              <w:spacing w:after="0"/>
              <w:rPr>
                <w:sz w:val="20"/>
                <w:szCs w:val="20"/>
                <w:color w:val="auto"/>
              </w:rPr>
            </w:pPr>
            <w:r>
              <w:rPr>
                <w:rFonts w:ascii="Arial" w:cs="Arial" w:eastAsia="Arial" w:hAnsi="Arial"/>
                <w:sz w:val="15"/>
                <w:szCs w:val="15"/>
                <w:color w:val="auto"/>
              </w:rPr>
              <w:t>Maturities of short-term investments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96,000</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71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Cash paid for acquisitions, net of cash acquired</w:t>
            </w:r>
          </w:p>
        </w:tc>
        <w:tc>
          <w:tcPr>
            <w:tcW w:w="2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04"/>
              <w:spacing w:after="0"/>
              <w:rPr>
                <w:sz w:val="20"/>
                <w:szCs w:val="20"/>
                <w:color w:val="auto"/>
              </w:rPr>
            </w:pPr>
            <w:r>
              <w:rPr>
                <w:rFonts w:ascii="Arial" w:cs="Arial" w:eastAsia="Arial" w:hAnsi="Arial"/>
                <w:sz w:val="15"/>
                <w:szCs w:val="15"/>
                <w:color w:val="auto"/>
              </w:rPr>
              <w:t>(56,296 )</w:t>
            </w:r>
          </w:p>
        </w:tc>
        <w:tc>
          <w:tcPr>
            <w:tcW w:w="3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20"/>
        </w:trPr>
        <w:tc>
          <w:tcPr>
            <w:tcW w:w="7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7140" w:type="dxa"/>
            <w:vAlign w:val="bottom"/>
          </w:tcPr>
          <w:p>
            <w:pPr>
              <w:spacing w:after="0"/>
              <w:rPr>
                <w:sz w:val="20"/>
                <w:szCs w:val="20"/>
                <w:color w:val="auto"/>
              </w:rPr>
            </w:pPr>
            <w:r>
              <w:rPr>
                <w:rFonts w:ascii="Arial" w:cs="Arial" w:eastAsia="Arial" w:hAnsi="Arial"/>
                <w:sz w:val="15"/>
                <w:szCs w:val="15"/>
                <w:color w:val="auto"/>
              </w:rPr>
              <w:t>Net cash used in investing activities</w:t>
            </w:r>
          </w:p>
        </w:tc>
        <w:tc>
          <w:tcPr>
            <w:tcW w:w="220" w:type="dxa"/>
            <w:vAlign w:val="bottom"/>
          </w:tcPr>
          <w:p>
            <w:pPr>
              <w:spacing w:after="0"/>
              <w:rPr>
                <w:sz w:val="15"/>
                <w:szCs w:val="15"/>
                <w:color w:val="auto"/>
              </w:rPr>
            </w:pPr>
          </w:p>
        </w:tc>
        <w:tc>
          <w:tcPr>
            <w:tcW w:w="1320" w:type="dxa"/>
            <w:vAlign w:val="bottom"/>
            <w:gridSpan w:val="2"/>
          </w:tcPr>
          <w:p>
            <w:pPr>
              <w:jc w:val="right"/>
              <w:ind w:right="104"/>
              <w:spacing w:after="0"/>
              <w:rPr>
                <w:sz w:val="20"/>
                <w:szCs w:val="20"/>
                <w:color w:val="auto"/>
              </w:rPr>
            </w:pPr>
            <w:r>
              <w:rPr>
                <w:rFonts w:ascii="Arial" w:cs="Arial" w:eastAsia="Arial" w:hAnsi="Arial"/>
                <w:sz w:val="15"/>
                <w:szCs w:val="15"/>
                <w:color w:val="auto"/>
              </w:rPr>
              <w:t>(181,017 )</w:t>
            </w:r>
          </w:p>
        </w:tc>
        <w:tc>
          <w:tcPr>
            <w:tcW w:w="30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5"/>
                <w:szCs w:val="15"/>
                <w:color w:val="auto"/>
              </w:rPr>
              <w:t>(5,662 )</w:t>
            </w:r>
          </w:p>
        </w:tc>
      </w:tr>
      <w:tr>
        <w:trPr>
          <w:trHeight w:val="183"/>
        </w:trPr>
        <w:tc>
          <w:tcPr>
            <w:tcW w:w="714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Cash flows used in financing activities:</w:t>
            </w:r>
          </w:p>
        </w:tc>
        <w:tc>
          <w:tcPr>
            <w:tcW w:w="22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140" w:type="dxa"/>
            <w:vAlign w:val="bottom"/>
          </w:tcPr>
          <w:p>
            <w:pPr>
              <w:ind w:left="360"/>
              <w:spacing w:after="0"/>
              <w:rPr>
                <w:sz w:val="20"/>
                <w:szCs w:val="20"/>
                <w:color w:val="auto"/>
              </w:rPr>
            </w:pPr>
            <w:r>
              <w:rPr>
                <w:rFonts w:ascii="Arial" w:cs="Arial" w:eastAsia="Arial" w:hAnsi="Arial"/>
                <w:sz w:val="15"/>
                <w:szCs w:val="15"/>
                <w:color w:val="auto"/>
              </w:rPr>
              <w:t>Proceeds from term loan</w:t>
            </w:r>
          </w:p>
        </w:tc>
        <w:tc>
          <w:tcPr>
            <w:tcW w:w="220" w:type="dxa"/>
            <w:vAlign w:val="bottom"/>
          </w:tcPr>
          <w:p>
            <w:pPr>
              <w:spacing w:after="0"/>
              <w:rPr>
                <w:sz w:val="16"/>
                <w:szCs w:val="16"/>
                <w:color w:val="auto"/>
              </w:rPr>
            </w:pPr>
          </w:p>
        </w:tc>
        <w:tc>
          <w:tcPr>
            <w:tcW w:w="1320" w:type="dxa"/>
            <w:vAlign w:val="bottom"/>
            <w:gridSpan w:val="2"/>
          </w:tcPr>
          <w:p>
            <w:pPr>
              <w:jc w:val="right"/>
              <w:ind w:right="18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275,000</w:t>
            </w:r>
          </w:p>
        </w:tc>
        <w:tc>
          <w:tcPr>
            <w:tcW w:w="100" w:type="dxa"/>
            <w:vAlign w:val="bottom"/>
          </w:tcPr>
          <w:p>
            <w:pPr>
              <w:spacing w:after="0"/>
              <w:rPr>
                <w:sz w:val="16"/>
                <w:szCs w:val="16"/>
                <w:color w:val="auto"/>
              </w:rPr>
            </w:pPr>
          </w:p>
        </w:tc>
      </w:tr>
      <w:tr>
        <w:trPr>
          <w:trHeight w:val="189"/>
        </w:trPr>
        <w:tc>
          <w:tcPr>
            <w:tcW w:w="71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Repayments of term loans</w:t>
            </w:r>
          </w:p>
        </w:tc>
        <w:tc>
          <w:tcPr>
            <w:tcW w:w="2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04"/>
              <w:spacing w:after="0"/>
              <w:rPr>
                <w:sz w:val="20"/>
                <w:szCs w:val="20"/>
                <w:color w:val="auto"/>
              </w:rPr>
            </w:pPr>
            <w:r>
              <w:rPr>
                <w:rFonts w:ascii="Arial" w:cs="Arial" w:eastAsia="Arial" w:hAnsi="Arial"/>
                <w:sz w:val="15"/>
                <w:szCs w:val="15"/>
                <w:color w:val="auto"/>
              </w:rPr>
              <w:t>(5,156 )</w:t>
            </w:r>
          </w:p>
        </w:tc>
        <w:tc>
          <w:tcPr>
            <w:tcW w:w="3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(472,742 )</w:t>
            </w:r>
          </w:p>
        </w:tc>
      </w:tr>
      <w:tr>
        <w:trPr>
          <w:trHeight w:val="189"/>
        </w:trPr>
        <w:tc>
          <w:tcPr>
            <w:tcW w:w="7140" w:type="dxa"/>
            <w:vAlign w:val="bottom"/>
          </w:tcPr>
          <w:p>
            <w:pPr>
              <w:ind w:left="360"/>
              <w:spacing w:after="0"/>
              <w:rPr>
                <w:sz w:val="20"/>
                <w:szCs w:val="20"/>
                <w:color w:val="auto"/>
              </w:rPr>
            </w:pPr>
            <w:r>
              <w:rPr>
                <w:rFonts w:ascii="Arial" w:cs="Arial" w:eastAsia="Arial" w:hAnsi="Arial"/>
                <w:sz w:val="15"/>
                <w:szCs w:val="15"/>
                <w:color w:val="auto"/>
              </w:rPr>
              <w:t>Proceeds from revolving credit facility</w:t>
            </w:r>
          </w:p>
        </w:tc>
        <w:tc>
          <w:tcPr>
            <w:tcW w:w="220" w:type="dxa"/>
            <w:vAlign w:val="bottom"/>
          </w:tcPr>
          <w:p>
            <w:pPr>
              <w:spacing w:after="0"/>
              <w:rPr>
                <w:sz w:val="16"/>
                <w:szCs w:val="16"/>
                <w:color w:val="auto"/>
              </w:rPr>
            </w:pPr>
          </w:p>
        </w:tc>
        <w:tc>
          <w:tcPr>
            <w:tcW w:w="1320" w:type="dxa"/>
            <w:vAlign w:val="bottom"/>
            <w:gridSpan w:val="2"/>
          </w:tcPr>
          <w:p>
            <w:pPr>
              <w:jc w:val="right"/>
              <w:ind w:right="18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71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Taxes paid related to net share settlement of equity awards</w:t>
            </w:r>
          </w:p>
        </w:tc>
        <w:tc>
          <w:tcPr>
            <w:tcW w:w="2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04"/>
              <w:spacing w:after="0"/>
              <w:rPr>
                <w:sz w:val="20"/>
                <w:szCs w:val="20"/>
                <w:color w:val="auto"/>
              </w:rPr>
            </w:pPr>
            <w:r>
              <w:rPr>
                <w:rFonts w:ascii="Arial" w:cs="Arial" w:eastAsia="Arial" w:hAnsi="Arial"/>
                <w:sz w:val="15"/>
                <w:szCs w:val="15"/>
                <w:color w:val="auto"/>
              </w:rPr>
              <w:t>(2,745 )</w:t>
            </w:r>
          </w:p>
        </w:tc>
        <w:tc>
          <w:tcPr>
            <w:tcW w:w="3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7140" w:type="dxa"/>
            <w:vAlign w:val="bottom"/>
          </w:tcPr>
          <w:p>
            <w:pPr>
              <w:ind w:left="360"/>
              <w:spacing w:after="0"/>
              <w:rPr>
                <w:sz w:val="20"/>
                <w:szCs w:val="20"/>
                <w:color w:val="auto"/>
              </w:rPr>
            </w:pPr>
            <w:r>
              <w:rPr>
                <w:rFonts w:ascii="Arial" w:cs="Arial" w:eastAsia="Arial" w:hAnsi="Arial"/>
                <w:sz w:val="15"/>
                <w:szCs w:val="15"/>
                <w:color w:val="auto"/>
              </w:rPr>
              <w:t>Payment of contingent consideration</w:t>
            </w:r>
          </w:p>
        </w:tc>
        <w:tc>
          <w:tcPr>
            <w:tcW w:w="220" w:type="dxa"/>
            <w:vAlign w:val="bottom"/>
          </w:tcPr>
          <w:p>
            <w:pPr>
              <w:spacing w:after="0"/>
              <w:rPr>
                <w:sz w:val="16"/>
                <w:szCs w:val="16"/>
                <w:color w:val="auto"/>
              </w:rPr>
            </w:pPr>
          </w:p>
        </w:tc>
        <w:tc>
          <w:tcPr>
            <w:tcW w:w="1320" w:type="dxa"/>
            <w:vAlign w:val="bottom"/>
            <w:gridSpan w:val="2"/>
          </w:tcPr>
          <w:p>
            <w:pPr>
              <w:jc w:val="right"/>
              <w:ind w:right="104"/>
              <w:spacing w:after="0"/>
              <w:rPr>
                <w:sz w:val="20"/>
                <w:szCs w:val="20"/>
                <w:color w:val="auto"/>
              </w:rPr>
            </w:pPr>
            <w:r>
              <w:rPr>
                <w:rFonts w:ascii="Arial" w:cs="Arial" w:eastAsia="Arial" w:hAnsi="Arial"/>
                <w:sz w:val="15"/>
                <w:szCs w:val="15"/>
                <w:color w:val="auto"/>
              </w:rPr>
              <w:t>(1,100 )</w:t>
            </w:r>
          </w:p>
        </w:tc>
        <w:tc>
          <w:tcPr>
            <w:tcW w:w="30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5"/>
                <w:szCs w:val="15"/>
                <w:color w:val="auto"/>
              </w:rPr>
              <w:t>(1,500 )</w:t>
            </w:r>
          </w:p>
        </w:tc>
      </w:tr>
      <w:tr>
        <w:trPr>
          <w:trHeight w:val="189"/>
        </w:trPr>
        <w:tc>
          <w:tcPr>
            <w:tcW w:w="71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Payment of debt issuance costs</w:t>
            </w:r>
          </w:p>
        </w:tc>
        <w:tc>
          <w:tcPr>
            <w:tcW w:w="2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84"/>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(3,511 )</w:t>
            </w:r>
          </w:p>
        </w:tc>
      </w:tr>
      <w:tr>
        <w:trPr>
          <w:trHeight w:val="189"/>
        </w:trPr>
        <w:tc>
          <w:tcPr>
            <w:tcW w:w="7140" w:type="dxa"/>
            <w:vAlign w:val="bottom"/>
          </w:tcPr>
          <w:p>
            <w:pPr>
              <w:ind w:left="360"/>
              <w:spacing w:after="0"/>
              <w:rPr>
                <w:sz w:val="20"/>
                <w:szCs w:val="20"/>
                <w:color w:val="auto"/>
              </w:rPr>
            </w:pPr>
            <w:r>
              <w:rPr>
                <w:rFonts w:ascii="Arial" w:cs="Arial" w:eastAsia="Arial" w:hAnsi="Arial"/>
                <w:sz w:val="15"/>
                <w:szCs w:val="15"/>
                <w:color w:val="auto"/>
              </w:rPr>
              <w:t>Proceeds from equity offering, net of underwriting discounts</w:t>
            </w:r>
          </w:p>
        </w:tc>
        <w:tc>
          <w:tcPr>
            <w:tcW w:w="220" w:type="dxa"/>
            <w:vAlign w:val="bottom"/>
          </w:tcPr>
          <w:p>
            <w:pPr>
              <w:spacing w:after="0"/>
              <w:rPr>
                <w:sz w:val="16"/>
                <w:szCs w:val="16"/>
                <w:color w:val="auto"/>
              </w:rPr>
            </w:pPr>
          </w:p>
        </w:tc>
        <w:tc>
          <w:tcPr>
            <w:tcW w:w="1320" w:type="dxa"/>
            <w:vAlign w:val="bottom"/>
            <w:gridSpan w:val="2"/>
          </w:tcPr>
          <w:p>
            <w:pPr>
              <w:jc w:val="right"/>
              <w:ind w:right="18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452,812</w:t>
            </w:r>
          </w:p>
        </w:tc>
        <w:tc>
          <w:tcPr>
            <w:tcW w:w="100" w:type="dxa"/>
            <w:vAlign w:val="bottom"/>
          </w:tcPr>
          <w:p>
            <w:pPr>
              <w:spacing w:after="0"/>
              <w:rPr>
                <w:sz w:val="16"/>
                <w:szCs w:val="16"/>
                <w:color w:val="auto"/>
              </w:rPr>
            </w:pPr>
          </w:p>
        </w:tc>
      </w:tr>
      <w:tr>
        <w:trPr>
          <w:trHeight w:val="189"/>
        </w:trPr>
        <w:tc>
          <w:tcPr>
            <w:tcW w:w="71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Repurchase of outstanding equity / Definitive OpCo units</w:t>
            </w:r>
          </w:p>
        </w:tc>
        <w:tc>
          <w:tcPr>
            <w:tcW w:w="2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84"/>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(92,812 )</w:t>
            </w:r>
          </w:p>
        </w:tc>
      </w:tr>
      <w:tr>
        <w:trPr>
          <w:trHeight w:val="189"/>
        </w:trPr>
        <w:tc>
          <w:tcPr>
            <w:tcW w:w="7140" w:type="dxa"/>
            <w:vAlign w:val="bottom"/>
          </w:tcPr>
          <w:p>
            <w:pPr>
              <w:ind w:left="360"/>
              <w:spacing w:after="0"/>
              <w:rPr>
                <w:sz w:val="20"/>
                <w:szCs w:val="20"/>
                <w:color w:val="auto"/>
              </w:rPr>
            </w:pPr>
            <w:r>
              <w:rPr>
                <w:rFonts w:ascii="Arial" w:cs="Arial" w:eastAsia="Arial" w:hAnsi="Arial"/>
                <w:sz w:val="15"/>
                <w:szCs w:val="15"/>
                <w:color w:val="auto"/>
              </w:rPr>
              <w:t>Payments of equity offering issuance costs</w:t>
            </w:r>
          </w:p>
        </w:tc>
        <w:tc>
          <w:tcPr>
            <w:tcW w:w="220" w:type="dxa"/>
            <w:vAlign w:val="bottom"/>
          </w:tcPr>
          <w:p>
            <w:pPr>
              <w:spacing w:after="0"/>
              <w:rPr>
                <w:sz w:val="16"/>
                <w:szCs w:val="16"/>
                <w:color w:val="auto"/>
              </w:rPr>
            </w:pPr>
          </w:p>
        </w:tc>
        <w:tc>
          <w:tcPr>
            <w:tcW w:w="1320" w:type="dxa"/>
            <w:vAlign w:val="bottom"/>
            <w:gridSpan w:val="2"/>
          </w:tcPr>
          <w:p>
            <w:pPr>
              <w:jc w:val="right"/>
              <w:ind w:right="104"/>
              <w:spacing w:after="0"/>
              <w:rPr>
                <w:sz w:val="20"/>
                <w:szCs w:val="20"/>
                <w:color w:val="auto"/>
              </w:rPr>
            </w:pPr>
            <w:r>
              <w:rPr>
                <w:rFonts w:ascii="Arial" w:cs="Arial" w:eastAsia="Arial" w:hAnsi="Arial"/>
                <w:sz w:val="15"/>
                <w:szCs w:val="15"/>
                <w:color w:val="auto"/>
              </w:rPr>
              <w:t>(1,299 )</w:t>
            </w:r>
          </w:p>
        </w:tc>
        <w:tc>
          <w:tcPr>
            <w:tcW w:w="30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5"/>
                <w:szCs w:val="15"/>
                <w:color w:val="auto"/>
              </w:rPr>
              <w:t>(5,913 )</w:t>
            </w:r>
          </w:p>
        </w:tc>
      </w:tr>
      <w:tr>
        <w:trPr>
          <w:trHeight w:val="189"/>
        </w:trPr>
        <w:tc>
          <w:tcPr>
            <w:tcW w:w="71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Member contributions</w:t>
            </w:r>
          </w:p>
        </w:tc>
        <w:tc>
          <w:tcPr>
            <w:tcW w:w="2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84"/>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5,500</w:t>
            </w:r>
          </w:p>
        </w:tc>
        <w:tc>
          <w:tcPr>
            <w:tcW w:w="100" w:type="dxa"/>
            <w:vAlign w:val="bottom"/>
            <w:shd w:val="clear" w:color="auto" w:fill="CFF0FC"/>
          </w:tcPr>
          <w:p>
            <w:pPr>
              <w:spacing w:after="0"/>
              <w:rPr>
                <w:sz w:val="16"/>
                <w:szCs w:val="16"/>
                <w:color w:val="auto"/>
              </w:rPr>
            </w:pPr>
          </w:p>
        </w:tc>
      </w:tr>
      <w:tr>
        <w:trPr>
          <w:trHeight w:val="189"/>
        </w:trPr>
        <w:tc>
          <w:tcPr>
            <w:tcW w:w="7140" w:type="dxa"/>
            <w:vAlign w:val="bottom"/>
          </w:tcPr>
          <w:p>
            <w:pPr>
              <w:ind w:left="360"/>
              <w:spacing w:after="0"/>
              <w:rPr>
                <w:sz w:val="20"/>
                <w:szCs w:val="20"/>
                <w:color w:val="auto"/>
              </w:rPr>
            </w:pPr>
            <w:r>
              <w:rPr>
                <w:rFonts w:ascii="Arial" w:cs="Arial" w:eastAsia="Arial" w:hAnsi="Arial"/>
                <w:sz w:val="15"/>
                <w:szCs w:val="15"/>
                <w:color w:val="auto"/>
              </w:rPr>
              <w:t>Member distributions</w:t>
            </w:r>
          </w:p>
        </w:tc>
        <w:tc>
          <w:tcPr>
            <w:tcW w:w="220" w:type="dxa"/>
            <w:vAlign w:val="bottom"/>
          </w:tcPr>
          <w:p>
            <w:pPr>
              <w:spacing w:after="0"/>
              <w:rPr>
                <w:sz w:val="16"/>
                <w:szCs w:val="16"/>
                <w:color w:val="auto"/>
              </w:rPr>
            </w:pPr>
          </w:p>
        </w:tc>
        <w:tc>
          <w:tcPr>
            <w:tcW w:w="1320" w:type="dxa"/>
            <w:vAlign w:val="bottom"/>
            <w:gridSpan w:val="2"/>
          </w:tcPr>
          <w:p>
            <w:pPr>
              <w:jc w:val="right"/>
              <w:ind w:right="104"/>
              <w:spacing w:after="0"/>
              <w:rPr>
                <w:sz w:val="20"/>
                <w:szCs w:val="20"/>
                <w:color w:val="auto"/>
              </w:rPr>
            </w:pPr>
            <w:r>
              <w:rPr>
                <w:rFonts w:ascii="Arial" w:cs="Arial" w:eastAsia="Arial" w:hAnsi="Arial"/>
                <w:sz w:val="15"/>
                <w:szCs w:val="15"/>
                <w:color w:val="auto"/>
              </w:rPr>
              <w:t>(6,939 )</w:t>
            </w:r>
          </w:p>
        </w:tc>
        <w:tc>
          <w:tcPr>
            <w:tcW w:w="30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5"/>
                <w:szCs w:val="15"/>
                <w:color w:val="auto"/>
              </w:rPr>
              <w:t>(7,139 )</w:t>
            </w:r>
          </w:p>
        </w:tc>
      </w:tr>
      <w:tr>
        <w:trPr>
          <w:trHeight w:val="183"/>
        </w:trPr>
        <w:tc>
          <w:tcPr>
            <w:tcW w:w="7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Net cash (used in) provided by financing activities</w:t>
            </w: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(17,239</w:t>
            </w:r>
          </w:p>
        </w:tc>
        <w:tc>
          <w:tcPr>
            <w:tcW w:w="240" w:type="dxa"/>
            <w:vAlign w:val="bottom"/>
            <w:tcBorders>
              <w:bottom w:val="single" w:sz="8" w:color="CFF0FC"/>
            </w:tcBorders>
            <w:shd w:val="clear" w:color="auto" w:fill="CFF0FC"/>
          </w:tcPr>
          <w:p>
            <w:pPr>
              <w:jc w:val="right"/>
              <w:ind w:right="104"/>
              <w:spacing w:after="0"/>
              <w:rPr>
                <w:sz w:val="20"/>
                <w:szCs w:val="20"/>
                <w:color w:val="auto"/>
              </w:rPr>
            </w:pPr>
            <w:r>
              <w:rPr>
                <w:rFonts w:ascii="Arial" w:cs="Arial" w:eastAsia="Arial" w:hAnsi="Arial"/>
                <w:sz w:val="15"/>
                <w:szCs w:val="15"/>
                <w:color w:val="auto"/>
                <w:w w:val="79"/>
              </w:rPr>
              <w:t>)</w:t>
            </w:r>
          </w:p>
        </w:tc>
        <w:tc>
          <w:tcPr>
            <w:tcW w:w="300" w:type="dxa"/>
            <w:vAlign w:val="bottom"/>
            <w:tcBorders>
              <w:top w:val="single" w:sz="8" w:color="auto"/>
              <w:bottom w:val="single" w:sz="8" w:color="auto"/>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149,695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7140" w:type="dxa"/>
            <w:vAlign w:val="bottom"/>
          </w:tcPr>
          <w:p>
            <w:pPr>
              <w:spacing w:after="0"/>
              <w:rPr>
                <w:sz w:val="20"/>
                <w:szCs w:val="20"/>
                <w:color w:val="auto"/>
              </w:rPr>
            </w:pPr>
            <w:r>
              <w:rPr>
                <w:rFonts w:ascii="Arial" w:cs="Arial" w:eastAsia="Arial" w:hAnsi="Arial"/>
                <w:sz w:val="15"/>
                <w:szCs w:val="15"/>
                <w:color w:val="auto"/>
              </w:rPr>
              <w:t>Net (decrease) increase in cash and cash equivalents</w:t>
            </w:r>
          </w:p>
        </w:tc>
        <w:tc>
          <w:tcPr>
            <w:tcW w:w="220" w:type="dxa"/>
            <w:vAlign w:val="bottom"/>
          </w:tcPr>
          <w:p>
            <w:pPr>
              <w:spacing w:after="0"/>
              <w:rPr>
                <w:sz w:val="15"/>
                <w:szCs w:val="15"/>
                <w:color w:val="auto"/>
              </w:rPr>
            </w:pPr>
          </w:p>
        </w:tc>
        <w:tc>
          <w:tcPr>
            <w:tcW w:w="1320" w:type="dxa"/>
            <w:vAlign w:val="bottom"/>
            <w:gridSpan w:val="2"/>
          </w:tcPr>
          <w:p>
            <w:pPr>
              <w:jc w:val="right"/>
              <w:ind w:right="104"/>
              <w:spacing w:after="0"/>
              <w:rPr>
                <w:sz w:val="20"/>
                <w:szCs w:val="20"/>
                <w:color w:val="auto"/>
              </w:rPr>
            </w:pPr>
            <w:r>
              <w:rPr>
                <w:rFonts w:ascii="Arial" w:cs="Arial" w:eastAsia="Arial" w:hAnsi="Arial"/>
                <w:sz w:val="15"/>
                <w:szCs w:val="15"/>
                <w:color w:val="auto"/>
              </w:rPr>
              <w:t>(158,457 )</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165,026</w:t>
            </w:r>
          </w:p>
        </w:tc>
        <w:tc>
          <w:tcPr>
            <w:tcW w:w="100" w:type="dxa"/>
            <w:vAlign w:val="bottom"/>
          </w:tcPr>
          <w:p>
            <w:pPr>
              <w:spacing w:after="0"/>
              <w:rPr>
                <w:sz w:val="15"/>
                <w:szCs w:val="15"/>
                <w:color w:val="auto"/>
              </w:rPr>
            </w:pPr>
          </w:p>
        </w:tc>
      </w:tr>
      <w:tr>
        <w:trPr>
          <w:trHeight w:val="189"/>
        </w:trPr>
        <w:tc>
          <w:tcPr>
            <w:tcW w:w="71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Effect of exchange rate changes on cash and cash equivalents</w:t>
            </w:r>
          </w:p>
        </w:tc>
        <w:tc>
          <w:tcPr>
            <w:tcW w:w="2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04"/>
              <w:spacing w:after="0"/>
              <w:rPr>
                <w:sz w:val="20"/>
                <w:szCs w:val="20"/>
                <w:color w:val="auto"/>
              </w:rPr>
            </w:pPr>
            <w:r>
              <w:rPr>
                <w:rFonts w:ascii="Arial" w:cs="Arial" w:eastAsia="Arial" w:hAnsi="Arial"/>
                <w:sz w:val="15"/>
                <w:szCs w:val="15"/>
                <w:color w:val="auto"/>
              </w:rPr>
              <w:t>(213 )</w:t>
            </w:r>
          </w:p>
        </w:tc>
        <w:tc>
          <w:tcPr>
            <w:tcW w:w="3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(48 )</w:t>
            </w:r>
          </w:p>
        </w:tc>
      </w:tr>
      <w:tr>
        <w:trPr>
          <w:trHeight w:val="189"/>
        </w:trPr>
        <w:tc>
          <w:tcPr>
            <w:tcW w:w="7140" w:type="dxa"/>
            <w:vAlign w:val="bottom"/>
          </w:tcPr>
          <w:p>
            <w:pPr>
              <w:ind w:left="360"/>
              <w:spacing w:after="0"/>
              <w:rPr>
                <w:sz w:val="20"/>
                <w:szCs w:val="20"/>
                <w:color w:val="auto"/>
              </w:rPr>
            </w:pPr>
            <w:r>
              <w:rPr>
                <w:rFonts w:ascii="Arial" w:cs="Arial" w:eastAsia="Arial" w:hAnsi="Arial"/>
                <w:sz w:val="15"/>
                <w:szCs w:val="15"/>
                <w:color w:val="auto"/>
              </w:rPr>
              <w:t>Cash and cash equivalents, beginning of period</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387,498</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24,774</w:t>
            </w:r>
          </w:p>
        </w:tc>
        <w:tc>
          <w:tcPr>
            <w:tcW w:w="100" w:type="dxa"/>
            <w:vAlign w:val="bottom"/>
          </w:tcPr>
          <w:p>
            <w:pPr>
              <w:spacing w:after="0"/>
              <w:rPr>
                <w:sz w:val="16"/>
                <w:szCs w:val="16"/>
                <w:color w:val="auto"/>
              </w:rPr>
            </w:pPr>
          </w:p>
        </w:tc>
      </w:tr>
      <w:tr>
        <w:trPr>
          <w:trHeight w:val="223"/>
        </w:trPr>
        <w:tc>
          <w:tcPr>
            <w:tcW w:w="71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5"/>
                <w:szCs w:val="15"/>
                <w:color w:val="auto"/>
              </w:rPr>
              <w:t>Cash and cash equivalents, end of period</w:t>
            </w: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228,828</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189,752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70"/>
        </w:trPr>
        <w:tc>
          <w:tcPr>
            <w:tcW w:w="7140" w:type="dxa"/>
            <w:vAlign w:val="bottom"/>
          </w:tcPr>
          <w:p>
            <w:pPr>
              <w:spacing w:after="0" w:line="169" w:lineRule="exact"/>
              <w:rPr>
                <w:sz w:val="20"/>
                <w:szCs w:val="20"/>
                <w:color w:val="auto"/>
              </w:rPr>
            </w:pPr>
            <w:r>
              <w:rPr>
                <w:rFonts w:ascii="Arial" w:cs="Arial" w:eastAsia="Arial" w:hAnsi="Arial"/>
                <w:sz w:val="15"/>
                <w:szCs w:val="15"/>
                <w:b w:val="1"/>
                <w:bCs w:val="1"/>
                <w:color w:val="auto"/>
              </w:rPr>
              <w:t>Supplemental cash flow disclosures:</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71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Cash paid during the period for:</w:t>
            </w: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140" w:type="dxa"/>
            <w:vAlign w:val="bottom"/>
          </w:tcPr>
          <w:p>
            <w:pPr>
              <w:ind w:left="540"/>
              <w:spacing w:after="0"/>
              <w:rPr>
                <w:sz w:val="20"/>
                <w:szCs w:val="20"/>
                <w:color w:val="auto"/>
              </w:rPr>
            </w:pPr>
            <w:r>
              <w:rPr>
                <w:rFonts w:ascii="Arial" w:cs="Arial" w:eastAsia="Arial" w:hAnsi="Arial"/>
                <w:sz w:val="15"/>
                <w:szCs w:val="15"/>
                <w:color w:val="auto"/>
              </w:rPr>
              <w:t>Interest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7,248</w:t>
            </w:r>
          </w:p>
        </w:tc>
        <w:tc>
          <w:tcPr>
            <w:tcW w:w="240" w:type="dxa"/>
            <w:vAlign w:val="bottom"/>
          </w:tcPr>
          <w:p>
            <w:pPr>
              <w:spacing w:after="0"/>
              <w:rPr>
                <w:sz w:val="16"/>
                <w:szCs w:val="16"/>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27,587</w:t>
            </w:r>
          </w:p>
        </w:tc>
        <w:tc>
          <w:tcPr>
            <w:tcW w:w="100" w:type="dxa"/>
            <w:vAlign w:val="bottom"/>
          </w:tcPr>
          <w:p>
            <w:pPr>
              <w:spacing w:after="0"/>
              <w:rPr>
                <w:sz w:val="16"/>
                <w:szCs w:val="16"/>
                <w:color w:val="auto"/>
              </w:rPr>
            </w:pPr>
          </w:p>
        </w:tc>
      </w:tr>
      <w:tr>
        <w:trPr>
          <w:trHeight w:val="189"/>
        </w:trPr>
        <w:tc>
          <w:tcPr>
            <w:tcW w:w="7140" w:type="dxa"/>
            <w:vAlign w:val="bottom"/>
            <w:shd w:val="clear" w:color="auto" w:fill="CFF0FC"/>
          </w:tcPr>
          <w:p>
            <w:pPr>
              <w:ind w:left="540"/>
              <w:spacing w:after="0"/>
              <w:rPr>
                <w:sz w:val="20"/>
                <w:szCs w:val="20"/>
                <w:color w:val="auto"/>
              </w:rPr>
            </w:pPr>
            <w:r>
              <w:rPr>
                <w:rFonts w:ascii="Arial" w:cs="Arial" w:eastAsia="Arial" w:hAnsi="Arial"/>
                <w:sz w:val="15"/>
                <w:szCs w:val="15"/>
                <w:color w:val="auto"/>
              </w:rPr>
              <w:t>Income taxes</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84"/>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FF0FC"/>
          </w:tcPr>
          <w:p>
            <w:pPr>
              <w:spacing w:after="0"/>
              <w:rPr>
                <w:sz w:val="16"/>
                <w:szCs w:val="16"/>
                <w:color w:val="auto"/>
              </w:rPr>
            </w:pPr>
          </w:p>
        </w:tc>
      </w:tr>
      <w:tr>
        <w:trPr>
          <w:trHeight w:val="189"/>
        </w:trPr>
        <w:tc>
          <w:tcPr>
            <w:tcW w:w="7140" w:type="dxa"/>
            <w:vAlign w:val="bottom"/>
          </w:tcPr>
          <w:p>
            <w:pPr>
              <w:ind w:left="540"/>
              <w:spacing w:after="0"/>
              <w:rPr>
                <w:sz w:val="20"/>
                <w:szCs w:val="20"/>
                <w:color w:val="auto"/>
              </w:rPr>
            </w:pPr>
            <w:r>
              <w:rPr>
                <w:rFonts w:ascii="Arial" w:cs="Arial" w:eastAsia="Arial" w:hAnsi="Arial"/>
                <w:sz w:val="15"/>
                <w:szCs w:val="15"/>
                <w:color w:val="auto"/>
              </w:rPr>
              <w:t>Acquisitions:</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140" w:type="dxa"/>
            <w:vAlign w:val="bottom"/>
            <w:shd w:val="clear" w:color="auto" w:fill="CFF0FC"/>
          </w:tcPr>
          <w:p>
            <w:pPr>
              <w:ind w:left="720"/>
              <w:spacing w:after="0"/>
              <w:rPr>
                <w:sz w:val="20"/>
                <w:szCs w:val="20"/>
                <w:color w:val="auto"/>
              </w:rPr>
            </w:pPr>
            <w:r>
              <w:rPr>
                <w:rFonts w:ascii="Arial" w:cs="Arial" w:eastAsia="Arial" w:hAnsi="Arial"/>
                <w:sz w:val="15"/>
                <w:szCs w:val="15"/>
                <w:color w:val="auto"/>
              </w:rPr>
              <w:t>Net assets acquired, net of cash acquired</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97,296</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7140" w:type="dxa"/>
            <w:vAlign w:val="bottom"/>
          </w:tcPr>
          <w:p>
            <w:pPr>
              <w:ind w:left="720"/>
              <w:spacing w:after="0"/>
              <w:rPr>
                <w:sz w:val="20"/>
                <w:szCs w:val="20"/>
                <w:color w:val="auto"/>
              </w:rPr>
            </w:pPr>
            <w:r>
              <w:rPr>
                <w:rFonts w:ascii="Arial" w:cs="Arial" w:eastAsia="Arial" w:hAnsi="Arial"/>
                <w:sz w:val="15"/>
                <w:szCs w:val="15"/>
                <w:color w:val="auto"/>
              </w:rPr>
              <w:t>Initial cash investment in prior year</w:t>
            </w:r>
          </w:p>
        </w:tc>
        <w:tc>
          <w:tcPr>
            <w:tcW w:w="220" w:type="dxa"/>
            <w:vAlign w:val="bottom"/>
          </w:tcPr>
          <w:p>
            <w:pPr>
              <w:spacing w:after="0"/>
              <w:rPr>
                <w:sz w:val="16"/>
                <w:szCs w:val="16"/>
                <w:color w:val="auto"/>
              </w:rPr>
            </w:pPr>
          </w:p>
        </w:tc>
        <w:tc>
          <w:tcPr>
            <w:tcW w:w="1320" w:type="dxa"/>
            <w:vAlign w:val="bottom"/>
            <w:gridSpan w:val="2"/>
          </w:tcPr>
          <w:p>
            <w:pPr>
              <w:jc w:val="right"/>
              <w:ind w:right="104"/>
              <w:spacing w:after="0"/>
              <w:rPr>
                <w:sz w:val="20"/>
                <w:szCs w:val="20"/>
                <w:color w:val="auto"/>
              </w:rPr>
            </w:pPr>
            <w:r>
              <w:rPr>
                <w:rFonts w:ascii="Arial" w:cs="Arial" w:eastAsia="Arial" w:hAnsi="Arial"/>
                <w:sz w:val="15"/>
                <w:szCs w:val="15"/>
                <w:color w:val="auto"/>
              </w:rPr>
              <w:t>(40,000 )</w:t>
            </w:r>
          </w:p>
        </w:tc>
        <w:tc>
          <w:tcPr>
            <w:tcW w:w="3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7140" w:type="dxa"/>
            <w:vAlign w:val="bottom"/>
            <w:shd w:val="clear" w:color="auto" w:fill="CFF0FC"/>
          </w:tcPr>
          <w:p>
            <w:pPr>
              <w:ind w:left="720"/>
              <w:spacing w:after="0"/>
              <w:rPr>
                <w:sz w:val="20"/>
                <w:szCs w:val="20"/>
                <w:color w:val="auto"/>
              </w:rPr>
            </w:pPr>
            <w:r>
              <w:rPr>
                <w:rFonts w:ascii="Arial" w:cs="Arial" w:eastAsia="Arial" w:hAnsi="Arial"/>
                <w:sz w:val="15"/>
                <w:szCs w:val="15"/>
                <w:color w:val="auto"/>
              </w:rPr>
              <w:t>Contingent consideration</w:t>
            </w:r>
          </w:p>
        </w:tc>
        <w:tc>
          <w:tcPr>
            <w:tcW w:w="2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04"/>
              <w:spacing w:after="0"/>
              <w:rPr>
                <w:sz w:val="20"/>
                <w:szCs w:val="20"/>
                <w:color w:val="auto"/>
              </w:rPr>
            </w:pPr>
            <w:r>
              <w:rPr>
                <w:rFonts w:ascii="Arial" w:cs="Arial" w:eastAsia="Arial" w:hAnsi="Arial"/>
                <w:sz w:val="15"/>
                <w:szCs w:val="15"/>
                <w:color w:val="auto"/>
              </w:rPr>
              <w:t>(1,000 )</w:t>
            </w:r>
          </w:p>
        </w:tc>
        <w:tc>
          <w:tcPr>
            <w:tcW w:w="3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83"/>
        </w:trPr>
        <w:tc>
          <w:tcPr>
            <w:tcW w:w="7140" w:type="dxa"/>
            <w:vAlign w:val="bottom"/>
            <w:tcBorders>
              <w:top w:val="single" w:sz="8" w:color="CFF0FC"/>
            </w:tcBorders>
          </w:tcPr>
          <w:p>
            <w:pPr>
              <w:ind w:left="900"/>
              <w:spacing w:after="0"/>
              <w:rPr>
                <w:sz w:val="20"/>
                <w:szCs w:val="20"/>
                <w:color w:val="auto"/>
              </w:rPr>
            </w:pPr>
            <w:r>
              <w:rPr>
                <w:rFonts w:ascii="Arial" w:cs="Arial" w:eastAsia="Arial" w:hAnsi="Arial"/>
                <w:sz w:val="15"/>
                <w:szCs w:val="15"/>
                <w:color w:val="auto"/>
              </w:rPr>
              <w:t>Net cash paid for acquisitions</w:t>
            </w: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56,296</w:t>
            </w:r>
          </w:p>
        </w:tc>
        <w:tc>
          <w:tcPr>
            <w:tcW w:w="240" w:type="dxa"/>
            <w:vAlign w:val="bottom"/>
            <w:tcBorders>
              <w:top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top w:val="single" w:sz="8" w:color="CFF0FC"/>
            </w:tcBorders>
          </w:tcPr>
          <w:p>
            <w:pPr>
              <w:spacing w:after="0"/>
              <w:rPr>
                <w:sz w:val="15"/>
                <w:szCs w:val="15"/>
                <w:color w:val="auto"/>
              </w:rPr>
            </w:pPr>
          </w:p>
        </w:tc>
      </w:tr>
      <w:tr>
        <w:trPr>
          <w:trHeight w:val="20"/>
        </w:trPr>
        <w:tc>
          <w:tcPr>
            <w:tcW w:w="7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714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Supplemental cash flow disclosures:</w:t>
            </w: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140" w:type="dxa"/>
            <w:vAlign w:val="bottom"/>
          </w:tcPr>
          <w:p>
            <w:pPr>
              <w:ind w:left="360"/>
              <w:spacing w:after="0"/>
              <w:rPr>
                <w:sz w:val="20"/>
                <w:szCs w:val="20"/>
                <w:color w:val="auto"/>
              </w:rPr>
            </w:pPr>
            <w:r>
              <w:rPr>
                <w:rFonts w:ascii="Arial" w:cs="Arial" w:eastAsia="Arial" w:hAnsi="Arial"/>
                <w:sz w:val="15"/>
                <w:szCs w:val="15"/>
                <w:color w:val="auto"/>
              </w:rPr>
              <w:t>Cash paid for income taxes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84"/>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714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Supplemental disclosure of non-cash investing activities:</w:t>
            </w: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140" w:type="dxa"/>
            <w:vAlign w:val="bottom"/>
          </w:tcPr>
          <w:p>
            <w:pPr>
              <w:ind w:left="360"/>
              <w:spacing w:after="0"/>
              <w:rPr>
                <w:sz w:val="20"/>
                <w:szCs w:val="20"/>
                <w:color w:val="auto"/>
              </w:rPr>
            </w:pPr>
            <w:r>
              <w:rPr>
                <w:rFonts w:ascii="Arial" w:cs="Arial" w:eastAsia="Arial" w:hAnsi="Arial"/>
                <w:sz w:val="15"/>
                <w:szCs w:val="15"/>
                <w:color w:val="auto"/>
              </w:rPr>
              <w:t>Capital expenditures included in accrued expenses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4,504</w:t>
            </w:r>
          </w:p>
        </w:tc>
        <w:tc>
          <w:tcPr>
            <w:tcW w:w="240" w:type="dxa"/>
            <w:vAlign w:val="bottom"/>
          </w:tcPr>
          <w:p>
            <w:pPr>
              <w:spacing w:after="0"/>
              <w:rPr>
                <w:sz w:val="16"/>
                <w:szCs w:val="16"/>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369</w:t>
            </w:r>
          </w:p>
        </w:tc>
        <w:tc>
          <w:tcPr>
            <w:tcW w:w="100" w:type="dxa"/>
            <w:vAlign w:val="bottom"/>
          </w:tcPr>
          <w:p>
            <w:pPr>
              <w:spacing w:after="0"/>
              <w:rPr>
                <w:sz w:val="16"/>
                <w:szCs w:val="16"/>
                <w:color w:val="auto"/>
              </w:rPr>
            </w:pPr>
          </w:p>
        </w:tc>
      </w:tr>
      <w:tr>
        <w:trPr>
          <w:trHeight w:val="189"/>
        </w:trPr>
        <w:tc>
          <w:tcPr>
            <w:tcW w:w="71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Decrease in accrued purchases of data</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84"/>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7140" w:type="dxa"/>
            <w:vAlign w:val="bottom"/>
          </w:tcPr>
          <w:p>
            <w:pPr>
              <w:spacing w:after="0"/>
              <w:rPr>
                <w:sz w:val="20"/>
                <w:szCs w:val="20"/>
                <w:color w:val="auto"/>
              </w:rPr>
            </w:pPr>
            <w:r>
              <w:rPr>
                <w:rFonts w:ascii="Arial" w:cs="Arial" w:eastAsia="Arial" w:hAnsi="Arial"/>
                <w:sz w:val="15"/>
                <w:szCs w:val="15"/>
                <w:b w:val="1"/>
                <w:bCs w:val="1"/>
                <w:color w:val="auto"/>
              </w:rPr>
              <w:t>Supplemental disclosure of non-cash financing activities:</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1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Unpaid equity offering costs included in accrued expenses</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147</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5,481</w:t>
            </w:r>
          </w:p>
        </w:tc>
        <w:tc>
          <w:tcPr>
            <w:tcW w:w="100" w:type="dxa"/>
            <w:vAlign w:val="bottom"/>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-4919980</wp:posOffset>
            </wp:positionV>
            <wp:extent cx="6858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-4919980</wp:posOffset>
            </wp:positionV>
            <wp:extent cx="60325"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13716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-4182745</wp:posOffset>
            </wp:positionV>
            <wp:extent cx="6858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-4182745</wp:posOffset>
            </wp:positionV>
            <wp:extent cx="60325"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13716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-2476500</wp:posOffset>
            </wp:positionV>
            <wp:extent cx="6858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-2476500</wp:posOffset>
            </wp:positionV>
            <wp:extent cx="60325"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12890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-1979295</wp:posOffset>
            </wp:positionV>
            <wp:extent cx="1054735"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54735" cy="14605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-993775</wp:posOffset>
            </wp:positionV>
            <wp:extent cx="6858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-993775</wp:posOffset>
            </wp:positionV>
            <wp:extent cx="60325"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154305"/>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24" w:right="899" w:bottom="1440" w:gutter="0" w:footer="0" w:header="0"/>
        </w:sectPr>
      </w:pPr>
    </w:p>
    <w:bookmarkStart w:id="11" w:name="page12"/>
    <w:bookmarkEnd w:id="11"/>
    <w:p>
      <w:pPr>
        <w:ind w:left="4120"/>
        <w:spacing w:after="0"/>
        <w:rPr>
          <w:sz w:val="20"/>
          <w:szCs w:val="20"/>
          <w:color w:val="auto"/>
        </w:rPr>
      </w:pPr>
      <w:r>
        <w:rPr>
          <w:rFonts w:ascii="Arial" w:cs="Arial" w:eastAsia="Arial" w:hAnsi="Arial"/>
          <w:sz w:val="18"/>
          <w:szCs w:val="18"/>
          <w:b w:val="1"/>
          <w:bCs w:val="1"/>
          <w:color w:val="auto"/>
        </w:rPr>
        <w:t>DEFINITIVE HEALTHCARE CORP.</w:t>
      </w:r>
    </w:p>
    <w:p>
      <w:pPr>
        <w:spacing w:after="0" w:line="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Definitive Healthcare Corp., through its operating subsidiaries, provides comprehensive and up-to-date hospital and healthcare-related information and insight across the entire healthcare continuum via a multi-tenant software-as-a-service (“SaaS”) platform which combines proprietary and public sources to deliver insights. The Company is headquartered in Framingham, Massachusetts.</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Organization</w:t>
      </w:r>
    </w:p>
    <w:p>
      <w:pPr>
        <w:spacing w:after="0" w:line="104"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Definitive Healthcare Corp. was formed on May 5, 2021 as a Delaware corporation to facilitate an initial public offering (“IPO”) and other related transactions to carry on the business of Definitive OpCo. Following consummation of the Reorganization Transactions, Definitive OpCo became a subsidiary of Definitive Healthcare Corp.</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04" w:lineRule="exact"/>
        <w:rPr>
          <w:sz w:val="20"/>
          <w:szCs w:val="20"/>
          <w:color w:val="auto"/>
        </w:rPr>
      </w:pPr>
    </w:p>
    <w:p>
      <w:pPr>
        <w:ind w:right="220" w:firstLine="509"/>
        <w:spacing w:after="0" w:line="303" w:lineRule="auto"/>
        <w:rPr>
          <w:sz w:val="20"/>
          <w:szCs w:val="20"/>
          <w:color w:val="auto"/>
        </w:rPr>
      </w:pPr>
      <w:r>
        <w:rPr>
          <w:rFonts w:ascii="Arial" w:cs="Arial" w:eastAsia="Arial" w:hAnsi="Arial"/>
          <w:sz w:val="16"/>
          <w:szCs w:val="16"/>
          <w:color w:val="auto"/>
        </w:rPr>
        <w:t>On September 17, 2021, Definitive Healthcare completed its IPO, in which it sold 17,888,888 shares of Class A Common Stock (including shares issued pursuant to the exercise in full of the underwriters’ option to purchase additional shares) at a public offering price of $27.00 per share for net proceeds of $452.8 million, after deducting underwriters’ discounts and commissions (but excluding other offering expenses and reimbursements).</w:t>
      </w:r>
    </w:p>
    <w:p>
      <w:pPr>
        <w:spacing w:after="0" w:line="32"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Definitive Healthcare used net proceeds from the IPO to (i) acquire 14,222,222 newly issued limited liability company interests (“LLC Units”) from Definitive OpCo; (ii) purchase 1,169,378 LLC Units from certain holders of LLC Units prior to the IPO; and (iii) repurchase 2,497,288 shares of Class A Common Stock received by the former shareholders of certain Blocker Companies (as defined below). Definitive OpCo used proceeds from the IPO to pay fees and expenses of approximately $11.4 million incurred in connection with the IPO and the Reorganization Transactions and to repay $199.6 million, inclusive of accrued interest expense, of the outstanding borrowings under our 2019 Credit Agreement, with the remaining proceeds intended to be used for general corporate purposes.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Reorganization Transactions</w:t>
      </w:r>
    </w:p>
    <w:p>
      <w:pPr>
        <w:spacing w:after="0" w:line="104"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auto"/>
        </w:rPr>
        <w:t>In connection with the IPO, the Company completed the following transactions (the “Reorganization Transactions”). Definitive OpCo entered into a second amended and restated limited liability company agreement (the “Amended LLC Agreement”) pursuant to which members of Definitive OpCo prior to the IPO who continue to hold LLC Units have the right to require Definitive OpCo to exchange all or a portion of their LLC Units for newly issued shares of Class A Common Stock. Until exchanged, each LLC Unit is coupled with one share of Definitive Healthcare Corp. Class B Common Stock. The total amount of shares of Class B Common Stock outstanding is equal to the number of vested LLC Units outstanding. Entities treated as corporations for U.S. tax purposes that held LLC Units (individually, a “Blocker Company” and collectively, the "Blocker Companies") each merged with a merger subsidiary and subsequently merged into Definitive Healthcare Corp. and are now holders of Class A Common Stock.</w:t>
      </w:r>
    </w:p>
    <w:p>
      <w:pPr>
        <w:spacing w:after="0" w:line="172" w:lineRule="exact"/>
        <w:rPr>
          <w:sz w:val="20"/>
          <w:szCs w:val="20"/>
          <w:color w:val="auto"/>
        </w:rPr>
      </w:pPr>
    </w:p>
    <w:p>
      <w:pPr>
        <w:ind w:right="120" w:firstLine="509"/>
        <w:spacing w:after="0" w:line="268" w:lineRule="auto"/>
        <w:rPr>
          <w:sz w:val="20"/>
          <w:szCs w:val="20"/>
          <w:color w:val="auto"/>
        </w:rPr>
      </w:pPr>
      <w:r>
        <w:rPr>
          <w:rFonts w:ascii="Arial" w:cs="Arial" w:eastAsia="Arial" w:hAnsi="Arial"/>
          <w:sz w:val="17"/>
          <w:szCs w:val="17"/>
          <w:color w:val="auto"/>
        </w:rPr>
        <w:t>Following the Reorganization Transactions, Definitive Healthcare Corp. became a holding company, with its sole material asset being a controlling equity interest in Definitive OpCo. 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unexchanged LLC Unit holders on its condensed consolidated financial statements.</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connection with the Reorganization Transactions and the IPO, Definitive Healthcare Corp. entered into a tax receivable agreement. See Note 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Follow-On Offering</w:t>
      </w:r>
    </w:p>
    <w:p>
      <w:pPr>
        <w:spacing w:after="0" w:line="117"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On November 22, 2021, Definitive Healthcare Corp. completed a follow-on offering, in which it sold 11,000,000 shares of Class A Common Stock at a public offering price of $36.00 per share for net proceeds of $382.1 million, after deducting underwriters’ discounts and commissions (but excluding other offering expenses and reimbursements).</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Definitive Healthcare Corp. used net proceeds from the follow-on offering to (i) acquire 7,000,000 newly issued LLC Units from Definitive OpCo;</w:t>
      </w:r>
    </w:p>
    <w:p>
      <w:pPr>
        <w:spacing w:after="0" w:line="35" w:lineRule="exact"/>
        <w:rPr>
          <w:sz w:val="20"/>
          <w:szCs w:val="20"/>
          <w:color w:val="auto"/>
        </w:rPr>
      </w:pPr>
    </w:p>
    <w:p>
      <w:pPr>
        <w:ind w:firstLine="8"/>
        <w:spacing w:after="0" w:line="283" w:lineRule="auto"/>
        <w:tabs>
          <w:tab w:leader="none" w:pos="265" w:val="left"/>
        </w:tabs>
        <w:numPr>
          <w:ilvl w:val="0"/>
          <w:numId w:val="5"/>
        </w:numPr>
        <w:rPr>
          <w:rFonts w:ascii="Arial" w:cs="Arial" w:eastAsia="Arial" w:hAnsi="Arial"/>
          <w:sz w:val="16"/>
          <w:szCs w:val="16"/>
          <w:color w:val="auto"/>
        </w:rPr>
      </w:pPr>
      <w:r>
        <w:rPr>
          <w:rFonts w:ascii="Arial" w:cs="Arial" w:eastAsia="Arial" w:hAnsi="Arial"/>
          <w:sz w:val="16"/>
          <w:szCs w:val="16"/>
          <w:color w:val="auto"/>
        </w:rPr>
        <w:t>purchase 1,766,762 LLC Units from certain unitholders; and (iii) repurchase 2,233,238 shares of Class A Common Stock received by the former shareholders of certain Blocker Companies. Definitive OpCo used net proceeds from the follow-on offering to pay fees and expenses of approximately $1.6 million incurred in connection with the follow-on offering, with the remaining proceeds intended to be used for general corporate purposes.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(“GAAP”) and in conformity with rules applicable to quarterly financial information. Any reference in these notes to applicable accounting guidance is meant to refer to the authoritative nongovernmental GAAP as found in the Financial Accounting Standards Board (“FASB”) Accounting Standards Codification (“ASC”). The condensed consolidated financial statements as of September 30, 2022 and for the three and nine months ended September 30, 2022 and 2021 are unaudited. Amounts for the period from January 1, 2021 through September 15, 2021 presented in the condensed consolidated financial statements and notes to the condensed consolidated financial statements herein represent the historical operations of Definitive OpCo. The amounts as of September 30, 2022 and December 31, 2021 and for the period from September 16, 2021 reflect the consolidated operations of Definitive Healthcare Corp. and its consolidated subsidiaries. All adjustments, consisting of normal recurring adjustments, except as otherwise noted, considered necessary for a fair presentation of the unaudited interim condensed consolidated financial statements for these interim periods have been included.</w:t>
      </w:r>
    </w:p>
    <w:p>
      <w:pPr>
        <w:spacing w:after="0" w:line="72" w:lineRule="exact"/>
        <w:rPr>
          <w:sz w:val="20"/>
          <w:szCs w:val="20"/>
          <w:color w:val="auto"/>
        </w:rPr>
      </w:pPr>
    </w:p>
    <w:p>
      <w:pPr>
        <w:ind w:right="60" w:firstLine="509"/>
        <w:spacing w:after="0" w:line="291" w:lineRule="auto"/>
        <w:rPr>
          <w:sz w:val="20"/>
          <w:szCs w:val="20"/>
          <w:color w:val="auto"/>
        </w:rPr>
      </w:pPr>
      <w:r>
        <w:rPr>
          <w:rFonts w:ascii="Arial" w:cs="Arial" w:eastAsia="Arial" w:hAnsi="Arial"/>
          <w:sz w:val="17"/>
          <w:szCs w:val="17"/>
          <w:color w:val="auto"/>
        </w:rPr>
        <w:t xml:space="preserve">Refer to Note 2 below and to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in the notes to the consolidated financial statements in the Annual Report on Form 10-K for the fiscal year ended December 31, 2021 for the Company’s significant accounting policies and estimates.</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104" w:lineRule="exact"/>
        <w:rPr>
          <w:sz w:val="20"/>
          <w:szCs w:val="20"/>
          <w:color w:val="auto"/>
        </w:rPr>
      </w:pPr>
    </w:p>
    <w:p>
      <w:pPr>
        <w:ind w:right="120" w:firstLine="509"/>
        <w:spacing w:after="0" w:line="263"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judgments,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include, but are not limited to, revenue recognition, allowance for doubtful accounts, contingencies, valuations and useful lives of intangible assets acquired in business combinations, equity-based compensation, and income taxes. Actual results could differ from those estimates.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Effective January 1, 2022, the Company adopted Accounting Standards Update (“ASU”) No. 2016-02—</w:t>
      </w:r>
      <w:r>
        <w:rPr>
          <w:rFonts w:ascii="Arial" w:cs="Arial" w:eastAsia="Arial" w:hAnsi="Arial"/>
          <w:sz w:val="17"/>
          <w:szCs w:val="17"/>
          <w:i w:val="1"/>
          <w:iCs w:val="1"/>
          <w:color w:val="auto"/>
        </w:rPr>
        <w:t>Leases (Topic 842) (“ASC 842”)</w:t>
      </w:r>
      <w:r>
        <w:rPr>
          <w:rFonts w:ascii="Arial" w:cs="Arial" w:eastAsia="Arial" w:hAnsi="Arial"/>
          <w:sz w:val="17"/>
          <w:szCs w:val="17"/>
          <w:color w:val="auto"/>
        </w:rPr>
        <w:t>.</w:t>
      </w:r>
    </w:p>
    <w:p>
      <w:pPr>
        <w:spacing w:after="0" w:line="115"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In accordance with ASC 842, the Company, at the inception of the contract, determines whether a contract is or contains a lease. For leases with terms greater than 12 months, the Company records the related operating or finance right of use asset and lease liability at the present value of lease payments over the lease term. The Company is generally not able to readily determine the implicit rate in the lease and therefore uses the determined incremental borrowing rate at lease commencement to determine the present value of lease payments. The incremental borrowing rate represents an estimate of the market interest rate the Company would incur at lease commencement to borrow an amount equal to the lease payments on a collateralized basis over the term of a lease. Renewal options are not included in the measurement of the right of use assets and lease liabilities unless the Company is reasonably certain to exercise the optional renewal periods. Some leases also include early termination options, which can be exercised under specific conditions. Additionally, certain leases contain incentives, such as construction allowances from landlords. These incentives reduce the right-of-use asset related to the lease.</w:t>
      </w:r>
    </w:p>
    <w:p>
      <w:pPr>
        <w:spacing w:after="0" w:line="77"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Some of the Company's leases contain rent escalations over the lease term. The Company recognizes expense for operating leases on a straight-line basis over the lease term. The Company’s lease agreements contain variable lease payments for common area maintenance, utility, and taxes. The Company has elected the practical expedient to combine lease and non-lease components for all asset categories. Therefore, the lease payments used to measure the lease liability for these leases include fixed minimum rentals along with fixed non-lease component charges. The Company does not have significant residual value guarantees or restrictive covenants in the lease portfolio.</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04"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FASB Accounting Standards Codification (“ASC”) 815—</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provides the disclosure requirements for derivatives and hedging activities with the intent to provide users of financial statements with an enhanced understanding of: (a) how and why an entity uses derivative instruments, (b) how the entity accounts for derivative instruments and related hedged items, and (c) how derivative instruments and related hedged items affect an entity’s financial position, financial performance, and cash flows. Further, qualitative disclosures are required that explain the Company’s objectives and strategies for using derivatives, as well as quantitative disclosures about the fair value of and gains and losses on derivative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instruments, and disclosures about credit-risk-related contingent features in derivative instruments.</w:t>
      </w:r>
    </w:p>
    <w:p>
      <w:pPr>
        <w:spacing w:after="0" w:line="13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3" w:name="page14"/>
    <w:bookmarkEnd w:id="13"/>
    <w:p>
      <w:pPr>
        <w:ind w:firstLine="509"/>
        <w:spacing w:after="0" w:line="280" w:lineRule="auto"/>
        <w:rPr>
          <w:sz w:val="20"/>
          <w:szCs w:val="20"/>
          <w:color w:val="auto"/>
        </w:rPr>
      </w:pPr>
      <w:r>
        <w:rPr>
          <w:rFonts w:ascii="Arial" w:cs="Arial" w:eastAsia="Arial" w:hAnsi="Arial"/>
          <w:sz w:val="16"/>
          <w:szCs w:val="16"/>
          <w:color w:val="auto"/>
        </w:rPr>
        <w:t>As required by ASC 815, the Company records all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w:t>
      </w:r>
    </w:p>
    <w:p>
      <w:pPr>
        <w:spacing w:after="0" w:line="81"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In accordance with the FASB’s fair value measurement guidance in ASU 2011-04—</w:t>
      </w:r>
      <w:r>
        <w:rPr>
          <w:rFonts w:ascii="Arial" w:cs="Arial" w:eastAsia="Arial" w:hAnsi="Arial"/>
          <w:sz w:val="17"/>
          <w:szCs w:val="17"/>
          <w:i w:val="1"/>
          <w:iCs w:val="1"/>
          <w:color w:val="auto"/>
        </w:rPr>
        <w:t>Amendments to Achieve Common Fair Value Measurement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 Requirements in U.S. GAAP and IFRS </w:t>
      </w:r>
      <w:r>
        <w:rPr>
          <w:rFonts w:ascii="Arial" w:cs="Arial" w:eastAsia="Arial" w:hAnsi="Arial"/>
          <w:sz w:val="17"/>
          <w:szCs w:val="17"/>
          <w:color w:val="auto"/>
        </w:rPr>
        <w:t>(“ASC 820”), the Company made an accounting policy election to measure the credit risk of its</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 financial instruments that are subject to master netting agreements on a net basis by counterparty portfolio.</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Adoption of Recently Issued Financial Accounting Standards</w:t>
      </w:r>
    </w:p>
    <w:p>
      <w:pPr>
        <w:spacing w:after="0" w:line="117" w:lineRule="exact"/>
        <w:rPr>
          <w:sz w:val="20"/>
          <w:szCs w:val="20"/>
          <w:color w:val="auto"/>
        </w:rPr>
      </w:pPr>
    </w:p>
    <w:p>
      <w:pPr>
        <w:ind w:right="20" w:firstLine="509"/>
        <w:spacing w:after="0" w:line="261" w:lineRule="auto"/>
        <w:rPr>
          <w:sz w:val="20"/>
          <w:szCs w:val="20"/>
          <w:color w:val="auto"/>
        </w:rPr>
      </w:pPr>
      <w:r>
        <w:rPr>
          <w:rFonts w:ascii="Arial" w:cs="Arial" w:eastAsia="Arial" w:hAnsi="Arial"/>
          <w:sz w:val="17"/>
          <w:szCs w:val="17"/>
          <w:color w:val="auto"/>
        </w:rPr>
        <w:t>In October 2021, the FASB issued ASU No. 2021-08—</w:t>
      </w:r>
      <w:r>
        <w:rPr>
          <w:rFonts w:ascii="Arial" w:cs="Arial" w:eastAsia="Arial" w:hAnsi="Arial"/>
          <w:sz w:val="17"/>
          <w:szCs w:val="17"/>
          <w:i w:val="1"/>
          <w:iCs w:val="1"/>
          <w:color w:val="auto"/>
        </w:rPr>
        <w:t>Business Combinations (Topic 805): Accounting for Contract Assets and Contract Liabilities</w:t>
      </w:r>
      <w:r>
        <w:rPr>
          <w:rFonts w:ascii="Arial" w:cs="Arial" w:eastAsia="Arial" w:hAnsi="Arial"/>
          <w:sz w:val="17"/>
          <w:szCs w:val="17"/>
          <w:color w:val="auto"/>
        </w:rPr>
        <w:t xml:space="preserve"> </w:t>
      </w:r>
      <w:r>
        <w:rPr>
          <w:rFonts w:ascii="Arial" w:cs="Arial" w:eastAsia="Arial" w:hAnsi="Arial"/>
          <w:sz w:val="17"/>
          <w:szCs w:val="17"/>
          <w:i w:val="1"/>
          <w:iCs w:val="1"/>
          <w:color w:val="auto"/>
        </w:rPr>
        <w:t>from Contracts with Customers</w:t>
      </w:r>
      <w:r>
        <w:rPr>
          <w:rFonts w:ascii="Arial" w:cs="Arial" w:eastAsia="Arial" w:hAnsi="Arial"/>
          <w:sz w:val="17"/>
          <w:szCs w:val="17"/>
          <w:color w:val="auto"/>
        </w:rPr>
        <w:t>. This new accounting standard requires contract assets and contract liabilities (i.e., deferred revenue) acquired in a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to be recognized and measured by the acquirer on the acquisition date in accordance with ASC 606—</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The standard requires the acquirer to recognize contract assets and contract liabilities at the same amounts recorded by the acquiree. The new accounting guidance is effective for fiscal years beginning after December 15, 2022, with early adoption permitted. The Company adopted this new accounting guidance effective January 1, 2022. In connection with the acquisition of Analytical Wizards completed in the first quarter of 2022, the Company recorded contract liabilities of $3.4 million. Refer to Note 3.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for further details.</w:t>
      </w:r>
    </w:p>
    <w:p>
      <w:pPr>
        <w:spacing w:after="0" w:line="64"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In March 2020, the FASB issued ASU No. 2020-04—</w:t>
      </w:r>
      <w:r>
        <w:rPr>
          <w:rFonts w:ascii="Arial" w:cs="Arial" w:eastAsia="Arial" w:hAnsi="Arial"/>
          <w:sz w:val="18"/>
          <w:szCs w:val="18"/>
          <w:i w:val="1"/>
          <w:iCs w:val="1"/>
          <w:color w:val="auto"/>
        </w:rPr>
        <w:t>Reference Rate Reform (Topic 848): Facilitation of the Effects of Reference Rate Reform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Reporting</w:t>
      </w:r>
      <w:r>
        <w:rPr>
          <w:rFonts w:ascii="Arial" w:cs="Arial" w:eastAsia="Arial" w:hAnsi="Arial"/>
          <w:sz w:val="18"/>
          <w:szCs w:val="18"/>
          <w:color w:val="auto"/>
        </w:rPr>
        <w:t>. The amendments of ASU No. 2020-04 are effective for companies as of March 12, 2020 through December 31, 2022. An entity may</w:t>
      </w:r>
      <w:r>
        <w:rPr>
          <w:rFonts w:ascii="Arial" w:cs="Arial" w:eastAsia="Arial" w:hAnsi="Arial"/>
          <w:sz w:val="18"/>
          <w:szCs w:val="18"/>
          <w:i w:val="1"/>
          <w:iCs w:val="1"/>
          <w:color w:val="auto"/>
        </w:rPr>
        <w:t xml:space="preserve"> </w:t>
      </w:r>
      <w:r>
        <w:rPr>
          <w:rFonts w:ascii="Arial" w:cs="Arial" w:eastAsia="Arial" w:hAnsi="Arial"/>
          <w:sz w:val="18"/>
          <w:szCs w:val="18"/>
          <w:color w:val="auto"/>
        </w:rPr>
        <w:t>elect to apply the amendments for contract modifications by Topic or Industry Subtopic as of any date from the beginning of an interim period that includes or is subsequent to March 12, 2020, or prospectively from a date within an interim period that includes or is subsequent to March 12, 2020, up to the date that the financial statements are available to be issued. The amendments in this update apply only to contracts, hedging relationships and other transactions that reference LIBOR or another reference rate expected to be discontinued because of reference rate reform and provide optional expedients and exceptions for applying U.S. GAAP to contracts, hedging relationships and other transactions affected by reference rate reform if certain criteria are met. The Company adopted the update effective October 1, 2022, but the adoption did not have a material impact on the Company’s condensed consolidated financial statements.</w:t>
      </w:r>
    </w:p>
    <w:p>
      <w:pPr>
        <w:spacing w:after="0" w:line="93" w:lineRule="exact"/>
        <w:rPr>
          <w:sz w:val="20"/>
          <w:szCs w:val="20"/>
          <w:color w:val="auto"/>
        </w:rPr>
      </w:pPr>
    </w:p>
    <w:p>
      <w:pPr>
        <w:ind w:right="100" w:firstLine="509"/>
        <w:spacing w:after="0" w:line="290" w:lineRule="auto"/>
        <w:rPr>
          <w:sz w:val="20"/>
          <w:szCs w:val="20"/>
          <w:color w:val="auto"/>
        </w:rPr>
      </w:pPr>
      <w:r>
        <w:rPr>
          <w:rFonts w:ascii="Arial" w:cs="Arial" w:eastAsia="Arial" w:hAnsi="Arial"/>
          <w:sz w:val="16"/>
          <w:szCs w:val="16"/>
          <w:color w:val="auto"/>
        </w:rPr>
        <w:t>In December 2019, the FASB issued ASU No. 2019-12—</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This standard removes certain exceptions for investments, intra-period allocations and interim tax calculations and adds guidance to reduce complexity in accounting for income taxes. The amendment is effective for fiscal years beginning after December 15, 2021. The Company adopted this new accounting guidance effective January 1, 2022, but the adoption did not have a material impact on the Company’s condensed consolidated financial statements.</w:t>
      </w:r>
    </w:p>
    <w:p>
      <w:pPr>
        <w:spacing w:after="0" w:line="42" w:lineRule="exact"/>
        <w:rPr>
          <w:sz w:val="20"/>
          <w:szCs w:val="20"/>
          <w:color w:val="auto"/>
        </w:rPr>
      </w:pPr>
    </w:p>
    <w:p>
      <w:pPr>
        <w:jc w:val="both"/>
        <w:ind w:right="20" w:firstLine="509"/>
        <w:spacing w:after="0" w:line="278" w:lineRule="auto"/>
        <w:rPr>
          <w:sz w:val="20"/>
          <w:szCs w:val="20"/>
          <w:color w:val="auto"/>
        </w:rPr>
      </w:pPr>
      <w:r>
        <w:rPr>
          <w:rFonts w:ascii="Arial" w:cs="Arial" w:eastAsia="Arial" w:hAnsi="Arial"/>
          <w:sz w:val="17"/>
          <w:szCs w:val="17"/>
          <w:color w:val="auto"/>
        </w:rPr>
        <w:t>In February 2016, the FASB issued ASU No. 2016-02—</w:t>
      </w:r>
      <w:r>
        <w:rPr>
          <w:rFonts w:ascii="Arial" w:cs="Arial" w:eastAsia="Arial" w:hAnsi="Arial"/>
          <w:sz w:val="17"/>
          <w:szCs w:val="17"/>
          <w:i w:val="1"/>
          <w:iCs w:val="1"/>
          <w:color w:val="auto"/>
        </w:rPr>
        <w:t>Leases</w:t>
      </w:r>
      <w:r>
        <w:rPr>
          <w:rFonts w:ascii="Arial" w:cs="Arial" w:eastAsia="Arial" w:hAnsi="Arial"/>
          <w:sz w:val="17"/>
          <w:szCs w:val="17"/>
          <w:color w:val="auto"/>
        </w:rPr>
        <w:t>. The new standard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w:t>
      </w:r>
    </w:p>
    <w:p>
      <w:pPr>
        <w:spacing w:after="0" w:line="50" w:lineRule="exact"/>
        <w:rPr>
          <w:sz w:val="20"/>
          <w:szCs w:val="20"/>
          <w:color w:val="auto"/>
        </w:rPr>
      </w:pPr>
    </w:p>
    <w:p>
      <w:pPr>
        <w:ind w:right="40" w:firstLine="509"/>
        <w:spacing w:after="0" w:line="258" w:lineRule="auto"/>
        <w:rPr>
          <w:sz w:val="20"/>
          <w:szCs w:val="20"/>
          <w:color w:val="auto"/>
        </w:rPr>
      </w:pPr>
      <w:r>
        <w:rPr>
          <w:rFonts w:ascii="Arial" w:cs="Arial" w:eastAsia="Arial" w:hAnsi="Arial"/>
          <w:sz w:val="17"/>
          <w:szCs w:val="17"/>
          <w:color w:val="auto"/>
        </w:rPr>
        <w:t>The Company adopted ASU No. 2016-02—</w:t>
      </w:r>
      <w:r>
        <w:rPr>
          <w:rFonts w:ascii="Arial" w:cs="Arial" w:eastAsia="Arial" w:hAnsi="Arial"/>
          <w:sz w:val="17"/>
          <w:szCs w:val="17"/>
          <w:i w:val="1"/>
          <w:iCs w:val="1"/>
          <w:color w:val="auto"/>
        </w:rPr>
        <w:t>Leases</w:t>
      </w:r>
      <w:r>
        <w:rPr>
          <w:rFonts w:ascii="Arial" w:cs="Arial" w:eastAsia="Arial" w:hAnsi="Arial"/>
          <w:sz w:val="17"/>
          <w:szCs w:val="17"/>
          <w:color w:val="auto"/>
        </w:rPr>
        <w:t xml:space="preserve"> effective January 1, 2022 using the modified retrospective transition method. Prior period results will continue to be presented under ASC 840 as it was the accounting standard in effect for such periods. The Company elected to apply the package of practical expedients that allows entities to forgo reassessing at the transition date: (1) whether any expired or existing contracts are or contain leases; (2) lease classification for any expired or existing leases; and (3) whether unamortized initial direct costs for existing leases meet the definition of initial direct costs under the new guidance. The Company did not elect the hindsight practical expedient. The Company elected to use the practical expedient that allows the combination of lease and non-lease contract components in all of its underlying asset categories. Finally, the Company also elected a policy of not recording leases on its condensed consolidated balance sheets when the leases have a term of 12 months or less and the Company is not reasonably certain to elect an option to renew the leased asset. Due to the adoption of this guidance, the Company recognized operating right-of-use assets of $12.7 million and operating lease liabilities of $14.0 million as of the date of adoption. The difference between the right-of-use assets and lease liabilities on the accompanying condensed consolidated balance sheet is primarily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 w:name="page15"/>
    <w:bookmarkEnd w:id="14"/>
    <w:p>
      <w:pPr>
        <w:ind w:right="100"/>
        <w:spacing w:after="0" w:line="249" w:lineRule="auto"/>
        <w:rPr>
          <w:sz w:val="20"/>
          <w:szCs w:val="20"/>
          <w:color w:val="auto"/>
        </w:rPr>
      </w:pPr>
      <w:r>
        <w:rPr>
          <w:rFonts w:ascii="Arial" w:cs="Arial" w:eastAsia="Arial" w:hAnsi="Arial"/>
          <w:sz w:val="18"/>
          <w:szCs w:val="18"/>
          <w:color w:val="auto"/>
        </w:rPr>
        <w:t>due to the accrual for lease payments as a result of straight-line lease expense and unamortized tenant incentive liability balances. The Company did not have any impact to opening retained earnings as a result of the adoption of the guidance. The adoption of this new guidance did not have a material impact on the Company’s results of operations, comprehensive loss, cash flows, liquidity or the Company’s covenant compliance under its existing credit agreement.</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04"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In June 2016, the FASB issued ASU No. 2016-13</w:t>
      </w:r>
      <w:r>
        <w:rPr>
          <w:rFonts w:ascii="Arial" w:cs="Arial" w:eastAsia="Arial" w:hAnsi="Arial"/>
          <w:sz w:val="18"/>
          <w:szCs w:val="18"/>
          <w:i w:val="1"/>
          <w:iCs w:val="1"/>
          <w:color w:val="auto"/>
        </w:rPr>
        <w:t>—Financial Instruments – Credit Losses (Topic 326) –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This standard is intended to improve financial reporting by requiring earlier recognition of credit losses on financing receivables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assets in scope, such as trade receivables. The amendment is effective for fiscal years beginning after December 15, 2022. The Company will adopt the update effective January 1, 2023 and does not expect the adoption of the standard to have a material impact on its consolidated financial statements.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21"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On December 22, 2021, Definitive Healthcare, LLC (“DH, LLC”), an indirect wholly owned subsidiary of Definitive Healthcare Corp. made a $40.0 million investment in Analytical Wizards Inc. (“AW” or “Analytical Wizards”), a privately held company. Analytical Wizards automates complex analytic models using tools that expedite efficient big data mining through artificial intelligence ("A.I.") and machine learning ("M.L.") to uncover deep insights. In the transaction the Company purchased Series B Convertible Preferred Stock of AW (“Series B Preferred Stock”), representing 35% ownership of AW, and an option to acquire the remaining 65% ownership (the "Purchase Option") for $65.0 million. As of December 31, 2021, the Company determined it did not have a controlling financial interest in AW at transaction close as the Company did not have the right to control the governing body of AW or have control through other contractual rights. At December 31, 2021, because the Series B Preferred Stock and the Purchase Option did not have readily determinable fair values, the Company elected to apply the measurement alternative and adjust the carrying value of the investments in AW for impairments and observable prices in identical or similar equity securities of AW. The Company paid $40.0 million for the Series B Preferred Stock and Purchase Option, which was allocated on a relative fair value basis such that the Series B Preferred Stock and Purchase Option had carrying values of $32.7 million and $7.3 million at the time of the transaction, respectively. The Series B Preferred Stock was recorded in Investments in equity securities and the Purchase Option was recorded in Other assets in the accompanying condensed consolidated balance sheet as of December 31, 2021.</w:t>
      </w:r>
    </w:p>
    <w:p>
      <w:pPr>
        <w:spacing w:after="0" w:line="71" w:lineRule="exact"/>
        <w:rPr>
          <w:sz w:val="20"/>
          <w:szCs w:val="20"/>
          <w:color w:val="auto"/>
        </w:rPr>
      </w:pPr>
    </w:p>
    <w:p>
      <w:pPr>
        <w:ind w:right="40" w:firstLine="509"/>
        <w:spacing w:after="0" w:line="263" w:lineRule="auto"/>
        <w:rPr>
          <w:sz w:val="20"/>
          <w:szCs w:val="20"/>
          <w:color w:val="auto"/>
        </w:rPr>
      </w:pPr>
      <w:r>
        <w:rPr>
          <w:rFonts w:ascii="Arial" w:cs="Arial" w:eastAsia="Arial" w:hAnsi="Arial"/>
          <w:sz w:val="17"/>
          <w:szCs w:val="17"/>
          <w:color w:val="auto"/>
        </w:rPr>
        <w:t>On February 18, 2022, the Company purchased the remaining 65% of AW’s equity for $65.0 million, net of cash acquired and an estimated working capital adjustment and other customary purchase price adjustments (the “AW acquisition”). The Company’s previously held investment and Purchase Option were remeasured at fair value as of the date the Purchase Option was exercised. The remeasurement had an immaterial impact on the condensed consolidated statements of operations for the three months ended March 31, 2022. The Company has included the financial results of Analytical Wizards in the condensed consolidated financial statements from February 18, 2022, the date of acquisition.</w:t>
      </w:r>
    </w:p>
    <w:p>
      <w:pPr>
        <w:spacing w:after="0" w:line="63" w:lineRule="exact"/>
        <w:rPr>
          <w:sz w:val="20"/>
          <w:szCs w:val="20"/>
          <w:color w:val="auto"/>
        </w:rPr>
      </w:pPr>
    </w:p>
    <w:p>
      <w:pPr>
        <w:ind w:right="20" w:firstLine="509"/>
        <w:spacing w:after="0" w:line="277" w:lineRule="auto"/>
        <w:rPr>
          <w:sz w:val="20"/>
          <w:szCs w:val="20"/>
          <w:color w:val="auto"/>
        </w:rPr>
      </w:pPr>
      <w:r>
        <w:rPr>
          <w:rFonts w:ascii="Arial" w:cs="Arial" w:eastAsia="Arial" w:hAnsi="Arial"/>
          <w:sz w:val="16"/>
          <w:szCs w:val="16"/>
          <w:color w:val="auto"/>
        </w:rPr>
        <w:t>Upon the consummation of the acquisition, AW became an indirect wholly owned subsidiary of Definitive Healthcare Corp. The total consideration for the initial investment and subsequent exercise of the Purchase Option was $99.4 million, consisting of $40.0 million for the initial investment paid in December 2021, approximately $58.6 million of cash paid at closing, $0.2 million reimbursement from sellers for working capital adjustments, and up to $5.0 million of contingent consideration, initially valued at $1.0 million. The contingent consideration, which relates to earn-out payments that may be paid out, subject to meeting certain expense control metrics during the two-year period following the closing of the AW acquisition, has an estimated fair value of $1.0 million as of the acquisition date. Pursuant to the Stock Purchase Agreement governing the AW acquisition, $10.0 million of the consideration was deposited into an escrow account to secure certain indemnification claims of DH, LLC. The assets acquired and liabilities assumed were recorded at their estimated preliminary fair values and the results of operations were included in the Company’s condensed consolidated results as of the acquisition date.</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consideration transferred for the transaction is summarized as follows:</w:t>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181"/>
        </w:trPr>
        <w:tc>
          <w:tcPr>
            <w:tcW w:w="83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8360" w:type="dxa"/>
            <w:vAlign w:val="bottom"/>
            <w:shd w:val="clear" w:color="auto" w:fill="CFF0FC"/>
          </w:tcPr>
          <w:p>
            <w:pPr>
              <w:spacing w:after="0"/>
              <w:rPr>
                <w:sz w:val="20"/>
                <w:szCs w:val="20"/>
                <w:color w:val="auto"/>
              </w:rPr>
            </w:pPr>
            <w:r>
              <w:rPr>
                <w:rFonts w:ascii="Arial" w:cs="Arial" w:eastAsia="Arial" w:hAnsi="Arial"/>
                <w:sz w:val="18"/>
                <w:szCs w:val="18"/>
                <w:color w:val="auto"/>
              </w:rPr>
              <w:t>Initial cash investment in December 2021</w:t>
            </w: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FF0FC"/>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Cash consideration paid at closing</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58,645</w:t>
            </w:r>
          </w:p>
        </w:tc>
        <w:tc>
          <w:tcPr>
            <w:tcW w:w="100" w:type="dxa"/>
            <w:vAlign w:val="bottom"/>
          </w:tcPr>
          <w:p>
            <w:pPr>
              <w:spacing w:after="0"/>
              <w:rPr>
                <w:sz w:val="18"/>
                <w:szCs w:val="18"/>
                <w:color w:val="auto"/>
              </w:rPr>
            </w:pPr>
          </w:p>
        </w:tc>
      </w:tr>
      <w:tr>
        <w:trPr>
          <w:trHeight w:val="216"/>
        </w:trPr>
        <w:tc>
          <w:tcPr>
            <w:tcW w:w="836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adjustment</w:t>
            </w:r>
          </w:p>
        </w:tc>
        <w:tc>
          <w:tcPr>
            <w:tcW w:w="6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(202 )</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r>
      <w:tr>
        <w:trPr>
          <w:trHeight w:val="249"/>
        </w:trPr>
        <w:tc>
          <w:tcPr>
            <w:tcW w:w="83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Purchase price</w:t>
            </w: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99,443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2" w:lineRule="exact"/>
        <w:rPr>
          <w:sz w:val="20"/>
          <w:szCs w:val="20"/>
          <w:color w:val="auto"/>
        </w:rPr>
      </w:pPr>
    </w:p>
    <w:p>
      <w:pPr>
        <w:ind w:right="260" w:firstLine="509"/>
        <w:spacing w:after="0" w:line="256" w:lineRule="auto"/>
        <w:rPr>
          <w:sz w:val="20"/>
          <w:szCs w:val="20"/>
          <w:color w:val="auto"/>
        </w:rPr>
      </w:pPr>
      <w:r>
        <w:rPr>
          <w:rFonts w:ascii="Arial" w:cs="Arial" w:eastAsia="Arial" w:hAnsi="Arial"/>
          <w:sz w:val="18"/>
          <w:szCs w:val="18"/>
          <w:color w:val="auto"/>
        </w:rPr>
        <w:t>The contingent consideration is based on the achievement of certain expense control metrics during the two-year period following the acquisition date, with potential earn-out payouts ranging from $0 to $5.0 million. The Company estimated the fair value of the contingent consideration to be $1.0 million as of February 18, 2022, based on the estimated achievement of the expense control</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 w:name="page16"/>
    <w:bookmarkEnd w:id="15"/>
    <w:p>
      <w:pPr>
        <w:ind w:right="40"/>
        <w:spacing w:after="0" w:line="277" w:lineRule="auto"/>
        <w:rPr>
          <w:sz w:val="20"/>
          <w:szCs w:val="20"/>
          <w:color w:val="auto"/>
        </w:rPr>
      </w:pPr>
      <w:r>
        <w:rPr>
          <w:rFonts w:ascii="Arial" w:cs="Arial" w:eastAsia="Arial" w:hAnsi="Arial"/>
          <w:sz w:val="18"/>
          <w:szCs w:val="18"/>
          <w:color w:val="auto"/>
        </w:rPr>
        <w:t xml:space="preserve">metrics, time to payment and market participant cost of debt. The contingent consideration was recorded in Other long-term liabilities in the accompanying condensed consolidated balance sheet as of September 30, 2022. Refer to Note 12.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p>
    <w:p>
      <w:pPr>
        <w:spacing w:after="0" w:line="49" w:lineRule="exact"/>
        <w:rPr>
          <w:sz w:val="20"/>
          <w:szCs w:val="20"/>
          <w:color w:val="auto"/>
        </w:rPr>
      </w:pPr>
    </w:p>
    <w:p>
      <w:pPr>
        <w:ind w:right="60" w:firstLine="509"/>
        <w:spacing w:after="0" w:line="280" w:lineRule="auto"/>
        <w:rPr>
          <w:sz w:val="20"/>
          <w:szCs w:val="20"/>
          <w:color w:val="auto"/>
        </w:rPr>
      </w:pPr>
      <w:r>
        <w:rPr>
          <w:rFonts w:ascii="Arial" w:cs="Arial" w:eastAsia="Arial" w:hAnsi="Arial"/>
          <w:sz w:val="16"/>
          <w:szCs w:val="16"/>
          <w:color w:val="auto"/>
        </w:rPr>
        <w:t>The purchase price allocations for the AW acquisition are provisional and are based on the information that was available as of the acquisition date to estimate the fair values of assets acquired and liabilities assumed. The purchase price allocations for this acquisition, reported as of September 30, 2022, represent the Company’s best estimates of the fair values and were based upon the information available to us. The Company is gathering and reviewing additional information necessary to finalize the values assigned to the acquired assets and liabilities assumed, as well as acquired identified intangible assets and goodwill. Therefore, the provisional measurements of fair values reported as of September 30, 2022 are subject to change. The Company is expected to finalize the purchase price allocations as soon as practicable, but no later than one year from the respective acquisition date. Acquisition-date fair values of assets and liabilities pertaining to this business combination have been allocated as follows:</w:t>
      </w:r>
    </w:p>
    <w:p>
      <w:pPr>
        <w:spacing w:after="0" w:line="59"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52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5"/>
                <w:szCs w:val="15"/>
                <w:color w:val="auto"/>
              </w:rPr>
            </w:pPr>
          </w:p>
        </w:tc>
        <w:tc>
          <w:tcPr>
            <w:tcW w:w="15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Preliminary, as</w:t>
            </w:r>
          </w:p>
        </w:tc>
        <w:tc>
          <w:tcPr>
            <w:tcW w:w="120" w:type="dxa"/>
            <w:vAlign w:val="bottom"/>
          </w:tcPr>
          <w:p>
            <w:pPr>
              <w:spacing w:after="0"/>
              <w:rPr>
                <w:sz w:val="15"/>
                <w:szCs w:val="15"/>
                <w:color w:val="auto"/>
              </w:rPr>
            </w:pPr>
          </w:p>
        </w:tc>
        <w:tc>
          <w:tcPr>
            <w:tcW w:w="1640" w:type="dxa"/>
            <w:vAlign w:val="bottom"/>
            <w:gridSpan w:val="2"/>
            <w:vMerge w:val="restart"/>
          </w:tcPr>
          <w:p>
            <w:pPr>
              <w:jc w:val="right"/>
              <w:ind w:right="270"/>
              <w:spacing w:after="0"/>
              <w:rPr>
                <w:sz w:val="20"/>
                <w:szCs w:val="20"/>
                <w:color w:val="auto"/>
              </w:rPr>
            </w:pPr>
            <w:r>
              <w:rPr>
                <w:rFonts w:ascii="Arial" w:cs="Arial" w:eastAsia="Arial" w:hAnsi="Arial"/>
                <w:sz w:val="14"/>
                <w:szCs w:val="14"/>
                <w:b w:val="1"/>
                <w:bCs w:val="1"/>
                <w:color w:val="auto"/>
                <w:w w:val="91"/>
              </w:rPr>
              <w:t>Measurement period</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5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240" w:type="dxa"/>
            <w:vAlign w:val="bottom"/>
          </w:tcPr>
          <w:p>
            <w:pPr>
              <w:spacing w:after="0"/>
              <w:rPr>
                <w:sz w:val="20"/>
                <w:szCs w:val="20"/>
                <w:color w:val="auto"/>
              </w:rPr>
            </w:pPr>
            <w:r>
              <w:rPr>
                <w:rFonts w:ascii="Arial" w:cs="Arial" w:eastAsia="Arial" w:hAnsi="Arial"/>
                <w:sz w:val="14"/>
                <w:szCs w:val="14"/>
                <w:b w:val="1"/>
                <w:bCs w:val="1"/>
                <w:color w:val="auto"/>
              </w:rPr>
              <w:t>Purchase price allocation:</w:t>
            </w:r>
          </w:p>
        </w:tc>
        <w:tc>
          <w:tcPr>
            <w:tcW w:w="100" w:type="dxa"/>
            <w:vAlign w:val="bottom"/>
          </w:tcPr>
          <w:p>
            <w:pPr>
              <w:spacing w:after="0"/>
              <w:rPr>
                <w:sz w:val="16"/>
                <w:szCs w:val="16"/>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previously reported</w:t>
            </w:r>
          </w:p>
        </w:tc>
        <w:tc>
          <w:tcPr>
            <w:tcW w:w="120" w:type="dxa"/>
            <w:vAlign w:val="bottom"/>
          </w:tcPr>
          <w:p>
            <w:pPr>
              <w:spacing w:after="0"/>
              <w:rPr>
                <w:sz w:val="16"/>
                <w:szCs w:val="16"/>
                <w:color w:val="auto"/>
              </w:rPr>
            </w:pPr>
          </w:p>
        </w:tc>
        <w:tc>
          <w:tcPr>
            <w:tcW w:w="164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6"/>
                <w:szCs w:val="16"/>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0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3,575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(50 )</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46,000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Right-of-use asset, operating leases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(485 )</w:t>
            </w:r>
          </w:p>
        </w:tc>
        <w:tc>
          <w:tcPr>
            <w:tcW w:w="120" w:type="dxa"/>
            <w:vAlign w:val="bottom"/>
          </w:tcPr>
          <w:p>
            <w:pPr>
              <w:spacing w:after="0"/>
              <w:rPr>
                <w:sz w:val="18"/>
                <w:szCs w:val="18"/>
                <w:color w:val="auto"/>
              </w:rPr>
            </w:pP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(372 )</w:t>
            </w: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(857 )</w:t>
            </w: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(3,691 )</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(3,365 )</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Right-of-use liability, operating leases</w:t>
            </w:r>
          </w:p>
        </w:tc>
        <w:tc>
          <w:tcPr>
            <w:tcW w:w="1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(832 )</w:t>
            </w:r>
          </w:p>
        </w:tc>
        <w:tc>
          <w:tcPr>
            <w:tcW w:w="120" w:type="dxa"/>
            <w:vAlign w:val="bottom"/>
          </w:tcPr>
          <w:p>
            <w:pPr>
              <w:spacing w:after="0"/>
              <w:rPr>
                <w:sz w:val="18"/>
                <w:szCs w:val="18"/>
                <w:color w:val="auto"/>
              </w:rPr>
            </w:pP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(832 )</w:t>
            </w: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(10,345 )</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(10,135 )</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(267 )</w:t>
            </w:r>
          </w:p>
        </w:tc>
        <w:tc>
          <w:tcPr>
            <w:tcW w:w="120" w:type="dxa"/>
            <w:vAlign w:val="bottom"/>
          </w:tcPr>
          <w:p>
            <w:pPr>
              <w:spacing w:after="0"/>
              <w:rPr>
                <w:sz w:val="18"/>
                <w:szCs w:val="18"/>
                <w:color w:val="auto"/>
              </w:rPr>
            </w:pP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(633 )</w:t>
            </w: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(900 )</w:t>
            </w:r>
          </w:p>
        </w:tc>
        <w:tc>
          <w:tcPr>
            <w:tcW w:w="0" w:type="dxa"/>
            <w:vAlign w:val="bottom"/>
          </w:tcPr>
          <w:p>
            <w:pPr>
              <w:spacing w:after="0"/>
              <w:rPr>
                <w:sz w:val="1"/>
                <w:szCs w:val="1"/>
                <w:color w:val="auto"/>
              </w:rPr>
            </w:pPr>
          </w:p>
        </w:tc>
      </w:tr>
      <w:tr>
        <w:trPr>
          <w:trHeight w:val="20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Total assets acquired and liabilities assumed</w:t>
            </w:r>
          </w:p>
        </w:tc>
        <w:tc>
          <w:tcPr>
            <w:tcW w:w="1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37,573</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62,072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(556 )</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Purchase price</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99,645</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99,443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-25400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-25400</wp:posOffset>
            </wp:positionV>
            <wp:extent cx="596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596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2" w:lineRule="exact"/>
        <w:rPr>
          <w:sz w:val="20"/>
          <w:szCs w:val="20"/>
          <w:color w:val="auto"/>
        </w:rPr>
      </w:pPr>
    </w:p>
    <w:p>
      <w:pPr>
        <w:ind w:right="100" w:firstLine="509"/>
        <w:spacing w:after="0" w:line="245" w:lineRule="auto"/>
        <w:rPr>
          <w:sz w:val="20"/>
          <w:szCs w:val="20"/>
          <w:color w:val="auto"/>
        </w:rPr>
      </w:pPr>
      <w:r>
        <w:rPr>
          <w:rFonts w:ascii="Arial" w:cs="Arial" w:eastAsia="Arial" w:hAnsi="Arial"/>
          <w:sz w:val="18"/>
          <w:szCs w:val="18"/>
          <w:color w:val="auto"/>
        </w:rPr>
        <w:t>As a result of the AW acquisition, the Company recorded goodwill, customer relationships, developed software, and tradename of $61.5 million, $39.4 million, $6.1 million, and $0.5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All goodwill has been allocated to the Company’s one reportable segment.</w:t>
      </w:r>
    </w:p>
    <w:p>
      <w:pPr>
        <w:spacing w:after="0" w:line="91"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Customer relationships represent the estimated fair value of the underlying relationships with the acquired entity’s business customers. The Company valued customer relationships using the income approach, specifically the multi-period excess earnings method. Significant assumptions include estimated attrition rates, discount rates, and tax rates reflecting the different risk profiles of the asset depending upon the acquisition. The value assigned to customer relationships is $39.4 million and is amortized using the annual pattern of cash flows (economic value method) over the estimated 20-year life of this asset.</w:t>
      </w:r>
    </w:p>
    <w:p>
      <w:pPr>
        <w:spacing w:after="0" w:line="78" w:lineRule="exact"/>
        <w:rPr>
          <w:sz w:val="20"/>
          <w:szCs w:val="20"/>
          <w:color w:val="auto"/>
        </w:rPr>
      </w:pPr>
    </w:p>
    <w:p>
      <w:pPr>
        <w:ind w:right="280" w:firstLine="509"/>
        <w:spacing w:after="0" w:line="246" w:lineRule="auto"/>
        <w:rPr>
          <w:sz w:val="20"/>
          <w:szCs w:val="20"/>
          <w:color w:val="auto"/>
        </w:rPr>
      </w:pPr>
      <w:r>
        <w:rPr>
          <w:rFonts w:ascii="Arial" w:cs="Arial" w:eastAsia="Arial" w:hAnsi="Arial"/>
          <w:sz w:val="18"/>
          <w:szCs w:val="18"/>
          <w:color w:val="auto"/>
        </w:rPr>
        <w:t>The developed software represents AW’s two modules. Passport Promotional Analytics helps customers to optimize internal investment and business management by focusing on driving incremental efficiencies in sales, cost management, profit optimization, and productive gains. Passport Planning and Performance helps customers to analyze large data sets in order to proactively predict business outcomes. The Company used the income approach, specifically the relief-from-royalty method, to determine the value of developed software. Significant assumptions include forecast of royalty rate, tax rate, and discount rate. The developed software was valued at $6.1 million and is amortized using the straight-line method over the estimated remaining useful life of 6 years.</w:t>
      </w:r>
    </w:p>
    <w:p>
      <w:pPr>
        <w:spacing w:after="0" w:line="77"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6"/>
          <w:szCs w:val="16"/>
          <w:color w:val="auto"/>
        </w:rPr>
        <w:t>The tradename represents the estimated fair value of the registered trade name associated with the AW corporate brand. The Company estimated the fair value of the trademark using a relief from royalty method of the income approach. Significant assumptions include forecast of royalty rate, tax rate, and discount rate. The trademark was valued at $0.5 million and is amortized using the straight-line method over the estimated remaining useful life of 5 years.</w:t>
      </w:r>
    </w:p>
    <w:p>
      <w:pPr>
        <w:spacing w:after="0" w:line="32"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The amortization periods for the customer relationships, developed software, and tradenames are 20 years, 6 years, and 5 years, respectively. See Note 9 for the estimated total intangible amortization expense during the next five years.</w:t>
      </w:r>
    </w:p>
    <w:p>
      <w:pPr>
        <w:spacing w:after="0" w:line="76" w:lineRule="exact"/>
        <w:rPr>
          <w:sz w:val="20"/>
          <w:szCs w:val="20"/>
          <w:color w:val="auto"/>
        </w:rPr>
      </w:pPr>
    </w:p>
    <w:p>
      <w:pPr>
        <w:ind w:right="580" w:firstLine="509"/>
        <w:spacing w:after="0" w:line="324" w:lineRule="auto"/>
        <w:rPr>
          <w:sz w:val="20"/>
          <w:szCs w:val="20"/>
          <w:color w:val="auto"/>
        </w:rPr>
      </w:pPr>
      <w:r>
        <w:rPr>
          <w:rFonts w:ascii="Arial" w:cs="Arial" w:eastAsia="Arial" w:hAnsi="Arial"/>
          <w:sz w:val="16"/>
          <w:szCs w:val="16"/>
          <w:color w:val="auto"/>
        </w:rPr>
        <w:t>In connection with the acquisition, the Company recognized acquisition related costs of $1.3 million which were recorded within transaction expenses in the accompanying condensed consolidated statements of operations for the nine months ended September 30, 2022.</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6" w:name="page17"/>
    <w:bookmarkEnd w:id="16"/>
    <w:p>
      <w:pPr>
        <w:ind w:left="520"/>
        <w:spacing w:after="0"/>
        <w:rPr>
          <w:sz w:val="20"/>
          <w:szCs w:val="20"/>
          <w:color w:val="auto"/>
        </w:rPr>
      </w:pPr>
      <w:r>
        <w:rPr>
          <w:rFonts w:ascii="Arial" w:cs="Arial" w:eastAsia="Arial" w:hAnsi="Arial"/>
          <w:sz w:val="16"/>
          <w:szCs w:val="16"/>
          <w:color w:val="auto"/>
        </w:rPr>
        <w:t>During the nine months ended September 30, 2022 and 2021, AW’s post-acquisition revenue and net loss on a standalone basis were not material</w:t>
      </w:r>
      <w:r>
        <w:rPr>
          <w:rFonts w:ascii="Arial" w:cs="Arial" w:eastAsia="Arial" w:hAnsi="Arial"/>
          <w:sz w:val="17"/>
          <w:szCs w:val="17"/>
          <w:color w:val="auto"/>
        </w:rPr>
        <w:t>.</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Unaudited Pro Forma Supplementary Data as if the transaction had occurred on January 1, 2021:</w:t>
      </w:r>
    </w:p>
    <w:p>
      <w:pPr>
        <w:spacing w:after="0" w:line="10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69"/>
        </w:trPr>
        <w:tc>
          <w:tcPr>
            <w:tcW w:w="69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163,531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127,352</w:t>
            </w:r>
          </w:p>
        </w:tc>
        <w:tc>
          <w:tcPr>
            <w:tcW w:w="100" w:type="dxa"/>
            <w:vAlign w:val="bottom"/>
            <w:shd w:val="clear" w:color="auto" w:fill="CFF0FC"/>
          </w:tcPr>
          <w:p>
            <w:pPr>
              <w:spacing w:after="0"/>
              <w:rPr>
                <w:sz w:val="18"/>
                <w:szCs w:val="18"/>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(28,187 )</w:t>
            </w:r>
          </w:p>
        </w:tc>
        <w:tc>
          <w:tcPr>
            <w:tcW w:w="3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(47,817 )</w:t>
            </w:r>
          </w:p>
        </w:tc>
      </w:tr>
    </w:tbl>
    <w:p>
      <w:pPr>
        <w:spacing w:after="0" w:line="187"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These pro forma results have been prepared for comparative purposes only and do not purport to be indicative of the operating results of the Company that would have been achieved had the acquisition actually taken place on January 1, 2021. In addition, these results are not intended to be a projection of future results and do not reflect events that may occur after the acquisition, including but not limited to revenue enhancements, cost savings or operating synergies that the combined Company may achieve as a result of the acquisition.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108"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The Company disaggregates revenue from its arrangements with customers by type of service as it believes these categories best depict how the nature, amount, timing, and uncertainty of revenue and cash flows are affected by economic factors.</w:t>
      </w:r>
    </w:p>
    <w:p>
      <w:pPr>
        <w:spacing w:after="0" w:line="76" w:lineRule="exact"/>
        <w:rPr>
          <w:sz w:val="20"/>
          <w:szCs w:val="20"/>
          <w:color w:val="auto"/>
        </w:rPr>
      </w:pPr>
    </w:p>
    <w:p>
      <w:pPr>
        <w:ind w:right="220" w:firstLine="509"/>
        <w:spacing w:after="0" w:line="293" w:lineRule="auto"/>
        <w:rPr>
          <w:sz w:val="20"/>
          <w:szCs w:val="20"/>
          <w:color w:val="auto"/>
        </w:rPr>
      </w:pPr>
      <w:r>
        <w:rPr>
          <w:rFonts w:ascii="Arial" w:cs="Arial" w:eastAsia="Arial" w:hAnsi="Arial"/>
          <w:sz w:val="18"/>
          <w:szCs w:val="18"/>
          <w:color w:val="auto"/>
        </w:rPr>
        <w:t>The following table represents a disaggregation of revenue from arrangements with customers for the three and nine months ended September 30, 2022 and 2021, respectively:</w:t>
      </w:r>
    </w:p>
    <w:p>
      <w:pPr>
        <w:spacing w:after="0" w:line="5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Three Months Ended September 30,</w:t>
            </w:r>
          </w:p>
        </w:tc>
        <w:tc>
          <w:tcPr>
            <w:tcW w:w="220" w:type="dxa"/>
            <w:vAlign w:val="bottom"/>
          </w:tcPr>
          <w:p>
            <w:pPr>
              <w:spacing w:after="0"/>
              <w:rPr>
                <w:sz w:val="16"/>
                <w:szCs w:val="16"/>
                <w:color w:val="auto"/>
              </w:rPr>
            </w:pPr>
          </w:p>
        </w:tc>
        <w:tc>
          <w:tcPr>
            <w:tcW w:w="22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Nine Months Ended September 30,</w:t>
            </w: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Subscription services</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56,156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42,780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159,136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118,545</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Professional services</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8"/>
                <w:szCs w:val="18"/>
                <w:color w:val="auto"/>
              </w:rPr>
            </w:pPr>
          </w:p>
        </w:tc>
      </w:tr>
      <w:tr>
        <w:trPr>
          <w:trHeight w:val="250"/>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57,382</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43,084</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162,054</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119,841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59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596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right="60" w:firstLine="509"/>
        <w:spacing w:after="0" w:line="308" w:lineRule="auto"/>
        <w:rPr>
          <w:sz w:val="20"/>
          <w:szCs w:val="20"/>
          <w:color w:val="auto"/>
        </w:rPr>
      </w:pPr>
      <w:r>
        <w:rPr>
          <w:rFonts w:ascii="Arial" w:cs="Arial" w:eastAsia="Arial" w:hAnsi="Arial"/>
          <w:sz w:val="18"/>
          <w:szCs w:val="18"/>
          <w:color w:val="auto"/>
        </w:rPr>
        <w:t>The opening and closing balances of the Company’s receivables, deferred contract costs and contract liabilities from contracts with customers are as follows:</w:t>
      </w:r>
    </w:p>
    <w:p>
      <w:pPr>
        <w:spacing w:after="0" w:line="2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196"/>
              <w:spacing w:after="0"/>
              <w:rPr>
                <w:sz w:val="20"/>
                <w:szCs w:val="20"/>
                <w:color w:val="auto"/>
              </w:rPr>
            </w:pPr>
            <w:r>
              <w:rPr>
                <w:rFonts w:ascii="Arial" w:cs="Arial" w:eastAsia="Arial" w:hAnsi="Arial"/>
                <w:sz w:val="14"/>
                <w:szCs w:val="14"/>
                <w:b w:val="1"/>
                <w:bCs w:val="1"/>
                <w:color w:val="auto"/>
                <w:w w:val="98"/>
              </w:rPr>
              <w:t>September 30,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216"/>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4"/>
                <w:szCs w:val="14"/>
                <w:color w:val="auto"/>
              </w:rPr>
            </w:pPr>
          </w:p>
        </w:tc>
      </w:tr>
      <w:tr>
        <w:trPr>
          <w:trHeight w:val="185"/>
        </w:trPr>
        <w:tc>
          <w:tcPr>
            <w:tcW w:w="68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10"/>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33,689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43,336</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Deferred contract costs, current portion</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9,179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6,880</w:t>
            </w:r>
          </w:p>
        </w:tc>
        <w:tc>
          <w:tcPr>
            <w:tcW w:w="100" w:type="dxa"/>
            <w:vAlign w:val="bottom"/>
          </w:tcPr>
          <w:p>
            <w:pPr>
              <w:spacing w:after="0"/>
              <w:rPr>
                <w:sz w:val="18"/>
                <w:szCs w:val="18"/>
                <w:color w:val="auto"/>
              </w:rPr>
            </w:pPr>
          </w:p>
        </w:tc>
      </w:tr>
      <w:tr>
        <w:trPr>
          <w:trHeight w:val="216"/>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Deferred contract costs, long-term</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11,667</w:t>
            </w:r>
          </w:p>
        </w:tc>
        <w:tc>
          <w:tcPr>
            <w:tcW w:w="100" w:type="dxa"/>
            <w:vAlign w:val="bottom"/>
            <w:shd w:val="clear" w:color="auto" w:fill="CFF0FC"/>
          </w:tcPr>
          <w:p>
            <w:pPr>
              <w:spacing w:after="0"/>
              <w:rPr>
                <w:sz w:val="18"/>
                <w:szCs w:val="18"/>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Deferred revenues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84,324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84,023</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summary of the activity impacting the deferred contract costs for the nine months ended September 30, 2022 and the year ended December 31,</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2021 is presented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Twelve Months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660" w:type="dxa"/>
            <w:vAlign w:val="bottom"/>
            <w:gridSpan w:val="3"/>
          </w:tcPr>
          <w:p>
            <w:pPr>
              <w:jc w:val="right"/>
              <w:ind w:right="360"/>
              <w:spacing w:after="0" w:line="158" w:lineRule="exact"/>
              <w:rPr>
                <w:sz w:val="20"/>
                <w:szCs w:val="20"/>
                <w:color w:val="auto"/>
              </w:rPr>
            </w:pPr>
            <w:r>
              <w:rPr>
                <w:rFonts w:ascii="Arial" w:cs="Arial" w:eastAsia="Arial" w:hAnsi="Arial"/>
                <w:sz w:val="14"/>
                <w:szCs w:val="14"/>
                <w:b w:val="1"/>
                <w:bCs w:val="1"/>
                <w:color w:val="auto"/>
                <w:w w:val="97"/>
              </w:rPr>
              <w:t>Nine Months Ended</w:t>
            </w:r>
          </w:p>
        </w:tc>
        <w:tc>
          <w:tcPr>
            <w:tcW w:w="148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Ended December 31,</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3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September 30, 2022</w:t>
            </w:r>
          </w:p>
        </w:tc>
        <w:tc>
          <w:tcPr>
            <w:tcW w:w="160" w:type="dxa"/>
            <w:vAlign w:val="bottom"/>
          </w:tcPr>
          <w:p>
            <w:pPr>
              <w:spacing w:after="0"/>
              <w:rPr>
                <w:sz w:val="16"/>
                <w:szCs w:val="16"/>
                <w:color w:val="auto"/>
              </w:rPr>
            </w:pPr>
          </w:p>
        </w:tc>
        <w:tc>
          <w:tcPr>
            <w:tcW w:w="1220" w:type="dxa"/>
            <w:vAlign w:val="bottom"/>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25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18,547</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8,899</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80" w:type="dxa"/>
            <w:vAlign w:val="bottom"/>
          </w:tcPr>
          <w:p>
            <w:pPr>
              <w:ind w:left="360"/>
              <w:spacing w:after="0"/>
              <w:rPr>
                <w:sz w:val="20"/>
                <w:szCs w:val="20"/>
                <w:color w:val="auto"/>
              </w:rPr>
            </w:pPr>
            <w:r>
              <w:rPr>
                <w:rFonts w:ascii="Arial" w:cs="Arial" w:eastAsia="Arial" w:hAnsi="Arial"/>
                <w:sz w:val="18"/>
                <w:szCs w:val="18"/>
                <w:color w:val="auto"/>
              </w:rPr>
              <w:t>Costs amortized</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(6,274 )</w:t>
            </w: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(4,792 )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Additional amounts deferred</w:t>
            </w:r>
          </w:p>
        </w:tc>
        <w:tc>
          <w:tcPr>
            <w:tcW w:w="25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10,070</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14,440</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22,343</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Classified as:</w:t>
            </w:r>
          </w:p>
        </w:tc>
        <w:tc>
          <w:tcPr>
            <w:tcW w:w="2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80" w:type="dxa"/>
            <w:vAlign w:val="bottom"/>
          </w:tcPr>
          <w:p>
            <w:pPr>
              <w:ind w:left="360"/>
              <w:spacing w:after="0"/>
              <w:rPr>
                <w:sz w:val="20"/>
                <w:szCs w:val="20"/>
                <w:color w:val="auto"/>
              </w:rPr>
            </w:pPr>
            <w:r>
              <w:rPr>
                <w:rFonts w:ascii="Arial" w:cs="Arial" w:eastAsia="Arial" w:hAnsi="Arial"/>
                <w:sz w:val="18"/>
                <w:szCs w:val="18"/>
                <w:color w:val="auto"/>
              </w:rPr>
              <w:t>Current</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9,179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6,880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Non-current</w:t>
            </w:r>
          </w:p>
        </w:tc>
        <w:tc>
          <w:tcPr>
            <w:tcW w:w="25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13,164</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11,667</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Total deferred contract costs (deferred commissions)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22,343</w:t>
            </w:r>
          </w:p>
        </w:tc>
        <w:tc>
          <w:tcPr>
            <w:tcW w:w="24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18,547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580" w:type="dxa"/>
            <w:vAlign w:val="bottom"/>
            <w:vMerge w:val="restart"/>
          </w:tcPr>
          <w:p>
            <w:pPr>
              <w:jc w:val="right"/>
              <w:ind w:right="1730"/>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-1156335</wp:posOffset>
            </wp:positionV>
            <wp:extent cx="5969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-1156335</wp:posOffset>
            </wp:positionV>
            <wp:extent cx="60325"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-590550</wp:posOffset>
            </wp:positionV>
            <wp:extent cx="5969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-590550</wp:posOffset>
            </wp:positionV>
            <wp:extent cx="60325"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A summary of the activity impacting deferred revenue balances during the nine months ended September 30, 2022 and for the year ended December 31, 2021 is presented below:</w:t>
      </w:r>
    </w:p>
    <w:p>
      <w:pPr>
        <w:spacing w:after="0" w:line="5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Twelve Months</w:t>
            </w:r>
          </w:p>
        </w:tc>
      </w:tr>
      <w:tr>
        <w:trPr>
          <w:trHeight w:val="148"/>
        </w:trPr>
        <w:tc>
          <w:tcPr>
            <w:tcW w:w="6940" w:type="dxa"/>
            <w:vAlign w:val="bottom"/>
          </w:tcPr>
          <w:p>
            <w:pPr>
              <w:spacing w:after="0"/>
              <w:rPr>
                <w:sz w:val="12"/>
                <w:szCs w:val="12"/>
                <w:color w:val="auto"/>
              </w:rPr>
            </w:pPr>
          </w:p>
        </w:tc>
        <w:tc>
          <w:tcPr>
            <w:tcW w:w="166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7"/>
              </w:rPr>
              <w:t>Nine Months Ended</w:t>
            </w:r>
          </w:p>
        </w:tc>
        <w:tc>
          <w:tcPr>
            <w:tcW w:w="15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Ended December 31,</w:t>
            </w:r>
          </w:p>
        </w:tc>
      </w:tr>
      <w:tr>
        <w:trPr>
          <w:trHeight w:val="185"/>
        </w:trPr>
        <w:tc>
          <w:tcPr>
            <w:tcW w:w="69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9"/>
              </w:rPr>
              <w:t>September 30, 2022</w:t>
            </w:r>
          </w:p>
        </w:tc>
        <w:tc>
          <w:tcPr>
            <w:tcW w:w="160" w:type="dxa"/>
            <w:vAlign w:val="bottom"/>
          </w:tcPr>
          <w:p>
            <w:pPr>
              <w:spacing w:after="0"/>
              <w:rPr>
                <w:sz w:val="16"/>
                <w:szCs w:val="16"/>
                <w:color w:val="auto"/>
              </w:rPr>
            </w:pPr>
          </w:p>
        </w:tc>
        <w:tc>
          <w:tcPr>
            <w:tcW w:w="124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r>
      <w:tr>
        <w:trPr>
          <w:trHeight w:val="209"/>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440" w:type="dxa"/>
            <w:vAlign w:val="bottom"/>
            <w:tcBorders>
              <w:top w:val="single" w:sz="8" w:color="auto"/>
            </w:tcBorders>
            <w:shd w:val="clear" w:color="auto" w:fill="CFF0FC"/>
          </w:tcPr>
          <w:p>
            <w:pPr>
              <w:jc w:val="right"/>
              <w:ind w:right="239"/>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84,023</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61,200</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Revenue recognized</w:t>
            </w:r>
          </w:p>
        </w:tc>
        <w:tc>
          <w:tcPr>
            <w:tcW w:w="4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(162,054 )</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(166,154 )</w:t>
            </w:r>
          </w:p>
        </w:tc>
      </w:tr>
      <w:tr>
        <w:trPr>
          <w:trHeight w:val="216"/>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Additional amounts deferred</w:t>
            </w:r>
          </w:p>
        </w:tc>
        <w:tc>
          <w:tcPr>
            <w:tcW w:w="4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162,355</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9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84,324</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84,023</w:t>
            </w:r>
          </w:p>
        </w:tc>
        <w:tc>
          <w:tcPr>
            <w:tcW w:w="10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-170815</wp:posOffset>
            </wp:positionV>
            <wp:extent cx="60325"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ind w:right="300" w:firstLine="509"/>
        <w:spacing w:after="0" w:line="248" w:lineRule="auto"/>
        <w:rPr>
          <w:sz w:val="20"/>
          <w:szCs w:val="20"/>
          <w:color w:val="auto"/>
        </w:rPr>
      </w:pPr>
      <w:r>
        <w:rPr>
          <w:rFonts w:ascii="Arial" w:cs="Arial" w:eastAsia="Arial" w:hAnsi="Arial"/>
          <w:sz w:val="18"/>
          <w:szCs w:val="18"/>
          <w:color w:val="auto"/>
        </w:rPr>
        <w:t>Transaction price allocated to remaining performance obligations represents contracted revenue that has not yet been recognized, which includes unearned revenue and unbilled amounts that will be invoiced and recognized as revenue in future periods. The Company expects to recognize approximately 65% of the revenue within the next year and the remainder thereafter.</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remaining performance obligations consisted of the following:</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177"/>
              <w:spacing w:after="0"/>
              <w:rPr>
                <w:sz w:val="20"/>
                <w:szCs w:val="20"/>
                <w:color w:val="auto"/>
              </w:rPr>
            </w:pPr>
            <w:r>
              <w:rPr>
                <w:rFonts w:ascii="Arial" w:cs="Arial" w:eastAsia="Arial" w:hAnsi="Arial"/>
                <w:sz w:val="14"/>
                <w:szCs w:val="14"/>
                <w:b w:val="1"/>
                <w:bCs w:val="1"/>
                <w:color w:val="auto"/>
                <w:w w:val="96"/>
              </w:rPr>
              <w:t>September 30,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77"/>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4"/>
                <w:szCs w:val="14"/>
                <w:color w:val="auto"/>
              </w:rPr>
            </w:pPr>
          </w:p>
        </w:tc>
      </w:tr>
      <w:tr>
        <w:trPr>
          <w:trHeight w:val="185"/>
        </w:trPr>
        <w:tc>
          <w:tcPr>
            <w:tcW w:w="70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10"/>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159,699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155,134</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Non-current</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86,902</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95,354</w:t>
            </w:r>
          </w:p>
        </w:tc>
        <w:tc>
          <w:tcPr>
            <w:tcW w:w="100" w:type="dxa"/>
            <w:vAlign w:val="bottom"/>
          </w:tcPr>
          <w:p>
            <w:pPr>
              <w:spacing w:after="0"/>
              <w:rPr>
                <w:sz w:val="18"/>
                <w:szCs w:val="18"/>
                <w:color w:val="auto"/>
              </w:rPr>
            </w:pPr>
          </w:p>
        </w:tc>
      </w:tr>
      <w:tr>
        <w:trPr>
          <w:trHeight w:val="249"/>
        </w:trPr>
        <w:tc>
          <w:tcPr>
            <w:tcW w:w="70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246,601</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250,488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-25400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2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Company leases real estate in the form of office space facilities. Generally, the term for real estate leases ranges from 1 to 9 years at inception of the contract. Some real estate leases include options to renew that can extend the original term by 5 to 10 years.</w:t>
      </w:r>
    </w:p>
    <w:p>
      <w:pPr>
        <w:spacing w:after="0" w:line="63" w:lineRule="exact"/>
        <w:rPr>
          <w:sz w:val="20"/>
          <w:szCs w:val="20"/>
          <w:color w:val="auto"/>
        </w:rPr>
      </w:pPr>
    </w:p>
    <w:p>
      <w:pPr>
        <w:ind w:right="40" w:firstLine="509"/>
        <w:spacing w:after="0" w:line="342" w:lineRule="auto"/>
        <w:rPr>
          <w:sz w:val="20"/>
          <w:szCs w:val="20"/>
          <w:color w:val="auto"/>
        </w:rPr>
      </w:pPr>
      <w:r>
        <w:rPr>
          <w:rFonts w:ascii="Arial" w:cs="Arial" w:eastAsia="Arial" w:hAnsi="Arial"/>
          <w:sz w:val="16"/>
          <w:szCs w:val="16"/>
          <w:color w:val="auto"/>
        </w:rPr>
        <w:t>Operating lease costs are allocated according to headcount to cost of revenue, sales and marketing, product development and general and administrative expenses in the condensed consolidated statements of operations. As of September 30, 2022, the Company does not have any finance leases.</w:t>
      </w:r>
    </w:p>
    <w:p>
      <w:pPr>
        <w:spacing w:after="0" w:line="2"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During the first quarter of 2022, the Company gave notice of its intent to extend one of its office lease facilities for an additional five-year period and the extension was accounted for as a lease modification under ASC 842. Accordingly, the Company recorded a right-of-use asset and corresponding operating lease liability of $6.0 million, which represented the present value of the expected future minimum lease payments. During the quarter ended June 30, 2022, the Company’s executive leadership team approved a program to exit the office lease facility and signed an agreement with the landlord to withdraw the Company’s exercise of the option to extend. As a result, the lease will terminate on December 31, 2022. This was accounted for as a lease modification under ASC 842 and the Company reduced the right-of-use asset by $6.0 million in the second quarter of 2022. The Company ceased use of the office facility during the quarter and accordingly recorded an impairment charge of $0.7 million, which represented the remaining carrying value of the right-of-use asset as of June 30, 2022.</w:t>
      </w:r>
    </w:p>
    <w:p>
      <w:pPr>
        <w:spacing w:after="0" w:line="67" w:lineRule="exact"/>
        <w:rPr>
          <w:sz w:val="20"/>
          <w:szCs w:val="20"/>
          <w:color w:val="auto"/>
        </w:rPr>
      </w:pPr>
    </w:p>
    <w:p>
      <w:pPr>
        <w:ind w:right="100" w:firstLine="509"/>
        <w:spacing w:after="0" w:line="303" w:lineRule="auto"/>
        <w:rPr>
          <w:sz w:val="20"/>
          <w:szCs w:val="20"/>
          <w:color w:val="auto"/>
        </w:rPr>
      </w:pPr>
      <w:r>
        <w:rPr>
          <w:rFonts w:ascii="Arial" w:cs="Arial" w:eastAsia="Arial" w:hAnsi="Arial"/>
          <w:sz w:val="16"/>
          <w:szCs w:val="16"/>
          <w:color w:val="auto"/>
        </w:rPr>
        <w:t>Also during the second quarter of 2022, the Company executed a plan to exit one of its office facilities by exercising an early termination clause, which was accounted for as a lease modification under ASC 842. The Company ceased use of the office facility during the second quarter and accordingly recorded a $0.2 million impairment charge, which represented the remaining carrying value of the right-of-use asset as of June 30, 2022.</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recorded the following lease costs for the three and nine months ended September 30, 2022:</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600" w:type="dxa"/>
            <w:vAlign w:val="bottom"/>
          </w:tcPr>
          <w:p>
            <w:pPr>
              <w:spacing w:after="0"/>
              <w:rPr>
                <w:sz w:val="14"/>
                <w:szCs w:val="14"/>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7"/>
              </w:rPr>
              <w:t>Nine Months Ended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6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0"/>
              </w:rPr>
              <w:t>September 30, 2022</w:t>
            </w:r>
          </w:p>
        </w:tc>
        <w:tc>
          <w:tcPr>
            <w:tcW w:w="600" w:type="dxa"/>
            <w:vAlign w:val="bottom"/>
          </w:tcPr>
          <w:p>
            <w:pPr>
              <w:spacing w:after="0"/>
              <w:rPr>
                <w:sz w:val="16"/>
                <w:szCs w:val="16"/>
                <w:color w:val="auto"/>
              </w:rPr>
            </w:pPr>
          </w:p>
        </w:tc>
        <w:tc>
          <w:tcPr>
            <w:tcW w:w="14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7"/>
              </w:rPr>
              <w:t>September 30, 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620" w:type="dxa"/>
            <w:vAlign w:val="bottom"/>
            <w:gridSpan w:val="2"/>
            <w:shd w:val="clear" w:color="auto" w:fill="CFF0FC"/>
          </w:tcPr>
          <w:p>
            <w:pPr>
              <w:spacing w:after="0" w:line="169" w:lineRule="exact"/>
              <w:rPr>
                <w:sz w:val="20"/>
                <w:szCs w:val="20"/>
                <w:color w:val="auto"/>
              </w:rPr>
            </w:pPr>
            <w:r>
              <w:rPr>
                <w:rFonts w:ascii="Arial" w:cs="Arial" w:eastAsia="Arial" w:hAnsi="Arial"/>
                <w:sz w:val="18"/>
                <w:szCs w:val="18"/>
                <w:color w:val="auto"/>
              </w:rPr>
              <w:t>Lease Cost</w:t>
            </w:r>
          </w:p>
        </w:tc>
        <w:tc>
          <w:tcPr>
            <w:tcW w:w="2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0" w:type="dxa"/>
            <w:vAlign w:val="bottom"/>
            <w:tcBorders>
              <w:top w:val="single" w:sz="8" w:color="auto"/>
            </w:tcBorders>
            <w:shd w:val="clear" w:color="auto" w:fill="CFF0FC"/>
          </w:tcPr>
          <w:p>
            <w:pPr>
              <w:spacing w:after="0" w:line="20" w:lineRule="exact"/>
              <w:rPr>
                <w:sz w:val="1"/>
                <w:szCs w:val="1"/>
                <w:color w:val="auto"/>
              </w:rPr>
            </w:pPr>
          </w:p>
        </w:tc>
        <w:tc>
          <w:tcPr>
            <w:tcW w:w="2820" w:type="dxa"/>
            <w:vAlign w:val="bottom"/>
            <w:tcBorders>
              <w:top w:val="single" w:sz="8" w:color="CFF0FC"/>
            </w:tcBorders>
            <w:shd w:val="clear" w:color="auto" w:fill="CFF0FC"/>
          </w:tcPr>
          <w:p>
            <w:pPr>
              <w:spacing w:after="0" w:line="20" w:lineRule="exact"/>
              <w:rPr>
                <w:sz w:val="1"/>
                <w:szCs w:val="1"/>
                <w:color w:val="auto"/>
              </w:rPr>
            </w:pPr>
          </w:p>
        </w:tc>
        <w:tc>
          <w:tcPr>
            <w:tcW w:w="29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Capitalized operating lease cost</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848</w:t>
            </w:r>
          </w:p>
        </w:tc>
        <w:tc>
          <w:tcPr>
            <w:tcW w:w="114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29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Total lease cost</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848</w:t>
            </w:r>
          </w:p>
        </w:tc>
        <w:tc>
          <w:tcPr>
            <w:tcW w:w="114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2,572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940" w:type="dxa"/>
            <w:vAlign w:val="bottom"/>
            <w:vMerge w:val="restart"/>
          </w:tcPr>
          <w:p>
            <w:pPr>
              <w:jc w:val="right"/>
              <w:ind w:right="1330"/>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c>
          <w:tcPr>
            <w:tcW w:w="29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-582295</wp:posOffset>
            </wp:positionV>
            <wp:extent cx="5969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-582295</wp:posOffset>
            </wp:positionV>
            <wp:extent cx="60325"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8" w:name="page19"/>
    <w:bookmarkEnd w:id="18"/>
    <w:tbl>
      <w:tblPr>
        <w:tblLayout w:type="fixed"/>
        <w:tblInd w:w="520" w:type="dxa"/>
        <w:tblCellMar>
          <w:top w:w="0" w:type="dxa"/>
          <w:left w:w="0" w:type="dxa"/>
          <w:bottom w:w="0" w:type="dxa"/>
          <w:right w:w="0" w:type="dxa"/>
        </w:tblCellMar>
      </w:tblPr>
      <w:tr>
        <w:trPr>
          <w:trHeight w:val="181"/>
        </w:trPr>
        <w:tc>
          <w:tcPr>
            <w:tcW w:w="60" w:type="dxa"/>
            <w:vAlign w:val="bottom"/>
          </w:tcPr>
          <w:p>
            <w:pPr>
              <w:spacing w:after="0"/>
              <w:rPr>
                <w:sz w:val="15"/>
                <w:szCs w:val="15"/>
                <w:color w:val="auto"/>
              </w:rPr>
            </w:pPr>
          </w:p>
        </w:tc>
        <w:tc>
          <w:tcPr>
            <w:tcW w:w="7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60" w:type="dxa"/>
            <w:vAlign w:val="bottom"/>
          </w:tcPr>
          <w:p>
            <w:pPr>
              <w:spacing w:after="0"/>
              <w:rPr>
                <w:sz w:val="15"/>
                <w:szCs w:val="15"/>
                <w:color w:val="auto"/>
              </w:rPr>
            </w:pPr>
          </w:p>
        </w:tc>
        <w:tc>
          <w:tcPr>
            <w:tcW w:w="7580" w:type="dxa"/>
            <w:vAlign w:val="bottom"/>
            <w:gridSpan w:val="2"/>
            <w:shd w:val="clear" w:color="auto" w:fill="CFF0FC"/>
          </w:tcPr>
          <w:p>
            <w:pPr>
              <w:spacing w:after="0" w:line="176" w:lineRule="exact"/>
              <w:rPr>
                <w:sz w:val="20"/>
                <w:szCs w:val="20"/>
                <w:color w:val="auto"/>
              </w:rPr>
            </w:pPr>
            <w:r>
              <w:rPr>
                <w:rFonts w:ascii="Arial" w:cs="Arial" w:eastAsia="Arial" w:hAnsi="Arial"/>
                <w:sz w:val="18"/>
                <w:szCs w:val="18"/>
                <w:color w:val="auto"/>
              </w:rPr>
              <w:t>Supplemental Cash Flow and Other Information</w:t>
            </w:r>
          </w:p>
        </w:tc>
        <w:tc>
          <w:tcPr>
            <w:tcW w:w="62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
        </w:trPr>
        <w:tc>
          <w:tcPr>
            <w:tcW w:w="60" w:type="dxa"/>
            <w:vAlign w:val="bottom"/>
          </w:tcPr>
          <w:p>
            <w:pPr>
              <w:spacing w:after="0" w:line="20" w:lineRule="exact"/>
              <w:rPr>
                <w:sz w:val="1"/>
                <w:szCs w:val="1"/>
                <w:color w:val="auto"/>
              </w:rPr>
            </w:pPr>
          </w:p>
        </w:tc>
        <w:tc>
          <w:tcPr>
            <w:tcW w:w="3480" w:type="dxa"/>
            <w:vAlign w:val="bottom"/>
            <w:tcBorders>
              <w:top w:val="single" w:sz="8" w:color="auto"/>
            </w:tcBorders>
            <w:shd w:val="clear" w:color="auto" w:fill="CFF0FC"/>
          </w:tcPr>
          <w:p>
            <w:pPr>
              <w:spacing w:after="0" w:line="20" w:lineRule="exact"/>
              <w:rPr>
                <w:sz w:val="1"/>
                <w:szCs w:val="1"/>
                <w:color w:val="auto"/>
              </w:rPr>
            </w:pPr>
          </w:p>
        </w:tc>
        <w:tc>
          <w:tcPr>
            <w:tcW w:w="41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6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w w:val="95"/>
              </w:rPr>
              <w:t>Cash paid for amounts included in measurement of lease liabilities and capitalized operating leases:</w:t>
            </w:r>
          </w:p>
        </w:tc>
        <w:tc>
          <w:tcPr>
            <w:tcW w:w="6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75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Operating cash flows</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Right-of-use assets obtained in exchange for lease liabilities:</w:t>
            </w:r>
          </w:p>
        </w:tc>
        <w:tc>
          <w:tcPr>
            <w:tcW w:w="6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7580" w:type="dxa"/>
            <w:vAlign w:val="bottom"/>
            <w:gridSpan w:val="2"/>
          </w:tcPr>
          <w:p>
            <w:pPr>
              <w:ind w:left="180"/>
              <w:spacing w:after="0"/>
              <w:rPr>
                <w:sz w:val="20"/>
                <w:szCs w:val="20"/>
                <w:color w:val="auto"/>
              </w:rPr>
            </w:pPr>
            <w:r>
              <w:rPr>
                <w:rFonts w:ascii="Arial" w:cs="Arial" w:eastAsia="Arial" w:hAnsi="Arial"/>
                <w:sz w:val="18"/>
                <w:szCs w:val="18"/>
                <w:color w:val="auto"/>
              </w:rPr>
              <w:t>Capitalized operating leases</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979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7640" w:type="dxa"/>
            <w:vAlign w:val="bottom"/>
            <w:gridSpan w:val="3"/>
          </w:tcPr>
          <w:p>
            <w:pPr>
              <w:spacing w:after="0"/>
              <w:rPr>
                <w:sz w:val="20"/>
                <w:szCs w:val="20"/>
                <w:color w:val="auto"/>
              </w:rPr>
            </w:pPr>
            <w:r>
              <w:rPr>
                <w:rFonts w:ascii="Arial" w:cs="Arial" w:eastAsia="Arial" w:hAnsi="Arial"/>
                <w:sz w:val="18"/>
                <w:szCs w:val="18"/>
                <w:color w:val="auto"/>
              </w:rPr>
              <w:t>Lease term and discount rate consisted of the following at September 30, 2022:</w:t>
            </w:r>
          </w:p>
        </w:tc>
        <w:tc>
          <w:tcPr>
            <w:tcW w:w="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September 30, 2022</w:t>
            </w:r>
          </w:p>
        </w:tc>
      </w:tr>
      <w:tr>
        <w:trPr>
          <w:trHeight w:val="209"/>
        </w:trPr>
        <w:tc>
          <w:tcPr>
            <w:tcW w:w="60" w:type="dxa"/>
            <w:vAlign w:val="bottom"/>
          </w:tcPr>
          <w:p>
            <w:pPr>
              <w:spacing w:after="0"/>
              <w:rPr>
                <w:sz w:val="18"/>
                <w:szCs w:val="18"/>
                <w:color w:val="auto"/>
              </w:rPr>
            </w:pPr>
          </w:p>
        </w:tc>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Weighted-average remaining lease term (in years):</w:t>
            </w:r>
          </w:p>
        </w:tc>
        <w:tc>
          <w:tcPr>
            <w:tcW w:w="620" w:type="dxa"/>
            <w:vAlign w:val="bottom"/>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7580" w:type="dxa"/>
            <w:vAlign w:val="bottom"/>
            <w:gridSpan w:val="2"/>
          </w:tcPr>
          <w:p>
            <w:pPr>
              <w:ind w:left="180"/>
              <w:spacing w:after="0"/>
              <w:rPr>
                <w:sz w:val="20"/>
                <w:szCs w:val="20"/>
                <w:color w:val="auto"/>
              </w:rPr>
            </w:pPr>
            <w:r>
              <w:rPr>
                <w:rFonts w:ascii="Arial" w:cs="Arial" w:eastAsia="Arial" w:hAnsi="Arial"/>
                <w:sz w:val="18"/>
                <w:szCs w:val="18"/>
                <w:color w:val="auto"/>
              </w:rPr>
              <w:t>Capitalized operating leases</w:t>
            </w:r>
          </w:p>
        </w:tc>
        <w:tc>
          <w:tcPr>
            <w:tcW w:w="62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480" w:type="dxa"/>
            <w:vAlign w:val="bottom"/>
            <w:shd w:val="clear" w:color="auto" w:fill="CFF0FC"/>
          </w:tcPr>
          <w:p>
            <w:pPr>
              <w:spacing w:after="0"/>
              <w:rPr>
                <w:sz w:val="18"/>
                <w:szCs w:val="18"/>
                <w:color w:val="auto"/>
              </w:rPr>
            </w:pPr>
          </w:p>
        </w:tc>
        <w:tc>
          <w:tcPr>
            <w:tcW w:w="4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Weighted-average discount rate:</w:t>
            </w:r>
          </w:p>
        </w:tc>
        <w:tc>
          <w:tcPr>
            <w:tcW w:w="6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7580" w:type="dxa"/>
            <w:vAlign w:val="bottom"/>
            <w:gridSpan w:val="2"/>
          </w:tcPr>
          <w:p>
            <w:pPr>
              <w:ind w:left="180"/>
              <w:spacing w:after="0"/>
              <w:rPr>
                <w:sz w:val="20"/>
                <w:szCs w:val="20"/>
                <w:color w:val="auto"/>
              </w:rPr>
            </w:pPr>
            <w:r>
              <w:rPr>
                <w:rFonts w:ascii="Arial" w:cs="Arial" w:eastAsia="Arial" w:hAnsi="Arial"/>
                <w:sz w:val="18"/>
                <w:szCs w:val="18"/>
                <w:color w:val="auto"/>
              </w:rPr>
              <w:t>Capitalized operating leases</w:t>
            </w:r>
          </w:p>
        </w:tc>
        <w:tc>
          <w:tcPr>
            <w:tcW w:w="620" w:type="dxa"/>
            <w:vAlign w:val="bottom"/>
          </w:tcPr>
          <w:p>
            <w:pPr>
              <w:spacing w:after="0"/>
              <w:rPr>
                <w:sz w:val="18"/>
                <w:szCs w:val="18"/>
                <w:color w:val="auto"/>
              </w:rPr>
            </w:pPr>
          </w:p>
        </w:tc>
        <w:tc>
          <w:tcPr>
            <w:tcW w:w="1960" w:type="dxa"/>
            <w:vAlign w:val="bottom"/>
            <w:gridSpan w:val="4"/>
          </w:tcPr>
          <w:p>
            <w:pPr>
              <w:jc w:val="right"/>
              <w:spacing w:after="0"/>
              <w:rPr>
                <w:sz w:val="20"/>
                <w:szCs w:val="20"/>
                <w:color w:val="auto"/>
              </w:rPr>
            </w:pPr>
            <w:r>
              <w:rPr>
                <w:rFonts w:ascii="Arial" w:cs="Arial" w:eastAsia="Arial" w:hAnsi="Arial"/>
                <w:sz w:val="18"/>
                <w:szCs w:val="18"/>
                <w:color w:val="auto"/>
              </w:rPr>
              <w:t>4.2 %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-136525</wp:posOffset>
            </wp:positionV>
            <wp:extent cx="641223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4" w:lineRule="exact"/>
        <w:rPr>
          <w:sz w:val="20"/>
          <w:szCs w:val="20"/>
          <w:color w:val="auto"/>
        </w:rPr>
      </w:pPr>
    </w:p>
    <w:p>
      <w:pPr>
        <w:ind w:right="440" w:firstLine="509"/>
        <w:spacing w:after="0" w:line="256" w:lineRule="auto"/>
        <w:rPr>
          <w:sz w:val="20"/>
          <w:szCs w:val="20"/>
          <w:color w:val="auto"/>
        </w:rPr>
      </w:pPr>
      <w:r>
        <w:rPr>
          <w:rFonts w:ascii="Arial" w:cs="Arial" w:eastAsia="Arial" w:hAnsi="Arial"/>
          <w:sz w:val="18"/>
          <w:szCs w:val="18"/>
          <w:color w:val="auto"/>
        </w:rPr>
        <w:t>The table below reconciles the undiscounted future minimum lease payments (displayed by year and in the aggregate) under noncancelable operating leases with terms of more than one year to the total operating lease liabilities recognized on the condensed consolidated balance sheets as of September 30, 2022.</w:t>
      </w:r>
    </w:p>
    <w:p>
      <w:pPr>
        <w:spacing w:after="0" w:line="5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93"/>
              <w:spacing w:after="0"/>
              <w:rPr>
                <w:sz w:val="20"/>
                <w:szCs w:val="20"/>
                <w:color w:val="auto"/>
              </w:rPr>
            </w:pPr>
            <w:r>
              <w:rPr>
                <w:rFonts w:ascii="Arial" w:cs="Arial" w:eastAsia="Arial" w:hAnsi="Arial"/>
                <w:sz w:val="14"/>
                <w:szCs w:val="14"/>
                <w:b w:val="1"/>
                <w:bCs w:val="1"/>
                <w:color w:val="auto"/>
                <w:w w:val="95"/>
              </w:rPr>
              <w:t>Capitalized Operating</w:t>
            </w:r>
          </w:p>
        </w:tc>
        <w:tc>
          <w:tcPr>
            <w:tcW w:w="100" w:type="dxa"/>
            <w:vAlign w:val="bottom"/>
          </w:tcPr>
          <w:p>
            <w:pPr>
              <w:spacing w:after="0"/>
              <w:rPr>
                <w:sz w:val="14"/>
                <w:szCs w:val="14"/>
                <w:color w:val="auto"/>
              </w:rPr>
            </w:pPr>
          </w:p>
        </w:tc>
      </w:tr>
      <w:tr>
        <w:trPr>
          <w:trHeight w:val="185"/>
        </w:trPr>
        <w:tc>
          <w:tcPr>
            <w:tcW w:w="83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Lease</w:t>
            </w:r>
          </w:p>
        </w:tc>
        <w:tc>
          <w:tcPr>
            <w:tcW w:w="100" w:type="dxa"/>
            <w:vAlign w:val="bottom"/>
          </w:tcPr>
          <w:p>
            <w:pPr>
              <w:spacing w:after="0"/>
              <w:rPr>
                <w:sz w:val="16"/>
                <w:szCs w:val="16"/>
                <w:color w:val="auto"/>
              </w:rPr>
            </w:pPr>
          </w:p>
        </w:tc>
      </w:tr>
      <w:tr>
        <w:trPr>
          <w:trHeight w:val="209"/>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2022, excluding the nine months ended September 30, 2022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FF0FC"/>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18"/>
                <w:szCs w:val="18"/>
                <w:color w:val="auto"/>
              </w:rPr>
            </w:pPr>
          </w:p>
        </w:tc>
      </w:tr>
      <w:tr>
        <w:trPr>
          <w:trHeight w:val="216"/>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w:t>
            </w:r>
          </w:p>
        </w:tc>
        <w:tc>
          <w:tcPr>
            <w:tcW w:w="100" w:type="dxa"/>
            <w:vAlign w:val="bottom"/>
            <w:shd w:val="clear" w:color="auto" w:fill="CFF0FC"/>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18"/>
                <w:szCs w:val="18"/>
                <w:color w:val="auto"/>
              </w:rPr>
            </w:pPr>
          </w:p>
        </w:tc>
      </w:tr>
      <w:tr>
        <w:trPr>
          <w:trHeight w:val="216"/>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2,071</w:t>
            </w:r>
          </w:p>
        </w:tc>
        <w:tc>
          <w:tcPr>
            <w:tcW w:w="100" w:type="dxa"/>
            <w:vAlign w:val="bottom"/>
            <w:shd w:val="clear" w:color="auto" w:fill="CFF0FC"/>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4,458</w:t>
            </w:r>
          </w:p>
        </w:tc>
        <w:tc>
          <w:tcPr>
            <w:tcW w:w="100" w:type="dxa"/>
            <w:vAlign w:val="bottom"/>
          </w:tcPr>
          <w:p>
            <w:pPr>
              <w:spacing w:after="0"/>
              <w:rPr>
                <w:sz w:val="18"/>
                <w:szCs w:val="18"/>
                <w:color w:val="auto"/>
              </w:rPr>
            </w:pPr>
          </w:p>
        </w:tc>
      </w:tr>
      <w:tr>
        <w:trPr>
          <w:trHeight w:val="249"/>
        </w:trPr>
        <w:tc>
          <w:tcPr>
            <w:tcW w:w="8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8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Imputed interest</w:t>
            </w:r>
          </w:p>
        </w:tc>
        <w:tc>
          <w:tcPr>
            <w:tcW w:w="1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Lease liability balance at September 30, 2022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12,156</w:t>
            </w:r>
          </w:p>
        </w:tc>
        <w:tc>
          <w:tcPr>
            <w:tcW w:w="10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-471170</wp:posOffset>
            </wp:positionV>
            <wp:extent cx="60325" cy="163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74"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Future aggregate minimum annual lease payments as of December 31, 2021 reported in our 2021 Form 10-K under the previous lease accounting standard were as follows:</w:t>
      </w:r>
    </w:p>
    <w:p>
      <w:pPr>
        <w:spacing w:after="0" w:line="5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83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Operating Lease</w:t>
            </w:r>
          </w:p>
        </w:tc>
        <w:tc>
          <w:tcPr>
            <w:tcW w:w="100" w:type="dxa"/>
            <w:vAlign w:val="bottom"/>
          </w:tcPr>
          <w:p>
            <w:pPr>
              <w:spacing w:after="0"/>
              <w:rPr>
                <w:sz w:val="16"/>
                <w:szCs w:val="16"/>
                <w:color w:val="auto"/>
              </w:rPr>
            </w:pPr>
          </w:p>
        </w:tc>
      </w:tr>
      <w:tr>
        <w:trPr>
          <w:trHeight w:val="209"/>
        </w:trPr>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3,120</w:t>
            </w:r>
          </w:p>
        </w:tc>
        <w:tc>
          <w:tcPr>
            <w:tcW w:w="100" w:type="dxa"/>
            <w:vAlign w:val="bottom"/>
            <w:shd w:val="clear" w:color="auto" w:fill="CFF0FC"/>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18"/>
                <w:szCs w:val="18"/>
                <w:color w:val="auto"/>
              </w:rPr>
            </w:pPr>
          </w:p>
        </w:tc>
      </w:tr>
      <w:tr>
        <w:trPr>
          <w:trHeight w:val="216"/>
        </w:trPr>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2,282</w:t>
            </w:r>
          </w:p>
        </w:tc>
        <w:tc>
          <w:tcPr>
            <w:tcW w:w="100" w:type="dxa"/>
            <w:vAlign w:val="bottom"/>
            <w:shd w:val="clear" w:color="auto" w:fill="CFF0FC"/>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18"/>
                <w:szCs w:val="18"/>
                <w:color w:val="auto"/>
              </w:rPr>
            </w:pPr>
          </w:p>
        </w:tc>
      </w:tr>
      <w:tr>
        <w:trPr>
          <w:trHeight w:val="216"/>
        </w:trPr>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2,165</w:t>
            </w:r>
          </w:p>
        </w:tc>
        <w:tc>
          <w:tcPr>
            <w:tcW w:w="100" w:type="dxa"/>
            <w:vAlign w:val="bottom"/>
            <w:shd w:val="clear" w:color="auto" w:fill="CFF0FC"/>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4,805</w:t>
            </w:r>
          </w:p>
        </w:tc>
        <w:tc>
          <w:tcPr>
            <w:tcW w:w="100" w:type="dxa"/>
            <w:vAlign w:val="bottom"/>
          </w:tcPr>
          <w:p>
            <w:pPr>
              <w:spacing w:after="0"/>
              <w:rPr>
                <w:sz w:val="18"/>
                <w:szCs w:val="18"/>
                <w:color w:val="auto"/>
              </w:rPr>
            </w:pPr>
          </w:p>
        </w:tc>
      </w:tr>
      <w:tr>
        <w:trPr>
          <w:trHeight w:val="250"/>
        </w:trPr>
        <w:tc>
          <w:tcPr>
            <w:tcW w:w="8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16,441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right="160" w:firstLine="509"/>
        <w:spacing w:after="0" w:line="294" w:lineRule="auto"/>
        <w:rPr>
          <w:sz w:val="20"/>
          <w:szCs w:val="20"/>
          <w:color w:val="auto"/>
        </w:rPr>
      </w:pPr>
      <w:r>
        <w:rPr>
          <w:rFonts w:ascii="Arial" w:cs="Arial" w:eastAsia="Arial" w:hAnsi="Arial"/>
          <w:sz w:val="16"/>
          <w:szCs w:val="16"/>
          <w:color w:val="auto"/>
        </w:rPr>
        <w:t>Total rent expense, which was allocated according to headcount to cost of revenue, sales and marketing, product development and general and administrative expenses in the condensed consolidated statements of operations, was $0.5 and $0.7 million in the three months ended September 30, 2022 and 2021, respectively, and $2.0 million and $2.1 million in the nine months ended September 30, 2022 and 2021,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Short-term Investments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Short-term investments classified as available-for-sale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4"/>
              </w:rPr>
              <w:t>Amortized Cost</w:t>
            </w: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Gross Unrealized Gains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420"/>
              <w:spacing w:after="0" w:line="147" w:lineRule="exact"/>
              <w:rPr>
                <w:sz w:val="20"/>
                <w:szCs w:val="20"/>
                <w:color w:val="auto"/>
              </w:rPr>
            </w:pPr>
            <w:r>
              <w:rPr>
                <w:rFonts w:ascii="Arial" w:cs="Arial" w:eastAsia="Arial" w:hAnsi="Arial"/>
                <w:sz w:val="14"/>
                <w:szCs w:val="14"/>
                <w:b w:val="1"/>
                <w:bCs w:val="1"/>
                <w:color w:val="auto"/>
                <w:w w:val="93"/>
              </w:rPr>
              <w:t>Gross Unrealized</w:t>
            </w:r>
          </w:p>
        </w:tc>
        <w:tc>
          <w:tcPr>
            <w:tcW w:w="220" w:type="dxa"/>
            <w:vAlign w:val="bottom"/>
          </w:tcPr>
          <w:p>
            <w:pPr>
              <w:spacing w:after="0"/>
              <w:rPr>
                <w:sz w:val="12"/>
                <w:szCs w:val="12"/>
                <w:color w:val="auto"/>
              </w:rPr>
            </w:pPr>
          </w:p>
        </w:tc>
        <w:tc>
          <w:tcPr>
            <w:tcW w:w="108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tcPr>
          <w:p>
            <w:pPr>
              <w:ind w:left="180"/>
              <w:spacing w:after="0"/>
              <w:rPr>
                <w:sz w:val="20"/>
                <w:szCs w:val="20"/>
                <w:color w:val="auto"/>
              </w:rPr>
            </w:pPr>
            <w:r>
              <w:rPr>
                <w:rFonts w:ascii="Arial" w:cs="Arial" w:eastAsia="Arial" w:hAnsi="Arial"/>
                <w:sz w:val="18"/>
                <w:szCs w:val="18"/>
                <w:color w:val="auto"/>
              </w:rPr>
              <w:t>US Treasuries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44,892</w:t>
            </w:r>
          </w:p>
        </w:tc>
        <w:tc>
          <w:tcPr>
            <w:tcW w:w="2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ind w:left="80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(193 )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44,699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76,309</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ind w:left="80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(210 )</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76,099</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Total short-term investments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121,201</w:t>
            </w:r>
          </w:p>
        </w:tc>
        <w:tc>
          <w:tcPr>
            <w:tcW w:w="2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ind w:left="8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(403 )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120,798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7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-590550</wp:posOffset>
            </wp:positionV>
            <wp:extent cx="6858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-590550</wp:posOffset>
            </wp:positionV>
            <wp:extent cx="60325"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-590550</wp:posOffset>
            </wp:positionV>
            <wp:extent cx="60325"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-590550</wp:posOffset>
            </wp:positionV>
            <wp:extent cx="60325"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color w:val="auto"/>
        </w:rPr>
        <w:t>All short-term investments had stated maturity dates of less than one year.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Accounts Receivable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receivable consisted of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December 31,</w:t>
            </w:r>
          </w:p>
        </w:tc>
      </w:tr>
      <w:tr>
        <w:trPr>
          <w:trHeight w:val="185"/>
        </w:trPr>
        <w:tc>
          <w:tcPr>
            <w:tcW w:w="580" w:type="dxa"/>
            <w:vAlign w:val="bottom"/>
          </w:tcPr>
          <w:p>
            <w:pPr>
              <w:spacing w:after="0"/>
              <w:rPr>
                <w:sz w:val="16"/>
                <w:szCs w:val="16"/>
                <w:color w:val="auto"/>
              </w:rPr>
            </w:pPr>
          </w:p>
        </w:tc>
        <w:tc>
          <w:tcPr>
            <w:tcW w:w="69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r>
      <w:tr>
        <w:trPr>
          <w:trHeight w:val="209"/>
        </w:trPr>
        <w:tc>
          <w:tcPr>
            <w:tcW w:w="580" w:type="dxa"/>
            <w:vAlign w:val="bottom"/>
          </w:tcPr>
          <w:p>
            <w:pPr>
              <w:spacing w:after="0"/>
              <w:rPr>
                <w:sz w:val="18"/>
                <w:szCs w:val="18"/>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34,615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44,303</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Unbilled receivable</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859</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6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35,474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44,733</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60" w:type="dxa"/>
            <w:vAlign w:val="bottom"/>
          </w:tcPr>
          <w:p>
            <w:pPr>
              <w:ind w:left="360"/>
              <w:spacing w:after="0"/>
              <w:rPr>
                <w:sz w:val="20"/>
                <w:szCs w:val="20"/>
                <w:color w:val="auto"/>
              </w:rPr>
            </w:pPr>
            <w:r>
              <w:rPr>
                <w:rFonts w:ascii="Arial" w:cs="Arial" w:eastAsia="Arial" w:hAnsi="Arial"/>
                <w:sz w:val="18"/>
                <w:szCs w:val="18"/>
                <w:color w:val="auto"/>
              </w:rPr>
              <w:t>Less: allowance for doubtful accounts</w:t>
            </w:r>
          </w:p>
        </w:tc>
        <w:tc>
          <w:tcPr>
            <w:tcW w:w="180" w:type="dxa"/>
            <w:vAlign w:val="bottom"/>
          </w:tcPr>
          <w:p>
            <w:pPr>
              <w:spacing w:after="0"/>
              <w:rPr>
                <w:sz w:val="18"/>
                <w:szCs w:val="18"/>
                <w:color w:val="auto"/>
              </w:rPr>
            </w:pP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(1,785 )</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(1,397 )</w:t>
            </w:r>
          </w:p>
        </w:tc>
      </w:tr>
      <w:tr>
        <w:trPr>
          <w:trHeight w:val="249"/>
        </w:trPr>
        <w:tc>
          <w:tcPr>
            <w:tcW w:w="580" w:type="dxa"/>
            <w:vAlign w:val="bottom"/>
          </w:tcPr>
          <w:p>
            <w:pPr>
              <w:spacing w:after="0"/>
              <w:rPr>
                <w:sz w:val="21"/>
                <w:szCs w:val="21"/>
                <w:color w:val="auto"/>
              </w:rPr>
            </w:pPr>
          </w:p>
        </w:tc>
        <w:tc>
          <w:tcPr>
            <w:tcW w:w="6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33,689</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43,336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21"/>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8. Property and Equipment</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1"/>
        </w:trPr>
        <w:tc>
          <w:tcPr>
            <w:tcW w:w="7540" w:type="dxa"/>
            <w:vAlign w:val="bottom"/>
            <w:gridSpan w:val="2"/>
          </w:tcPr>
          <w:p>
            <w:pPr>
              <w:ind w:left="520"/>
              <w:spacing w:after="0"/>
              <w:rPr>
                <w:sz w:val="20"/>
                <w:szCs w:val="20"/>
                <w:color w:val="auto"/>
              </w:rPr>
            </w:pPr>
            <w:r>
              <w:rPr>
                <w:rFonts w:ascii="Arial" w:cs="Arial" w:eastAsia="Arial" w:hAnsi="Arial"/>
                <w:sz w:val="18"/>
                <w:szCs w:val="18"/>
                <w:color w:val="auto"/>
              </w:rPr>
              <w:t>Property and equipment consisted of the following:</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December 31,</w:t>
            </w:r>
          </w:p>
        </w:tc>
      </w:tr>
      <w:tr>
        <w:trPr>
          <w:trHeight w:val="185"/>
        </w:trPr>
        <w:tc>
          <w:tcPr>
            <w:tcW w:w="580" w:type="dxa"/>
            <w:vAlign w:val="bottom"/>
          </w:tcPr>
          <w:p>
            <w:pPr>
              <w:spacing w:after="0"/>
              <w:rPr>
                <w:sz w:val="16"/>
                <w:szCs w:val="16"/>
                <w:color w:val="auto"/>
              </w:rPr>
            </w:pPr>
          </w:p>
        </w:tc>
        <w:tc>
          <w:tcPr>
            <w:tcW w:w="69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r>
      <w:tr>
        <w:trPr>
          <w:trHeight w:val="209"/>
        </w:trPr>
        <w:tc>
          <w:tcPr>
            <w:tcW w:w="580" w:type="dxa"/>
            <w:vAlign w:val="bottom"/>
          </w:tcPr>
          <w:p>
            <w:pPr>
              <w:spacing w:after="0"/>
              <w:rPr>
                <w:sz w:val="18"/>
                <w:szCs w:val="18"/>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Computers and software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5,557</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4,744</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2,798</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3,348</w:t>
            </w:r>
          </w:p>
        </w:tc>
        <w:tc>
          <w:tcPr>
            <w:tcW w:w="100" w:type="dxa"/>
            <w:vAlign w:val="bottom"/>
            <w:shd w:val="clear" w:color="auto" w:fill="CFF0FC"/>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10,014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9,672</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(5,433 )</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(4,603 )</w:t>
            </w:r>
          </w:p>
        </w:tc>
      </w:tr>
      <w:tr>
        <w:trPr>
          <w:trHeight w:val="209"/>
        </w:trPr>
        <w:tc>
          <w:tcPr>
            <w:tcW w:w="580" w:type="dxa"/>
            <w:vAlign w:val="bottom"/>
          </w:tcPr>
          <w:p>
            <w:pPr>
              <w:spacing w:after="0"/>
              <w:rPr>
                <w:sz w:val="18"/>
                <w:szCs w:val="18"/>
                <w:color w:val="auto"/>
              </w:rPr>
            </w:pPr>
          </w:p>
        </w:tc>
        <w:tc>
          <w:tcPr>
            <w:tcW w:w="69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4,581</w:t>
            </w:r>
          </w:p>
        </w:tc>
        <w:tc>
          <w:tcPr>
            <w:tcW w:w="2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5,069</w:t>
            </w:r>
          </w:p>
        </w:tc>
        <w:tc>
          <w:tcPr>
            <w:tcW w:w="100" w:type="dxa"/>
            <w:vAlign w:val="bottom"/>
            <w:tcBorders>
              <w:top w:val="single" w:sz="8" w:color="CFF0FC"/>
            </w:tcBorders>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-1705610</wp:posOffset>
            </wp:positionV>
            <wp:extent cx="596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-1687830</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-1705610</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-1687830</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-170815</wp:posOffset>
            </wp:positionV>
            <wp:extent cx="6858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74"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Depreciation and amortization expense associated with property and equipment was $0.5 million for the three months ended September 30, 2022 and 2021, and $1.7 million and $1.2 million for the nine months ended September 30, 2022 and 2021, respectively. During the second quarter of 2022, in relation to our office relocations, the Company recorded an impairment charge of $1.0 million, comprised of $0.9 million relating to the operating lease right-of-use assets, and $0.1 million relating to the leasehold improvements. These charges were recognized within Transaction, integration and restructuring expenses in the Company’s condensed consolidated statements of operations. The Company also recorded accelerated depreciation of computer equipment of $0.2 million. In connection with the office relocations, the Company disposed of $1.0 million of fully-depreciated property and equipment in the second quarter of 2022.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Intangible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carrying amounts of goodwill and intangible assets, as of September 30, 2022 and December 31, 2021, consist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115"/>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ind w:right="115"/>
              <w:spacing w:after="0" w:line="158"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1020" w:type="dxa"/>
            <w:vAlign w:val="bottom"/>
          </w:tcPr>
          <w:p>
            <w:pPr>
              <w:jc w:val="right"/>
              <w:ind w:right="94"/>
              <w:spacing w:after="0" w:line="158" w:lineRule="exact"/>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6"/>
                <w:szCs w:val="16"/>
                <w:color w:val="auto"/>
              </w:rPr>
            </w:pPr>
          </w:p>
        </w:tc>
        <w:tc>
          <w:tcPr>
            <w:tcW w:w="1020" w:type="dxa"/>
            <w:vAlign w:val="bottom"/>
          </w:tcPr>
          <w:p>
            <w:pPr>
              <w:jc w:val="right"/>
              <w:ind w:right="25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Finite-lived intangible assets:</w:t>
            </w:r>
          </w:p>
        </w:tc>
        <w:tc>
          <w:tcPr>
            <w:tcW w:w="23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2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409,430</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(119,720 )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289,710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Developed technologies</w:t>
            </w:r>
          </w:p>
        </w:tc>
        <w:tc>
          <w:tcPr>
            <w:tcW w:w="2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56,878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(23,379 )</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33,499</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tcPr>
          <w:p>
            <w:pPr>
              <w:ind w:left="360"/>
              <w:spacing w:after="0"/>
              <w:rPr>
                <w:sz w:val="20"/>
                <w:szCs w:val="20"/>
                <w:color w:val="auto"/>
              </w:rPr>
            </w:pPr>
            <w:r>
              <w:rPr>
                <w:rFonts w:ascii="Arial" w:cs="Arial" w:eastAsia="Arial" w:hAnsi="Arial"/>
                <w:sz w:val="18"/>
                <w:szCs w:val="18"/>
                <w:color w:val="auto"/>
              </w:rPr>
              <w:t>Tradenames</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35,881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(6,592 )</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29,289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Database</w:t>
            </w:r>
          </w:p>
        </w:tc>
        <w:tc>
          <w:tcPr>
            <w:tcW w:w="2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49,034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(39,829 )</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80" w:type="dxa"/>
            <w:vAlign w:val="bottom"/>
            <w:shd w:val="clear" w:color="auto" w:fill="CFF0FC"/>
          </w:tcPr>
          <w:p>
            <w:pPr>
              <w:spacing w:after="0" w:line="20" w:lineRule="exact"/>
              <w:rPr>
                <w:sz w:val="1"/>
                <w:szCs w:val="1"/>
                <w:color w:val="auto"/>
              </w:rPr>
            </w:pPr>
          </w:p>
        </w:tc>
        <w:tc>
          <w:tcPr>
            <w:tcW w:w="2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551,223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(189,520 )</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361,703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Goodwill</w:t>
            </w:r>
          </w:p>
        </w:tc>
        <w:tc>
          <w:tcPr>
            <w:tcW w:w="2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1,322,959</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1,322,959</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Total goodwill and Intangible assets</w:t>
            </w:r>
          </w:p>
        </w:tc>
        <w:tc>
          <w:tcPr>
            <w:tcW w:w="2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1,874,182</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(189,520 )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1,684,662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300" w:type="dxa"/>
            <w:vAlign w:val="bottom"/>
            <w:vMerge w:val="restart"/>
          </w:tcPr>
          <w:p>
            <w:pPr>
              <w:jc w:val="right"/>
              <w:ind w:right="850"/>
              <w:spacing w:after="0"/>
              <w:rPr>
                <w:sz w:val="20"/>
                <w:szCs w:val="20"/>
                <w:color w:val="auto"/>
              </w:rPr>
            </w:pPr>
            <w:r>
              <w:rPr>
                <w:rFonts w:ascii="Arial" w:cs="Arial" w:eastAsia="Arial" w:hAnsi="Arial"/>
                <w:sz w:val="18"/>
                <w:szCs w:val="18"/>
                <w:color w:val="auto"/>
              </w:rPr>
              <w:t>20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-873760</wp:posOffset>
            </wp:positionV>
            <wp:extent cx="68580" cy="146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-873760</wp:posOffset>
            </wp:positionV>
            <wp:extent cx="60325"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-873760</wp:posOffset>
            </wp:positionV>
            <wp:extent cx="60325" cy="146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-590550</wp:posOffset>
            </wp:positionV>
            <wp:extent cx="6858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-590550</wp:posOffset>
            </wp:positionV>
            <wp:extent cx="60325"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-590550</wp:posOffset>
            </wp:positionV>
            <wp:extent cx="60325"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0" w:name="page21"/>
    <w:bookmarkEnd w:id="20"/>
    <w:tbl>
      <w:tblPr>
        <w:tblLayout w:type="fixed"/>
        <w:tblInd w:w="580" w:type="dxa"/>
        <w:tblCellMar>
          <w:top w:w="0" w:type="dxa"/>
          <w:left w:w="0" w:type="dxa"/>
          <w:bottom w:w="0" w:type="dxa"/>
          <w:right w:w="0" w:type="dxa"/>
        </w:tblCellMar>
      </w:tblPr>
      <w:tr>
        <w:trPr>
          <w:trHeight w:val="185"/>
        </w:trPr>
        <w:tc>
          <w:tcPr>
            <w:tcW w:w="6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6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115"/>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8"/>
        </w:trPr>
        <w:tc>
          <w:tcPr>
            <w:tcW w:w="6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ind w:right="115"/>
              <w:spacing w:after="0" w:line="158"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1020" w:type="dxa"/>
            <w:vAlign w:val="bottom"/>
          </w:tcPr>
          <w:p>
            <w:pPr>
              <w:jc w:val="right"/>
              <w:ind w:right="94"/>
              <w:spacing w:after="0" w:line="158" w:lineRule="exact"/>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3"/>
                <w:szCs w:val="13"/>
                <w:color w:val="auto"/>
              </w:rPr>
            </w:pPr>
          </w:p>
        </w:tc>
      </w:tr>
      <w:tr>
        <w:trPr>
          <w:trHeight w:val="189"/>
        </w:trPr>
        <w:tc>
          <w:tcPr>
            <w:tcW w:w="60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6"/>
                <w:szCs w:val="16"/>
                <w:color w:val="auto"/>
              </w:rPr>
            </w:pPr>
          </w:p>
        </w:tc>
        <w:tc>
          <w:tcPr>
            <w:tcW w:w="92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6"/>
                <w:szCs w:val="16"/>
                <w:color w:val="auto"/>
              </w:rPr>
            </w:pPr>
          </w:p>
        </w:tc>
        <w:tc>
          <w:tcPr>
            <w:tcW w:w="1020" w:type="dxa"/>
            <w:vAlign w:val="bottom"/>
          </w:tcPr>
          <w:p>
            <w:pPr>
              <w:jc w:val="right"/>
              <w:ind w:right="25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r>
      <w:tr>
        <w:trPr>
          <w:trHeight w:val="209"/>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Finite-lived intangible assets:</w:t>
            </w: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370,030</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(92,942 )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277,088</w:t>
            </w:r>
          </w:p>
        </w:tc>
        <w:tc>
          <w:tcPr>
            <w:tcW w:w="100" w:type="dxa"/>
            <w:vAlign w:val="bottom"/>
          </w:tcPr>
          <w:p>
            <w:pPr>
              <w:spacing w:after="0"/>
              <w:rPr>
                <w:sz w:val="18"/>
                <w:szCs w:val="18"/>
                <w:color w:val="auto"/>
              </w:rPr>
            </w:pPr>
          </w:p>
        </w:tc>
      </w:tr>
      <w:tr>
        <w:trPr>
          <w:trHeight w:val="216"/>
        </w:trPr>
        <w:tc>
          <w:tcPr>
            <w:tcW w:w="60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Developed technologies</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51,100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(17,475 )</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33,625</w:t>
            </w:r>
          </w:p>
        </w:tc>
        <w:tc>
          <w:tcPr>
            <w:tcW w:w="100" w:type="dxa"/>
            <w:vAlign w:val="bottom"/>
            <w:shd w:val="clear" w:color="auto" w:fill="CFF0FC"/>
          </w:tcPr>
          <w:p>
            <w:pPr>
              <w:spacing w:after="0"/>
              <w:rPr>
                <w:sz w:val="18"/>
                <w:szCs w:val="18"/>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Tradenames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(5,034 )</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30,466</w:t>
            </w:r>
          </w:p>
        </w:tc>
        <w:tc>
          <w:tcPr>
            <w:tcW w:w="100" w:type="dxa"/>
            <w:vAlign w:val="bottom"/>
          </w:tcPr>
          <w:p>
            <w:pPr>
              <w:spacing w:after="0"/>
              <w:rPr>
                <w:sz w:val="18"/>
                <w:szCs w:val="18"/>
                <w:color w:val="auto"/>
              </w:rPr>
            </w:pPr>
          </w:p>
        </w:tc>
      </w:tr>
      <w:tr>
        <w:trPr>
          <w:trHeight w:val="216"/>
        </w:trPr>
        <w:tc>
          <w:tcPr>
            <w:tcW w:w="60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Database</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43,080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(31,789 )</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11,291</w:t>
            </w:r>
          </w:p>
        </w:tc>
        <w:tc>
          <w:tcPr>
            <w:tcW w:w="100" w:type="dxa"/>
            <w:vAlign w:val="bottom"/>
            <w:shd w:val="clear" w:color="auto" w:fill="CFF0FC"/>
          </w:tcPr>
          <w:p>
            <w:pPr>
              <w:spacing w:after="0"/>
              <w:rPr>
                <w:sz w:val="18"/>
                <w:szCs w:val="18"/>
                <w:color w:val="auto"/>
              </w:rPr>
            </w:pPr>
          </w:p>
        </w:tc>
      </w:tr>
      <w:tr>
        <w:trPr>
          <w:trHeight w:val="20"/>
        </w:trPr>
        <w:tc>
          <w:tcPr>
            <w:tcW w:w="60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08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499,710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(147,240 )</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352,470</w:t>
            </w:r>
          </w:p>
        </w:tc>
        <w:tc>
          <w:tcPr>
            <w:tcW w:w="100" w:type="dxa"/>
            <w:vAlign w:val="bottom"/>
          </w:tcPr>
          <w:p>
            <w:pPr>
              <w:spacing w:after="0"/>
              <w:rPr>
                <w:sz w:val="18"/>
                <w:szCs w:val="18"/>
                <w:color w:val="auto"/>
              </w:rPr>
            </w:pPr>
          </w:p>
        </w:tc>
      </w:tr>
      <w:tr>
        <w:trPr>
          <w:trHeight w:val="216"/>
        </w:trPr>
        <w:tc>
          <w:tcPr>
            <w:tcW w:w="60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1,261,444</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1,261,444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color w:val="auto"/>
              </w:rPr>
              <w:t>Total goodwill and Intangible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1,761,154</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(147,240 )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1,613,914</w:t>
            </w:r>
          </w:p>
        </w:tc>
        <w:tc>
          <w:tcPr>
            <w:tcW w:w="100" w:type="dxa"/>
            <w:vAlign w:val="bottom"/>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-453390</wp:posOffset>
            </wp:positionV>
            <wp:extent cx="68580" cy="145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-453390</wp:posOffset>
            </wp:positionV>
            <wp:extent cx="60325"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-453390</wp:posOffset>
            </wp:positionV>
            <wp:extent cx="60325" cy="145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-170815</wp:posOffset>
            </wp:positionV>
            <wp:extent cx="6858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-170815</wp:posOffset>
            </wp:positionV>
            <wp:extent cx="60325"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74"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Amortization expense associated with finite-lived intangible assets was $12.7 million and $14.7 million for the three months ended September 30, 2022 and 2021, respectively, of which $3.2 million and $5.4 million was included in cost of revenue for the respective periods. Amortization expense associated with finite-lived intangible assets was $42.5 million and $43.5 million for the nine months ended September 30, 2022 and 2021, respectively, of which $14.1 million and $15.9 million was included in cost of revenue for the respective periods.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Estimated total intangible amortization expense during the next five years and thereafter is as follows:</w:t>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181"/>
        </w:trPr>
        <w:tc>
          <w:tcPr>
            <w:tcW w:w="83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2022, excluding the nine months ended September 30, 2022</w:t>
            </w: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12,223</w:t>
            </w:r>
          </w:p>
        </w:tc>
        <w:tc>
          <w:tcPr>
            <w:tcW w:w="100" w:type="dxa"/>
            <w:vAlign w:val="bottom"/>
            <w:shd w:val="clear" w:color="auto" w:fill="CFF0FC"/>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2023</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49,385</w:t>
            </w:r>
          </w:p>
        </w:tc>
        <w:tc>
          <w:tcPr>
            <w:tcW w:w="100" w:type="dxa"/>
            <w:vAlign w:val="bottom"/>
          </w:tcPr>
          <w:p>
            <w:pPr>
              <w:spacing w:after="0"/>
              <w:rPr>
                <w:sz w:val="18"/>
                <w:szCs w:val="18"/>
                <w:color w:val="auto"/>
              </w:rPr>
            </w:pPr>
          </w:p>
        </w:tc>
      </w:tr>
      <w:tr>
        <w:trPr>
          <w:trHeight w:val="216"/>
        </w:trPr>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5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46,538</w:t>
            </w:r>
          </w:p>
        </w:tc>
        <w:tc>
          <w:tcPr>
            <w:tcW w:w="100" w:type="dxa"/>
            <w:vAlign w:val="bottom"/>
            <w:shd w:val="clear" w:color="auto" w:fill="CFF0FC"/>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2025</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42,148</w:t>
            </w:r>
          </w:p>
        </w:tc>
        <w:tc>
          <w:tcPr>
            <w:tcW w:w="100" w:type="dxa"/>
            <w:vAlign w:val="bottom"/>
          </w:tcPr>
          <w:p>
            <w:pPr>
              <w:spacing w:after="0"/>
              <w:rPr>
                <w:sz w:val="18"/>
                <w:szCs w:val="18"/>
                <w:color w:val="auto"/>
              </w:rPr>
            </w:pPr>
          </w:p>
        </w:tc>
      </w:tr>
      <w:tr>
        <w:trPr>
          <w:trHeight w:val="216"/>
        </w:trPr>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5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34,883</w:t>
            </w:r>
          </w:p>
        </w:tc>
        <w:tc>
          <w:tcPr>
            <w:tcW w:w="100" w:type="dxa"/>
            <w:vAlign w:val="bottom"/>
            <w:shd w:val="clear" w:color="auto" w:fill="CFF0FC"/>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176,526</w:t>
            </w:r>
          </w:p>
        </w:tc>
        <w:tc>
          <w:tcPr>
            <w:tcW w:w="100" w:type="dxa"/>
            <w:vAlign w:val="bottom"/>
          </w:tcPr>
          <w:p>
            <w:pPr>
              <w:spacing w:after="0"/>
              <w:rPr>
                <w:sz w:val="18"/>
                <w:szCs w:val="18"/>
                <w:color w:val="auto"/>
              </w:rPr>
            </w:pPr>
          </w:p>
        </w:tc>
      </w:tr>
      <w:tr>
        <w:trPr>
          <w:trHeight w:val="249"/>
        </w:trPr>
        <w:tc>
          <w:tcPr>
            <w:tcW w:w="8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361,703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The carrying amount of goodwill increased by $61.5 million during the nine months ended September 30, 2022 as a result of the of AW acquisition (Note 3).</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determined it had one reporting unit. There was no impairment of goodwill in the nine months ended September 30, 2022 or 2021.</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Debt</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Long-term debt consisted of the following as of September 30, 2022 and December 31, 2021, respectively:</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290"/>
              <w:spacing w:after="0"/>
              <w:rPr>
                <w:sz w:val="20"/>
                <w:szCs w:val="20"/>
                <w:color w:val="auto"/>
              </w:rPr>
            </w:pPr>
            <w:r>
              <w:rPr>
                <w:rFonts w:ascii="Arial" w:cs="Arial" w:eastAsia="Arial" w:hAnsi="Arial"/>
                <w:sz w:val="14"/>
                <w:szCs w:val="14"/>
                <w:b w:val="1"/>
                <w:bCs w:val="1"/>
                <w:color w:val="auto"/>
                <w:w w:val="91"/>
              </w:rPr>
              <w:t>September 30, 2022</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5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gridSpan w:val="2"/>
          </w:tcPr>
          <w:p>
            <w:pPr>
              <w:jc w:val="center"/>
              <w:ind w:right="330"/>
              <w:spacing w:after="0" w:line="133" w:lineRule="exact"/>
              <w:rPr>
                <w:sz w:val="20"/>
                <w:szCs w:val="20"/>
                <w:color w:val="auto"/>
              </w:rPr>
            </w:pPr>
            <w:r>
              <w:rPr>
                <w:rFonts w:ascii="Arial" w:cs="Arial" w:eastAsia="Arial" w:hAnsi="Arial"/>
                <w:sz w:val="14"/>
                <w:szCs w:val="14"/>
                <w:b w:val="1"/>
                <w:bCs w:val="1"/>
                <w:color w:val="auto"/>
                <w:w w:val="94"/>
              </w:rPr>
              <w:t>Unamortized debt</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8"/>
        </w:trPr>
        <w:tc>
          <w:tcPr>
            <w:tcW w:w="5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2"/>
          </w:tcPr>
          <w:p>
            <w:pPr>
              <w:jc w:val="center"/>
              <w:ind w:right="330"/>
              <w:spacing w:after="0" w:line="158" w:lineRule="exact"/>
              <w:rPr>
                <w:sz w:val="20"/>
                <w:szCs w:val="20"/>
                <w:color w:val="auto"/>
              </w:rPr>
            </w:pPr>
            <w:r>
              <w:rPr>
                <w:rFonts w:ascii="Arial" w:cs="Arial" w:eastAsia="Arial" w:hAnsi="Arial"/>
                <w:sz w:val="14"/>
                <w:szCs w:val="14"/>
                <w:b w:val="1"/>
                <w:bCs w:val="1"/>
                <w:color w:val="auto"/>
                <w:w w:val="85"/>
              </w:rPr>
              <w:t>issuance costs /</w:t>
            </w:r>
          </w:p>
        </w:tc>
        <w:tc>
          <w:tcPr>
            <w:tcW w:w="200" w:type="dxa"/>
            <w:vAlign w:val="bottom"/>
          </w:tcPr>
          <w:p>
            <w:pPr>
              <w:spacing w:after="0"/>
              <w:rPr>
                <w:sz w:val="13"/>
                <w:szCs w:val="13"/>
                <w:color w:val="auto"/>
              </w:rPr>
            </w:pPr>
          </w:p>
        </w:tc>
        <w:tc>
          <w:tcPr>
            <w:tcW w:w="1040" w:type="dxa"/>
            <w:vAlign w:val="bottom"/>
          </w:tcPr>
          <w:p>
            <w:pPr>
              <w:jc w:val="center"/>
              <w:ind w:right="97"/>
              <w:spacing w:after="0" w:line="158" w:lineRule="exact"/>
              <w:rPr>
                <w:sz w:val="20"/>
                <w:szCs w:val="20"/>
                <w:color w:val="auto"/>
              </w:rPr>
            </w:pPr>
            <w:r>
              <w:rPr>
                <w:rFonts w:ascii="Arial" w:cs="Arial" w:eastAsia="Arial" w:hAnsi="Arial"/>
                <w:sz w:val="14"/>
                <w:szCs w:val="14"/>
                <w:b w:val="1"/>
                <w:bCs w:val="1"/>
                <w:color w:val="auto"/>
                <w:w w:val="93"/>
              </w:rPr>
              <w:t>Total debt,</w:t>
            </w:r>
          </w:p>
        </w:tc>
        <w:tc>
          <w:tcPr>
            <w:tcW w:w="100" w:type="dxa"/>
            <w:vAlign w:val="bottom"/>
          </w:tcPr>
          <w:p>
            <w:pPr>
              <w:spacing w:after="0"/>
              <w:rPr>
                <w:sz w:val="13"/>
                <w:szCs w:val="13"/>
                <w:color w:val="auto"/>
              </w:rPr>
            </w:pPr>
          </w:p>
        </w:tc>
      </w:tr>
      <w:tr>
        <w:trPr>
          <w:trHeight w:val="189"/>
        </w:trPr>
        <w:tc>
          <w:tcPr>
            <w:tcW w:w="53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89"/>
              </w:rPr>
              <w:t>financing costs</w:t>
            </w:r>
          </w:p>
        </w:tc>
        <w:tc>
          <w:tcPr>
            <w:tcW w:w="200" w:type="dxa"/>
            <w:vAlign w:val="bottom"/>
          </w:tcPr>
          <w:p>
            <w:pPr>
              <w:spacing w:after="0"/>
              <w:rPr>
                <w:sz w:val="16"/>
                <w:szCs w:val="16"/>
                <w:color w:val="auto"/>
              </w:rPr>
            </w:pPr>
          </w:p>
        </w:tc>
        <w:tc>
          <w:tcPr>
            <w:tcW w:w="1040" w:type="dxa"/>
            <w:vAlign w:val="bottom"/>
          </w:tcPr>
          <w:p>
            <w:pPr>
              <w:jc w:val="center"/>
              <w:ind w:right="117"/>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Pr>
          <w:p>
            <w:pPr>
              <w:spacing w:after="0"/>
              <w:rPr>
                <w:sz w:val="16"/>
                <w:szCs w:val="16"/>
                <w:color w:val="auto"/>
              </w:rPr>
            </w:pPr>
          </w:p>
        </w:tc>
      </w:tr>
      <w:tr>
        <w:trPr>
          <w:trHeight w:val="21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2021 Term Loan</w:t>
            </w:r>
          </w:p>
        </w:tc>
        <w:tc>
          <w:tcPr>
            <w:tcW w:w="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268,125</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(2,186</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265,939</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6,875</w:t>
            </w:r>
          </w:p>
        </w:tc>
        <w:tc>
          <w:tcPr>
            <w:tcW w:w="100" w:type="dxa"/>
            <w:vAlign w:val="bottom"/>
          </w:tcPr>
          <w:p>
            <w:pPr>
              <w:spacing w:after="0"/>
              <w:rPr>
                <w:sz w:val="18"/>
                <w:szCs w:val="18"/>
                <w:color w:val="auto"/>
              </w:rPr>
            </w:pPr>
          </w:p>
        </w:tc>
      </w:tr>
      <w:tr>
        <w:trPr>
          <w:trHeight w:val="250"/>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259,064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58"/>
        </w:trPr>
        <w:tc>
          <w:tcPr>
            <w:tcW w:w="5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center"/>
              <w:ind w:right="310"/>
              <w:spacing w:after="0"/>
              <w:rPr>
                <w:sz w:val="20"/>
                <w:szCs w:val="20"/>
                <w:color w:val="auto"/>
              </w:rPr>
            </w:pPr>
            <w:r>
              <w:rPr>
                <w:rFonts w:ascii="Arial" w:cs="Arial" w:eastAsia="Arial" w:hAnsi="Arial"/>
                <w:sz w:val="14"/>
                <w:szCs w:val="14"/>
                <w:b w:val="1"/>
                <w:bCs w:val="1"/>
                <w:color w:val="auto"/>
                <w:w w:val="93"/>
              </w:rPr>
              <w:t>December 31, 2021</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5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gridSpan w:val="2"/>
          </w:tcPr>
          <w:p>
            <w:pPr>
              <w:jc w:val="center"/>
              <w:ind w:right="330"/>
              <w:spacing w:after="0" w:line="133" w:lineRule="exact"/>
              <w:rPr>
                <w:sz w:val="20"/>
                <w:szCs w:val="20"/>
                <w:color w:val="auto"/>
              </w:rPr>
            </w:pPr>
            <w:r>
              <w:rPr>
                <w:rFonts w:ascii="Arial" w:cs="Arial" w:eastAsia="Arial" w:hAnsi="Arial"/>
                <w:sz w:val="14"/>
                <w:szCs w:val="14"/>
                <w:b w:val="1"/>
                <w:bCs w:val="1"/>
                <w:color w:val="auto"/>
                <w:w w:val="94"/>
              </w:rPr>
              <w:t>Unamortized debt</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8"/>
        </w:trPr>
        <w:tc>
          <w:tcPr>
            <w:tcW w:w="5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2"/>
          </w:tcPr>
          <w:p>
            <w:pPr>
              <w:jc w:val="center"/>
              <w:ind w:right="330"/>
              <w:spacing w:after="0" w:line="158" w:lineRule="exact"/>
              <w:rPr>
                <w:sz w:val="20"/>
                <w:szCs w:val="20"/>
                <w:color w:val="auto"/>
              </w:rPr>
            </w:pPr>
            <w:r>
              <w:rPr>
                <w:rFonts w:ascii="Arial" w:cs="Arial" w:eastAsia="Arial" w:hAnsi="Arial"/>
                <w:sz w:val="14"/>
                <w:szCs w:val="14"/>
                <w:b w:val="1"/>
                <w:bCs w:val="1"/>
                <w:color w:val="auto"/>
                <w:w w:val="85"/>
              </w:rPr>
              <w:t>issuance costs /</w:t>
            </w:r>
          </w:p>
        </w:tc>
        <w:tc>
          <w:tcPr>
            <w:tcW w:w="200" w:type="dxa"/>
            <w:vAlign w:val="bottom"/>
          </w:tcPr>
          <w:p>
            <w:pPr>
              <w:spacing w:after="0"/>
              <w:rPr>
                <w:sz w:val="13"/>
                <w:szCs w:val="13"/>
                <w:color w:val="auto"/>
              </w:rPr>
            </w:pPr>
          </w:p>
        </w:tc>
        <w:tc>
          <w:tcPr>
            <w:tcW w:w="1040" w:type="dxa"/>
            <w:vAlign w:val="bottom"/>
          </w:tcPr>
          <w:p>
            <w:pPr>
              <w:jc w:val="center"/>
              <w:ind w:right="137"/>
              <w:spacing w:after="0" w:line="158" w:lineRule="exact"/>
              <w:rPr>
                <w:sz w:val="20"/>
                <w:szCs w:val="20"/>
                <w:color w:val="auto"/>
              </w:rPr>
            </w:pPr>
            <w:r>
              <w:rPr>
                <w:rFonts w:ascii="Arial" w:cs="Arial" w:eastAsia="Arial" w:hAnsi="Arial"/>
                <w:sz w:val="14"/>
                <w:szCs w:val="14"/>
                <w:b w:val="1"/>
                <w:bCs w:val="1"/>
                <w:color w:val="auto"/>
                <w:w w:val="93"/>
              </w:rPr>
              <w:t>Total debt,</w:t>
            </w:r>
          </w:p>
        </w:tc>
        <w:tc>
          <w:tcPr>
            <w:tcW w:w="100" w:type="dxa"/>
            <w:vAlign w:val="bottom"/>
          </w:tcPr>
          <w:p>
            <w:pPr>
              <w:spacing w:after="0"/>
              <w:rPr>
                <w:sz w:val="13"/>
                <w:szCs w:val="13"/>
                <w:color w:val="auto"/>
              </w:rPr>
            </w:pPr>
          </w:p>
        </w:tc>
      </w:tr>
      <w:tr>
        <w:trPr>
          <w:trHeight w:val="189"/>
        </w:trPr>
        <w:tc>
          <w:tcPr>
            <w:tcW w:w="53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89"/>
              </w:rPr>
              <w:t>financing costs</w:t>
            </w:r>
          </w:p>
        </w:tc>
        <w:tc>
          <w:tcPr>
            <w:tcW w:w="200" w:type="dxa"/>
            <w:vAlign w:val="bottom"/>
          </w:tcPr>
          <w:p>
            <w:pPr>
              <w:spacing w:after="0"/>
              <w:rPr>
                <w:sz w:val="16"/>
                <w:szCs w:val="16"/>
                <w:color w:val="auto"/>
              </w:rPr>
            </w:pPr>
          </w:p>
        </w:tc>
        <w:tc>
          <w:tcPr>
            <w:tcW w:w="1040" w:type="dxa"/>
            <w:vAlign w:val="bottom"/>
          </w:tcPr>
          <w:p>
            <w:pPr>
              <w:jc w:val="center"/>
              <w:ind w:right="117"/>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Pr>
          <w:p>
            <w:pPr>
              <w:spacing w:after="0"/>
              <w:rPr>
                <w:sz w:val="16"/>
                <w:szCs w:val="16"/>
                <w:color w:val="auto"/>
              </w:rPr>
            </w:pPr>
          </w:p>
        </w:tc>
      </w:tr>
      <w:tr>
        <w:trPr>
          <w:trHeight w:val="21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2021 Term Loan</w:t>
            </w:r>
          </w:p>
        </w:tc>
        <w:tc>
          <w:tcPr>
            <w:tcW w:w="220" w:type="dxa"/>
            <w:vAlign w:val="bottom"/>
            <w:tcBorders>
              <w:top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273,282</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(2,599</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270,683</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6,875</w:t>
            </w:r>
          </w:p>
        </w:tc>
        <w:tc>
          <w:tcPr>
            <w:tcW w:w="100" w:type="dxa"/>
            <w:vAlign w:val="bottom"/>
          </w:tcPr>
          <w:p>
            <w:pPr>
              <w:spacing w:after="0"/>
              <w:rPr>
                <w:sz w:val="18"/>
                <w:szCs w:val="18"/>
                <w:color w:val="auto"/>
              </w:rPr>
            </w:pPr>
          </w:p>
        </w:tc>
      </w:tr>
      <w:tr>
        <w:trPr>
          <w:trHeight w:val="250"/>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263,808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-1036320</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-1019175</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nine months ended September 30, 2022, the Company repaid $5.2 million in outstanding principal of the 2021 Term Loan.</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2021 Credit Agreement</w:t>
      </w:r>
    </w:p>
    <w:p>
      <w:pPr>
        <w:spacing w:after="0" w:line="117"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In September 2021, DH Holdings entered into a credit agreement (the "2021 Credit Agreement") with Bank of America, N.A., as administrative agent, the other lenders party thereto and the other parties specified therein. The 2021 Credit Agreement provides for (i) a $275.0 million term loan A facility (the "2021 Term Loan") and (ii) a $75.0 million revolving credit facility (the "2021 Revolving</w:t>
      </w:r>
    </w:p>
    <w:p>
      <w:pPr>
        <w:spacing w:after="0" w:line="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9" w:right="419" w:bottom="1440" w:gutter="0" w:footer="0" w:header="0"/>
        </w:sectPr>
      </w:pPr>
    </w:p>
    <w:bookmarkStart w:id="21" w:name="page22"/>
    <w:bookmarkEnd w:id="21"/>
    <w:p>
      <w:pPr>
        <w:ind w:right="20"/>
        <w:spacing w:after="0" w:line="263" w:lineRule="auto"/>
        <w:rPr>
          <w:sz w:val="20"/>
          <w:szCs w:val="20"/>
          <w:color w:val="auto"/>
        </w:rPr>
      </w:pPr>
      <w:r>
        <w:rPr>
          <w:rFonts w:ascii="Arial" w:cs="Arial" w:eastAsia="Arial" w:hAnsi="Arial"/>
          <w:sz w:val="17"/>
          <w:szCs w:val="17"/>
          <w:color w:val="auto"/>
        </w:rPr>
        <w:t>Line of Credit" and, together with the 2021 Term Loan, collectively, the "2021 Credit Facilities"), the proceeds of which were used to repay a portion of the indebtedness outstanding under a previous credit agreement. Both the 2021 Term Loan and the 2021 Revolving Line of Credit mature on September 17, 2026. The 2021 Credit Facilities include customary affirmative, negative and financial covenants. The 2021 Credit Facilities are guaranteed by all of DH Holdings' wholly-owned domestic restricted subsidiaries and AIDH Buyer, a Delaware limited liability company and the direct parent company of DH Holdings, in each case, subject to customary exceptions, and are secured by a lien on substantially all of the assets of DH Holdings and the guarantors, including a pledge of the equity of DH Holdings, in each case, subject to customary exceptions.</w:t>
      </w:r>
    </w:p>
    <w:p>
      <w:pPr>
        <w:spacing w:after="0" w:line="65" w:lineRule="exact"/>
        <w:rPr>
          <w:sz w:val="20"/>
          <w:szCs w:val="20"/>
          <w:color w:val="auto"/>
        </w:rPr>
      </w:pPr>
    </w:p>
    <w:p>
      <w:pPr>
        <w:ind w:right="80" w:firstLine="509"/>
        <w:spacing w:after="0" w:line="263" w:lineRule="auto"/>
        <w:rPr>
          <w:sz w:val="20"/>
          <w:szCs w:val="20"/>
          <w:color w:val="auto"/>
        </w:rPr>
      </w:pPr>
      <w:r>
        <w:rPr>
          <w:rFonts w:ascii="Arial" w:cs="Arial" w:eastAsia="Arial" w:hAnsi="Arial"/>
          <w:sz w:val="17"/>
          <w:szCs w:val="17"/>
          <w:color w:val="auto"/>
        </w:rPr>
        <w:t>The 2021 Term Loan is subject to annual amortization of principal, payable in equal quarterly installments on the last day of each fiscal quarter, commencing on December 31, 2021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the maturity of the 2021 Term Loan. There was $268.1 million outstanding on the 2021 Term Loan at September 30, 2022.</w:t>
      </w:r>
    </w:p>
    <w:p>
      <w:pPr>
        <w:spacing w:after="0" w:line="76" w:lineRule="exact"/>
        <w:rPr>
          <w:sz w:val="20"/>
          <w:szCs w:val="20"/>
          <w:color w:val="auto"/>
        </w:rPr>
      </w:pPr>
    </w:p>
    <w:p>
      <w:pPr>
        <w:ind w:right="200" w:firstLine="509"/>
        <w:spacing w:after="0" w:line="249" w:lineRule="auto"/>
        <w:rPr>
          <w:sz w:val="20"/>
          <w:szCs w:val="20"/>
          <w:color w:val="auto"/>
        </w:rPr>
      </w:pPr>
      <w:r>
        <w:rPr>
          <w:rFonts w:ascii="Arial" w:cs="Arial" w:eastAsia="Arial" w:hAnsi="Arial"/>
          <w:sz w:val="18"/>
          <w:szCs w:val="18"/>
          <w:color w:val="auto"/>
        </w:rPr>
        <w:t>DH Holdings is required to pay the lenders under the 2021 Credit Agreement an unused commitment fee of between 0.25% and 0.30% per annum on the undrawn commitments under the 2021 Revolving Line of Credit, depending on the total net leverage ratio, quarterly in arrears. The expense is included in interest expense in the statements of operations. There was no outstanding balance on the 2021 Revolving Line of Credit at September 30, 2022.</w:t>
      </w:r>
    </w:p>
    <w:p>
      <w:pPr>
        <w:spacing w:after="0" w:line="73"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For both the 2021 Term Loan and 2021 Revolving Line of Credit, DH Holdings may elect from several interest rate options based on the LIBO Rate or the Base Rate plus an applicable margin. The applicable margin is based on the total leverage ratio beginning in the fiscal year ended December 31, 2022. As of September 30, 2022, the effective interest rate was 4.87%.</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 October 31, 2022, the Company amended the 2021 Credit Agreement to replace the LIBO rate with Term SOFR plus an applicable rate.</w:t>
      </w:r>
    </w:p>
    <w:p>
      <w:pPr>
        <w:spacing w:after="0" w:line="115" w:lineRule="exact"/>
        <w:rPr>
          <w:sz w:val="20"/>
          <w:szCs w:val="20"/>
          <w:color w:val="auto"/>
        </w:rPr>
      </w:pPr>
    </w:p>
    <w:p>
      <w:pPr>
        <w:ind w:right="100" w:firstLine="509"/>
        <w:spacing w:after="0" w:line="288" w:lineRule="auto"/>
        <w:rPr>
          <w:sz w:val="20"/>
          <w:szCs w:val="20"/>
          <w:color w:val="auto"/>
        </w:rPr>
      </w:pPr>
      <w:r>
        <w:rPr>
          <w:rFonts w:ascii="Arial" w:cs="Arial" w:eastAsia="Arial" w:hAnsi="Arial"/>
          <w:sz w:val="16"/>
          <w:szCs w:val="16"/>
          <w:color w:val="auto"/>
        </w:rPr>
        <w:t>In connection with the 2021 Credit Agreement, the Company capitalized financing costs totaling $3.5 million, $2.8 million for the 2021 Term Loan facility and $0.8 million for the 2021 Revolving Line of Credit. The financing costs associated with the 2021 Term Loan facility are recorded as a contra-debt balance in Term loan, net of current portion in the condensed consolidated balance sheets and are amortized over the remaining life of the loan using the effective interest method. The financing costs associated with the 2021 Revolving Line of Credit are recorded in Other assets in the condensed consolidated balance sheet are amortized over the life of the arrangement. At September 30, 2022, the unamortized financing costs were $0.6 million.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 and Hedging Activities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104"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 xml:space="preserve">The Company is exposed to risks from changes in interest rates related to the 2021 Term Loan (See Note 10. </w:t>
      </w:r>
      <w:r>
        <w:rPr>
          <w:rFonts w:ascii="Arial" w:cs="Arial" w:eastAsia="Arial" w:hAnsi="Arial"/>
          <w:sz w:val="16"/>
          <w:szCs w:val="16"/>
          <w:i w:val="1"/>
          <w:iCs w:val="1"/>
          <w:color w:val="auto"/>
        </w:rPr>
        <w:t>Long-Term Debt</w:t>
      </w:r>
      <w:r>
        <w:rPr>
          <w:rFonts w:ascii="Arial" w:cs="Arial" w:eastAsia="Arial" w:hAnsi="Arial"/>
          <w:sz w:val="16"/>
          <w:szCs w:val="16"/>
          <w:color w:val="auto"/>
        </w:rPr>
        <w:t>). The Company uses derivative financial instruments, specifically, interest rate swap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Our primary objective in holding derivatives is to reduce the volatility of cash flows associated with changes in interest rates. The Company does not enter into derivative transactions for speculative or trading purposes.</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 Hedges of Interest Rate Risk</w:t>
      </w:r>
    </w:p>
    <w:p>
      <w:pPr>
        <w:spacing w:after="0" w:line="104" w:lineRule="exact"/>
        <w:rPr>
          <w:sz w:val="20"/>
          <w:szCs w:val="20"/>
          <w:color w:val="auto"/>
        </w:rPr>
      </w:pPr>
    </w:p>
    <w:p>
      <w:pPr>
        <w:jc w:val="both"/>
        <w:ind w:firstLine="599"/>
        <w:spacing w:after="0" w:line="244" w:lineRule="auto"/>
        <w:rPr>
          <w:sz w:val="20"/>
          <w:szCs w:val="20"/>
          <w:color w:val="auto"/>
        </w:rPr>
      </w:pPr>
      <w:r>
        <w:rPr>
          <w:rFonts w:ascii="Arial" w:cs="Arial" w:eastAsia="Arial" w:hAnsi="Arial"/>
          <w:sz w:val="18"/>
          <w:szCs w:val="18"/>
          <w:color w:val="auto"/>
        </w:rPr>
        <w:t>In March of 2022, the Company entered into two interest rate swap agreements. As of September 30, 2022, the two outstanding interest rate swap agreements each had a notional value of $67.0 million. The Company has not recorded any amounts due to ineffectiveness for the nine months ended September 30, 2022. The notional value of each interest rate swap agreement is expected to match the corresponding principal amount of a portion of our borrowings under the 2021 Term Loan. The swap agreements became effective as of March 31, 2022 and mature on March 31, 2025. During this period, the two notional amounts will have fixed interest rates of 2.0135% and 2.012%, and the counterparties to each of the agreements will pay the Company interest at a floating rate based on the one-month USD-LIBOR swap rate on the notional amounts. Interest payments will be made monthly on a net settlement basis.</w:t>
      </w:r>
    </w:p>
    <w:p>
      <w:pPr>
        <w:spacing w:after="0" w:line="93"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 xml:space="preserve">On October 31, 2022, in conjunction with the amendment to the 2021 Credit Agreement (See Note 10. </w:t>
      </w:r>
      <w:r>
        <w:rPr>
          <w:rFonts w:ascii="Arial" w:cs="Arial" w:eastAsia="Arial" w:hAnsi="Arial"/>
          <w:sz w:val="18"/>
          <w:szCs w:val="18"/>
          <w:i w:val="1"/>
          <w:iCs w:val="1"/>
          <w:color w:val="auto"/>
        </w:rPr>
        <w:t>Long-Term Debt</w:t>
      </w:r>
      <w:r>
        <w:rPr>
          <w:rFonts w:ascii="Arial" w:cs="Arial" w:eastAsia="Arial" w:hAnsi="Arial"/>
          <w:sz w:val="18"/>
          <w:szCs w:val="18"/>
          <w:color w:val="auto"/>
        </w:rPr>
        <w:t>), the Company amended the two interest rate swap agreements to replace the LIBO rate with Term SOFR.</w:t>
      </w:r>
    </w:p>
    <w:p>
      <w:pPr>
        <w:spacing w:after="0" w:line="63"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derivative interest rate swaps are designated and qualify as cash flow hedges. Consequently, the change in the estimated fair value of the effective portion of the derivative is recognized in accumulated other comprehensive income (“AOCI”) on our Condensed Consolidated Balance Sheets and reclassified to interest expense, net, when the underlying transaction has an impact on earnings. The Company expects to recognize approximately $3.0 million of net pre-tax gains from accumulated other comprehensive income as a reduction of interest expense in the next twelve months associated with its interest rate swap. The Company recognizes derivative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2" w:name="page23"/>
    <w:bookmarkEnd w:id="22"/>
    <w:p>
      <w:pPr>
        <w:jc w:val="both"/>
        <w:spacing w:after="0" w:line="290" w:lineRule="auto"/>
        <w:rPr>
          <w:sz w:val="20"/>
          <w:szCs w:val="20"/>
          <w:color w:val="auto"/>
        </w:rPr>
      </w:pPr>
      <w:r>
        <w:rPr>
          <w:rFonts w:ascii="Arial" w:cs="Arial" w:eastAsia="Arial" w:hAnsi="Arial"/>
          <w:sz w:val="16"/>
          <w:szCs w:val="16"/>
          <w:color w:val="auto"/>
        </w:rPr>
        <w:t>instruments and hedging activities on a gross basis as either assets or liabilities on the Company’s Condensed Consolidated Balance Sheets and measures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56"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The fair values of the interest rate swaps and their respective locations in our condensed consolidated balance sheets at September 30, 2022 were as follows:</w:t>
      </w:r>
    </w:p>
    <w:p>
      <w:pPr>
        <w:spacing w:after="0" w:line="12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2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6"/>
                <w:szCs w:val="16"/>
                <w:color w:val="auto"/>
              </w:rPr>
            </w:pPr>
          </w:p>
        </w:tc>
        <w:tc>
          <w:tcPr>
            <w:tcW w:w="476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3"/>
              </w:rPr>
              <w:t>September 30, 2022</w:t>
            </w:r>
          </w:p>
        </w:tc>
        <w:tc>
          <w:tcPr>
            <w:tcW w:w="100" w:type="dxa"/>
            <w:vAlign w:val="bottom"/>
          </w:tcPr>
          <w:p>
            <w:pPr>
              <w:spacing w:after="0"/>
              <w:rPr>
                <w:sz w:val="16"/>
                <w:szCs w:val="16"/>
                <w:color w:val="auto"/>
              </w:rPr>
            </w:pPr>
          </w:p>
        </w:tc>
      </w:tr>
      <w:tr>
        <w:trPr>
          <w:trHeight w:val="209"/>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Short-term derivative asset</w:t>
            </w:r>
          </w:p>
        </w:tc>
        <w:tc>
          <w:tcPr>
            <w:tcW w:w="180" w:type="dxa"/>
            <w:vAlign w:val="bottom"/>
            <w:shd w:val="clear" w:color="auto" w:fill="CFF0FC"/>
          </w:tcPr>
          <w:p>
            <w:pPr>
              <w:spacing w:after="0"/>
              <w:rPr>
                <w:sz w:val="18"/>
                <w:szCs w:val="18"/>
                <w:color w:val="auto"/>
              </w:rPr>
            </w:pPr>
          </w:p>
        </w:tc>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3,027</w:t>
            </w:r>
          </w:p>
        </w:tc>
        <w:tc>
          <w:tcPr>
            <w:tcW w:w="100" w:type="dxa"/>
            <w:vAlign w:val="bottom"/>
            <w:shd w:val="clear" w:color="auto" w:fill="CFF0FC"/>
          </w:tcPr>
          <w:p>
            <w:pPr>
              <w:spacing w:after="0"/>
              <w:rPr>
                <w:sz w:val="18"/>
                <w:szCs w:val="18"/>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Long-term derivative asset</w:t>
            </w:r>
          </w:p>
        </w:tc>
        <w:tc>
          <w:tcPr>
            <w:tcW w:w="18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3,646</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108" w:lineRule="exact"/>
        <w:rPr>
          <w:sz w:val="20"/>
          <w:szCs w:val="20"/>
          <w:color w:val="auto"/>
        </w:rPr>
      </w:pPr>
    </w:p>
    <w:p>
      <w:pPr>
        <w:jc w:val="both"/>
        <w:ind w:right="320" w:firstLine="509"/>
        <w:spacing w:after="0" w:line="248"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 as follows:</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Observable inputs that reflect unadjusted quoted prices in active markets for identical assets or liabilities.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 Other inputs that are directly or indirectly observable in the marketplace.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3 - Unobservable inputs that are supported by little or no market activity, including the Company’s own assumptions in determining fair value.</w:t>
      </w:r>
    </w:p>
    <w:p>
      <w:pPr>
        <w:spacing w:after="0" w:line="140"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The Company’s financial assets and liabilities subject to the three-level fair value hierarchy consist principally of cash and equivalents, short-term investments, accounts receivable, accounts payable, long-term and short-term debt and contingent consideration payable. The estimated fair value of cash included in cash and cash equivalents, accounts receivable and accounts payable approximates their carrying value due to due to their short maturities (less than 12 months).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Debt</w:t>
      </w:r>
    </w:p>
    <w:p>
      <w:pPr>
        <w:spacing w:after="0" w:line="104" w:lineRule="exact"/>
        <w:rPr>
          <w:sz w:val="20"/>
          <w:szCs w:val="20"/>
          <w:color w:val="auto"/>
        </w:rPr>
      </w:pPr>
    </w:p>
    <w:p>
      <w:pPr>
        <w:jc w:val="both"/>
        <w:ind w:right="60" w:firstLine="509"/>
        <w:spacing w:after="0" w:line="303" w:lineRule="auto"/>
        <w:rPr>
          <w:sz w:val="20"/>
          <w:szCs w:val="20"/>
          <w:color w:val="auto"/>
        </w:rPr>
      </w:pPr>
      <w:r>
        <w:rPr>
          <w:rFonts w:ascii="Arial" w:cs="Arial" w:eastAsia="Arial" w:hAnsi="Arial"/>
          <w:sz w:val="16"/>
          <w:szCs w:val="16"/>
          <w:color w:val="auto"/>
        </w:rPr>
        <w:t>The Company’s short- and long-term debt are recorded at their carrying values in the condensed consolidated balance sheets, which may differ from their respective fair values. The carrying values and estimated fair values of the Company’s short- and long-term debt approximate their carrying values as of September 30, 2022 and December 31, 2021, based on interest rates currently available to the Company for similar borrowings.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Money market funds (included in 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Money market funds are recorded at fair value using quoted market prices in active markets and are classified as Level 1 in the fair value hierarchy.</w:t>
      </w:r>
    </w:p>
    <w:p>
      <w:pPr>
        <w:spacing w:after="0" w:line="2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04" w:lineRule="exact"/>
        <w:rPr>
          <w:sz w:val="20"/>
          <w:szCs w:val="20"/>
          <w:color w:val="auto"/>
        </w:rPr>
      </w:pPr>
    </w:p>
    <w:p>
      <w:pPr>
        <w:jc w:val="both"/>
        <w:ind w:right="40" w:firstLine="509"/>
        <w:spacing w:after="0" w:line="249" w:lineRule="auto"/>
        <w:rPr>
          <w:sz w:val="20"/>
          <w:szCs w:val="20"/>
          <w:color w:val="auto"/>
        </w:rPr>
      </w:pPr>
      <w:r>
        <w:rPr>
          <w:rFonts w:ascii="Arial" w:cs="Arial" w:eastAsia="Arial" w:hAnsi="Arial"/>
          <w:sz w:val="18"/>
          <w:szCs w:val="18"/>
          <w:color w:val="auto"/>
        </w:rPr>
        <w:t>The Company utilizes a third-party pricing service for the valuation of its short-term investments. U.S. treasuries consist of short-term treasury bills that are recorded at fair value using market information obtained from dealers and brokers and classified in Level 2 of the fair value hierarchy. Commercial paper is carried at fair value, which is determined using a market yield curve-based approach based on observable inputs. Commercial paper is classified as Level 2 in the fair value hierarchy.</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jc w:val="both"/>
        <w:ind w:right="20" w:firstLine="509"/>
        <w:spacing w:after="0" w:line="294" w:lineRule="auto"/>
        <w:rPr>
          <w:sz w:val="20"/>
          <w:szCs w:val="20"/>
          <w:color w:val="auto"/>
        </w:rPr>
      </w:pPr>
      <w:r>
        <w:rPr>
          <w:rFonts w:ascii="Arial" w:cs="Arial" w:eastAsia="Arial" w:hAnsi="Arial"/>
          <w:sz w:val="16"/>
          <w:szCs w:val="16"/>
          <w:color w:val="auto"/>
        </w:rPr>
        <w:t>Currently, the Company uses interest rate swaps to manage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w:t>
      </w:r>
    </w:p>
    <w:p>
      <w:pPr>
        <w:spacing w:after="0" w:line="53" w:lineRule="exact"/>
        <w:rPr>
          <w:sz w:val="20"/>
          <w:szCs w:val="20"/>
          <w:color w:val="auto"/>
        </w:rPr>
      </w:pPr>
    </w:p>
    <w:p>
      <w:pPr>
        <w:ind w:right="940" w:firstLine="509"/>
        <w:spacing w:after="0" w:line="261" w:lineRule="auto"/>
        <w:rPr>
          <w:sz w:val="20"/>
          <w:szCs w:val="20"/>
          <w:color w:val="auto"/>
        </w:rPr>
      </w:pPr>
      <w:r>
        <w:rPr>
          <w:rFonts w:ascii="Arial" w:cs="Arial" w:eastAsia="Arial" w:hAnsi="Arial"/>
          <w:sz w:val="18"/>
          <w:szCs w:val="18"/>
          <w:color w:val="auto"/>
        </w:rPr>
        <w:t>To comply with the provisions of ASC 820, the Company incorporates credit valuation adjustments to appropriately reflect both its own nonperformance risk and the respective counterparty’s nonperformance risk in the fair value measurements.</w:t>
      </w:r>
    </w:p>
    <w:p>
      <w:pPr>
        <w:spacing w:after="0" w:line="63"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determined that the</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3" w:name="page24"/>
    <w:bookmarkEnd w:id="23"/>
    <w:p>
      <w:pPr>
        <w:spacing w:after="0" w:line="256" w:lineRule="auto"/>
        <w:rPr>
          <w:sz w:val="20"/>
          <w:szCs w:val="20"/>
          <w:color w:val="auto"/>
        </w:rPr>
      </w:pPr>
      <w:r>
        <w:rPr>
          <w:rFonts w:ascii="Arial" w:cs="Arial" w:eastAsia="Arial" w:hAnsi="Arial"/>
          <w:sz w:val="18"/>
          <w:szCs w:val="18"/>
          <w:color w:val="auto"/>
        </w:rPr>
        <w:t>significance of the impact of the credit valuation adjustments made to its derivative contracts, which determination was based on the fair value of each individual contract, was not significant to the overall valuation. As a result, all of its derivatives held as of September 30, 2022 were classified as Level 2 in the fair value hierarchy.</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ind w:right="100" w:firstLine="509"/>
        <w:spacing w:after="0" w:line="290" w:lineRule="auto"/>
        <w:rPr>
          <w:sz w:val="20"/>
          <w:szCs w:val="20"/>
          <w:color w:val="auto"/>
        </w:rPr>
      </w:pPr>
      <w:r>
        <w:rPr>
          <w:rFonts w:ascii="Arial" w:cs="Arial" w:eastAsia="Arial" w:hAnsi="Arial"/>
          <w:sz w:val="16"/>
          <w:szCs w:val="16"/>
          <w:color w:val="auto"/>
        </w:rPr>
        <w:t>The deferred consideration that resulted from the acquisition of Analytical Wizards in the first quarter of 2022, which is subject to the meeting of certain expense control metrics during the two-year period following the AW acquisition, is measured at fair value on a recurring basis. The fair value was estimated based on the present value of the amount expected to be paid at the end of the measurement period. At September 30, 2022, the fair value of the contingent consideration was estimated to be $1.0 million and is included in other long-term liabilities on the condensed consolidated balance sheet.</w:t>
      </w:r>
    </w:p>
    <w:p>
      <w:pPr>
        <w:spacing w:after="0" w:line="42"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The contingent consideration that resulted from the earn-outs associated with the acquisition of Monocl Holding Company in October of 2020, which was included in accrued expense and other current liabilities in the condensed consolidated balance sheet as of December 31, 2021 was paid in the first quarter of 2022.</w:t>
      </w:r>
    </w:p>
    <w:p>
      <w:pPr>
        <w:spacing w:after="0" w:line="87"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Earnout liabilities are classified within Level 3 in the fair value hierarchy because the methodology used to develop the estimated fair value includes significant unobservable inputs reflecting management’s own assumptions. The table below presents a reconciliation of earnout liabilities measured at fair value on a recurring basis using significant unobservable inputs (Level 3):</w:t>
      </w:r>
    </w:p>
    <w:p>
      <w:pPr>
        <w:spacing w:after="0" w:line="8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September 30,</w:t>
            </w:r>
          </w:p>
        </w:tc>
        <w:tc>
          <w:tcPr>
            <w:tcW w:w="18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December 31,</w:t>
            </w:r>
          </w:p>
        </w:tc>
      </w:tr>
      <w:tr>
        <w:trPr>
          <w:trHeight w:val="185"/>
        </w:trPr>
        <w:tc>
          <w:tcPr>
            <w:tcW w:w="69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1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5,236</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change in fair value and other adjustments</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3,764</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(7,500 )</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(1,500 )</w:t>
            </w:r>
          </w:p>
        </w:tc>
      </w:tr>
      <w:tr>
        <w:trPr>
          <w:trHeight w:val="250"/>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04"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 xml:space="preserve">Certain assets and liabilities, including property, plant and equipment, lease right-of-use assets, goodwill and other intangible assets, are measured at fair value on a non-recurring basis. These assets are remeasured when the derived fair value is below the carrying value on the Company’s condensed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Arial" w:cs="Arial" w:eastAsia="Arial" w:hAnsi="Arial"/>
          <w:sz w:val="17"/>
          <w:szCs w:val="17"/>
          <w:i w:val="1"/>
          <w:iCs w:val="1"/>
          <w:color w:val="auto"/>
        </w:rPr>
        <w:t>Summary of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Policies </w:t>
      </w:r>
      <w:r>
        <w:rPr>
          <w:rFonts w:ascii="Arial" w:cs="Arial" w:eastAsia="Arial" w:hAnsi="Arial"/>
          <w:sz w:val="17"/>
          <w:szCs w:val="17"/>
          <w:color w:val="auto"/>
        </w:rPr>
        <w:t>of the notes to the consolidated financial statements in the Company’s 2021 Form 10-K.</w:t>
      </w:r>
    </w:p>
    <w:p>
      <w:pPr>
        <w:spacing w:after="0" w:line="76" w:lineRule="exact"/>
        <w:rPr>
          <w:sz w:val="20"/>
          <w:szCs w:val="20"/>
          <w:color w:val="auto"/>
        </w:rPr>
      </w:pPr>
    </w:p>
    <w:p>
      <w:pPr>
        <w:jc w:val="both"/>
        <w:ind w:right="140" w:firstLine="509"/>
        <w:spacing w:after="0" w:line="294" w:lineRule="auto"/>
        <w:rPr>
          <w:sz w:val="20"/>
          <w:szCs w:val="20"/>
          <w:color w:val="auto"/>
        </w:rPr>
      </w:pPr>
      <w:r>
        <w:rPr>
          <w:rFonts w:ascii="Arial" w:cs="Arial" w:eastAsia="Arial" w:hAnsi="Arial"/>
          <w:sz w:val="16"/>
          <w:szCs w:val="16"/>
          <w:color w:val="auto"/>
        </w:rPr>
        <w:t>During the second quarter of 2022, in relation to our office relocations, the Company recorded an impairment charge of $1.0 million, comprised of $0.9 million relating to the operating lease right-of-use assets, and $0.1 million relating to the leasehold improvements. The fair value determination was based on valuation techniques using the best information available and included comparable market information and discounted cash flow projections.</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September 30, 2022, assets and liabilities measured at fair value on a recurring basis were as follows:</w:t>
      </w:r>
    </w:p>
    <w:p>
      <w:pPr>
        <w:spacing w:after="0" w:line="10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0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352"/>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2</w:t>
            </w:r>
          </w:p>
        </w:tc>
        <w:tc>
          <w:tcPr>
            <w:tcW w:w="1040" w:type="dxa"/>
            <w:vAlign w:val="bottom"/>
          </w:tcPr>
          <w:p>
            <w:pPr>
              <w:jc w:val="right"/>
              <w:ind w:right="332"/>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r>
      <w:tr>
        <w:trPr>
          <w:trHeight w:val="20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102,741</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102,741</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FF0FC"/>
          </w:tcPr>
          <w:p>
            <w:pPr>
              <w:ind w:left="84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w w:val="95"/>
              </w:rPr>
              <w:t>Commercial paper (maturities less than 90 days)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13,539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13,539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Short-term investments: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U.S. Treasuries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44,699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44,699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0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76,099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76,099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Interest rate swap contracts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Interest rate swap contracts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long-term liabilities: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060" w:type="dxa"/>
            <w:vAlign w:val="bottom"/>
          </w:tcPr>
          <w:p>
            <w:pPr>
              <w:ind w:left="360"/>
              <w:spacing w:after="0"/>
              <w:rPr>
                <w:sz w:val="20"/>
                <w:szCs w:val="20"/>
                <w:color w:val="auto"/>
              </w:rPr>
            </w:pPr>
            <w:r>
              <w:rPr>
                <w:rFonts w:ascii="Arial" w:cs="Arial" w:eastAsia="Arial" w:hAnsi="Arial"/>
                <w:sz w:val="18"/>
                <w:szCs w:val="18"/>
                <w:color w:val="auto"/>
              </w:rPr>
              <w:t>Contingent consideration</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r>
    </w:tbl>
    <w:p>
      <w:pPr>
        <w:spacing w:after="0" w:line="79" w:lineRule="exact"/>
        <w:rPr>
          <w:sz w:val="20"/>
          <w:szCs w:val="20"/>
          <w:color w:val="auto"/>
        </w:rPr>
      </w:pPr>
    </w:p>
    <w:p>
      <w:pPr>
        <w:ind w:right="220" w:firstLine="509"/>
        <w:spacing w:after="0" w:line="324" w:lineRule="auto"/>
        <w:rPr>
          <w:sz w:val="20"/>
          <w:szCs w:val="20"/>
          <w:color w:val="auto"/>
        </w:rPr>
      </w:pPr>
      <w:r>
        <w:rPr>
          <w:rFonts w:ascii="Arial" w:cs="Arial" w:eastAsia="Arial" w:hAnsi="Arial"/>
          <w:sz w:val="16"/>
          <w:szCs w:val="16"/>
          <w:color w:val="auto"/>
        </w:rPr>
        <w:t>At December 31, 2021, except for the contingent consideration noted above, the estimated fair values of all of the Company’s financial assets and liabilities subject to the three-level fair value hierarchy approximated their carrying values due to their short-term maturities (less than 12 months).</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13. Accrued Expenses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9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195"/>
              <w:spacing w:after="0"/>
              <w:rPr>
                <w:sz w:val="20"/>
                <w:szCs w:val="20"/>
                <w:color w:val="auto"/>
              </w:rPr>
            </w:pPr>
            <w:r>
              <w:rPr>
                <w:rFonts w:ascii="Arial" w:cs="Arial" w:eastAsia="Arial" w:hAnsi="Arial"/>
                <w:sz w:val="14"/>
                <w:szCs w:val="14"/>
                <w:b w:val="1"/>
                <w:bCs w:val="1"/>
                <w:color w:val="auto"/>
                <w:w w:val="98"/>
              </w:rPr>
              <w:t>September 30,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4"/>
                <w:szCs w:val="14"/>
                <w:color w:val="auto"/>
              </w:rPr>
            </w:pPr>
          </w:p>
        </w:tc>
      </w:tr>
      <w:tr>
        <w:trPr>
          <w:trHeight w:val="185"/>
        </w:trPr>
        <w:tc>
          <w:tcPr>
            <w:tcW w:w="69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Payroll and payroll-related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10,311</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Contingent consideration, current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Sales, franchise and other taxes</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5,058</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w:t>
            </w:r>
          </w:p>
        </w:tc>
        <w:tc>
          <w:tcPr>
            <w:tcW w:w="100" w:type="dxa"/>
            <w:vAlign w:val="bottom"/>
          </w:tcPr>
          <w:p>
            <w:pPr>
              <w:spacing w:after="0"/>
              <w:rPr>
                <w:sz w:val="18"/>
                <w:szCs w:val="18"/>
                <w:color w:val="auto"/>
              </w:rPr>
            </w:pPr>
          </w:p>
        </w:tc>
      </w:tr>
      <w:tr>
        <w:trPr>
          <w:trHeight w:val="249"/>
        </w:trPr>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18,885</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22,658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-25400</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603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Noncontrolling Interest</w:t>
      </w:r>
    </w:p>
    <w:p>
      <w:pPr>
        <w:spacing w:after="0" w:line="121"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its consolidated subsidiaries on its condensed consolidated financial statements based on the Definitive OpCo Units held by Continuing LLC Members. Changes in Definitive Healthcare Corp.'s ownership interest in its consolidated subsidiaries are accounted for as equity transactions. As such, future redemptions or direct exchanges of Definitive OpCo Units by Continuing LLC Members will result in a change in ownership and reduce or increase the amount recorded as noncontrolling interests and increase or decrease additional paid-in capital in the Company’s Condensed Consolidated Balance Sheets.</w:t>
      </w:r>
    </w:p>
    <w:p>
      <w:pPr>
        <w:spacing w:after="0" w:line="98"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During the nine months ended September 30, 2022, 7,615,824 Definitive OpCo Units held by Continuing LLC Members were exchanged for shares of Class A Common Stock of Definitive Healthcare Corp. pursuant to the terms of the Amended LLC Agreement. In addition, 316,046 restricted stock units vested, resulting in the issuance of 316,046 shares of Class A Common Stock of Definitive Healthcare Corp., for which Definitive OpCo Units were issued on a one-for-one basis pursuant to the Definitive OpCo second amended and restated limited liability company agreement entered into in connection with the IPO.</w:t>
      </w:r>
    </w:p>
    <w:p>
      <w:pPr>
        <w:spacing w:after="0" w:line="78" w:lineRule="exact"/>
        <w:rPr>
          <w:sz w:val="20"/>
          <w:szCs w:val="20"/>
          <w:color w:val="auto"/>
        </w:rPr>
      </w:pPr>
    </w:p>
    <w:p>
      <w:pPr>
        <w:ind w:right="200" w:firstLine="509"/>
        <w:spacing w:after="0" w:line="274" w:lineRule="auto"/>
        <w:rPr>
          <w:sz w:val="20"/>
          <w:szCs w:val="20"/>
          <w:color w:val="auto"/>
        </w:rPr>
      </w:pPr>
      <w:r>
        <w:rPr>
          <w:rFonts w:ascii="Arial" w:cs="Arial" w:eastAsia="Arial" w:hAnsi="Arial"/>
          <w:sz w:val="18"/>
          <w:szCs w:val="18"/>
          <w:color w:val="auto"/>
        </w:rPr>
        <w:t>As of September 30, 2022, Definitive Healthcare Corp. held 104,961,965 units in the Definitive OpCo resulting in an ownership interest of 68.3% and a noncontrolling interest of 31.7%</w:t>
      </w:r>
      <w:r>
        <w:rPr>
          <w:rFonts w:ascii="Arial" w:cs="Arial" w:eastAsia="Arial" w:hAnsi="Arial"/>
          <w:sz w:val="21"/>
          <w:szCs w:val="21"/>
          <w:color w:val="auto"/>
        </w:rPr>
        <w:t>.</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Income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 the changes in accumulated balances of other comprehensive income for the three and nine months ended September</w:t>
      </w:r>
    </w:p>
    <w:p>
      <w:pPr>
        <w:sectPr>
          <w:pgSz w:w="11900" w:h="16838" w:orient="portrait"/>
          <w:cols w:equalWidth="0" w:num="1">
            <w:col w:w="11240"/>
          </w:cols>
          <w:pgMar w:left="320" w:top="648" w:right="339" w:bottom="1440" w:gutter="0" w:footer="0" w:header="0"/>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(in thousands)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Beginning balance</w:t>
      </w:r>
    </w:p>
    <w:p>
      <w:pPr>
        <w:spacing w:after="0" w:line="19" w:lineRule="exact"/>
        <w:rPr>
          <w:sz w:val="20"/>
          <w:szCs w:val="20"/>
          <w:color w:val="auto"/>
        </w:rPr>
      </w:pPr>
    </w:p>
    <w:p>
      <w:pPr>
        <w:ind w:left="20"/>
        <w:spacing w:after="0" w:line="244" w:lineRule="auto"/>
        <w:rPr>
          <w:sz w:val="20"/>
          <w:szCs w:val="20"/>
          <w:color w:val="auto"/>
        </w:rPr>
      </w:pPr>
      <w:r>
        <w:rPr>
          <w:rFonts w:ascii="Arial" w:cs="Arial" w:eastAsia="Arial" w:hAnsi="Arial"/>
          <w:sz w:val="16"/>
          <w:szCs w:val="16"/>
          <w:color w:val="auto"/>
        </w:rPr>
        <w:t>Other comprehensive income (loss) before reclassifications</w:t>
      </w:r>
    </w:p>
    <w:p>
      <w:pPr>
        <w:spacing w:after="0" w:line="1" w:lineRule="exact"/>
        <w:rPr>
          <w:sz w:val="20"/>
          <w:szCs w:val="20"/>
          <w:color w:val="auto"/>
        </w:rPr>
      </w:pPr>
    </w:p>
    <w:p>
      <w:pPr>
        <w:ind w:left="20" w:right="600"/>
        <w:spacing w:after="0" w:line="310" w:lineRule="auto"/>
        <w:rPr>
          <w:sz w:val="20"/>
          <w:szCs w:val="20"/>
          <w:color w:val="auto"/>
        </w:rPr>
      </w:pPr>
      <w:r>
        <w:rPr>
          <w:rFonts w:ascii="Arial" w:cs="Arial" w:eastAsia="Arial" w:hAnsi="Arial"/>
          <w:sz w:val="16"/>
          <w:szCs w:val="16"/>
          <w:color w:val="auto"/>
        </w:rPr>
        <w:t>Amounts reclassified from AOCI Ending balance</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4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8"/>
          </w:tcPr>
          <w:p>
            <w:pPr>
              <w:jc w:val="right"/>
              <w:spacing w:after="0"/>
              <w:rPr>
                <w:sz w:val="20"/>
                <w:szCs w:val="20"/>
                <w:color w:val="auto"/>
              </w:rPr>
            </w:pPr>
            <w:r>
              <w:rPr>
                <w:rFonts w:ascii="Arial" w:cs="Arial" w:eastAsia="Arial" w:hAnsi="Arial"/>
                <w:sz w:val="16"/>
                <w:szCs w:val="16"/>
                <w:b w:val="1"/>
                <w:bCs w:val="1"/>
                <w:color w:val="auto"/>
              </w:rPr>
              <w:t>Three Months Ended September 30, 2022</w:t>
            </w: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Nine Months Ended September 30, 2022</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46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w w:val="92"/>
              </w:rPr>
              <w:t>Unrealized Gains</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199"/>
              <w:spacing w:after="0" w:line="158" w:lineRule="exact"/>
              <w:rPr>
                <w:sz w:val="20"/>
                <w:szCs w:val="20"/>
                <w:color w:val="auto"/>
              </w:rPr>
            </w:pPr>
            <w:r>
              <w:rPr>
                <w:rFonts w:ascii="Arial" w:cs="Arial" w:eastAsia="Arial" w:hAnsi="Arial"/>
                <w:sz w:val="16"/>
                <w:szCs w:val="16"/>
                <w:b w:val="1"/>
                <w:bCs w:val="1"/>
                <w:color w:val="auto"/>
                <w:w w:val="88"/>
              </w:rPr>
              <w:t>Foreign</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restart"/>
          </w:tcPr>
          <w:p>
            <w:pPr>
              <w:jc w:val="center"/>
              <w:ind w:right="159"/>
              <w:spacing w:after="0"/>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3"/>
                <w:szCs w:val="13"/>
                <w:color w:val="auto"/>
              </w:rPr>
            </w:pPr>
          </w:p>
        </w:tc>
        <w:tc>
          <w:tcPr>
            <w:tcW w:w="960" w:type="dxa"/>
            <w:vAlign w:val="bottom"/>
            <w:gridSpan w:val="2"/>
          </w:tcPr>
          <w:p>
            <w:pPr>
              <w:jc w:val="center"/>
              <w:ind w:right="179"/>
              <w:spacing w:after="0" w:line="158" w:lineRule="exact"/>
              <w:rPr>
                <w:sz w:val="20"/>
                <w:szCs w:val="20"/>
                <w:color w:val="auto"/>
              </w:rPr>
            </w:pPr>
            <w:r>
              <w:rPr>
                <w:rFonts w:ascii="Arial" w:cs="Arial" w:eastAsia="Arial" w:hAnsi="Arial"/>
                <w:sz w:val="16"/>
                <w:szCs w:val="16"/>
                <w:b w:val="1"/>
                <w:bCs w:val="1"/>
                <w:color w:val="auto"/>
                <w:w w:val="91"/>
              </w:rPr>
              <w:t>Foreign</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6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99"/>
              <w:spacing w:after="0" w:line="162" w:lineRule="exact"/>
              <w:rPr>
                <w:sz w:val="20"/>
                <w:szCs w:val="20"/>
                <w:color w:val="auto"/>
              </w:rPr>
            </w:pPr>
            <w:r>
              <w:rPr>
                <w:rFonts w:ascii="Arial" w:cs="Arial" w:eastAsia="Arial" w:hAnsi="Arial"/>
                <w:sz w:val="16"/>
                <w:szCs w:val="16"/>
                <w:b w:val="1"/>
                <w:bCs w:val="1"/>
                <w:color w:val="auto"/>
                <w:w w:val="96"/>
              </w:rPr>
              <w:t>Currency</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0"/>
              </w:rPr>
              <w:t>Gains 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79"/>
              <w:spacing w:after="0" w:line="162" w:lineRule="exact"/>
              <w:rPr>
                <w:sz w:val="20"/>
                <w:szCs w:val="20"/>
                <w:color w:val="auto"/>
              </w:rPr>
            </w:pPr>
            <w:r>
              <w:rPr>
                <w:rFonts w:ascii="Arial" w:cs="Arial" w:eastAsia="Arial" w:hAnsi="Arial"/>
                <w:sz w:val="16"/>
                <w:szCs w:val="16"/>
                <w:b w:val="1"/>
                <w:bCs w:val="1"/>
                <w:color w:val="auto"/>
                <w:w w:val="93"/>
              </w:rPr>
              <w:t>Currency</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132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0"/>
              </w:rPr>
              <w:t>on Cash Flow</w:t>
            </w:r>
          </w:p>
        </w:tc>
        <w:tc>
          <w:tcPr>
            <w:tcW w:w="140" w:type="dxa"/>
            <w:vAlign w:val="bottom"/>
          </w:tcPr>
          <w:p>
            <w:pPr>
              <w:spacing w:after="0"/>
              <w:rPr>
                <w:sz w:val="14"/>
                <w:szCs w:val="14"/>
                <w:color w:val="auto"/>
              </w:rPr>
            </w:pPr>
          </w:p>
        </w:tc>
        <w:tc>
          <w:tcPr>
            <w:tcW w:w="8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84"/>
              </w:rPr>
              <w:t>Loss on</w:t>
            </w:r>
          </w:p>
        </w:tc>
        <w:tc>
          <w:tcPr>
            <w:tcW w:w="120" w:type="dxa"/>
            <w:vAlign w:val="bottom"/>
          </w:tcPr>
          <w:p>
            <w:pPr>
              <w:spacing w:after="0"/>
              <w:rPr>
                <w:sz w:val="14"/>
                <w:szCs w:val="14"/>
                <w:color w:val="auto"/>
              </w:rPr>
            </w:pPr>
          </w:p>
        </w:tc>
        <w:tc>
          <w:tcPr>
            <w:tcW w:w="1120" w:type="dxa"/>
            <w:vAlign w:val="bottom"/>
            <w:gridSpan w:val="3"/>
          </w:tcPr>
          <w:p>
            <w:pPr>
              <w:jc w:val="center"/>
              <w:ind w:right="79"/>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2"/>
              </w:rPr>
              <w:t>Cash Flow</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59"/>
              <w:spacing w:after="0" w:line="162" w:lineRule="exact"/>
              <w:rPr>
                <w:sz w:val="20"/>
                <w:szCs w:val="20"/>
                <w:color w:val="auto"/>
              </w:rPr>
            </w:pPr>
            <w:r>
              <w:rPr>
                <w:rFonts w:ascii="Arial" w:cs="Arial" w:eastAsia="Arial" w:hAnsi="Arial"/>
                <w:sz w:val="16"/>
                <w:szCs w:val="16"/>
                <w:b w:val="1"/>
                <w:bCs w:val="1"/>
                <w:color w:val="auto"/>
                <w:w w:val="84"/>
              </w:rPr>
              <w:t>Loss on</w:t>
            </w:r>
          </w:p>
        </w:tc>
        <w:tc>
          <w:tcPr>
            <w:tcW w:w="1080" w:type="dxa"/>
            <w:vAlign w:val="bottom"/>
            <w:gridSpan w:val="3"/>
          </w:tcPr>
          <w:p>
            <w:pPr>
              <w:jc w:val="center"/>
              <w:ind w:right="79"/>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Hedges</w:t>
            </w:r>
          </w:p>
        </w:tc>
        <w:tc>
          <w:tcPr>
            <w:tcW w:w="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Investments</w:t>
            </w:r>
          </w:p>
        </w:tc>
        <w:tc>
          <w:tcPr>
            <w:tcW w:w="120" w:type="dxa"/>
            <w:vAlign w:val="bottom"/>
          </w:tcPr>
          <w:p>
            <w:pPr>
              <w:spacing w:after="0"/>
              <w:rPr>
                <w:sz w:val="18"/>
                <w:szCs w:val="18"/>
                <w:color w:val="auto"/>
              </w:rPr>
            </w:pPr>
          </w:p>
        </w:tc>
        <w:tc>
          <w:tcPr>
            <w:tcW w:w="1120" w:type="dxa"/>
            <w:vAlign w:val="bottom"/>
            <w:gridSpan w:val="3"/>
          </w:tcPr>
          <w:p>
            <w:pPr>
              <w:jc w:val="center"/>
              <w:ind w:right="39"/>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9"/>
              </w:rPr>
              <w:t>Total</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6"/>
              </w:rPr>
              <w:t>Hedges</w:t>
            </w:r>
          </w:p>
        </w:tc>
        <w:tc>
          <w:tcPr>
            <w:tcW w:w="120" w:type="dxa"/>
            <w:vAlign w:val="bottom"/>
          </w:tcPr>
          <w:p>
            <w:pPr>
              <w:spacing w:after="0"/>
              <w:rPr>
                <w:sz w:val="18"/>
                <w:szCs w:val="18"/>
                <w:color w:val="auto"/>
              </w:rPr>
            </w:pPr>
          </w:p>
        </w:tc>
        <w:tc>
          <w:tcPr>
            <w:tcW w:w="1080" w:type="dxa"/>
            <w:vAlign w:val="bottom"/>
            <w:gridSpan w:val="3"/>
          </w:tcPr>
          <w:p>
            <w:pPr>
              <w:jc w:val="center"/>
              <w:ind w:right="39"/>
              <w:spacing w:after="0"/>
              <w:rPr>
                <w:sz w:val="20"/>
                <w:szCs w:val="20"/>
                <w:color w:val="auto"/>
              </w:rPr>
            </w:pPr>
            <w:r>
              <w:rPr>
                <w:rFonts w:ascii="Arial" w:cs="Arial" w:eastAsia="Arial" w:hAnsi="Arial"/>
                <w:sz w:val="16"/>
                <w:szCs w:val="16"/>
                <w:b w:val="1"/>
                <w:bCs w:val="1"/>
                <w:color w:val="auto"/>
                <w:w w:val="89"/>
              </w:rPr>
              <w:t>Investments</w:t>
            </w:r>
          </w:p>
        </w:tc>
        <w:tc>
          <w:tcPr>
            <w:tcW w:w="1080" w:type="dxa"/>
            <w:vAlign w:val="bottom"/>
            <w:gridSpan w:val="3"/>
          </w:tcPr>
          <w:p>
            <w:pPr>
              <w:jc w:val="center"/>
              <w:ind w:right="39"/>
              <w:spacing w:after="0"/>
              <w:rPr>
                <w:sz w:val="20"/>
                <w:szCs w:val="20"/>
                <w:color w:val="auto"/>
              </w:rPr>
            </w:pPr>
            <w:r>
              <w:rPr>
                <w:rFonts w:ascii="Arial" w:cs="Arial" w:eastAsia="Arial" w:hAnsi="Arial"/>
                <w:sz w:val="16"/>
                <w:szCs w:val="16"/>
                <w:b w:val="1"/>
                <w:bCs w:val="1"/>
                <w:color w:val="auto"/>
                <w:w w:val="90"/>
              </w:rPr>
              <w:t>Adjustments</w:t>
            </w:r>
          </w:p>
        </w:tc>
        <w:tc>
          <w:tcPr>
            <w:tcW w:w="500" w:type="dxa"/>
            <w:vAlign w:val="bottom"/>
            <w:gridSpan w:val="2"/>
          </w:tcPr>
          <w:p>
            <w:pPr>
              <w:jc w:val="right"/>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2,150</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1,994</w:t>
            </w:r>
          </w:p>
        </w:tc>
        <w:tc>
          <w:tcPr>
            <w:tcW w:w="2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2,288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(355 )</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1,964</w:t>
            </w:r>
          </w:p>
        </w:tc>
        <w:tc>
          <w:tcPr>
            <w:tcW w:w="200" w:type="dxa"/>
            <w:vAlign w:val="bottom"/>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4,162</w:t>
            </w:r>
          </w:p>
        </w:tc>
        <w:tc>
          <w:tcPr>
            <w:tcW w:w="1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(259 )</w:t>
            </w:r>
          </w:p>
        </w:tc>
        <w:tc>
          <w:tcPr>
            <w:tcW w:w="120" w:type="dxa"/>
            <w:vAlign w:val="bottom"/>
            <w:shd w:val="clear" w:color="auto" w:fill="CFF0FC"/>
          </w:tcPr>
          <w:p>
            <w:pPr>
              <w:spacing w:after="0"/>
              <w:rPr>
                <w:sz w:val="24"/>
                <w:szCs w:val="24"/>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(283 )</w:t>
            </w:r>
          </w:p>
        </w:tc>
        <w:tc>
          <w:tcPr>
            <w:tcW w:w="100" w:type="dxa"/>
            <w:vAlign w:val="bottom"/>
            <w:shd w:val="clear" w:color="auto" w:fill="CFF0FC"/>
          </w:tcPr>
          <w:p>
            <w:pPr>
              <w:spacing w:after="0"/>
              <w:rPr>
                <w:sz w:val="24"/>
                <w:szCs w:val="2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3,620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(47 )</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4,391</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3,911</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4,391</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3,911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-522605</wp:posOffset>
            </wp:positionV>
            <wp:extent cx="4688840" cy="2317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688840" cy="23177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-153670</wp:posOffset>
            </wp:positionV>
            <wp:extent cx="7132320"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2780" w:space="140"/>
            <w:col w:w="8320"/>
          </w:cols>
          <w:pgMar w:left="320" w:top="648"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2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8"/>
          </w:tcPr>
          <w:p>
            <w:pPr>
              <w:ind w:left="820"/>
              <w:spacing w:after="0"/>
              <w:rPr>
                <w:sz w:val="20"/>
                <w:szCs w:val="20"/>
                <w:color w:val="auto"/>
              </w:rPr>
            </w:pPr>
            <w:r>
              <w:rPr>
                <w:rFonts w:ascii="Arial" w:cs="Arial" w:eastAsia="Arial" w:hAnsi="Arial"/>
                <w:sz w:val="16"/>
                <w:szCs w:val="16"/>
                <w:b w:val="1"/>
                <w:bCs w:val="1"/>
                <w:color w:val="auto"/>
                <w:w w:val="93"/>
              </w:rPr>
              <w:t>Three months ended September 30, 2021</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7"/>
          </w:tcPr>
          <w:p>
            <w:pPr>
              <w:jc w:val="right"/>
              <w:ind w:right="19"/>
              <w:spacing w:after="0"/>
              <w:rPr>
                <w:sz w:val="20"/>
                <w:szCs w:val="20"/>
                <w:color w:val="auto"/>
              </w:rPr>
            </w:pPr>
            <w:r>
              <w:rPr>
                <w:rFonts w:ascii="Arial" w:cs="Arial" w:eastAsia="Arial" w:hAnsi="Arial"/>
                <w:sz w:val="16"/>
                <w:szCs w:val="16"/>
                <w:b w:val="1"/>
                <w:bCs w:val="1"/>
                <w:color w:val="auto"/>
              </w:rPr>
              <w:t>Nine months ended September 30, 2021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80" w:type="dxa"/>
            <w:vAlign w:val="bottom"/>
          </w:tcPr>
          <w:p>
            <w:pPr>
              <w:spacing w:after="0"/>
              <w:rPr>
                <w:sz w:val="13"/>
                <w:szCs w:val="13"/>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3"/>
              </w:rPr>
              <w:t>Unrealized Gains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88"/>
              </w:rPr>
              <w:t>Foreign</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1"/>
              </w:rPr>
              <w:t>Unrealized</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1"/>
              </w:rPr>
              <w:t>Foreign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6"/>
              </w:rPr>
              <w:t>Currency</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89"/>
              </w:rPr>
              <w:t>Unrealized Loss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3"/>
              </w:rPr>
              <w:t>Currency</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0"/>
              </w:rPr>
              <w:t>on Cash Flow</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84"/>
              </w:rPr>
              <w:t>Loss 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w w:val="94"/>
              </w:rPr>
              <w:t>Gains on Cash</w:t>
            </w: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120" w:type="dxa"/>
            <w:vAlign w:val="bottom"/>
          </w:tcPr>
          <w:p>
            <w:pPr>
              <w:spacing w:after="0"/>
              <w:rPr>
                <w:sz w:val="18"/>
                <w:szCs w:val="18"/>
                <w:color w:val="auto"/>
              </w:rPr>
            </w:pPr>
          </w:p>
        </w:tc>
        <w:tc>
          <w:tcPr>
            <w:tcW w:w="1140" w:type="dxa"/>
            <w:vAlign w:val="bottom"/>
          </w:tcPr>
          <w:p>
            <w:pPr>
              <w:jc w:val="center"/>
              <w:ind w:right="39"/>
              <w:spacing w:after="0"/>
              <w:rPr>
                <w:sz w:val="20"/>
                <w:szCs w:val="20"/>
                <w:color w:val="auto"/>
              </w:rPr>
            </w:pPr>
            <w:r>
              <w:rPr>
                <w:rFonts w:ascii="Arial" w:cs="Arial" w:eastAsia="Arial" w:hAnsi="Arial"/>
                <w:sz w:val="16"/>
                <w:szCs w:val="16"/>
                <w:b w:val="1"/>
                <w:bCs w:val="1"/>
                <w:color w:val="auto"/>
                <w:w w:val="86"/>
              </w:rPr>
              <w:t>Hedges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Investments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Adjustments</w:t>
            </w:r>
          </w:p>
        </w:tc>
        <w:tc>
          <w:tcPr>
            <w:tcW w:w="160" w:type="dxa"/>
            <w:vAlign w:val="bottom"/>
          </w:tcPr>
          <w:p>
            <w:pPr>
              <w:spacing w:after="0"/>
              <w:rPr>
                <w:sz w:val="18"/>
                <w:szCs w:val="18"/>
                <w:color w:val="auto"/>
              </w:rPr>
            </w:pPr>
          </w:p>
        </w:tc>
        <w:tc>
          <w:tcPr>
            <w:tcW w:w="660" w:type="dxa"/>
            <w:vAlign w:val="bottom"/>
          </w:tcPr>
          <w:p>
            <w:pPr>
              <w:jc w:val="right"/>
              <w:ind w:right="13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Flow Hedges</w:t>
            </w:r>
          </w:p>
        </w:tc>
        <w:tc>
          <w:tcPr>
            <w:tcW w:w="10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w w:val="90"/>
              </w:rPr>
              <w:t>on Investments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w w:val="88"/>
              </w:rPr>
              <w:t>Adjustments</w:t>
            </w:r>
          </w:p>
        </w:tc>
        <w:tc>
          <w:tcPr>
            <w:tcW w:w="100" w:type="dxa"/>
            <w:vAlign w:val="bottom"/>
          </w:tcPr>
          <w:p>
            <w:pPr>
              <w:spacing w:after="0"/>
              <w:rPr>
                <w:sz w:val="18"/>
                <w:szCs w:val="18"/>
                <w:color w:val="auto"/>
              </w:rPr>
            </w:pPr>
          </w:p>
        </w:tc>
        <w:tc>
          <w:tcPr>
            <w:tcW w:w="64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6"/>
        </w:trPr>
        <w:tc>
          <w:tcPr>
            <w:tcW w:w="208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ind w:left="96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5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tcPr>
          <w:p>
            <w:pPr>
              <w:ind w:left="44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66"/>
        </w:trPr>
        <w:tc>
          <w:tcPr>
            <w:tcW w:w="2080" w:type="dxa"/>
            <w:vAlign w:val="bottom"/>
            <w:shd w:val="clear" w:color="auto" w:fill="CFF0FC"/>
          </w:tcPr>
          <w:p>
            <w:pPr>
              <w:ind w:left="20"/>
              <w:spacing w:after="0" w:line="166" w:lineRule="exact"/>
              <w:rPr>
                <w:sz w:val="20"/>
                <w:szCs w:val="20"/>
                <w:color w:val="auto"/>
              </w:rPr>
            </w:pPr>
            <w:r>
              <w:rPr>
                <w:rFonts w:ascii="Arial" w:cs="Arial" w:eastAsia="Arial" w:hAnsi="Arial"/>
                <w:sz w:val="16"/>
                <w:szCs w:val="16"/>
                <w:color w:val="auto"/>
                <w:w w:val="97"/>
              </w:rPr>
              <w:t>Other comprehensive income</w:t>
            </w:r>
          </w:p>
        </w:tc>
        <w:tc>
          <w:tcPr>
            <w:tcW w:w="120" w:type="dxa"/>
            <w:vAlign w:val="bottom"/>
            <w:shd w:val="clear" w:color="auto" w:fill="CFF0FC"/>
          </w:tcPr>
          <w:p>
            <w:pPr>
              <w:spacing w:after="0"/>
              <w:rPr>
                <w:sz w:val="14"/>
                <w:szCs w:val="14"/>
                <w:color w:val="auto"/>
              </w:rPr>
            </w:pPr>
          </w:p>
        </w:tc>
        <w:tc>
          <w:tcPr>
            <w:tcW w:w="1140" w:type="dxa"/>
            <w:vAlign w:val="bottom"/>
            <w:vMerge w:val="restart"/>
            <w:shd w:val="clear" w:color="auto" w:fill="CFF0FC"/>
          </w:tcPr>
          <w:p>
            <w:pPr>
              <w:ind w:left="96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ind w:left="82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ind w:left="82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ind w:left="44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(loss)</w:t>
            </w:r>
          </w:p>
        </w:tc>
        <w:tc>
          <w:tcPr>
            <w:tcW w:w="1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8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Pr>
          <w:p>
            <w:pPr>
              <w:ind w:left="960"/>
              <w:spacing w:after="0"/>
              <w:rPr>
                <w:sz w:val="20"/>
                <w:szCs w:val="20"/>
                <w:color w:val="auto"/>
              </w:rPr>
            </w:pPr>
            <w:r>
              <w:rPr>
                <w:rFonts w:ascii="Arial" w:cs="Arial" w:eastAsia="Arial" w:hAnsi="Arial"/>
                <w:sz w:val="16"/>
                <w:szCs w:val="16"/>
                <w:color w:val="auto"/>
                <w:w w:val="89"/>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ind w:left="820"/>
              <w:spacing w:after="0"/>
              <w:rPr>
                <w:sz w:val="20"/>
                <w:szCs w:val="20"/>
                <w:color w:val="auto"/>
              </w:rPr>
            </w:pPr>
            <w:r>
              <w:rPr>
                <w:rFonts w:ascii="Arial" w:cs="Arial" w:eastAsia="Arial" w:hAnsi="Arial"/>
                <w:sz w:val="16"/>
                <w:szCs w:val="16"/>
                <w:color w:val="auto"/>
                <w:w w:val="89"/>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tcPr>
          <w:p>
            <w:pPr>
              <w:ind w:left="820"/>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00" w:type="dxa"/>
            <w:vAlign w:val="bottom"/>
          </w:tcPr>
          <w:p>
            <w:pPr>
              <w:ind w:left="440"/>
              <w:spacing w:after="0"/>
              <w:rPr>
                <w:sz w:val="20"/>
                <w:szCs w:val="20"/>
                <w:color w:val="auto"/>
              </w:rPr>
            </w:pPr>
            <w:r>
              <w:rPr>
                <w:rFonts w:ascii="Arial" w:cs="Arial" w:eastAsia="Arial" w:hAnsi="Arial"/>
                <w:sz w:val="16"/>
                <w:szCs w:val="16"/>
                <w:color w:val="auto"/>
                <w:w w:val="78"/>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-162560</wp:posOffset>
            </wp:positionV>
            <wp:extent cx="76835" cy="1631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-162560</wp:posOffset>
            </wp:positionV>
            <wp:extent cx="76835" cy="1631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-162560</wp:posOffset>
            </wp:positionV>
            <wp:extent cx="77470" cy="1631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-162560</wp:posOffset>
            </wp:positionV>
            <wp:extent cx="68580" cy="1631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-162560</wp:posOffset>
            </wp:positionV>
            <wp:extent cx="68580" cy="1631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-162560</wp:posOffset>
            </wp:positionV>
            <wp:extent cx="68580" cy="1631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-162560</wp:posOffset>
            </wp:positionV>
            <wp:extent cx="68580" cy="1631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16. Equity-Based Compensation</w:t>
      </w:r>
    </w:p>
    <w:p>
      <w:pPr>
        <w:spacing w:after="0" w:line="121"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Equity-based compensation expense is allocated to all departments based on the recipients of the compensation. A summary of the expense by line item in the condensed consolidated statements of operations for the three and nine months ended September 30, 2022 and 2021, respectively, is provided in the following table.</w:t>
      </w:r>
    </w:p>
    <w:p>
      <w:pPr>
        <w:spacing w:after="0" w:line="9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w w:val="95"/>
              </w:rPr>
              <w:t>Three Months Ended September 30,</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w w:val="95"/>
              </w:rPr>
              <w:t>Nine Months Ended September 30,</w:t>
            </w:r>
          </w:p>
        </w:tc>
        <w:tc>
          <w:tcPr>
            <w:tcW w:w="100" w:type="dxa"/>
            <w:vAlign w:val="bottom"/>
          </w:tcPr>
          <w:p>
            <w:pPr>
              <w:spacing w:after="0"/>
              <w:rPr>
                <w:sz w:val="16"/>
                <w:szCs w:val="16"/>
                <w:color w:val="auto"/>
              </w:rPr>
            </w:pPr>
          </w:p>
        </w:tc>
      </w:tr>
      <w:tr>
        <w:trPr>
          <w:trHeight w:val="169"/>
        </w:trPr>
        <w:tc>
          <w:tcPr>
            <w:tcW w:w="44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11,062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2,171</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5,301</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4,466</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7,949</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3,351</w:t>
            </w:r>
          </w:p>
        </w:tc>
        <w:tc>
          <w:tcPr>
            <w:tcW w:w="100" w:type="dxa"/>
            <w:vAlign w:val="bottom"/>
          </w:tcPr>
          <w:p>
            <w:pPr>
              <w:spacing w:after="0"/>
              <w:rPr>
                <w:sz w:val="18"/>
                <w:szCs w:val="18"/>
                <w:color w:val="auto"/>
              </w:rPr>
            </w:pPr>
          </w:p>
        </w:tc>
      </w:tr>
      <w:tr>
        <w:trPr>
          <w:trHeight w:val="250"/>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compensation expense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9,133</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2,317</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25,010</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2021 Equity Incentive Plan</w:t>
      </w:r>
    </w:p>
    <w:p>
      <w:pPr>
        <w:spacing w:after="0" w:line="104"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The Definitive Healthcare Corp. 2021 Equity Incentive Plan (the “2021 Plan”) was adopted in September 2021. The types of grants available under the 2021 Plan include stock options (both incentive and non-qualified), stock appreciation rights ("SARs"), restricted stock awards ("RSAs"), restricted stock units ("RSUs"), and stock-based awards.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aggregate number of shares of Class A Common Stock available for grant under the 2021 Plan was 5,261,049 shares at September 30, 2022.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RSUs have time-based and/or performance-based vesting criteria.</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Time-Based RSUs</w:t>
      </w:r>
    </w:p>
    <w:p>
      <w:pPr>
        <w:spacing w:after="0" w:line="117" w:lineRule="exact"/>
        <w:rPr>
          <w:sz w:val="20"/>
          <w:szCs w:val="20"/>
          <w:color w:val="auto"/>
        </w:rPr>
      </w:pPr>
    </w:p>
    <w:p>
      <w:pPr>
        <w:ind w:firstLine="509"/>
        <w:spacing w:after="0" w:line="291" w:lineRule="auto"/>
        <w:rPr>
          <w:sz w:val="20"/>
          <w:szCs w:val="20"/>
          <w:color w:val="auto"/>
        </w:rPr>
      </w:pPr>
      <w:r>
        <w:rPr>
          <w:rFonts w:ascii="Arial" w:cs="Arial" w:eastAsia="Arial" w:hAnsi="Arial"/>
          <w:sz w:val="17"/>
          <w:szCs w:val="17"/>
          <w:color w:val="auto"/>
        </w:rPr>
        <w:t>Outstanding time-based RSUs generally vest partially on the one-year anniversary of each grant and quarterly over the subsequent two- or three-year period. The following table summarizes the Company’s unvested time-based RSU activity for the nine months ended September 30, 2022:</w:t>
      </w:r>
    </w:p>
    <w:p>
      <w:pPr>
        <w:spacing w:after="0" w:line="4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160" w:type="dxa"/>
            <w:vAlign w:val="bottom"/>
          </w:tcPr>
          <w:p>
            <w:pPr>
              <w:spacing w:after="0"/>
              <w:rPr>
                <w:sz w:val="16"/>
                <w:szCs w:val="16"/>
                <w:color w:val="auto"/>
              </w:rPr>
            </w:pPr>
          </w:p>
        </w:tc>
        <w:tc>
          <w:tcPr>
            <w:tcW w:w="3840" w:type="dxa"/>
            <w:vAlign w:val="bottom"/>
            <w:tcBorders>
              <w:bottom w:val="single" w:sz="8" w:color="auto"/>
            </w:tcBorders>
            <w:gridSpan w:val="4"/>
          </w:tcPr>
          <w:p>
            <w:pPr>
              <w:jc w:val="right"/>
              <w:ind w:right="1277"/>
              <w:spacing w:after="0"/>
              <w:rPr>
                <w:sz w:val="20"/>
                <w:szCs w:val="20"/>
                <w:color w:val="auto"/>
              </w:rPr>
            </w:pPr>
            <w:r>
              <w:rPr>
                <w:rFonts w:ascii="Arial" w:cs="Arial" w:eastAsia="Arial" w:hAnsi="Arial"/>
                <w:sz w:val="14"/>
                <w:szCs w:val="14"/>
                <w:b w:val="1"/>
                <w:bCs w:val="1"/>
                <w:color w:val="auto"/>
              </w:rPr>
              <w:t>Time-Based RSUs</w:t>
            </w:r>
          </w:p>
        </w:tc>
        <w:tc>
          <w:tcPr>
            <w:tcW w:w="100" w:type="dxa"/>
            <w:vAlign w:val="bottom"/>
          </w:tcPr>
          <w:p>
            <w:pPr>
              <w:spacing w:after="0"/>
              <w:rPr>
                <w:sz w:val="16"/>
                <w:szCs w:val="16"/>
                <w:color w:val="auto"/>
              </w:rPr>
            </w:pPr>
          </w:p>
        </w:tc>
      </w:tr>
      <w:tr>
        <w:trPr>
          <w:trHeight w:val="160"/>
        </w:trPr>
        <w:tc>
          <w:tcPr>
            <w:tcW w:w="6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tcPr>
          <w:p>
            <w:pPr>
              <w:jc w:val="center"/>
              <w:ind w:right="177"/>
              <w:spacing w:after="0" w:line="160"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3"/>
                <w:szCs w:val="13"/>
                <w:color w:val="auto"/>
              </w:rPr>
            </w:pPr>
          </w:p>
        </w:tc>
      </w:tr>
      <w:tr>
        <w:trPr>
          <w:trHeight w:val="175"/>
        </w:trPr>
        <w:tc>
          <w:tcPr>
            <w:tcW w:w="6160" w:type="dxa"/>
            <w:vAlign w:val="bottom"/>
          </w:tcPr>
          <w:p>
            <w:pPr>
              <w:spacing w:after="0"/>
              <w:rPr>
                <w:sz w:val="15"/>
                <w:szCs w:val="15"/>
                <w:color w:val="auto"/>
              </w:rPr>
            </w:pPr>
          </w:p>
        </w:tc>
        <w:tc>
          <w:tcPr>
            <w:tcW w:w="20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Restricted</w:t>
            </w:r>
          </w:p>
        </w:tc>
        <w:tc>
          <w:tcPr>
            <w:tcW w:w="260" w:type="dxa"/>
            <w:vAlign w:val="bottom"/>
          </w:tcPr>
          <w:p>
            <w:pPr>
              <w:spacing w:after="0"/>
              <w:rPr>
                <w:sz w:val="15"/>
                <w:szCs w:val="15"/>
                <w:color w:val="auto"/>
              </w:rPr>
            </w:pPr>
          </w:p>
        </w:tc>
        <w:tc>
          <w:tcPr>
            <w:tcW w:w="1520" w:type="dxa"/>
            <w:vAlign w:val="bottom"/>
          </w:tcPr>
          <w:p>
            <w:pPr>
              <w:jc w:val="center"/>
              <w:ind w:right="177"/>
              <w:spacing w:after="0"/>
              <w:rPr>
                <w:sz w:val="20"/>
                <w:szCs w:val="20"/>
                <w:color w:val="auto"/>
              </w:rPr>
            </w:pPr>
            <w:r>
              <w:rPr>
                <w:rFonts w:ascii="Arial" w:cs="Arial" w:eastAsia="Arial" w:hAnsi="Arial"/>
                <w:sz w:val="14"/>
                <w:szCs w:val="14"/>
                <w:b w:val="1"/>
                <w:bCs w:val="1"/>
                <w:color w:val="auto"/>
                <w:w w:val="93"/>
              </w:rPr>
              <w:t>Average Grant</w:t>
            </w:r>
          </w:p>
        </w:tc>
        <w:tc>
          <w:tcPr>
            <w:tcW w:w="100" w:type="dxa"/>
            <w:vAlign w:val="bottom"/>
          </w:tcPr>
          <w:p>
            <w:pPr>
              <w:spacing w:after="0"/>
              <w:rPr>
                <w:sz w:val="15"/>
                <w:szCs w:val="15"/>
                <w:color w:val="auto"/>
              </w:rPr>
            </w:pPr>
          </w:p>
        </w:tc>
      </w:tr>
      <w:tr>
        <w:trPr>
          <w:trHeight w:val="185"/>
        </w:trPr>
        <w:tc>
          <w:tcPr>
            <w:tcW w:w="6160" w:type="dxa"/>
            <w:vAlign w:val="bottom"/>
          </w:tcPr>
          <w:p>
            <w:pPr>
              <w:spacing w:after="0"/>
              <w:rPr>
                <w:sz w:val="16"/>
                <w:szCs w:val="16"/>
                <w:color w:val="auto"/>
              </w:rPr>
            </w:pPr>
          </w:p>
        </w:tc>
        <w:tc>
          <w:tcPr>
            <w:tcW w:w="20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Stock Units</w:t>
            </w:r>
          </w:p>
        </w:tc>
        <w:tc>
          <w:tcPr>
            <w:tcW w:w="260" w:type="dxa"/>
            <w:vAlign w:val="bottom"/>
          </w:tcPr>
          <w:p>
            <w:pPr>
              <w:spacing w:after="0"/>
              <w:rPr>
                <w:sz w:val="16"/>
                <w:szCs w:val="16"/>
                <w:color w:val="auto"/>
              </w:rPr>
            </w:pPr>
          </w:p>
        </w:tc>
        <w:tc>
          <w:tcPr>
            <w:tcW w:w="1520" w:type="dxa"/>
            <w:vAlign w:val="bottom"/>
          </w:tcPr>
          <w:p>
            <w:pPr>
              <w:jc w:val="center"/>
              <w:ind w:right="177"/>
              <w:spacing w:after="0"/>
              <w:rPr>
                <w:sz w:val="20"/>
                <w:szCs w:val="20"/>
                <w:color w:val="auto"/>
              </w:rPr>
            </w:pPr>
            <w:r>
              <w:rPr>
                <w:rFonts w:ascii="Arial" w:cs="Arial" w:eastAsia="Arial" w:hAnsi="Arial"/>
                <w:sz w:val="14"/>
                <w:szCs w:val="14"/>
                <w:b w:val="1"/>
                <w:bCs w:val="1"/>
                <w:color w:val="auto"/>
                <w:w w:val="96"/>
              </w:rPr>
              <w:t>Date Fair Value</w:t>
            </w:r>
          </w:p>
        </w:tc>
        <w:tc>
          <w:tcPr>
            <w:tcW w:w="100" w:type="dxa"/>
            <w:vAlign w:val="bottom"/>
          </w:tcPr>
          <w:p>
            <w:pPr>
              <w:spacing w:after="0"/>
              <w:rPr>
                <w:sz w:val="16"/>
                <w:szCs w:val="16"/>
                <w:color w:val="auto"/>
              </w:rPr>
            </w:pPr>
          </w:p>
        </w:tc>
      </w:tr>
      <w:tr>
        <w:trPr>
          <w:trHeight w:val="20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Unvested at December 31, 2021</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1,935,899</w:t>
            </w:r>
          </w:p>
        </w:tc>
        <w:tc>
          <w:tcPr>
            <w:tcW w:w="3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32.59</w:t>
            </w:r>
          </w:p>
        </w:tc>
        <w:tc>
          <w:tcPr>
            <w:tcW w:w="100" w:type="dxa"/>
            <w:vAlign w:val="bottom"/>
            <w:shd w:val="clear" w:color="auto" w:fill="CFF0FC"/>
          </w:tcPr>
          <w:p>
            <w:pPr>
              <w:spacing w:after="0"/>
              <w:rPr>
                <w:sz w:val="18"/>
                <w:szCs w:val="18"/>
                <w:color w:val="auto"/>
              </w:rPr>
            </w:pP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1,817,156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18"/>
                <w:szCs w:val="18"/>
                <w:color w:val="auto"/>
              </w:rPr>
            </w:pPr>
          </w:p>
        </w:tc>
      </w:tr>
      <w:tr>
        <w:trPr>
          <w:trHeight w:val="216"/>
        </w:trPr>
        <w:tc>
          <w:tcPr>
            <w:tcW w:w="61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2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(452,046 )</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25.19</w:t>
            </w:r>
          </w:p>
        </w:tc>
        <w:tc>
          <w:tcPr>
            <w:tcW w:w="100" w:type="dxa"/>
            <w:vAlign w:val="bottom"/>
            <w:shd w:val="clear" w:color="auto" w:fill="CFF0FC"/>
          </w:tcPr>
          <w:p>
            <w:pPr>
              <w:spacing w:after="0"/>
              <w:rPr>
                <w:sz w:val="18"/>
                <w:szCs w:val="18"/>
                <w:color w:val="auto"/>
              </w:rPr>
            </w:pP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(169,157 )</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25.63</w:t>
            </w:r>
          </w:p>
        </w:tc>
        <w:tc>
          <w:tcPr>
            <w:tcW w:w="100" w:type="dxa"/>
            <w:vAlign w:val="bottom"/>
          </w:tcPr>
          <w:p>
            <w:pPr>
              <w:spacing w:after="0"/>
              <w:rPr>
                <w:sz w:val="18"/>
                <w:szCs w:val="18"/>
                <w:color w:val="auto"/>
              </w:rPr>
            </w:pPr>
          </w:p>
        </w:tc>
      </w:tr>
      <w:tr>
        <w:trPr>
          <w:trHeight w:val="250"/>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2022</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3,131,852</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28.23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right="20" w:firstLine="509"/>
        <w:spacing w:after="0" w:line="303" w:lineRule="auto"/>
        <w:rPr>
          <w:sz w:val="20"/>
          <w:szCs w:val="20"/>
          <w:color w:val="auto"/>
        </w:rPr>
      </w:pPr>
      <w:r>
        <w:rPr>
          <w:rFonts w:ascii="Arial" w:cs="Arial" w:eastAsia="Arial" w:hAnsi="Arial"/>
          <w:sz w:val="16"/>
          <w:szCs w:val="16"/>
          <w:color w:val="auto"/>
        </w:rPr>
        <w:t>The Company recognized $7.1 million and $19.2 million in stock-based compensation expense associated with time-based RSUs in the three and nine months ended September 30, 2022, respectively, and $0.4 million in the three and nine months ended September 30, 2021. Total unrecognized expense for these awards was estimated to be $76.2 million at September 30, 2022, to be recognized over a weighted-average period of approximately 2.7 years.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Performance-Based RSUs (“PSUs”)</w:t>
      </w:r>
    </w:p>
    <w:p>
      <w:pPr>
        <w:spacing w:after="0" w:line="117"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The Company periodically grants PSUs to certain members of the Company’s senior management team subject to the satisfaction of annual and cumulative performance conditions and/or market conditions established by the Human Capital Management and Compensation Committee of the Board of Directors of Definitive Healthcare Corp. Those PSUs without market-based vesting conditions vest annually over three years subject to the achievement of certain performance targets and continued service. Expense for these awards is recognized when it becomes probable that performance measures triggering vesting will be achieved.</w:t>
      </w:r>
    </w:p>
    <w:p>
      <w:pPr>
        <w:spacing w:after="0" w:line="78"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In May 2022, the Company granted PSUs to a member of the executive leadership team with performance criteria related to the relative ranking of the total stockholder return (“TSR”) of the Company’s common stock for the cumulative three-year performance period return relative to the TSR of certain peer companies within the Nasdaq Software &amp; Services Index. TSR will be measured based on the 20-trading-day average closing stock price on the first day of the performance period compared to the 20-trading-day average closing stock price on the last day of such period, inclusive of applicable cash dividend payments. These PSUs subject to the performance criteria will cliff vest after three years, subject to the satisfaction of the performance criteria and the executive’s continued employment through the performance period. PSUs may vest in a range between 0% and 300%, based on the satisfaction of performance, and no shares will be issued if the minimum applicable performance metric is not achieved. As these PSUs vest based on the achievement of market conditions, the grant date fair values were determined using a Monte-Carlo valuation model. The Monte-Carlo valuation model considered a variety of potential future share prices for the Company as well as its peer companies in the selected market index. Expense for these awards is recognized ratably over the requisite service period based on the fair value of the award.</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color w:val="auto"/>
        </w:rPr>
        <w:t>The following table summarizes the Company’s unvested PSU activity for the nine months ended September 30, 2022.</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160" w:type="dxa"/>
            <w:vAlign w:val="bottom"/>
          </w:tcPr>
          <w:p>
            <w:pPr>
              <w:spacing w:after="0"/>
              <w:rPr>
                <w:sz w:val="16"/>
                <w:szCs w:val="16"/>
                <w:color w:val="auto"/>
              </w:rPr>
            </w:pPr>
          </w:p>
        </w:tc>
        <w:tc>
          <w:tcPr>
            <w:tcW w:w="3840" w:type="dxa"/>
            <w:vAlign w:val="bottom"/>
            <w:tcBorders>
              <w:bottom w:val="single" w:sz="8" w:color="auto"/>
            </w:tcBorders>
            <w:gridSpan w:val="4"/>
          </w:tcPr>
          <w:p>
            <w:pPr>
              <w:jc w:val="right"/>
              <w:ind w:right="1057"/>
              <w:spacing w:after="0"/>
              <w:rPr>
                <w:sz w:val="20"/>
                <w:szCs w:val="20"/>
                <w:color w:val="auto"/>
              </w:rPr>
            </w:pPr>
            <w:r>
              <w:rPr>
                <w:rFonts w:ascii="Arial" w:cs="Arial" w:eastAsia="Arial" w:hAnsi="Arial"/>
                <w:sz w:val="14"/>
                <w:szCs w:val="14"/>
                <w:b w:val="1"/>
                <w:bCs w:val="1"/>
                <w:color w:val="auto"/>
              </w:rPr>
              <w:t>Performance-Based PSUs</w:t>
            </w:r>
          </w:p>
        </w:tc>
        <w:tc>
          <w:tcPr>
            <w:tcW w:w="100" w:type="dxa"/>
            <w:vAlign w:val="bottom"/>
          </w:tcPr>
          <w:p>
            <w:pPr>
              <w:spacing w:after="0"/>
              <w:rPr>
                <w:sz w:val="16"/>
                <w:szCs w:val="16"/>
                <w:color w:val="auto"/>
              </w:rPr>
            </w:pPr>
          </w:p>
        </w:tc>
      </w:tr>
      <w:tr>
        <w:trPr>
          <w:trHeight w:val="160"/>
        </w:trPr>
        <w:tc>
          <w:tcPr>
            <w:tcW w:w="6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tcPr>
          <w:p>
            <w:pPr>
              <w:jc w:val="center"/>
              <w:ind w:right="177"/>
              <w:spacing w:after="0" w:line="160"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3"/>
                <w:szCs w:val="13"/>
                <w:color w:val="auto"/>
              </w:rPr>
            </w:pPr>
          </w:p>
        </w:tc>
      </w:tr>
      <w:tr>
        <w:trPr>
          <w:trHeight w:val="175"/>
        </w:trPr>
        <w:tc>
          <w:tcPr>
            <w:tcW w:w="6160" w:type="dxa"/>
            <w:vAlign w:val="bottom"/>
          </w:tcPr>
          <w:p>
            <w:pPr>
              <w:spacing w:after="0"/>
              <w:rPr>
                <w:sz w:val="15"/>
                <w:szCs w:val="15"/>
                <w:color w:val="auto"/>
              </w:rPr>
            </w:pPr>
          </w:p>
        </w:tc>
        <w:tc>
          <w:tcPr>
            <w:tcW w:w="20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Restricted</w:t>
            </w:r>
          </w:p>
        </w:tc>
        <w:tc>
          <w:tcPr>
            <w:tcW w:w="260" w:type="dxa"/>
            <w:vAlign w:val="bottom"/>
          </w:tcPr>
          <w:p>
            <w:pPr>
              <w:spacing w:after="0"/>
              <w:rPr>
                <w:sz w:val="15"/>
                <w:szCs w:val="15"/>
                <w:color w:val="auto"/>
              </w:rPr>
            </w:pPr>
          </w:p>
        </w:tc>
        <w:tc>
          <w:tcPr>
            <w:tcW w:w="1520" w:type="dxa"/>
            <w:vAlign w:val="bottom"/>
          </w:tcPr>
          <w:p>
            <w:pPr>
              <w:jc w:val="center"/>
              <w:ind w:right="177"/>
              <w:spacing w:after="0"/>
              <w:rPr>
                <w:sz w:val="20"/>
                <w:szCs w:val="20"/>
                <w:color w:val="auto"/>
              </w:rPr>
            </w:pPr>
            <w:r>
              <w:rPr>
                <w:rFonts w:ascii="Arial" w:cs="Arial" w:eastAsia="Arial" w:hAnsi="Arial"/>
                <w:sz w:val="14"/>
                <w:szCs w:val="14"/>
                <w:b w:val="1"/>
                <w:bCs w:val="1"/>
                <w:color w:val="auto"/>
                <w:w w:val="93"/>
              </w:rPr>
              <w:t>Average Grant</w:t>
            </w:r>
          </w:p>
        </w:tc>
        <w:tc>
          <w:tcPr>
            <w:tcW w:w="100" w:type="dxa"/>
            <w:vAlign w:val="bottom"/>
          </w:tcPr>
          <w:p>
            <w:pPr>
              <w:spacing w:after="0"/>
              <w:rPr>
                <w:sz w:val="15"/>
                <w:szCs w:val="15"/>
                <w:color w:val="auto"/>
              </w:rPr>
            </w:pPr>
          </w:p>
        </w:tc>
      </w:tr>
      <w:tr>
        <w:trPr>
          <w:trHeight w:val="185"/>
        </w:trPr>
        <w:tc>
          <w:tcPr>
            <w:tcW w:w="6160" w:type="dxa"/>
            <w:vAlign w:val="bottom"/>
          </w:tcPr>
          <w:p>
            <w:pPr>
              <w:spacing w:after="0"/>
              <w:rPr>
                <w:sz w:val="16"/>
                <w:szCs w:val="16"/>
                <w:color w:val="auto"/>
              </w:rPr>
            </w:pPr>
          </w:p>
        </w:tc>
        <w:tc>
          <w:tcPr>
            <w:tcW w:w="20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Stock Units</w:t>
            </w:r>
          </w:p>
        </w:tc>
        <w:tc>
          <w:tcPr>
            <w:tcW w:w="260" w:type="dxa"/>
            <w:vAlign w:val="bottom"/>
          </w:tcPr>
          <w:p>
            <w:pPr>
              <w:spacing w:after="0"/>
              <w:rPr>
                <w:sz w:val="16"/>
                <w:szCs w:val="16"/>
                <w:color w:val="auto"/>
              </w:rPr>
            </w:pPr>
          </w:p>
        </w:tc>
        <w:tc>
          <w:tcPr>
            <w:tcW w:w="1520" w:type="dxa"/>
            <w:vAlign w:val="bottom"/>
          </w:tcPr>
          <w:p>
            <w:pPr>
              <w:jc w:val="center"/>
              <w:ind w:right="177"/>
              <w:spacing w:after="0"/>
              <w:rPr>
                <w:sz w:val="20"/>
                <w:szCs w:val="20"/>
                <w:color w:val="auto"/>
              </w:rPr>
            </w:pPr>
            <w:r>
              <w:rPr>
                <w:rFonts w:ascii="Arial" w:cs="Arial" w:eastAsia="Arial" w:hAnsi="Arial"/>
                <w:sz w:val="14"/>
                <w:szCs w:val="14"/>
                <w:b w:val="1"/>
                <w:bCs w:val="1"/>
                <w:color w:val="auto"/>
                <w:w w:val="96"/>
              </w:rPr>
              <w:t>Date Fair Value</w:t>
            </w:r>
          </w:p>
        </w:tc>
        <w:tc>
          <w:tcPr>
            <w:tcW w:w="100" w:type="dxa"/>
            <w:vAlign w:val="bottom"/>
          </w:tcPr>
          <w:p>
            <w:pPr>
              <w:spacing w:after="0"/>
              <w:rPr>
                <w:sz w:val="16"/>
                <w:szCs w:val="16"/>
                <w:color w:val="auto"/>
              </w:rPr>
            </w:pPr>
          </w:p>
        </w:tc>
      </w:tr>
      <w:tr>
        <w:trPr>
          <w:trHeight w:val="20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Unvested at December 31, 2021</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164,351</w:t>
            </w:r>
          </w:p>
        </w:tc>
        <w:tc>
          <w:tcPr>
            <w:tcW w:w="3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100" w:type="dxa"/>
            <w:vAlign w:val="bottom"/>
            <w:shd w:val="clear" w:color="auto" w:fill="CFF0FC"/>
          </w:tcPr>
          <w:p>
            <w:pPr>
              <w:spacing w:after="0"/>
              <w:rPr>
                <w:sz w:val="18"/>
                <w:szCs w:val="18"/>
                <w:color w:val="auto"/>
              </w:rPr>
            </w:pP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125,000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54.25</w:t>
            </w:r>
          </w:p>
        </w:tc>
        <w:tc>
          <w:tcPr>
            <w:tcW w:w="100" w:type="dxa"/>
            <w:vAlign w:val="bottom"/>
          </w:tcPr>
          <w:p>
            <w:pPr>
              <w:spacing w:after="0"/>
              <w:rPr>
                <w:sz w:val="18"/>
                <w:szCs w:val="18"/>
                <w:color w:val="auto"/>
              </w:rPr>
            </w:pPr>
          </w:p>
        </w:tc>
      </w:tr>
      <w:tr>
        <w:trPr>
          <w:trHeight w:val="216"/>
        </w:trPr>
        <w:tc>
          <w:tcPr>
            <w:tcW w:w="61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2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(9,259 )</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8"/>
                <w:szCs w:val="18"/>
                <w:color w:val="auto"/>
              </w:rPr>
            </w:pPr>
          </w:p>
        </w:tc>
      </w:tr>
      <w:tr>
        <w:trPr>
          <w:trHeight w:val="249"/>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2022</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280,092</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-25400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4" w:lineRule="exact"/>
        <w:rPr>
          <w:sz w:val="20"/>
          <w:szCs w:val="20"/>
          <w:color w:val="auto"/>
        </w:rPr>
      </w:pPr>
    </w:p>
    <w:p>
      <w:pPr>
        <w:ind w:right="180" w:firstLine="509"/>
        <w:spacing w:after="0" w:line="263" w:lineRule="auto"/>
        <w:rPr>
          <w:sz w:val="20"/>
          <w:szCs w:val="20"/>
          <w:color w:val="auto"/>
        </w:rPr>
      </w:pPr>
      <w:r>
        <w:rPr>
          <w:rFonts w:ascii="Arial" w:cs="Arial" w:eastAsia="Arial" w:hAnsi="Arial"/>
          <w:sz w:val="17"/>
          <w:szCs w:val="17"/>
          <w:color w:val="auto"/>
        </w:rPr>
        <w:t>The number of PSUs awarded represents the target number of shares of common stock that may be earned; however, the actual number of shares may vary based on the satisfaction of performance criteria. The Company recognized $0.5 million and $1.2 million in stock-based compensation expense associated with PSUs in the three and nine months ended September 30, 2022, respectively, and did not recognize any expense associated with performance-based RSUs in the three or nine months ended September 30, 2021. Total unrecognized expense for these awards was estimated to be $6.3 million at September 30, 2022, to be recognized over a weighted-average period of approximately 1.7 years.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Equity Incentive Plan</w:t>
      </w:r>
    </w:p>
    <w:p>
      <w:pPr>
        <w:spacing w:after="0" w:line="117" w:lineRule="exact"/>
        <w:rPr>
          <w:sz w:val="20"/>
          <w:szCs w:val="20"/>
          <w:color w:val="auto"/>
        </w:rPr>
      </w:pPr>
    </w:p>
    <w:p>
      <w:pPr>
        <w:ind w:right="280" w:firstLine="509"/>
        <w:spacing w:after="0" w:line="260" w:lineRule="auto"/>
        <w:rPr>
          <w:sz w:val="20"/>
          <w:szCs w:val="20"/>
          <w:color w:val="auto"/>
        </w:rPr>
      </w:pPr>
      <w:r>
        <w:rPr>
          <w:rFonts w:ascii="Arial" w:cs="Arial" w:eastAsia="Arial" w:hAnsi="Arial"/>
          <w:sz w:val="17"/>
          <w:szCs w:val="17"/>
          <w:color w:val="auto"/>
        </w:rPr>
        <w:t>The AIDH Topco, LLC 2019 Equity Incentive Plan (the “2019 Plan”) was utilized prior to the Reorganization Transactions and the IPO for the issuance of equity awards in the form of Class B units to employees, consultants, directors, managers, or others providing services to the Company. In connection with the Reorganization Transactions and the IPO, unvested Class B Units held directly by employees of the Company or indirectly through Definitive OpCo, were exchanged for unvested Definitive OpCo units based on their respective participation thresholds and the IPO price of $27.00 per share. The Company no longer grants any awards under the 2019 Plan, though previously granted awards under the 2019 Plan remain outstanding and governed by the 2019 Plan, including unvested units.</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unvested unit activity.</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160" w:type="dxa"/>
            <w:vAlign w:val="bottom"/>
          </w:tcPr>
          <w:p>
            <w:pPr>
              <w:spacing w:after="0"/>
              <w:rPr>
                <w:sz w:val="16"/>
                <w:szCs w:val="16"/>
                <w:color w:val="auto"/>
              </w:rPr>
            </w:pPr>
          </w:p>
        </w:tc>
        <w:tc>
          <w:tcPr>
            <w:tcW w:w="2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Time-Based</w:t>
            </w: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61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jc w:val="center"/>
              <w:ind w:right="258"/>
              <w:spacing w:after="0" w:line="160"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3"/>
                <w:szCs w:val="13"/>
                <w:color w:val="auto"/>
              </w:rPr>
            </w:pPr>
          </w:p>
        </w:tc>
      </w:tr>
      <w:tr>
        <w:trPr>
          <w:trHeight w:val="175"/>
        </w:trPr>
        <w:tc>
          <w:tcPr>
            <w:tcW w:w="6160" w:type="dxa"/>
            <w:vAlign w:val="bottom"/>
          </w:tcPr>
          <w:p>
            <w:pPr>
              <w:spacing w:after="0"/>
              <w:rPr>
                <w:sz w:val="15"/>
                <w:szCs w:val="15"/>
                <w:color w:val="auto"/>
              </w:rPr>
            </w:pPr>
          </w:p>
        </w:tc>
        <w:tc>
          <w:tcPr>
            <w:tcW w:w="20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Non-Vested</w:t>
            </w:r>
          </w:p>
        </w:tc>
        <w:tc>
          <w:tcPr>
            <w:tcW w:w="340" w:type="dxa"/>
            <w:vAlign w:val="bottom"/>
          </w:tcPr>
          <w:p>
            <w:pPr>
              <w:spacing w:after="0"/>
              <w:rPr>
                <w:sz w:val="15"/>
                <w:szCs w:val="15"/>
                <w:color w:val="auto"/>
              </w:rPr>
            </w:pPr>
          </w:p>
        </w:tc>
        <w:tc>
          <w:tcPr>
            <w:tcW w:w="1480" w:type="dxa"/>
            <w:vAlign w:val="bottom"/>
          </w:tcPr>
          <w:p>
            <w:pPr>
              <w:jc w:val="center"/>
              <w:ind w:right="258"/>
              <w:spacing w:after="0"/>
              <w:rPr>
                <w:sz w:val="20"/>
                <w:szCs w:val="20"/>
                <w:color w:val="auto"/>
              </w:rPr>
            </w:pPr>
            <w:r>
              <w:rPr>
                <w:rFonts w:ascii="Arial" w:cs="Arial" w:eastAsia="Arial" w:hAnsi="Arial"/>
                <w:sz w:val="14"/>
                <w:szCs w:val="14"/>
                <w:b w:val="1"/>
                <w:bCs w:val="1"/>
                <w:color w:val="auto"/>
                <w:w w:val="93"/>
              </w:rPr>
              <w:t>Average Grant</w:t>
            </w:r>
          </w:p>
        </w:tc>
        <w:tc>
          <w:tcPr>
            <w:tcW w:w="100" w:type="dxa"/>
            <w:vAlign w:val="bottom"/>
          </w:tcPr>
          <w:p>
            <w:pPr>
              <w:spacing w:after="0"/>
              <w:rPr>
                <w:sz w:val="15"/>
                <w:szCs w:val="15"/>
                <w:color w:val="auto"/>
              </w:rPr>
            </w:pPr>
          </w:p>
        </w:tc>
      </w:tr>
      <w:tr>
        <w:trPr>
          <w:trHeight w:val="185"/>
        </w:trPr>
        <w:tc>
          <w:tcPr>
            <w:tcW w:w="6160" w:type="dxa"/>
            <w:vAlign w:val="bottom"/>
          </w:tcPr>
          <w:p>
            <w:pPr>
              <w:spacing w:after="0"/>
              <w:rPr>
                <w:sz w:val="16"/>
                <w:szCs w:val="16"/>
                <w:color w:val="auto"/>
              </w:rPr>
            </w:pPr>
          </w:p>
        </w:tc>
        <w:tc>
          <w:tcPr>
            <w:tcW w:w="202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Units</w:t>
            </w:r>
          </w:p>
        </w:tc>
        <w:tc>
          <w:tcPr>
            <w:tcW w:w="340" w:type="dxa"/>
            <w:vAlign w:val="bottom"/>
          </w:tcPr>
          <w:p>
            <w:pPr>
              <w:spacing w:after="0"/>
              <w:rPr>
                <w:sz w:val="16"/>
                <w:szCs w:val="16"/>
                <w:color w:val="auto"/>
              </w:rPr>
            </w:pPr>
          </w:p>
        </w:tc>
        <w:tc>
          <w:tcPr>
            <w:tcW w:w="1480" w:type="dxa"/>
            <w:vAlign w:val="bottom"/>
          </w:tcPr>
          <w:p>
            <w:pPr>
              <w:jc w:val="center"/>
              <w:ind w:right="258"/>
              <w:spacing w:after="0"/>
              <w:rPr>
                <w:sz w:val="20"/>
                <w:szCs w:val="20"/>
                <w:color w:val="auto"/>
              </w:rPr>
            </w:pPr>
            <w:r>
              <w:rPr>
                <w:rFonts w:ascii="Arial" w:cs="Arial" w:eastAsia="Arial" w:hAnsi="Arial"/>
                <w:sz w:val="14"/>
                <w:szCs w:val="14"/>
                <w:b w:val="1"/>
                <w:bCs w:val="1"/>
                <w:color w:val="auto"/>
                <w:w w:val="96"/>
              </w:rPr>
              <w:t>Date Fair Value</w:t>
            </w:r>
          </w:p>
        </w:tc>
        <w:tc>
          <w:tcPr>
            <w:tcW w:w="100" w:type="dxa"/>
            <w:vAlign w:val="bottom"/>
          </w:tcPr>
          <w:p>
            <w:pPr>
              <w:spacing w:after="0"/>
              <w:rPr>
                <w:sz w:val="16"/>
                <w:szCs w:val="16"/>
                <w:color w:val="auto"/>
              </w:rPr>
            </w:pPr>
          </w:p>
        </w:tc>
      </w:tr>
      <w:tr>
        <w:trPr>
          <w:trHeight w:val="20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Unvested at December 31, 2021</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2,756,406</w:t>
            </w:r>
          </w:p>
        </w:tc>
        <w:tc>
          <w:tcPr>
            <w:tcW w:w="2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FF0FC"/>
          </w:tcPr>
          <w:p>
            <w:pPr>
              <w:spacing w:after="0"/>
              <w:rPr>
                <w:sz w:val="18"/>
                <w:szCs w:val="18"/>
                <w:color w:val="auto"/>
              </w:rPr>
            </w:pPr>
          </w:p>
        </w:tc>
      </w:tr>
      <w:tr>
        <w:trPr>
          <w:trHeight w:val="216"/>
        </w:trPr>
        <w:tc>
          <w:tcPr>
            <w:tcW w:w="6160" w:type="dxa"/>
            <w:vAlign w:val="bottom"/>
          </w:tcPr>
          <w:p>
            <w:pPr>
              <w:ind w:left="100"/>
              <w:spacing w:after="0"/>
              <w:rPr>
                <w:sz w:val="20"/>
                <w:szCs w:val="20"/>
                <w:color w:val="auto"/>
              </w:rPr>
            </w:pPr>
            <w:r>
              <w:rPr>
                <w:rFonts w:ascii="Arial" w:cs="Arial" w:eastAsia="Arial" w:hAnsi="Arial"/>
                <w:sz w:val="18"/>
                <w:szCs w:val="18"/>
                <w:color w:val="auto"/>
              </w:rPr>
              <w:t>Vested</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(906,377 )</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r>
      <w:tr>
        <w:trPr>
          <w:trHeight w:val="216"/>
        </w:trPr>
        <w:tc>
          <w:tcPr>
            <w:tcW w:w="61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Forfeited</w:t>
            </w:r>
          </w:p>
        </w:tc>
        <w:tc>
          <w:tcPr>
            <w:tcW w:w="2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(61,905 )</w:t>
            </w:r>
          </w:p>
        </w:tc>
        <w:tc>
          <w:tcPr>
            <w:tcW w:w="3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FF0FC"/>
          </w:tcPr>
          <w:p>
            <w:pPr>
              <w:spacing w:after="0"/>
              <w:rPr>
                <w:sz w:val="18"/>
                <w:szCs w:val="18"/>
                <w:color w:val="auto"/>
              </w:rPr>
            </w:pPr>
          </w:p>
        </w:tc>
      </w:tr>
      <w:tr>
        <w:trPr>
          <w:trHeight w:val="210"/>
        </w:trPr>
        <w:tc>
          <w:tcPr>
            <w:tcW w:w="61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Unvested at September 30, 2022</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1,788,124</w:t>
            </w:r>
          </w:p>
        </w:tc>
        <w:tc>
          <w:tcPr>
            <w:tcW w:w="28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top w:val="single" w:sz="8" w:color="CFF0FC"/>
            </w:tcBorders>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-170815</wp:posOffset>
            </wp:positionV>
            <wp:extent cx="60325"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74" w:lineRule="exact"/>
        <w:rPr>
          <w:sz w:val="20"/>
          <w:szCs w:val="20"/>
          <w:color w:val="auto"/>
        </w:rPr>
      </w:pPr>
    </w:p>
    <w:p>
      <w:pPr>
        <w:ind w:firstLine="509"/>
        <w:spacing w:after="0" w:line="260" w:lineRule="auto"/>
        <w:rPr>
          <w:sz w:val="20"/>
          <w:szCs w:val="20"/>
          <w:color w:val="auto"/>
        </w:rPr>
      </w:pPr>
      <w:r>
        <w:rPr>
          <w:rFonts w:ascii="Arial" w:cs="Arial" w:eastAsia="Arial" w:hAnsi="Arial"/>
          <w:sz w:val="17"/>
          <w:szCs w:val="17"/>
          <w:color w:val="auto"/>
        </w:rPr>
        <w:t>The Company recorded $1.5 million and $4.5 million in stock-based compensation expense associated with these units in the three and nine months ended September 30, 2022, respectively. The Company recorded $0.8 million and $1.7 million in stock-based compensation expense associated with these units in the three and nine months ended September 30, 2021, respectively. The Company also recorded $1.9 million in incremental compensation expense in the third quarter of 2021 associated with the acceleration of an equity-based award upon retirement of an executive officer. At September 30, 2022, the Company had approximately $10.6 million of unrecognized unit-based compensation expense for unvested units, which is expected to be recognized over a weighted-average period of approximately 1.9 years.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Retirement Plan</w:t>
      </w:r>
    </w:p>
    <w:p>
      <w:pPr>
        <w:spacing w:after="0" w:line="108"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auto"/>
        </w:rPr>
        <w:t>The Company has a 401(k) plan covering all employees who have met certain eligibility requirements. The Company made matching contributions in accordance with the plan documents. The Company incurred $0.7 million and $2.6 million in employer matching contributions during the three and nine months ended September 30, 2022, respectively, and $0.6 million and $1.7 million during the three and nine months ended September 30, 2021,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w:t>
      </w:r>
    </w:p>
    <w:p>
      <w:pPr>
        <w:spacing w:after="0" w:line="108"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During the three months ended September 30, 2022, management performed an assessment of the recoverability of deferred tax assets. Management determined, based on the accounting standards applicable to such assessment, that there was sufficient negative evidence as a result of the Company’s scheduled reversal of deferred tax liabilities and cumulative losses to conclude it was more likely than not that its deferred tax assets would not be realized and has recorded a valuation allowance against its deferred tax assets that are not more likely than not to be realized. In the event that management was to determine that the Company would be able to</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7" w:name="page28"/>
    <w:bookmarkEnd w:id="27"/>
    <w:p>
      <w:pPr>
        <w:ind w:right="280"/>
        <w:spacing w:after="0" w:line="277" w:lineRule="auto"/>
        <w:rPr>
          <w:sz w:val="20"/>
          <w:szCs w:val="20"/>
          <w:color w:val="auto"/>
        </w:rPr>
      </w:pPr>
      <w:r>
        <w:rPr>
          <w:rFonts w:ascii="Arial" w:cs="Arial" w:eastAsia="Arial" w:hAnsi="Arial"/>
          <w:sz w:val="18"/>
          <w:szCs w:val="18"/>
          <w:color w:val="auto"/>
        </w:rPr>
        <w:t>realize its deferred tax assets in the future in excess of their net recorded amount, an adjustment to the valuation allowance would be made which would reduce the provision for income taxes.</w:t>
      </w:r>
    </w:p>
    <w:p>
      <w:pPr>
        <w:spacing w:after="0" w:line="49"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As of September 30, 2022, the Company has recorded a net deferred tax liability of $91.5 million. The net deferred tax liability reflects a valuation allowance against deferred tax assets that are more likely than not to not be realized as well as reversing taxable temporary differences that will not provide a source of taxable income due to attribute limitation rules.</w:t>
      </w:r>
    </w:p>
    <w:p>
      <w:pPr>
        <w:spacing w:after="0" w:line="67" w:lineRule="exact"/>
        <w:rPr>
          <w:sz w:val="20"/>
          <w:szCs w:val="20"/>
          <w:color w:val="auto"/>
        </w:rPr>
      </w:pPr>
    </w:p>
    <w:p>
      <w:pPr>
        <w:ind w:right="380" w:firstLine="509"/>
        <w:spacing w:after="0" w:line="324" w:lineRule="auto"/>
        <w:rPr>
          <w:sz w:val="20"/>
          <w:szCs w:val="20"/>
          <w:color w:val="auto"/>
        </w:rPr>
      </w:pPr>
      <w:r>
        <w:rPr>
          <w:rFonts w:ascii="Arial" w:cs="Arial" w:eastAsia="Arial" w:hAnsi="Arial"/>
          <w:sz w:val="16"/>
          <w:szCs w:val="16"/>
          <w:color w:val="auto"/>
        </w:rPr>
        <w:t>The Company recognizes uncertain income tax positions when it is more-likely-than-not the position will be sustained upon examination. As of September 30, 2022 and December 31, 2021, the Company has not identified any uncertain tax positions and has not recognized any related reserves.</w:t>
      </w:r>
    </w:p>
    <w:p>
      <w:pPr>
        <w:spacing w:after="0" w:line="30"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The Company's effective tax rate was 0.2% and (0.3%) for the three months ended September 30, 2022 and 2021, respectively, and 0.5% and (0.3%) for the nine months ended September 30, 2022 and 2021, respectively. The Company’s effective tax rate differs from the statutory tax rate of 21% due to the valuation allowance recorded, foreign tax rates that differ from the U.S. statutory tax rate, and partnership income that is not taxed.</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firstLine="509"/>
        <w:spacing w:after="0" w:line="260" w:lineRule="auto"/>
        <w:rPr>
          <w:sz w:val="20"/>
          <w:szCs w:val="20"/>
          <w:color w:val="auto"/>
        </w:rPr>
      </w:pPr>
      <w:r>
        <w:rPr>
          <w:rFonts w:ascii="Arial" w:cs="Arial" w:eastAsia="Arial" w:hAnsi="Arial"/>
          <w:sz w:val="17"/>
          <w:szCs w:val="17"/>
          <w:color w:val="auto"/>
        </w:rPr>
        <w:t>Pursuant to the Company's election under Section 754 of the Internal Revenue Code (the "Code"), the Company expects to obtain an increase in its share of the tax basis in the net assets of AIDH Topco, LLC when LLC Interests are redeemed or exchanged by other members. The Company plans to make an election under Section 754 of the Code for each taxable year in which a redemption of exchange of LLC Interest occurs. The Company intends to treat any redemptions and exchanges of LLC Interest as direct purchases of LLC Interests for U.S. federal income tax purposes. These increases in tax basis may reduce the amounts that would otherwise be paid in the future to various tax authorities. They may also decrease gains (or increase losses) on future dispositions of certain capital assets to the extent tax basis is allocated to those capital assets.</w:t>
      </w:r>
    </w:p>
    <w:p>
      <w:pPr>
        <w:spacing w:after="0" w:line="79"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In connection with the IPO, the Company entered into a Tax Receivable Agreement ("TRA") and has recorded a liability under the TRA of $157.2 million as of September 30, 2022. During the three and nine months ended September 30, 2022, the Company recognized a TRA remeasurement gain of $5.2 million and $8.3 million within Other income, net in the Company’s condensed consolidated statements of operations. Under the TRA, the Company generally will be required to pay to the Original LLC Unitholders 85% of the amount of cash savings, if any, in U.S. federal, state, or local tax that the Company actually realizes directly or indirectly (or are deemed to realize in certain circumstances) as a result of (i) certain tax attributes created as a result of any sales or exchanges (as determined for U.S. federal income tax purposes) to or with the Company of their interests in AIDH TopCo, LLC, including any basis adjustment relating to the assets of AIDH TopCo, LLC, (ii) existing tax attributes acquired by the Company in the pre-IPO restructuring, and (iii) tax benefits attributable to payments made under the TRA. The Company expects to benefit from the remaining 15% of any tax benefits that it may actually realize. To the extent that the Company is unable to timely make payments under the TRA for any reason, such payments generally will be deferred and will accrue interest until paid. No amounts are expected to be paid within the next 12 months.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Loss Per Share</w:t>
      </w:r>
    </w:p>
    <w:p>
      <w:pPr>
        <w:spacing w:after="0" w:line="108"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Basic net loss per share of Class A Common Stock is computed by dividing net income attributable to Definitive Healthcare Corp. by the weighted-average number of shares of Class A Common Stock outstanding during the period, excluding unvested equity awards and subsidiary member units not exchanged. Diluted earnings per share of Class A Common Stock is calculated by dividing net income attributable to Definitive Healthcare Corp., adjusted for the assumed exchange of all potentially dilutive securities by the weighted-average number of shares of Class A Common Stock outstanding.</w:t>
      </w:r>
    </w:p>
    <w:p>
      <w:pPr>
        <w:spacing w:after="0" w:line="42"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auto"/>
        </w:rPr>
        <w:t>The following table sets forth reconciliations of the numerators and denominators used to compute basic and diluted net loss per share of Class A Common Stock for the three and nine months ended September 30, 2022 and 2021. The basic and diluted earnings per share for the three and nine months ended September 30, 2021 reflects only the period from September 15, 2021 to September 30, 2021, which represents the period wherein the Company had outstanding Class A Common Stock.</w:t>
      </w:r>
    </w:p>
    <w:p>
      <w:pPr>
        <w:sectPr>
          <w:pgSz w:w="11900" w:h="16838" w:orient="portrait"/>
          <w:cols w:equalWidth="0" w:num="1">
            <w:col w:w="11240"/>
          </w:cols>
          <w:pgMar w:left="320" w:top="436"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80"/>
        <w:spacing w:after="0"/>
        <w:rPr>
          <w:sz w:val="20"/>
          <w:szCs w:val="20"/>
          <w:color w:val="auto"/>
        </w:rPr>
      </w:pPr>
      <w:r>
        <w:rPr>
          <w:rFonts w:ascii="Arial" w:cs="Arial" w:eastAsia="Arial" w:hAnsi="Arial"/>
          <w:sz w:val="14"/>
          <w:szCs w:val="14"/>
          <w:b w:val="1"/>
          <w:bCs w:val="1"/>
          <w:i w:val="1"/>
          <w:iCs w:val="1"/>
          <w:color w:val="auto"/>
        </w:rPr>
        <w:t>(in thousands)</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Numerator:</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580" w:right="120"/>
        <w:spacing w:after="0" w:line="234" w:lineRule="auto"/>
        <w:rPr>
          <w:sz w:val="20"/>
          <w:szCs w:val="20"/>
          <w:color w:val="auto"/>
        </w:rPr>
      </w:pPr>
      <w:r>
        <w:rPr>
          <w:rFonts w:ascii="Arial" w:cs="Arial" w:eastAsia="Arial" w:hAnsi="Arial"/>
          <w:sz w:val="18"/>
          <w:szCs w:val="18"/>
          <w:color w:val="auto"/>
        </w:rPr>
        <w:t>Less: Net loss attributable to Definitive OpCo prior to the Reorganization Transactions</w:t>
      </w:r>
    </w:p>
    <w:p>
      <w:pPr>
        <w:spacing w:after="0" w:line="1" w:lineRule="exact"/>
        <w:rPr>
          <w:sz w:val="20"/>
          <w:szCs w:val="20"/>
          <w:color w:val="auto"/>
        </w:rPr>
      </w:pPr>
    </w:p>
    <w:p>
      <w:pPr>
        <w:ind w:left="580" w:right="460"/>
        <w:spacing w:after="0" w:line="393" w:lineRule="auto"/>
        <w:rPr>
          <w:sz w:val="20"/>
          <w:szCs w:val="20"/>
          <w:color w:val="auto"/>
        </w:rPr>
      </w:pPr>
      <w:r>
        <w:rPr>
          <w:rFonts w:ascii="Arial" w:cs="Arial" w:eastAsia="Arial" w:hAnsi="Arial"/>
          <w:sz w:val="16"/>
          <w:szCs w:val="16"/>
          <w:color w:val="auto"/>
        </w:rPr>
        <w:t>Less: Net loss attributable to noncontrolling interests Net loss attributable to Definitive Healthcare Corp.</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14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93"/>
              </w:rPr>
              <w:t>Three Months</w:t>
            </w:r>
          </w:p>
        </w:tc>
        <w:tc>
          <w:tcPr>
            <w:tcW w:w="120" w:type="dxa"/>
            <w:vAlign w:val="bottom"/>
          </w:tcPr>
          <w:p>
            <w:pPr>
              <w:spacing w:after="0"/>
              <w:rPr>
                <w:sz w:val="14"/>
                <w:szCs w:val="14"/>
                <w:color w:val="auto"/>
              </w:rPr>
            </w:pPr>
          </w:p>
        </w:tc>
        <w:tc>
          <w:tcPr>
            <w:tcW w:w="1300" w:type="dxa"/>
            <w:vAlign w:val="bottom"/>
            <w:gridSpan w:val="3"/>
          </w:tcPr>
          <w:p>
            <w:pPr>
              <w:jc w:val="center"/>
              <w:ind w:right="150"/>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4"/>
                <w:szCs w:val="14"/>
                <w:color w:val="auto"/>
              </w:rPr>
            </w:pPr>
          </w:p>
        </w:tc>
        <w:tc>
          <w:tcPr>
            <w:tcW w:w="104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9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04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September</w:t>
            </w:r>
          </w:p>
        </w:tc>
        <w:tc>
          <w:tcPr>
            <w:tcW w:w="120" w:type="dxa"/>
            <w:vAlign w:val="bottom"/>
          </w:tcPr>
          <w:p>
            <w:pPr>
              <w:spacing w:after="0"/>
              <w:rPr>
                <w:sz w:val="12"/>
                <w:szCs w:val="12"/>
                <w:color w:val="auto"/>
              </w:rPr>
            </w:pPr>
          </w:p>
        </w:tc>
        <w:tc>
          <w:tcPr>
            <w:tcW w:w="1300" w:type="dxa"/>
            <w:vAlign w:val="bottom"/>
            <w:gridSpan w:val="3"/>
          </w:tcPr>
          <w:p>
            <w:pPr>
              <w:jc w:val="center"/>
              <w:ind w:right="15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140" w:type="dxa"/>
            <w:vAlign w:val="bottom"/>
            <w:gridSpan w:val="3"/>
          </w:tcPr>
          <w:p>
            <w:pPr>
              <w:jc w:val="center"/>
              <w:ind w:right="5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1120" w:type="dxa"/>
            <w:vAlign w:val="bottom"/>
            <w:gridSpan w:val="3"/>
          </w:tcPr>
          <w:p>
            <w:pPr>
              <w:jc w:val="center"/>
              <w:ind w:right="3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30, 2022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(6,354 )</w:t>
            </w:r>
          </w:p>
        </w:tc>
        <w:tc>
          <w:tcPr>
            <w:tcW w:w="34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(20,966 )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(28,990 )</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(46,493 )</w:t>
            </w: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(7,816 )</w:t>
            </w:r>
          </w:p>
        </w:tc>
        <w:tc>
          <w:tcPr>
            <w:tcW w:w="100" w:type="dxa"/>
            <w:vAlign w:val="bottom"/>
          </w:tcPr>
          <w:p>
            <w:pPr>
              <w:spacing w:after="0"/>
              <w:rPr>
                <w:sz w:val="24"/>
                <w:szCs w:val="24"/>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(33,343 )</w:t>
            </w: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(3,665 )</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(5,172 )</w:t>
            </w:r>
          </w:p>
        </w:tc>
        <w:tc>
          <w:tcPr>
            <w:tcW w:w="1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(12,527 )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(5,172 )</w:t>
            </w:r>
          </w:p>
        </w:tc>
        <w:tc>
          <w:tcPr>
            <w:tcW w:w="0" w:type="dxa"/>
            <w:vAlign w:val="bottom"/>
          </w:tcPr>
          <w:p>
            <w:pPr>
              <w:spacing w:after="0"/>
              <w:rPr>
                <w:sz w:val="1"/>
                <w:szCs w:val="1"/>
                <w:color w:val="auto"/>
              </w:rPr>
            </w:pPr>
          </w:p>
        </w:tc>
      </w:tr>
      <w:tr>
        <w:trPr>
          <w:trHeight w:val="210"/>
        </w:trPr>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(2,689</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(7,978</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(16,463</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(7,978</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-839470</wp:posOffset>
            </wp:positionV>
            <wp:extent cx="641223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-565150</wp:posOffset>
            </wp:positionV>
            <wp:extent cx="6412230" cy="2571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412230" cy="25717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-162560</wp:posOffset>
            </wp:positionV>
            <wp:extent cx="6412230" cy="1631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4900" w:space="720"/>
            <w:col w:w="5620"/>
          </w:cols>
          <w:pgMar w:left="320" w:top="436"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type w:val="continuous"/>
        </w:sectPr>
      </w:pPr>
    </w:p>
    <w:bookmarkStart w:id="28" w:name="page29"/>
    <w:bookmarkEnd w:id="28"/>
    <w:p>
      <w:pPr>
        <w:ind w:firstLine="509"/>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of Class A Common Stock for the three and nine months ended September 30, 2022 and 2021 (per share amounts unaudited).</w:t>
      </w:r>
    </w:p>
    <w:p>
      <w:pPr>
        <w:spacing w:after="0" w:line="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w w:val="91"/>
              </w:rPr>
              <w:t>Three Months</w:t>
            </w:r>
          </w:p>
        </w:tc>
        <w:tc>
          <w:tcPr>
            <w:tcW w:w="120" w:type="dxa"/>
            <w:vAlign w:val="bottom"/>
          </w:tcPr>
          <w:p>
            <w:pPr>
              <w:spacing w:after="0"/>
              <w:rPr>
                <w:sz w:val="14"/>
                <w:szCs w:val="14"/>
                <w:color w:val="auto"/>
              </w:rPr>
            </w:pPr>
          </w:p>
        </w:tc>
        <w:tc>
          <w:tcPr>
            <w:tcW w:w="124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2"/>
              </w:rPr>
              <w:t>Nine Months</w:t>
            </w:r>
          </w:p>
        </w:tc>
        <w:tc>
          <w:tcPr>
            <w:tcW w:w="100" w:type="dxa"/>
            <w:vAlign w:val="bottom"/>
          </w:tcPr>
          <w:p>
            <w:pPr>
              <w:spacing w:after="0"/>
              <w:rPr>
                <w:sz w:val="14"/>
                <w:szCs w:val="14"/>
                <w:color w:val="auto"/>
              </w:rPr>
            </w:pPr>
          </w:p>
        </w:tc>
        <w:tc>
          <w:tcPr>
            <w:tcW w:w="112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7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12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 September</w:t>
            </w:r>
          </w:p>
        </w:tc>
        <w:tc>
          <w:tcPr>
            <w:tcW w:w="140" w:type="dxa"/>
            <w:vAlign w:val="bottom"/>
          </w:tcPr>
          <w:p>
            <w:pPr>
              <w:spacing w:after="0"/>
              <w:rPr>
                <w:sz w:val="12"/>
                <w:szCs w:val="12"/>
                <w:color w:val="auto"/>
              </w:rPr>
            </w:pP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 September</w:t>
            </w:r>
          </w:p>
        </w:tc>
        <w:tc>
          <w:tcPr>
            <w:tcW w:w="120" w:type="dxa"/>
            <w:vAlign w:val="bottom"/>
          </w:tcPr>
          <w:p>
            <w:pPr>
              <w:spacing w:after="0"/>
              <w:rPr>
                <w:sz w:val="12"/>
                <w:szCs w:val="12"/>
                <w:color w:val="auto"/>
              </w:rPr>
            </w:pPr>
          </w:p>
        </w:tc>
        <w:tc>
          <w:tcPr>
            <w:tcW w:w="1240" w:type="dxa"/>
            <w:vAlign w:val="bottom"/>
            <w:gridSpan w:val="2"/>
          </w:tcPr>
          <w:p>
            <w:pPr>
              <w:jc w:val="center"/>
              <w:ind w:right="27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2"/>
                <w:szCs w:val="12"/>
                <w:color w:val="auto"/>
              </w:rPr>
            </w:pPr>
          </w:p>
        </w:tc>
        <w:tc>
          <w:tcPr>
            <w:tcW w:w="112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8"/>
        </w:trPr>
        <w:tc>
          <w:tcPr>
            <w:tcW w:w="47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 except number of shares and per share amounts)</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30, 2022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30, 2021</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Arial" w:cs="Arial" w:eastAsia="Arial" w:hAnsi="Arial"/>
                <w:sz w:val="18"/>
                <w:szCs w:val="18"/>
                <w:color w:val="auto"/>
                <w:w w:val="97"/>
              </w:rPr>
              <w:t>Basic net loss per share attributable to common stockholders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740" w:type="dxa"/>
            <w:vAlign w:val="bottom"/>
          </w:tcPr>
          <w:p>
            <w:pPr>
              <w:ind w:left="180"/>
              <w:spacing w:after="0" w:line="175" w:lineRule="exact"/>
              <w:rPr>
                <w:sz w:val="20"/>
                <w:szCs w:val="20"/>
                <w:color w:val="auto"/>
              </w:rPr>
            </w:pPr>
            <w:r>
              <w:rPr>
                <w:rFonts w:ascii="Arial" w:cs="Arial" w:eastAsia="Arial" w:hAnsi="Arial"/>
                <w:sz w:val="18"/>
                <w:szCs w:val="18"/>
                <w:color w:val="auto"/>
              </w:rPr>
              <w:t>Allocation of net loss attributable to Definitive Healthcare</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Corp.</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(2,689 )</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(7,978 )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(16,463 )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(7,978 )</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740" w:type="dxa"/>
            <w:vAlign w:val="bottom"/>
          </w:tcPr>
          <w:p>
            <w:pPr>
              <w:ind w:left="180"/>
              <w:spacing w:after="0" w:line="175" w:lineRule="exact"/>
              <w:rPr>
                <w:sz w:val="20"/>
                <w:szCs w:val="20"/>
                <w:color w:val="auto"/>
              </w:rPr>
            </w:pPr>
            <w:r>
              <w:rPr>
                <w:rFonts w:ascii="Arial" w:cs="Arial" w:eastAsia="Arial" w:hAnsi="Arial"/>
                <w:sz w:val="18"/>
                <w:szCs w:val="18"/>
                <w:color w:val="auto"/>
                <w:w w:val="99"/>
              </w:rPr>
              <w:t>Weighted average number of shares of Class A Common</w:t>
            </w: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102,904,565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88,263,333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99,776,742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88,263,333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740" w:type="dxa"/>
            <w:vAlign w:val="bottom"/>
          </w:tcPr>
          <w:p>
            <w:pPr>
              <w:ind w:left="180"/>
              <w:spacing w:after="0"/>
              <w:rPr>
                <w:sz w:val="20"/>
                <w:szCs w:val="20"/>
                <w:color w:val="auto"/>
              </w:rPr>
            </w:pPr>
            <w:r>
              <w:rPr>
                <w:rFonts w:ascii="Arial" w:cs="Arial" w:eastAsia="Arial" w:hAnsi="Arial"/>
                <w:sz w:val="18"/>
                <w:szCs w:val="18"/>
                <w:color w:val="auto"/>
              </w:rPr>
              <w:t>Stock outstanding</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-25400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-25400</wp:posOffset>
            </wp:positionV>
            <wp:extent cx="603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03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-25400</wp:posOffset>
            </wp:positionV>
            <wp:extent cx="596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596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jc w:val="both"/>
        <w:ind w:right="220" w:firstLine="509"/>
        <w:spacing w:after="0" w:line="256" w:lineRule="auto"/>
        <w:rPr>
          <w:sz w:val="20"/>
          <w:szCs w:val="20"/>
          <w:color w:val="auto"/>
        </w:rPr>
      </w:pPr>
      <w:r>
        <w:rPr>
          <w:rFonts w:ascii="Arial" w:cs="Arial" w:eastAsia="Arial" w:hAnsi="Arial"/>
          <w:sz w:val="18"/>
          <w:szCs w:val="18"/>
          <w:color w:val="242424"/>
        </w:rPr>
        <w:t>Shares of the Company’s Class B Common Stock do not participate in the earnings or losses of Definitive Healthcare Corp. and are therefore not participating securities. As such, separate presentation of basic and diluted earnings per share of Class B Common Stock under the two-class method has not been presented.</w:t>
      </w:r>
    </w:p>
    <w:p>
      <w:pPr>
        <w:spacing w:after="0" w:line="80"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242424"/>
        </w:rPr>
        <w:t>The following table presents potentially dilutive securities excluded from the computation of diluted net loss per share for the period presented because their effect would have been anti-dilutive:</w:t>
      </w:r>
    </w:p>
    <w:p>
      <w:pPr>
        <w:spacing w:after="0" w:line="5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660" w:type="dxa"/>
            <w:vAlign w:val="bottom"/>
          </w:tcPr>
          <w:p>
            <w:pPr>
              <w:jc w:val="right"/>
              <w:ind w:right="159"/>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jc w:val="right"/>
              <w:ind w:right="139"/>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85"/>
        </w:trPr>
        <w:tc>
          <w:tcPr>
            <w:tcW w:w="6440" w:type="dxa"/>
            <w:vAlign w:val="bottom"/>
          </w:tcPr>
          <w:p>
            <w:pPr>
              <w:spacing w:after="0"/>
              <w:rPr>
                <w:sz w:val="16"/>
                <w:szCs w:val="16"/>
                <w:color w:val="auto"/>
              </w:rPr>
            </w:pPr>
          </w:p>
        </w:tc>
        <w:tc>
          <w:tcPr>
            <w:tcW w:w="16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6"/>
                <w:szCs w:val="16"/>
                <w:color w:val="auto"/>
              </w:rPr>
            </w:pP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Definitive OpCo Units (vested and unvested)</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50,566,898</w:t>
            </w:r>
          </w:p>
        </w:tc>
        <w:tc>
          <w:tcPr>
            <w:tcW w:w="12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60,020,525</w:t>
            </w:r>
          </w:p>
        </w:tc>
        <w:tc>
          <w:tcPr>
            <w:tcW w:w="100" w:type="dxa"/>
            <w:vAlign w:val="bottom"/>
            <w:shd w:val="clear" w:color="auto" w:fill="CFF0FC"/>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660" w:type="dxa"/>
            <w:vAlign w:val="bottom"/>
          </w:tcPr>
          <w:p>
            <w:pPr>
              <w:jc w:val="right"/>
              <w:spacing w:after="0"/>
              <w:rPr>
                <w:sz w:val="20"/>
                <w:szCs w:val="20"/>
                <w:color w:val="auto"/>
              </w:rPr>
            </w:pPr>
            <w:r>
              <w:rPr>
                <w:rFonts w:ascii="Arial" w:cs="Arial" w:eastAsia="Arial" w:hAnsi="Arial"/>
                <w:sz w:val="18"/>
                <w:szCs w:val="18"/>
                <w:color w:val="auto"/>
              </w:rPr>
              <w:t>3,411,944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1,462,025</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Segment and Geographic Data</w:t>
      </w:r>
    </w:p>
    <w:p>
      <w:pPr>
        <w:spacing w:after="0" w:line="108" w:lineRule="exact"/>
        <w:rPr>
          <w:sz w:val="20"/>
          <w:szCs w:val="20"/>
          <w:color w:val="auto"/>
        </w:rPr>
      </w:pPr>
    </w:p>
    <w:p>
      <w:pPr>
        <w:ind w:right="120" w:firstLine="509"/>
        <w:spacing w:after="0" w:line="249" w:lineRule="auto"/>
        <w:rPr>
          <w:sz w:val="20"/>
          <w:szCs w:val="20"/>
          <w:color w:val="auto"/>
        </w:rPr>
      </w:pPr>
      <w:r>
        <w:rPr>
          <w:rFonts w:ascii="Arial" w:cs="Arial" w:eastAsia="Arial" w:hAnsi="Arial"/>
          <w:sz w:val="18"/>
          <w:szCs w:val="18"/>
          <w:color w:val="auto"/>
        </w:rPr>
        <w:t>The Company operates as one operating segment. Operating segments are defined as components of the Company for which separate financial information is available and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 area presented based upon the location of the customer are as follows:</w:t>
      </w:r>
    </w:p>
    <w:p>
      <w:pPr>
        <w:spacing w:after="0" w:line="9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4"/>
          </w:tcPr>
          <w:p>
            <w:pPr>
              <w:jc w:val="right"/>
              <w:ind w:right="95"/>
              <w:spacing w:after="0"/>
              <w:rPr>
                <w:sz w:val="20"/>
                <w:szCs w:val="20"/>
                <w:color w:val="auto"/>
              </w:rPr>
            </w:pPr>
            <w:r>
              <w:rPr>
                <w:rFonts w:ascii="Arial" w:cs="Arial" w:eastAsia="Arial" w:hAnsi="Arial"/>
                <w:sz w:val="14"/>
                <w:szCs w:val="14"/>
                <w:b w:val="1"/>
                <w:bCs w:val="1"/>
                <w:color w:val="auto"/>
                <w:w w:val="94"/>
              </w:rPr>
              <w:t>For the Three Months Ended</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4"/>
          </w:tcPr>
          <w:p>
            <w:pPr>
              <w:jc w:val="right"/>
              <w:ind w:right="115"/>
              <w:spacing w:after="0"/>
              <w:rPr>
                <w:sz w:val="20"/>
                <w:szCs w:val="20"/>
                <w:color w:val="auto"/>
              </w:rPr>
            </w:pPr>
            <w:r>
              <w:rPr>
                <w:rFonts w:ascii="Arial" w:cs="Arial" w:eastAsia="Arial" w:hAnsi="Arial"/>
                <w:sz w:val="14"/>
                <w:szCs w:val="14"/>
                <w:b w:val="1"/>
                <w:bCs w:val="1"/>
                <w:color w:val="auto"/>
                <w:w w:val="94"/>
              </w:rPr>
              <w:t>For the Nine Months Ended</w:t>
            </w:r>
          </w:p>
        </w:tc>
        <w:tc>
          <w:tcPr>
            <w:tcW w:w="100" w:type="dxa"/>
            <w:vAlign w:val="bottom"/>
          </w:tcPr>
          <w:p>
            <w:pPr>
              <w:spacing w:after="0"/>
              <w:rPr>
                <w:sz w:val="14"/>
                <w:szCs w:val="14"/>
                <w:color w:val="auto"/>
              </w:rPr>
            </w:pPr>
          </w:p>
        </w:tc>
      </w:tr>
      <w:tr>
        <w:trPr>
          <w:trHeight w:val="185"/>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r>
      <w:tr>
        <w:trPr>
          <w:trHeight w:val="169"/>
        </w:trPr>
        <w:tc>
          <w:tcPr>
            <w:tcW w:w="51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54,483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40,863</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154,091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114,339</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Rest of world</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w:t>
            </w:r>
          </w:p>
        </w:tc>
        <w:tc>
          <w:tcPr>
            <w:tcW w:w="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7,963</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5,502</w:t>
            </w:r>
          </w:p>
        </w:tc>
        <w:tc>
          <w:tcPr>
            <w:tcW w:w="100" w:type="dxa"/>
            <w:vAlign w:val="bottom"/>
          </w:tcPr>
          <w:p>
            <w:pPr>
              <w:spacing w:after="0"/>
              <w:rPr>
                <w:sz w:val="18"/>
                <w:szCs w:val="18"/>
                <w:color w:val="auto"/>
              </w:rPr>
            </w:pPr>
          </w:p>
        </w:tc>
      </w:tr>
      <w:tr>
        <w:trPr>
          <w:trHeight w:val="250"/>
        </w:trPr>
        <w:tc>
          <w:tcPr>
            <w:tcW w:w="51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57,382</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43,084</w:t>
            </w:r>
          </w:p>
        </w:tc>
        <w:tc>
          <w:tcPr>
            <w:tcW w:w="6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162,054</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119,841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-24765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03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For a summary of our revenue disaggregated by service, refer to Note 4. </w:t>
      </w:r>
      <w:r>
        <w:rPr>
          <w:rFonts w:ascii="Arial" w:cs="Arial" w:eastAsia="Arial" w:hAnsi="Arial"/>
          <w:sz w:val="18"/>
          <w:szCs w:val="18"/>
          <w:i w:val="1"/>
          <w:iCs w:val="1"/>
          <w:color w:val="auto"/>
        </w:rPr>
        <w:t>Revenue</w:t>
      </w:r>
      <w:r>
        <w:rPr>
          <w:rFonts w:ascii="Arial" w:cs="Arial" w:eastAsia="Arial" w:hAnsi="Arial"/>
          <w:sz w:val="18"/>
          <w:szCs w:val="18"/>
          <w:color w:val="auto"/>
        </w:rPr>
        <w:t>.</w:t>
      </w:r>
    </w:p>
    <w:p>
      <w:pPr>
        <w:spacing w:after="0" w:line="117"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Long-lived assets by geographical region are based on the location of the legal entity that owns the assets. Long-lived assets by geographic area presented based upon the location of the assets are as follows:</w:t>
      </w:r>
    </w:p>
    <w:p>
      <w:pPr>
        <w:spacing w:after="0" w:line="5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197"/>
              <w:spacing w:after="0"/>
              <w:rPr>
                <w:sz w:val="20"/>
                <w:szCs w:val="20"/>
                <w:color w:val="auto"/>
              </w:rPr>
            </w:pPr>
            <w:r>
              <w:rPr>
                <w:rFonts w:ascii="Arial" w:cs="Arial" w:eastAsia="Arial" w:hAnsi="Arial"/>
                <w:sz w:val="14"/>
                <w:szCs w:val="14"/>
                <w:b w:val="1"/>
                <w:bCs w:val="1"/>
                <w:color w:val="auto"/>
                <w:w w:val="98"/>
              </w:rPr>
              <w:t>September 30,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197"/>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4"/>
                <w:szCs w:val="14"/>
                <w:color w:val="auto"/>
              </w:rPr>
            </w:pPr>
          </w:p>
        </w:tc>
      </w:tr>
      <w:tr>
        <w:trPr>
          <w:trHeight w:val="185"/>
        </w:trPr>
        <w:tc>
          <w:tcPr>
            <w:tcW w:w="69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4,705</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Rest of world</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8"/>
                <w:szCs w:val="18"/>
                <w:color w:val="auto"/>
              </w:rPr>
            </w:pPr>
          </w:p>
        </w:tc>
      </w:tr>
      <w:tr>
        <w:trPr>
          <w:trHeight w:val="250"/>
        </w:trPr>
        <w:tc>
          <w:tcPr>
            <w:tcW w:w="69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long-lived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4,581</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Parties</w:t>
      </w:r>
    </w:p>
    <w:p>
      <w:pPr>
        <w:spacing w:after="0" w:line="108"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231F20"/>
        </w:rPr>
        <w:t>The Company has engaged in revenue transactions within the ordinary course of business with entities affiliated with its private equity Sponsors and with members of the Company’s board of directors. During each of the three months ended September 30, 2022 and 2021 the Company recorded revenue from related parties of $0.2 million and $0.3 million, respectively. During each of the nine months ended September 30, 2022 and 2021 the Company recorded revenue from related parties of $0.7 million, respectively. The</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9" w:name="page30"/>
    <w:bookmarkEnd w:id="29"/>
    <w:p>
      <w:pPr>
        <w:spacing w:after="0" w:line="277" w:lineRule="auto"/>
        <w:rPr>
          <w:sz w:val="20"/>
          <w:szCs w:val="20"/>
          <w:color w:val="auto"/>
        </w:rPr>
      </w:pPr>
      <w:r>
        <w:rPr>
          <w:rFonts w:ascii="Arial" w:cs="Arial" w:eastAsia="Arial" w:hAnsi="Arial"/>
          <w:sz w:val="18"/>
          <w:szCs w:val="18"/>
          <w:color w:val="231F20"/>
        </w:rPr>
        <w:t>associated receivable for the related party revenue transactions amounted to $0.1 million and $0.6 million at September 30, 2022 and December 31, 2021, respectively.</w:t>
      </w:r>
    </w:p>
    <w:p>
      <w:pPr>
        <w:spacing w:after="0" w:line="49" w:lineRule="exact"/>
        <w:rPr>
          <w:sz w:val="20"/>
          <w:szCs w:val="20"/>
          <w:color w:val="auto"/>
        </w:rPr>
      </w:pPr>
    </w:p>
    <w:p>
      <w:pPr>
        <w:ind w:right="360" w:firstLine="509"/>
        <w:spacing w:after="0" w:line="268" w:lineRule="auto"/>
        <w:rPr>
          <w:sz w:val="20"/>
          <w:szCs w:val="20"/>
          <w:color w:val="auto"/>
        </w:rPr>
      </w:pPr>
      <w:r>
        <w:rPr>
          <w:rFonts w:ascii="Arial" w:cs="Arial" w:eastAsia="Arial" w:hAnsi="Arial"/>
          <w:sz w:val="17"/>
          <w:szCs w:val="17"/>
          <w:color w:val="231F20"/>
        </w:rPr>
        <w:t>The Company reimburses its private equity sponsors for services and any related travel and out-of-pocket expenses. Such expenses were not material for the three months ended September 30, 2022 and 2021 and for the nine months ended September 30, 2022. During the nine months ended September 30, 2021, the Company had expenses for services, travel and out-of-pocket expenses to its private equity sponsors of $0.2 million. The associated payable for the service transactions was not material at September 30, 2022 and December 31, 2021.</w:t>
      </w:r>
    </w:p>
    <w:p>
      <w:pPr>
        <w:spacing w:after="0" w:line="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36" w:right="459" w:bottom="1440" w:gutter="0" w:footer="0" w:header="0"/>
        </w:sectPr>
      </w:pPr>
    </w:p>
    <w:bookmarkStart w:id="30" w:name="page31"/>
    <w:bookmarkEnd w:id="30"/>
    <w:p>
      <w:pPr>
        <w:ind w:left="20"/>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121"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interim Condensed Consolidated Financial Statements and related notes included elsewhere in this Quarterly Report and with our audited Consolidated Financial Statements, “Risk Factors,” and “Management’s Discussion and Analysis of Financial Condition and Results of Operations” included in our 2021 Form 10-K filed with the Securities and Exchange Commission (“SEC”) on March 15, 2022.</w:t>
      </w:r>
    </w:p>
    <w:p>
      <w:pPr>
        <w:spacing w:after="0" w:line="73"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i w:val="1"/>
          <w:iCs w:val="1"/>
          <w:color w:val="auto"/>
        </w:rPr>
        <w:t>As discussed in “Cautionary Note Regarding Forward-Looking Statements,” the following discussion and analysis contains forward-looking statements that involve risks and uncertainties. Our actual results may materially differ from those discussed in such forward-looking statements. Factors that could cause or contribute to these differences include, but are not limited to, those identified below and those discussed in “Risk Factors” under Part II, Item 1A in this Quarterly Report and in Part I, Item 1A of our 2021 Form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important to the commercial success of our over 3,000 customers as of September 30, 2022. We define a customer as a company that maintains one or more active paid subscriptions to our platform.</w:t>
      </w:r>
    </w:p>
    <w:p>
      <w:pPr>
        <w:spacing w:after="0" w:line="74" w:lineRule="exact"/>
        <w:rPr>
          <w:sz w:val="20"/>
          <w:szCs w:val="20"/>
          <w:color w:val="auto"/>
        </w:rPr>
      </w:pPr>
    </w:p>
    <w:p>
      <w:pPr>
        <w:ind w:right="80" w:firstLine="509"/>
        <w:spacing w:after="0" w:line="263" w:lineRule="auto"/>
        <w:rPr>
          <w:sz w:val="20"/>
          <w:szCs w:val="20"/>
          <w:color w:val="auto"/>
        </w:rPr>
      </w:pPr>
      <w:r>
        <w:rPr>
          <w:rFonts w:ascii="Arial" w:cs="Arial" w:eastAsia="Arial" w:hAnsi="Arial"/>
          <w:sz w:val="17"/>
          <w:szCs w:val="17"/>
          <w:color w:val="auto"/>
        </w:rPr>
        <w:t>Our customers include biopharmaceutical and medical device companies, healthcare information technology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 We offer access to our platform on a subscription basis, and we generate substantially all of our revenue from subscription fees.</w:t>
      </w:r>
    </w:p>
    <w:p>
      <w:pPr>
        <w:spacing w:after="0" w:line="76" w:lineRule="exact"/>
        <w:rPr>
          <w:sz w:val="20"/>
          <w:szCs w:val="20"/>
          <w:color w:val="auto"/>
        </w:rPr>
      </w:pPr>
    </w:p>
    <w:p>
      <w:pPr>
        <w:ind w:right="260" w:firstLine="509"/>
        <w:spacing w:after="0" w:line="294" w:lineRule="auto"/>
        <w:rPr>
          <w:sz w:val="20"/>
          <w:szCs w:val="20"/>
          <w:color w:val="auto"/>
        </w:rPr>
      </w:pPr>
      <w:r>
        <w:rPr>
          <w:rFonts w:ascii="Arial" w:cs="Arial" w:eastAsia="Arial" w:hAnsi="Arial"/>
          <w:sz w:val="16"/>
          <w:szCs w:val="16"/>
          <w:color w:val="auto"/>
        </w:rPr>
        <w:t>We were founded in 2011 by our Executive Chairman,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p>
    <w:p>
      <w:pPr>
        <w:spacing w:after="0" w:line="53" w:lineRule="exact"/>
        <w:rPr>
          <w:sz w:val="20"/>
          <w:szCs w:val="20"/>
          <w:color w:val="auto"/>
        </w:rPr>
      </w:pPr>
    </w:p>
    <w:p>
      <w:pPr>
        <w:ind w:right="80" w:firstLine="509"/>
        <w:spacing w:after="0" w:line="324" w:lineRule="auto"/>
        <w:rPr>
          <w:sz w:val="20"/>
          <w:szCs w:val="20"/>
          <w:color w:val="auto"/>
        </w:rPr>
      </w:pPr>
      <w:r>
        <w:rPr>
          <w:rFonts w:ascii="Arial" w:cs="Arial" w:eastAsia="Arial" w:hAnsi="Arial"/>
          <w:sz w:val="16"/>
          <w:szCs w:val="16"/>
          <w:color w:val="auto"/>
        </w:rPr>
        <w:t>Any company selling or competing within the healthcare ecosystem is a potential customer for us and contributes to our estimated current total addressable market of over $10 billion. In total, we have identified more than 100,000 potential customers that we believe could benefit from our platform.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Acquisition</w:t>
      </w:r>
    </w:p>
    <w:p>
      <w:pPr>
        <w:spacing w:after="0" w:line="117"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auto"/>
        </w:rPr>
        <w:t xml:space="preserve">On February 18, 2022, the Company purchased the remaining 65% of Analytical Wizard, Inc.’s equity for $65.0 million, net of cash acquired and an estimated working capital adjustment and other customary purchase price adjustments. The total purchase consideration of $99.4 million, which includes the 35% investment the Company made in AW in December 2021, consisted of $98.4 million in cash consideration, net of working capital adjustments, and $1.0 million in estimated contingent consideration. The purchase price was primarily comprised of acquired customer relationships, technology and goodwill. The Company has included the financial results of this business in the condensed consolidated financial statements from the date of acquisition. The purchase accounting for this transaction is not yet finalized. Refer to Note 3.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in the footnotes to the condensed consolidated financial statements included within this Form 10-Q for further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Conditions</w:t>
      </w:r>
    </w:p>
    <w:p>
      <w:pPr>
        <w:spacing w:after="0" w:line="108" w:lineRule="exact"/>
        <w:rPr>
          <w:sz w:val="20"/>
          <w:szCs w:val="20"/>
          <w:color w:val="auto"/>
        </w:rPr>
      </w:pPr>
    </w:p>
    <w:p>
      <w:pPr>
        <w:ind w:right="120" w:firstLine="509"/>
        <w:spacing w:after="0" w:line="283" w:lineRule="auto"/>
        <w:rPr>
          <w:sz w:val="20"/>
          <w:szCs w:val="20"/>
          <w:color w:val="auto"/>
        </w:rPr>
      </w:pPr>
      <w:r>
        <w:rPr>
          <w:rFonts w:ascii="Arial" w:cs="Arial" w:eastAsia="Arial" w:hAnsi="Arial"/>
          <w:sz w:val="16"/>
          <w:szCs w:val="16"/>
          <w:color w:val="auto"/>
        </w:rPr>
        <w:t>As a corporation with a global footprint, we are subject to risks and exposures caused by significant events and their macroeconomic impacts, including, but not limited to, the COVID-19 pandemic, the Russia-Ukraine war, global geopolitical tension and more recently, rising inflation and interest rates, volatility in the capital markets and related market uncertainty. We continuously monitor the direct and indirect impacts, and the potential for future impacts, of these circumstances on our business and financial results, as well as the overall global economy and geopolitical landscape. While our revenue and earnings have historically been relatively predictable as a result of our subscription-based business model, the potential implications of these macroeconomic events on our business, results of operations and overall financial position, particularly in the long term, introduce additional uncertainty.</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1" w:name="page32"/>
    <w:bookmarkEnd w:id="31"/>
    <w:p>
      <w:pPr>
        <w:ind w:firstLine="509"/>
        <w:spacing w:after="0" w:line="288" w:lineRule="auto"/>
        <w:rPr>
          <w:sz w:val="20"/>
          <w:szCs w:val="20"/>
          <w:color w:val="auto"/>
        </w:rPr>
      </w:pPr>
      <w:r>
        <w:rPr>
          <w:rFonts w:ascii="Arial" w:cs="Arial" w:eastAsia="Arial" w:hAnsi="Arial"/>
          <w:sz w:val="16"/>
          <w:szCs w:val="16"/>
          <w:color w:val="auto"/>
        </w:rPr>
        <w:t>At the outset of the COVID-19 pandemic, we experienced a brief slowdown in new bookings during the second quarter of 2020. In response to the pandemic, we introduced information on telehealth adoption, COVID-19 analytics and more, and benefitted from reduced travel expenses. As the pandemic evolves, its continued impacts are uncertain, as are the impacts of worsening global macroeconomic conditions worldwide. Our current and prospective customers are impacted by worsening macroeconomic conditions to varying degrees and as a result, in some cases we are observing deal cycles lengthen for new and existing customers. We are continuing to evaluate these impacts and the potential for future impacts on our business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that the growth and future success of our business depend on many factors, including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04"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auto"/>
        </w:rPr>
        <w:t>We plan to continue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As of September 30, 2022 and December 31, 2021, we had over 3,000 and 2,800 customers, respectively. We have identified more than 100,000 potential customers across the healthcare ecosystem that we believe could benefit from our platform. Our ability to attract and acquire new customers is dependent on the strength of our platform and effectiveness of our go-to-market strategy, as well as macroeconomic factors and their impact on our potential customers’ business spending.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Relationships with Existing Customers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there is a significant opportunity to generate additional revenue from our existing customer base.</w:t>
      </w:r>
    </w:p>
    <w:p>
      <w:pPr>
        <w:spacing w:after="0" w:line="225" w:lineRule="exact"/>
        <w:rPr>
          <w:sz w:val="20"/>
          <w:szCs w:val="20"/>
          <w:color w:val="auto"/>
        </w:rPr>
      </w:pPr>
    </w:p>
    <w:p>
      <w:pPr>
        <w:ind w:right="120" w:firstLine="509"/>
        <w:spacing w:after="0" w:line="260" w:lineRule="auto"/>
        <w:rPr>
          <w:sz w:val="20"/>
          <w:szCs w:val="20"/>
          <w:color w:val="auto"/>
        </w:rPr>
      </w:pPr>
      <w:r>
        <w:rPr>
          <w:rFonts w:ascii="Arial" w:cs="Arial" w:eastAsia="Arial" w:hAnsi="Arial"/>
          <w:sz w:val="17"/>
          <w:szCs w:val="17"/>
          <w:color w:val="auto"/>
        </w:rPr>
        <w:t>Our customers have historically increased their spending by adding intelligence modules and expanding use-cases across departments. Our customers are typically assigned to one of our vertically-focused teams, which is responsible for driving usage and increasing adoption of the platform, identifying expansion opportunities and driving customer renewals. Real-time input from these customer-centric teams is fed directly into our product innovation teams, enhancing the development of new intelligence modules. We believe this feedback loop and our ability to innovate creates significant opportunities for continual existing customer expansion. Our ability to generate additional revenue from existing customers is also subject to such existing customers’ business spending trends and the impact of macroeconomic conditions thereon.</w:t>
      </w:r>
    </w:p>
    <w:p>
      <w:pPr>
        <w:spacing w:after="0" w:line="187"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Our platform currently offers 19 intelligence modules. Our success in expanding usage of our platform with our existing customers is demonstrated by our NDR, which is further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to Innovate and Expand Our Platform</w:t>
      </w:r>
    </w:p>
    <w:p>
      <w:pPr>
        <w:spacing w:after="0" w:line="104"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The growth of our business is driven in part by our ability to apply our deep healthcare domain expertise to innovate and expand our platform. We have continually created new products since our founding in 2011 and have launched 19 highly integrated intelligence modules to date. We plan to continue to invest significantly into our engineering and research and development efforts to enhance our capabilities and functionality and facilitate 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08" w:lineRule="exact"/>
        <w:rPr>
          <w:sz w:val="20"/>
          <w:szCs w:val="20"/>
          <w:color w:val="auto"/>
        </w:rPr>
      </w:pPr>
    </w:p>
    <w:p>
      <w:pPr>
        <w:ind w:right="80" w:firstLine="509"/>
        <w:spacing w:after="0" w:line="267" w:lineRule="auto"/>
        <w:rPr>
          <w:sz w:val="20"/>
          <w:szCs w:val="20"/>
          <w:color w:val="auto"/>
        </w:rPr>
      </w:pPr>
      <w:r>
        <w:rPr>
          <w:rFonts w:ascii="Arial" w:cs="Arial" w:eastAsia="Arial" w:hAnsi="Arial"/>
          <w:sz w:val="17"/>
          <w:szCs w:val="17"/>
          <w:color w:val="auto"/>
        </w:rPr>
        <w:t>In addition to our results determined in accordance with GAAP, we believe certain non-GAAP measures are useful in evaluating our operating performance. Non-GAAP measures include, but are not limited to, Adjusted Gross Profit, Adjusted Gross Margin, Adjusted EBITDA, and Adjusted EBITDA Margin. We believe these non-GAAP measures are useful to investors because they eliminate certain non-cash items and items that affect period-over-period comparability and provide consistency with past financial performance and additional information about our underlying results and trends by excluding certain items that may not be indicative of our business, results of operations, or outlook.</w:t>
      </w:r>
    </w:p>
    <w:p>
      <w:pPr>
        <w:spacing w:after="0" w:line="60" w:lineRule="exact"/>
        <w:rPr>
          <w:sz w:val="20"/>
          <w:szCs w:val="20"/>
          <w:color w:val="auto"/>
        </w:rPr>
      </w:pPr>
    </w:p>
    <w:p>
      <w:pPr>
        <w:ind w:right="60" w:firstLine="509"/>
        <w:spacing w:after="0" w:line="278" w:lineRule="auto"/>
        <w:rPr>
          <w:sz w:val="20"/>
          <w:szCs w:val="20"/>
          <w:color w:val="auto"/>
        </w:rPr>
      </w:pPr>
      <w:r>
        <w:rPr>
          <w:rFonts w:ascii="Arial" w:cs="Arial" w:eastAsia="Arial" w:hAnsi="Arial"/>
          <w:sz w:val="17"/>
          <w:szCs w:val="17"/>
          <w:color w:val="auto"/>
        </w:rPr>
        <w:t>We view Adjusted Gross Profit, Adjusted Gross Margin, Adjusted EBITDA, and Adjusted EBITDA Margin as operating performance measures. As such, we believe the most directly comparable GAAP financial measure to Adjusted Gross Profit and Adjusted Gross Margin is GAAP Gross Profit, and the most directly comparable GAAP financial measure to Adjusted EBITDA and Adjusted EBITDA Margin is GAAP net loss.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2" w:name="page33"/>
    <w:bookmarkEnd w:id="32"/>
    <w:p>
      <w:pPr>
        <w:ind w:right="20" w:firstLine="509"/>
        <w:spacing w:after="0" w:line="261" w:lineRule="auto"/>
        <w:rPr>
          <w:sz w:val="20"/>
          <w:szCs w:val="20"/>
          <w:color w:val="auto"/>
        </w:rPr>
      </w:pPr>
      <w:r>
        <w:rPr>
          <w:rFonts w:ascii="Arial" w:cs="Arial" w:eastAsia="Arial" w:hAnsi="Arial"/>
          <w:sz w:val="17"/>
          <w:szCs w:val="17"/>
          <w:color w:val="auto"/>
        </w:rPr>
        <w:t>Non-GAAP measures are supplemental financial measures of our performance, and should not be considered substitutes for net loss, gross profit or any other measure derived in accordance with GAAP. This information should be read only in conjunction with our condensed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and Adjusted Gross Margin</w:t>
      </w:r>
    </w:p>
    <w:p>
      <w:pPr>
        <w:spacing w:after="0" w:line="104" w:lineRule="exact"/>
        <w:rPr>
          <w:sz w:val="20"/>
          <w:szCs w:val="20"/>
          <w:color w:val="auto"/>
        </w:rPr>
      </w:pPr>
    </w:p>
    <w:p>
      <w:pPr>
        <w:ind w:right="100" w:firstLine="509"/>
        <w:spacing w:after="0" w:line="263" w:lineRule="auto"/>
        <w:rPr>
          <w:sz w:val="20"/>
          <w:szCs w:val="20"/>
          <w:color w:val="auto"/>
        </w:rPr>
      </w:pPr>
      <w:r>
        <w:rPr>
          <w:rFonts w:ascii="Arial" w:cs="Arial" w:eastAsia="Arial" w:hAnsi="Arial"/>
          <w:sz w:val="17"/>
          <w:szCs w:val="17"/>
          <w:color w:val="auto"/>
        </w:rPr>
        <w:t>We define Adjusted Gross Profit as revenue less cost of revenue, excluding acquisition-related depreciation and amortization, and a small quantity of stock-based compensation. Adjusted Gross Profit differs from Gross Profit, in that Gross Profit includes the impact of acquisition-related depreciation and amortization expense and stock-based compensation. We exclude acquisition-related depreciation and amortization expense as they have no direct correlation to the cost of operating our business on an ongoing basis. Adjusted Gross Margin is defined as Adjusted Gross Profit as a percentage of revenue. These are key metrics used by management and our board of directors to assess our operations.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presents a reconciliation of Gross Profit to Adjusted Gross Profit and Adjusted Gross Margin for the periods presented:</w:t>
      </w:r>
    </w:p>
    <w:p>
      <w:pPr>
        <w:spacing w:after="0" w:line="13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4"/>
              </w:rPr>
              <w:t>Three Months Ended September 30,</w:t>
            </w:r>
          </w:p>
        </w:tc>
        <w:tc>
          <w:tcPr>
            <w:tcW w:w="160" w:type="dxa"/>
            <w:vAlign w:val="bottom"/>
          </w:tcPr>
          <w:p>
            <w:pPr>
              <w:spacing w:after="0"/>
              <w:rPr>
                <w:sz w:val="16"/>
                <w:szCs w:val="16"/>
                <w:color w:val="auto"/>
              </w:rPr>
            </w:pPr>
          </w:p>
        </w:tc>
        <w:tc>
          <w:tcPr>
            <w:tcW w:w="25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69"/>
        </w:trPr>
        <w:tc>
          <w:tcPr>
            <w:tcW w:w="46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4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Reported gross profit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47,658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129,224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90,050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162"/>
        </w:trPr>
        <w:tc>
          <w:tcPr>
            <w:tcW w:w="4640" w:type="dxa"/>
            <w:vAlign w:val="bottom"/>
          </w:tcPr>
          <w:p>
            <w:pPr>
              <w:spacing w:after="0" w:line="162" w:lineRule="exact"/>
              <w:rPr>
                <w:sz w:val="20"/>
                <w:szCs w:val="20"/>
                <w:color w:val="auto"/>
              </w:rPr>
            </w:pPr>
            <w:r>
              <w:rPr>
                <w:rFonts w:ascii="Arial" w:cs="Arial" w:eastAsia="Arial" w:hAnsi="Arial"/>
                <w:sz w:val="18"/>
                <w:szCs w:val="18"/>
                <w:color w:val="auto"/>
                <w:w w:val="98"/>
              </w:rPr>
              <w:t>Amortization of intangible assets resulting from acquisition-</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4640" w:type="dxa"/>
            <w:vAlign w:val="bottom"/>
          </w:tcPr>
          <w:p>
            <w:pPr>
              <w:ind w:left="140"/>
              <w:spacing w:after="0" w:line="243" w:lineRule="exact"/>
              <w:rPr>
                <w:sz w:val="20"/>
                <w:szCs w:val="20"/>
                <w:color w:val="auto"/>
              </w:rPr>
            </w:pPr>
            <w:r>
              <w:rPr>
                <w:rFonts w:ascii="Arial" w:cs="Arial" w:eastAsia="Arial" w:hAnsi="Arial"/>
                <w:sz w:val="18"/>
                <w:szCs w:val="18"/>
                <w:color w:val="auto"/>
              </w:rPr>
              <w:t xml:space="preserve">related purchase accounting adjustments </w:t>
            </w:r>
            <w:r>
              <w:rPr>
                <w:rFonts w:ascii="Arial" w:cs="Arial" w:eastAsia="Arial" w:hAnsi="Arial"/>
                <w:sz w:val="24"/>
                <w:szCs w:val="24"/>
                <w:color w:val="auto"/>
                <w:vertAlign w:val="superscript"/>
              </w:rPr>
              <w:t>(a)</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5,096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13,314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15,125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compensation costs</w:t>
            </w: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4640" w:type="dxa"/>
            <w:vAlign w:val="bottom"/>
          </w:tcPr>
          <w:p>
            <w:pPr>
              <w:spacing w:after="0"/>
              <w:rPr>
                <w:sz w:val="20"/>
                <w:szCs w:val="20"/>
                <w:color w:val="auto"/>
              </w:rPr>
            </w:pPr>
            <w:r>
              <w:rPr>
                <w:rFonts w:ascii="Arial" w:cs="Arial" w:eastAsia="Arial" w:hAnsi="Arial"/>
                <w:sz w:val="18"/>
                <w:szCs w:val="18"/>
                <w:b w:val="1"/>
                <w:bCs w:val="1"/>
                <w:color w:val="auto"/>
              </w:rPr>
              <w:t>Adjusted 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50,804</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37,743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143,236</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105,254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57,382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43,084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162,054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119,841</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b w:val="1"/>
                <w:bCs w:val="1"/>
                <w:color w:val="auto"/>
              </w:rPr>
              <w:t>Adjusted Gross Margin</w:t>
            </w: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89 %</w:t>
            </w: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88 %</w:t>
            </w:r>
          </w:p>
        </w:tc>
        <w:tc>
          <w:tcPr>
            <w:tcW w:w="1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88 %</w:t>
            </w:r>
          </w:p>
        </w:tc>
        <w:tc>
          <w:tcPr>
            <w:tcW w:w="2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88 %</w:t>
            </w:r>
          </w:p>
        </w:tc>
      </w:tr>
      <w:tr>
        <w:trPr>
          <w:trHeight w:val="20"/>
        </w:trPr>
        <w:tc>
          <w:tcPr>
            <w:tcW w:w="4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-445135</wp:posOffset>
            </wp:positionV>
            <wp:extent cx="68580" cy="1454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-445135</wp:posOffset>
            </wp:positionV>
            <wp:extent cx="68580" cy="145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-445135</wp:posOffset>
            </wp:positionV>
            <wp:extent cx="60325" cy="1454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-445135</wp:posOffset>
            </wp:positionV>
            <wp:extent cx="60325" cy="1454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145415"/>
                    </a:xfrm>
                    <a:prstGeom prst="rect">
                      <a:avLst/>
                    </a:prstGeom>
                    <a:noFill/>
                  </pic:spPr>
                </pic:pic>
              </a:graphicData>
            </a:graphic>
          </wp:anchor>
        </w:drawing>
      </w:r>
    </w:p>
    <w:p>
      <w:pPr>
        <w:spacing w:after="0" w:line="168" w:lineRule="exact"/>
        <w:rPr>
          <w:sz w:val="20"/>
          <w:szCs w:val="20"/>
          <w:color w:val="auto"/>
        </w:rPr>
      </w:pPr>
    </w:p>
    <w:p>
      <w:pPr>
        <w:ind w:left="520" w:right="600" w:hanging="512"/>
        <w:spacing w:after="0" w:line="261"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non-cash amortization of acquired intangibles, primarily resulting from the Advent Acquisition.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0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We present “Adjusted EBITDA” as a measure of our operating performance. EBITDA is defined as earnings before (i) debt-related costs, including interest expense and loss from extinguishment of debt, (ii) interest income, (iii) provision for taxes, and (iv) depreciation and amortization. Management further adjusts EBITDA in its presentation of Adjusted EBITDA to exclude (i) other (income) expense, (ii) equity-based compensation, (iii) acquisition, integration and restructuring expenses and (iv) other non-recurring and one-time expenses. We exclude these items because they are non-cash or non-recurring in nature, and therefore we do not believe them to be representative of ongoing operational performance. Adjusted EBITDA Margin is defined as Adjusted EBITDA as a percentage of revenue. Adjusted EBITDA and Adjusted EBITDA Margin are key metrics used by management and our board of directors to assess the profitability of our operations. We believe these metrics provide useful measures to investors to assess our operating performance and in measuring the profitability of our operations on a consolidated level.</w:t>
      </w:r>
    </w:p>
    <w:p>
      <w:pPr>
        <w:spacing w:after="0" w:line="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6" w:right="419" w:bottom="1440" w:gutter="0" w:footer="0" w:header="0"/>
        </w:sectPr>
      </w:pPr>
    </w:p>
    <w:bookmarkStart w:id="33" w:name="page34"/>
    <w:bookmarkEnd w:id="33"/>
    <w:p>
      <w:pPr>
        <w:ind w:left="520"/>
        <w:spacing w:after="0"/>
        <w:rPr>
          <w:sz w:val="20"/>
          <w:szCs w:val="20"/>
          <w:color w:val="auto"/>
        </w:rPr>
      </w:pPr>
      <w:r>
        <w:rPr>
          <w:rFonts w:ascii="Arial" w:cs="Arial" w:eastAsia="Arial" w:hAnsi="Arial"/>
          <w:sz w:val="18"/>
          <w:szCs w:val="18"/>
          <w:color w:val="auto"/>
        </w:rPr>
        <w:t>The following table presents a reconciliation of Net loss to Adjusted EBITDA for the periods presented:</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5"/>
          </w:tcPr>
          <w:p>
            <w:pPr>
              <w:jc w:val="right"/>
              <w:ind w:right="301"/>
              <w:spacing w:after="0"/>
              <w:rPr>
                <w:sz w:val="20"/>
                <w:szCs w:val="20"/>
                <w:color w:val="auto"/>
              </w:rPr>
            </w:pPr>
            <w:r>
              <w:rPr>
                <w:rFonts w:ascii="Arial" w:cs="Arial" w:eastAsia="Arial" w:hAnsi="Arial"/>
                <w:sz w:val="14"/>
                <w:szCs w:val="14"/>
                <w:b w:val="1"/>
                <w:bCs w:val="1"/>
                <w:color w:val="auto"/>
                <w:w w:val="93"/>
              </w:rPr>
              <w:t>Three Months Ended September 30,</w:t>
            </w:r>
          </w:p>
        </w:tc>
        <w:tc>
          <w:tcPr>
            <w:tcW w:w="140" w:type="dxa"/>
            <w:vAlign w:val="bottom"/>
          </w:tcPr>
          <w:p>
            <w:pPr>
              <w:spacing w:after="0"/>
              <w:rPr>
                <w:sz w:val="16"/>
                <w:szCs w:val="16"/>
                <w:color w:val="auto"/>
              </w:rPr>
            </w:pPr>
          </w:p>
        </w:tc>
        <w:tc>
          <w:tcPr>
            <w:tcW w:w="24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69"/>
        </w:trPr>
        <w:tc>
          <w:tcPr>
            <w:tcW w:w="47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(6,354</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(20,966</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(28,990</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(46,493</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6,930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Loss from extinguishment of debt</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9,873</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8"/>
                <w:szCs w:val="18"/>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(15 )</w:t>
            </w:r>
          </w:p>
        </w:tc>
        <w:tc>
          <w:tcPr>
            <w:tcW w:w="260" w:type="dxa"/>
            <w:vAlign w:val="bottom"/>
          </w:tcPr>
          <w:p>
            <w:pPr>
              <w:spacing w:after="0"/>
              <w:rPr>
                <w:sz w:val="18"/>
                <w:szCs w:val="18"/>
                <w:color w:val="auto"/>
              </w:rPr>
            </w:pP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(141 )</w:t>
            </w:r>
          </w:p>
        </w:tc>
        <w:tc>
          <w:tcPr>
            <w:tcW w:w="26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Depreciation &amp; amortization</w:t>
            </w: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13,192</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15,116</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44,218</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44,710</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160"/>
        </w:trPr>
        <w:tc>
          <w:tcPr>
            <w:tcW w:w="4780" w:type="dxa"/>
            <w:vAlign w:val="bottom"/>
          </w:tcPr>
          <w:p>
            <w:pPr>
              <w:spacing w:after="0" w:line="160" w:lineRule="exact"/>
              <w:rPr>
                <w:sz w:val="20"/>
                <w:szCs w:val="20"/>
                <w:color w:val="auto"/>
              </w:rPr>
            </w:pPr>
            <w:r>
              <w:rPr>
                <w:rFonts w:ascii="Arial" w:cs="Arial" w:eastAsia="Arial" w:hAnsi="Arial"/>
                <w:sz w:val="18"/>
                <w:szCs w:val="18"/>
                <w:b w:val="1"/>
                <w:bCs w:val="1"/>
                <w:color w:val="auto"/>
              </w:rPr>
              <w:t>EBITDA</w:t>
            </w:r>
          </w:p>
        </w:tc>
        <w:tc>
          <w:tcPr>
            <w:tcW w:w="140" w:type="dxa"/>
            <w:vAlign w:val="bottom"/>
          </w:tcPr>
          <w:p>
            <w:pPr>
              <w:spacing w:after="0"/>
              <w:rPr>
                <w:sz w:val="13"/>
                <w:szCs w:val="13"/>
                <w:color w:val="auto"/>
              </w:rPr>
            </w:pPr>
          </w:p>
        </w:tc>
        <w:tc>
          <w:tcPr>
            <w:tcW w:w="980" w:type="dxa"/>
            <w:vAlign w:val="bottom"/>
          </w:tcPr>
          <w:p>
            <w:pPr>
              <w:jc w:val="right"/>
              <w:spacing w:after="0" w:line="160" w:lineRule="exact"/>
              <w:rPr>
                <w:sz w:val="20"/>
                <w:szCs w:val="20"/>
                <w:color w:val="auto"/>
              </w:rPr>
            </w:pPr>
            <w:r>
              <w:rPr>
                <w:rFonts w:ascii="Arial" w:cs="Arial" w:eastAsia="Arial" w:hAnsi="Arial"/>
                <w:sz w:val="18"/>
                <w:szCs w:val="18"/>
                <w:color w:val="auto"/>
              </w:rPr>
              <w:t>9,289</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60" w:lineRule="exact"/>
              <w:rPr>
                <w:sz w:val="20"/>
                <w:szCs w:val="20"/>
                <w:color w:val="auto"/>
              </w:rPr>
            </w:pPr>
            <w:r>
              <w:rPr>
                <w:rFonts w:ascii="Arial" w:cs="Arial" w:eastAsia="Arial" w:hAnsi="Arial"/>
                <w:sz w:val="18"/>
                <w:szCs w:val="18"/>
                <w:color w:val="auto"/>
              </w:rPr>
              <w:t>11,209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line="160" w:lineRule="exact"/>
              <w:rPr>
                <w:sz w:val="20"/>
                <w:szCs w:val="20"/>
                <w:color w:val="auto"/>
              </w:rPr>
            </w:pPr>
            <w:r>
              <w:rPr>
                <w:rFonts w:ascii="Arial" w:cs="Arial" w:eastAsia="Arial" w:hAnsi="Arial"/>
                <w:sz w:val="18"/>
                <w:szCs w:val="18"/>
                <w:color w:val="auto"/>
              </w:rPr>
              <w:t>22,017</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line="160" w:lineRule="exact"/>
              <w:rPr>
                <w:sz w:val="20"/>
                <w:szCs w:val="20"/>
                <w:color w:val="auto"/>
              </w:rPr>
            </w:pPr>
            <w:r>
              <w:rPr>
                <w:rFonts w:ascii="Arial" w:cs="Arial" w:eastAsia="Arial" w:hAnsi="Arial"/>
                <w:sz w:val="18"/>
                <w:szCs w:val="18"/>
                <w:color w:val="auto"/>
              </w:rPr>
              <w:t>32,046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4780" w:type="dxa"/>
            <w:vAlign w:val="bottom"/>
          </w:tcPr>
          <w:p>
            <w:pPr>
              <w:spacing w:after="0" w:line="216"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4"/>
                <w:szCs w:val="24"/>
                <w:color w:val="auto"/>
                <w:vertAlign w:val="superscript"/>
              </w:rPr>
              <w:t>(a)</w:t>
            </w:r>
          </w:p>
        </w:tc>
        <w:tc>
          <w:tcPr>
            <w:tcW w:w="140" w:type="dxa"/>
            <w:vAlign w:val="bottom"/>
          </w:tcPr>
          <w:p>
            <w:pPr>
              <w:spacing w:after="0"/>
              <w:rPr>
                <w:sz w:val="18"/>
                <w:szCs w:val="18"/>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(5,528 )</w:t>
            </w:r>
          </w:p>
        </w:tc>
        <w:tc>
          <w:tcPr>
            <w:tcW w:w="26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(119 )</w:t>
            </w:r>
          </w:p>
        </w:tc>
        <w:tc>
          <w:tcPr>
            <w:tcW w:w="14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(9,429 )</w:t>
            </w:r>
          </w:p>
        </w:tc>
        <w:tc>
          <w:tcPr>
            <w:tcW w:w="2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(143 )</w:t>
            </w:r>
          </w:p>
        </w:tc>
        <w:tc>
          <w:tcPr>
            <w:tcW w:w="60" w:type="dxa"/>
            <w:vAlign w:val="bottom"/>
          </w:tcPr>
          <w:p>
            <w:pPr>
              <w:spacing w:after="0"/>
              <w:rPr>
                <w:sz w:val="18"/>
                <w:szCs w:val="18"/>
                <w:color w:val="auto"/>
              </w:rPr>
            </w:pPr>
          </w:p>
        </w:tc>
      </w:tr>
      <w:tr>
        <w:trPr>
          <w:trHeight w:val="216"/>
        </w:trPr>
        <w:tc>
          <w:tcPr>
            <w:tcW w:w="4780" w:type="dxa"/>
            <w:vAlign w:val="bottom"/>
          </w:tcPr>
          <w:p>
            <w:pPr>
              <w:spacing w:after="0" w:line="216" w:lineRule="exact"/>
              <w:rPr>
                <w:sz w:val="20"/>
                <w:szCs w:val="20"/>
                <w:color w:val="auto"/>
              </w:rPr>
            </w:pPr>
            <w:r>
              <w:rPr>
                <w:rFonts w:ascii="Arial" w:cs="Arial" w:eastAsia="Arial" w:hAnsi="Arial"/>
                <w:sz w:val="18"/>
                <w:szCs w:val="18"/>
                <w:color w:val="auto"/>
              </w:rPr>
              <w:t xml:space="preserve">Equity-based compensation </w:t>
            </w:r>
            <w:r>
              <w:rPr>
                <w:rFonts w:ascii="Arial" w:cs="Arial" w:eastAsia="Arial" w:hAnsi="Arial"/>
                <w:sz w:val="24"/>
                <w:szCs w:val="24"/>
                <w:color w:val="auto"/>
                <w:vertAlign w:val="superscript"/>
              </w:rPr>
              <w:t>(b)</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9,133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25,010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80" w:type="dxa"/>
            <w:vAlign w:val="bottom"/>
          </w:tcPr>
          <w:p>
            <w:pPr>
              <w:spacing w:after="0" w:line="216" w:lineRule="exact"/>
              <w:rPr>
                <w:sz w:val="20"/>
                <w:szCs w:val="20"/>
                <w:color w:val="auto"/>
              </w:rPr>
            </w:pPr>
            <w:r>
              <w:rPr>
                <w:rFonts w:ascii="Arial" w:cs="Arial" w:eastAsia="Arial" w:hAnsi="Arial"/>
                <w:sz w:val="18"/>
                <w:szCs w:val="18"/>
                <w:color w:val="auto"/>
              </w:rPr>
              <w:t xml:space="preserve">Transaction, integration and restructuring expenses </w:t>
            </w:r>
            <w:r>
              <w:rPr>
                <w:rFonts w:ascii="Arial" w:cs="Arial" w:eastAsia="Arial" w:hAnsi="Arial"/>
                <w:sz w:val="24"/>
                <w:szCs w:val="24"/>
                <w:color w:val="auto"/>
                <w:vertAlign w:val="superscript"/>
              </w:rPr>
              <w:t>(c)</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(137 )</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6,362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66"/>
        </w:trPr>
        <w:tc>
          <w:tcPr>
            <w:tcW w:w="4780" w:type="dxa"/>
            <w:vAlign w:val="bottom"/>
          </w:tcPr>
          <w:p>
            <w:pPr>
              <w:spacing w:after="0" w:line="266" w:lineRule="exact"/>
              <w:rPr>
                <w:sz w:val="20"/>
                <w:szCs w:val="20"/>
                <w:color w:val="auto"/>
              </w:rPr>
            </w:pPr>
            <w:r>
              <w:rPr>
                <w:rFonts w:ascii="Arial" w:cs="Arial" w:eastAsia="Arial" w:hAnsi="Arial"/>
                <w:sz w:val="18"/>
                <w:szCs w:val="18"/>
                <w:color w:val="auto"/>
              </w:rPr>
              <w:t xml:space="preserve">Other non-recurring items </w:t>
            </w:r>
            <w:r>
              <w:rPr>
                <w:rFonts w:ascii="Arial" w:cs="Arial" w:eastAsia="Arial" w:hAnsi="Arial"/>
                <w:sz w:val="24"/>
                <w:szCs w:val="24"/>
                <w:color w:val="auto"/>
                <w:vertAlign w:val="superscript"/>
              </w:rPr>
              <w:t>(d)</w:t>
            </w: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2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w:t>
            </w:r>
          </w:p>
        </w:tc>
        <w:tc>
          <w:tcPr>
            <w:tcW w:w="2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09"/>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46,698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42,886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57,382</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43,084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162,054</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119,841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rPr>
              <w:t>Adjusted EBITDA Margin</w:t>
            </w: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1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36 %</w:t>
            </w:r>
          </w:p>
        </w:tc>
      </w:tr>
      <w:tr>
        <w:trPr>
          <w:trHeight w:val="20"/>
        </w:trPr>
        <w:tc>
          <w:tcPr>
            <w:tcW w:w="4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-1139190</wp:posOffset>
            </wp:positionV>
            <wp:extent cx="6412230" cy="2832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412230" cy="28321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-719455</wp:posOffset>
            </wp:positionV>
            <wp:extent cx="641223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-161925</wp:posOffset>
            </wp:positionV>
            <wp:extent cx="6412230" cy="1625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168"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Primarily represents foreign exchange and TRA liability remeasurement gains and losses.</w:t>
      </w:r>
    </w:p>
    <w:p>
      <w:pPr>
        <w:spacing w:after="0" w:line="11" w:lineRule="exact"/>
        <w:rPr>
          <w:rFonts w:ascii="Arial" w:cs="Arial" w:eastAsia="Arial" w:hAnsi="Arial"/>
          <w:sz w:val="18"/>
          <w:szCs w:val="18"/>
          <w:color w:val="auto"/>
        </w:rPr>
      </w:pPr>
    </w:p>
    <w:p>
      <w:pPr>
        <w:ind w:left="520" w:right="540" w:hanging="512"/>
        <w:spacing w:after="0" w:line="242"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Equity-based compensation represents non-cash compensation expense recognized in association with equity awards made to employees and directors.</w:t>
      </w:r>
    </w:p>
    <w:p>
      <w:pPr>
        <w:spacing w:after="0" w:line="1" w:lineRule="exact"/>
        <w:rPr>
          <w:rFonts w:ascii="Arial" w:cs="Arial" w:eastAsia="Arial" w:hAnsi="Arial"/>
          <w:sz w:val="18"/>
          <w:szCs w:val="18"/>
          <w:color w:val="auto"/>
        </w:rPr>
      </w:pPr>
    </w:p>
    <w:p>
      <w:pPr>
        <w:ind w:left="520" w:right="4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Transaction and integration expenses primarily represent legal, accounting and consulting expenses and fair value adjustments for contingent consideration related to our acquisitions, including a go-to market integration project conducted in the third quarter of 2022. Restructuring expenses relate to impairment and restructuring charges related to office relocations.</w:t>
      </w:r>
    </w:p>
    <w:p>
      <w:pPr>
        <w:ind w:left="520" w:right="280" w:hanging="512"/>
        <w:spacing w:after="0" w:line="239"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Non-recurring items represent expenses that are typically one-time or non-operational in nature. One-time expenses are comprised primarily of professional fees related to financing, capital structure changes and other non-recurring set-up costs related to public company operations for the current period, and IPO readiness costs for the prior period.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108"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We monitor the following key metrics to help us evaluate our business performance, identify financial trends, formulate business plans, and make strategic operational decisions.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Dollar Retention Rate ("NDR")</w:t>
      </w:r>
    </w:p>
    <w:p>
      <w:pPr>
        <w:spacing w:after="0" w:line="104"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We believe the growth in use of our platform by our existing customers is an important measure of the health of our business and our future growth prospects. We evaluate and report on our NDR on an annual basis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a period.</w:t>
      </w:r>
    </w:p>
    <w:p>
      <w:pPr>
        <w:spacing w:after="0" w:line="91"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Unfavorable macroeconomic challenges are elongating deal cycles as customers implement more stringent approval processes or push out final decisions to later periods. This behavior includes upsells to existing customers and as a result, we expect NDR growth rates at the end of 2022 and 2023 to be reduced unless conditions improve.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Remaining Performance Obligations ("cRPO")</w:t>
      </w:r>
    </w:p>
    <w:p>
      <w:pPr>
        <w:spacing w:after="0" w:line="104"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We monitor current remaining performance obligations as a metric to help us evaluate the health of our business and identify trends affecting our growth. cRPO represents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In addition to total contract volume, cRPO is influenced by several factors, including seasonality, disparate contract terms, and the timing of renewals, because renewals tend to be highest in the fourth quarter. Due to these factors, it is important to review cRPO in conjunction with revenue and other financial metrics.</w:t>
      </w:r>
    </w:p>
    <w:p>
      <w:pPr>
        <w:spacing w:after="0" w:line="93"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Our cRPO will continue to be impacted by macroenvironment challenges, which have resulted in elongating deal cycles as customers implement more stringent approval processes or push out final decisions to later periods. We expect this trend to reduce our revenue growth rate in 2023 if the macroenvironment remains challenged.</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4" w:name="page35"/>
    <w:bookmarkEnd w:id="34"/>
    <w:p>
      <w:pPr>
        <w:ind w:left="520"/>
        <w:spacing w:after="0"/>
        <w:rPr>
          <w:sz w:val="20"/>
          <w:szCs w:val="20"/>
          <w:color w:val="auto"/>
        </w:rPr>
      </w:pPr>
      <w:r>
        <w:rPr>
          <w:rFonts w:ascii="Arial" w:cs="Arial" w:eastAsia="Arial" w:hAnsi="Arial"/>
          <w:sz w:val="18"/>
          <w:szCs w:val="18"/>
          <w:color w:val="auto"/>
        </w:rPr>
        <w:t>The following table presents cRPO as of September 30, 2022 and December 31, 2021:</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57"/>
              <w:spacing w:after="0"/>
              <w:rPr>
                <w:sz w:val="20"/>
                <w:szCs w:val="20"/>
                <w:color w:val="auto"/>
              </w:rPr>
            </w:pPr>
            <w:r>
              <w:rPr>
                <w:rFonts w:ascii="Arial" w:cs="Arial" w:eastAsia="Arial" w:hAnsi="Arial"/>
                <w:sz w:val="14"/>
                <w:szCs w:val="14"/>
                <w:b w:val="1"/>
                <w:bCs w:val="1"/>
                <w:color w:val="auto"/>
                <w:w w:val="98"/>
              </w:rPr>
              <w:t>September 30,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77"/>
              <w:spacing w:after="0"/>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4"/>
                <w:szCs w:val="14"/>
                <w:color w:val="auto"/>
              </w:rPr>
            </w:pPr>
          </w:p>
        </w:tc>
      </w:tr>
      <w:tr>
        <w:trPr>
          <w:trHeight w:val="185"/>
        </w:trPr>
        <w:tc>
          <w:tcPr>
            <w:tcW w:w="70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1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159,699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155,134</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Non-current</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86,902</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95,354</w:t>
            </w:r>
          </w:p>
        </w:tc>
        <w:tc>
          <w:tcPr>
            <w:tcW w:w="100" w:type="dxa"/>
            <w:vAlign w:val="bottom"/>
          </w:tcPr>
          <w:p>
            <w:pPr>
              <w:spacing w:after="0"/>
              <w:rPr>
                <w:sz w:val="18"/>
                <w:szCs w:val="18"/>
                <w:color w:val="auto"/>
              </w:rPr>
            </w:pPr>
          </w:p>
        </w:tc>
      </w:tr>
      <w:tr>
        <w:trPr>
          <w:trHeight w:val="249"/>
        </w:trPr>
        <w:tc>
          <w:tcPr>
            <w:tcW w:w="70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246,601</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250,488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-25400</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Acquisitions</w:t>
      </w:r>
    </w:p>
    <w:p>
      <w:pPr>
        <w:spacing w:after="0" w:line="108"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 xml:space="preserve">We seek to enhance our platform, data and business through internal development and through acquisitions of and investments in businesses that broaden and strengthen our platform. In February 2022, we completed our acquisition of Analytical Wizards. This acquisition further strengthens our data platform and our business. Acquisitions can result in transaction costs, amortization expenses and other adjustments as purchase accounting requires that all assets acquired and liabilities assumed be recorded at fair value on the acquisition date. Refer to Note 3.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in the notes to our condensed consolidated financial statements included elsewhere in this Form 10-Q for further details.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right="20" w:firstLine="509"/>
        <w:spacing w:after="0" w:line="261" w:lineRule="auto"/>
        <w:rPr>
          <w:sz w:val="20"/>
          <w:szCs w:val="20"/>
          <w:color w:val="auto"/>
        </w:rPr>
      </w:pPr>
      <w:r>
        <w:rPr>
          <w:rFonts w:ascii="Arial" w:cs="Arial" w:eastAsia="Arial" w:hAnsi="Arial"/>
          <w:sz w:val="17"/>
          <w:szCs w:val="17"/>
          <w:color w:val="auto"/>
        </w:rPr>
        <w:t>For the nine months ended September 30, 2022, we derived approximately 98% of our revenue from subscription services and the remainder from professional services. Our subscription services consist primarily of subscription fees for access to our platform. Our subscription contracts typically have a term ranging from 1 to 3 years and are non-cancellable. We typically bill for services in advance annually, and we typically require payment at the beginning of each annual period. Our subscription revenue is recognized ratably over the contract term. Our professional services revenue typically is derived from non-recurring consulting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1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Because of the macroenvironment challenges described above, we expect a reduction in our revenue growth rate for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04" w:lineRule="exact"/>
        <w:rPr>
          <w:sz w:val="20"/>
          <w:szCs w:val="20"/>
          <w:color w:val="auto"/>
        </w:rPr>
      </w:pPr>
    </w:p>
    <w:p>
      <w:pPr>
        <w:ind w:right="60" w:firstLine="509"/>
        <w:spacing w:after="0" w:line="288" w:lineRule="auto"/>
        <w:rPr>
          <w:sz w:val="20"/>
          <w:szCs w:val="20"/>
          <w:color w:val="auto"/>
        </w:rPr>
      </w:pPr>
      <w:r>
        <w:rPr>
          <w:rFonts w:ascii="Arial" w:cs="Arial" w:eastAsia="Arial" w:hAnsi="Arial"/>
          <w:sz w:val="16"/>
          <w:szCs w:val="16"/>
          <w:i w:val="1"/>
          <w:iCs w:val="1"/>
          <w:color w:val="auto"/>
        </w:rPr>
        <w:t>Cost of Revenue</w:t>
      </w:r>
      <w:r>
        <w:rPr>
          <w:rFonts w:ascii="Arial" w:cs="Arial" w:eastAsia="Arial" w:hAnsi="Arial"/>
          <w:sz w:val="16"/>
          <w:szCs w:val="16"/>
          <w:color w:val="auto"/>
        </w:rPr>
        <w:t>. Cost of revenue, excluding amortization of acquired technology and data, consists of direct expenses related to the support and</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of our SaaS platform, such as data and infrastructure costs, personnel costs for our professional services, customer support and data research teams, such as salaries, bonuses, stock-based compensation, and other employee-related benefits, as well as allocated overheads. We anticipate that we will continue to invest in cost of revenue and that cost of revenue as a percentage of revenue will stay consistent or modestly increase as we add to our existing intelligence modules and invest in new products and data sources. Cost of data is included in the cost of revenue and is a fundamental driver of innovation.</w:t>
      </w:r>
    </w:p>
    <w:p>
      <w:pPr>
        <w:spacing w:after="0" w:line="44" w:lineRule="exact"/>
        <w:rPr>
          <w:sz w:val="20"/>
          <w:szCs w:val="20"/>
          <w:color w:val="auto"/>
        </w:rPr>
      </w:pPr>
    </w:p>
    <w:p>
      <w:pPr>
        <w:ind w:right="660" w:firstLine="509"/>
        <w:spacing w:after="0" w:line="261" w:lineRule="auto"/>
        <w:rPr>
          <w:sz w:val="20"/>
          <w:szCs w:val="20"/>
          <w:color w:val="auto"/>
        </w:rPr>
      </w:pPr>
      <w:r>
        <w:rPr>
          <w:rFonts w:ascii="Arial" w:cs="Arial" w:eastAsia="Arial" w:hAnsi="Arial"/>
          <w:sz w:val="18"/>
          <w:szCs w:val="18"/>
          <w:i w:val="1"/>
          <w:iCs w:val="1"/>
          <w:color w:val="auto"/>
        </w:rPr>
        <w:t>Amortization</w:t>
      </w:r>
      <w:r>
        <w:rPr>
          <w:rFonts w:ascii="Arial" w:cs="Arial" w:eastAsia="Arial" w:hAnsi="Arial"/>
          <w:sz w:val="18"/>
          <w:szCs w:val="18"/>
          <w:color w:val="auto"/>
        </w:rPr>
        <w:t>. Includes amortization expense for technology and data acquired in business combinations and asset purchase agreements.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 that amortization will only increase if we make additional acquisitions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04" w:lineRule="exact"/>
        <w:rPr>
          <w:sz w:val="20"/>
          <w:szCs w:val="20"/>
          <w:color w:val="auto"/>
        </w:rPr>
      </w:pPr>
    </w:p>
    <w:p>
      <w:pPr>
        <w:ind w:right="140" w:firstLine="509"/>
        <w:spacing w:after="0" w:line="245" w:lineRule="auto"/>
        <w:rPr>
          <w:sz w:val="20"/>
          <w:szCs w:val="20"/>
          <w:color w:val="auto"/>
        </w:rPr>
      </w:pPr>
      <w:r>
        <w:rPr>
          <w:rFonts w:ascii="Arial" w:cs="Arial" w:eastAsia="Arial" w:hAnsi="Arial"/>
          <w:sz w:val="18"/>
          <w:szCs w:val="18"/>
          <w:color w:val="auto"/>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00" w:firstLine="509"/>
        <w:spacing w:after="0" w:line="249" w:lineRule="auto"/>
        <w:rPr>
          <w:sz w:val="20"/>
          <w:szCs w:val="20"/>
          <w:color w:val="auto"/>
        </w:rPr>
      </w:pPr>
      <w:r>
        <w:rPr>
          <w:rFonts w:ascii="Arial" w:cs="Arial" w:eastAsia="Arial" w:hAnsi="Arial"/>
          <w:sz w:val="18"/>
          <w:szCs w:val="18"/>
          <w:color w:val="auto"/>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 While rising inflation and increases to the cost of and competition for labor could negatively impact our operating expenses in the future, currently we do not believe that this is materially affecting our business.</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5" w:name="page36"/>
    <w:bookmarkEnd w:id="35"/>
    <w:p>
      <w:pPr>
        <w:ind w:right="80" w:firstLine="509"/>
        <w:spacing w:after="0" w:line="24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primarily consist of personnel costs such as salaries, bonuses, sales commissions,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other employee-related benefits for our sales and marketing teams, as well as non-personnel costs including overhead costs, technology and marketing costs. We continue to hire additional sales and marketing personnel, enhance our digital marketing infrastructure and invest in marketing programs targeting our major vertical markets.</w:t>
      </w:r>
    </w:p>
    <w:p>
      <w:pPr>
        <w:spacing w:after="0" w:line="86" w:lineRule="exact"/>
        <w:rPr>
          <w:sz w:val="20"/>
          <w:szCs w:val="20"/>
          <w:color w:val="auto"/>
        </w:rPr>
      </w:pPr>
    </w:p>
    <w:p>
      <w:pPr>
        <w:ind w:right="120" w:firstLine="509"/>
        <w:spacing w:after="0" w:line="245" w:lineRule="auto"/>
        <w:rPr>
          <w:sz w:val="20"/>
          <w:szCs w:val="20"/>
          <w:color w:val="auto"/>
        </w:rPr>
      </w:pPr>
      <w:r>
        <w:rPr>
          <w:rFonts w:ascii="Arial" w:cs="Arial" w:eastAsia="Arial" w:hAnsi="Arial"/>
          <w:sz w:val="18"/>
          <w:szCs w:val="18"/>
          <w:i w:val="1"/>
          <w:iCs w:val="1"/>
          <w:color w:val="auto"/>
        </w:rPr>
        <w:t>Product development</w:t>
      </w:r>
      <w:r>
        <w:rPr>
          <w:rFonts w:ascii="Arial" w:cs="Arial" w:eastAsia="Arial" w:hAnsi="Arial"/>
          <w:sz w:val="18"/>
          <w:szCs w:val="18"/>
          <w:color w:val="auto"/>
        </w:rPr>
        <w:t>. Product development expenses primarily consist of personnel costs such as salaries, bonuses, stock-based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employee-related benefits for our engineering, data science and product teams, as well as non-personnel costs including overhead costs. We believe that our core technologies and ongoing innovation represent a significant competitive advantage for us, and we continue to invest in systems optimization and module improvements for our customers, enhance our software development team and invest in automation and A.I. to drive higher quality data and deeper insights.</w:t>
      </w:r>
    </w:p>
    <w:p>
      <w:pPr>
        <w:spacing w:after="0" w:line="78"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expenses primarily consist of personnel costs such as salaries, bonuses,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other employee-related benefits for our executive, finance, legal, human resources, IT and operations, and administrative teams, as well as non-personnel costs including overhead costs, professional fees and other corporate expenses. General and administrative costs have increased relative to prior periods due to the incremental costs associated with operating as a public company, including corporate insurance costs, incremental accounting and legal expenses, and additional resources associated with controls, reporting, and disclosure.</w:t>
      </w:r>
    </w:p>
    <w:p>
      <w:pPr>
        <w:spacing w:after="0" w:line="76" w:lineRule="exact"/>
        <w:rPr>
          <w:sz w:val="20"/>
          <w:szCs w:val="20"/>
          <w:color w:val="auto"/>
        </w:rPr>
      </w:pPr>
    </w:p>
    <w:p>
      <w:pPr>
        <w:ind w:right="600" w:firstLine="509"/>
        <w:spacing w:after="0" w:line="261"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expenses consist primarily of amortization of intangible assets resulting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and business combinations, as well as depreciation of property and equipment.</w:t>
      </w:r>
    </w:p>
    <w:p>
      <w:pPr>
        <w:spacing w:after="0" w:line="63" w:lineRule="exact"/>
        <w:rPr>
          <w:sz w:val="20"/>
          <w:szCs w:val="20"/>
          <w:color w:val="auto"/>
        </w:rPr>
      </w:pPr>
    </w:p>
    <w:p>
      <w:pPr>
        <w:ind w:right="240" w:firstLine="509"/>
        <w:spacing w:after="0" w:line="256" w:lineRule="auto"/>
        <w:rPr>
          <w:sz w:val="20"/>
          <w:szCs w:val="20"/>
          <w:color w:val="auto"/>
        </w:rPr>
      </w:pPr>
      <w:r>
        <w:rPr>
          <w:rFonts w:ascii="Arial" w:cs="Arial" w:eastAsia="Arial" w:hAnsi="Arial"/>
          <w:sz w:val="18"/>
          <w:szCs w:val="18"/>
          <w:i w:val="1"/>
          <w:iCs w:val="1"/>
          <w:color w:val="auto"/>
        </w:rPr>
        <w:t>Transaction, integration and restructuring expenses</w:t>
      </w:r>
      <w:r>
        <w:rPr>
          <w:rFonts w:ascii="Arial" w:cs="Arial" w:eastAsia="Arial" w:hAnsi="Arial"/>
          <w:sz w:val="18"/>
          <w:szCs w:val="18"/>
          <w:color w:val="auto"/>
        </w:rPr>
        <w:t>. Transaction, integration and restructuring expenses are costs directly associated with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and integration activities we have undertaken, primarily accounting and legal due diligence, and consulting and advisory fees as well as expenses related to our office relocations.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expense, net consists primarily of interest expense, net and other income (expense), net.</w:t>
      </w:r>
    </w:p>
    <w:p>
      <w:pPr>
        <w:spacing w:after="0" w:line="104"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consists primarily of interest expense on our debt obligations and the amortization of debt discounts and debt issuance costs,</w:t>
      </w:r>
      <w:r>
        <w:rPr>
          <w:rFonts w:ascii="Arial" w:cs="Arial" w:eastAsia="Arial" w:hAnsi="Arial"/>
          <w:sz w:val="18"/>
          <w:szCs w:val="18"/>
          <w:i w:val="1"/>
          <w:iCs w:val="1"/>
          <w:color w:val="auto"/>
        </w:rPr>
        <w:t xml:space="preserve"> </w:t>
      </w:r>
      <w:r>
        <w:rPr>
          <w:rFonts w:ascii="Arial" w:cs="Arial" w:eastAsia="Arial" w:hAnsi="Arial"/>
          <w:sz w:val="18"/>
          <w:szCs w:val="18"/>
          <w:color w:val="auto"/>
        </w:rPr>
        <w:t>less interest income. We expect to realize a reduction in our interest expense during 2022 over prior periods resulting from the repayment of a portion of our outstanding indebtedness with the proceeds from the IPO in September 2021. Should the recent rise in interest rates continue, it is expected that interest expense will increase in 2023 for the unhedged portion of our outstanding debt while interest rate swap agreements will keep the hedged portion of outstanding debt fixed.</w:t>
      </w:r>
    </w:p>
    <w:p>
      <w:pPr>
        <w:spacing w:after="0" w:line="78" w:lineRule="exact"/>
        <w:rPr>
          <w:sz w:val="20"/>
          <w:szCs w:val="20"/>
          <w:color w:val="auto"/>
        </w:rPr>
      </w:pPr>
    </w:p>
    <w:p>
      <w:pPr>
        <w:ind w:right="80" w:firstLine="509"/>
        <w:spacing w:after="0" w:line="267"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consists primarily of the revaluation of tax receivable agreement liabilities and realized and unrealized gains and losses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the impact of transactions denominated in a foreign currency. Significant changes in the projected liability resulting from the tax receivable agreement may occur based on changes in anticipated future taxable income, changes in applicable tax rates or other changes in tax attributes that may occur and could affect the expected future tax benefits to be received by us. We do not have significant exposure to foreign exchange volatility and do not anticipate foreign currency transaction gains or losses to materially impact our results of operations.</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condensed consolidated statements of operations for the periods presented:</w:t>
      </w:r>
    </w:p>
    <w:p>
      <w:pPr>
        <w:spacing w:after="0" w:line="9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332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w:t>
            </w:r>
          </w:p>
        </w:tc>
        <w:tc>
          <w:tcPr>
            <w:tcW w:w="21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4"/>
              </w:rPr>
              <w:t>Nine Months Ended September</w:t>
            </w:r>
          </w:p>
        </w:tc>
        <w:tc>
          <w:tcPr>
            <w:tcW w:w="0" w:type="dxa"/>
            <w:vAlign w:val="bottom"/>
          </w:tcPr>
          <w:p>
            <w:pPr>
              <w:spacing w:after="0"/>
              <w:rPr>
                <w:sz w:val="1"/>
                <w:szCs w:val="1"/>
                <w:color w:val="auto"/>
              </w:rPr>
            </w:pPr>
          </w:p>
        </w:tc>
      </w:tr>
      <w:tr>
        <w:trPr>
          <w:trHeight w:val="185"/>
        </w:trPr>
        <w:tc>
          <w:tcPr>
            <w:tcW w:w="4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30,</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1220" w:type="dxa"/>
            <w:vAlign w:val="bottom"/>
          </w:tcPr>
          <w:p>
            <w:pPr>
              <w:spacing w:after="0"/>
              <w:rPr>
                <w:sz w:val="14"/>
                <w:szCs w:val="14"/>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57,382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43,084</w:t>
            </w:r>
          </w:p>
        </w:tc>
        <w:tc>
          <w:tcPr>
            <w:tcW w:w="1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162,054</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Cost of revenue exclusive of amortization</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5,129</w:t>
            </w:r>
          </w:p>
        </w:tc>
        <w:tc>
          <w:tcPr>
            <w:tcW w:w="1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18,717</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5,356</w:t>
            </w:r>
          </w:p>
        </w:tc>
        <w:tc>
          <w:tcPr>
            <w:tcW w:w="1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14,113</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cost of revenue</w:t>
            </w: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9,724</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10,485</w:t>
            </w:r>
          </w:p>
        </w:tc>
        <w:tc>
          <w:tcPr>
            <w:tcW w:w="1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32,830</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54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47,658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32,599</w:t>
            </w:r>
          </w:p>
        </w:tc>
        <w:tc>
          <w:tcPr>
            <w:tcW w:w="1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129,224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21,184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14,376</w:t>
            </w:r>
          </w:p>
        </w:tc>
        <w:tc>
          <w:tcPr>
            <w:tcW w:w="1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66,062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Product development</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4,746</w:t>
            </w:r>
          </w:p>
        </w:tc>
        <w:tc>
          <w:tcPr>
            <w:tcW w:w="1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24,761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13,718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7,880</w:t>
            </w:r>
          </w:p>
        </w:tc>
        <w:tc>
          <w:tcPr>
            <w:tcW w:w="1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33,564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9,760</w:t>
            </w:r>
          </w:p>
        </w:tc>
        <w:tc>
          <w:tcPr>
            <w:tcW w:w="1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30,105</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600" w:type="dxa"/>
            <w:vAlign w:val="bottom"/>
          </w:tcPr>
          <w:p>
            <w:pPr>
              <w:ind w:left="180"/>
              <w:spacing w:after="0" w:line="175" w:lineRule="exact"/>
              <w:rPr>
                <w:sz w:val="20"/>
                <w:szCs w:val="20"/>
                <w:color w:val="auto"/>
              </w:rPr>
            </w:pPr>
            <w:r>
              <w:rPr>
                <w:rFonts w:ascii="Arial" w:cs="Arial" w:eastAsia="Arial" w:hAnsi="Arial"/>
                <w:sz w:val="18"/>
                <w:szCs w:val="18"/>
                <w:color w:val="auto"/>
              </w:rPr>
              <w:t>Transaction, integration and restructuring</w:t>
            </w: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2,945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gridSpan w:val="2"/>
            <w:vMerge w:val="restart"/>
          </w:tcPr>
          <w:p>
            <w:pPr>
              <w:jc w:val="right"/>
              <w:ind w:right="1160"/>
              <w:spacing w:after="0"/>
              <w:rPr>
                <w:sz w:val="20"/>
                <w:szCs w:val="20"/>
                <w:color w:val="auto"/>
              </w:rPr>
            </w:pPr>
            <w:r>
              <w:rPr>
                <w:rFonts w:ascii="Arial" w:cs="Arial" w:eastAsia="Arial" w:hAnsi="Arial"/>
                <w:sz w:val="18"/>
                <w:szCs w:val="18"/>
                <w:color w:val="auto"/>
              </w:rPr>
              <w:t>(137 )</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6,362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3,332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600" w:type="dxa"/>
            <w:vAlign w:val="bottom"/>
            <w:vMerge w:val="restart"/>
          </w:tcPr>
          <w:p>
            <w:pPr>
              <w:ind w:left="18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6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600" w:type="dxa"/>
            <w:vAlign w:val="bottom"/>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6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57,089</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36,625</w:t>
            </w:r>
          </w:p>
        </w:tc>
        <w:tc>
          <w:tcPr>
            <w:tcW w:w="1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160,854</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102,857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tcPr>
          <w:p>
            <w:pPr>
              <w:ind w:left="54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(9,431 )</w:t>
            </w:r>
          </w:p>
        </w:tc>
        <w:tc>
          <w:tcPr>
            <w:tcW w:w="220" w:type="dxa"/>
            <w:vAlign w:val="bottom"/>
          </w:tcPr>
          <w:p>
            <w:pPr>
              <w:spacing w:after="0"/>
              <w:rPr>
                <w:sz w:val="18"/>
                <w:szCs w:val="18"/>
                <w:color w:val="auto"/>
              </w:rPr>
            </w:pPr>
          </w:p>
        </w:tc>
        <w:tc>
          <w:tcPr>
            <w:tcW w:w="1960" w:type="dxa"/>
            <w:vAlign w:val="bottom"/>
            <w:gridSpan w:val="2"/>
          </w:tcPr>
          <w:p>
            <w:pPr>
              <w:jc w:val="right"/>
              <w:ind w:right="1160"/>
              <w:spacing w:after="0"/>
              <w:rPr>
                <w:sz w:val="20"/>
                <w:szCs w:val="20"/>
                <w:color w:val="auto"/>
              </w:rPr>
            </w:pPr>
            <w:r>
              <w:rPr>
                <w:rFonts w:ascii="Arial" w:cs="Arial" w:eastAsia="Arial" w:hAnsi="Arial"/>
                <w:sz w:val="18"/>
                <w:szCs w:val="18"/>
                <w:color w:val="auto"/>
              </w:rPr>
              <w:t>(4,026 )</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(31,630 )</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(12,807 )</w:t>
            </w: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160"/>
              <w:spacing w:after="0"/>
              <w:rPr>
                <w:sz w:val="20"/>
                <w:szCs w:val="20"/>
                <w:color w:val="auto"/>
              </w:rPr>
            </w:pPr>
            <w:r>
              <w:rPr>
                <w:rFonts w:ascii="Arial" w:cs="Arial" w:eastAsia="Arial" w:hAnsi="Arial"/>
                <w:sz w:val="18"/>
                <w:szCs w:val="18"/>
                <w:color w:val="auto"/>
              </w:rPr>
              <w:t>(16,940 )</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2,499</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(33,686 )</w:t>
            </w:r>
          </w:p>
        </w:tc>
        <w:tc>
          <w:tcPr>
            <w:tcW w:w="0" w:type="dxa"/>
            <w:vAlign w:val="bottom"/>
          </w:tcPr>
          <w:p>
            <w:pPr>
              <w:spacing w:after="0"/>
              <w:rPr>
                <w:sz w:val="1"/>
                <w:szCs w:val="1"/>
                <w:color w:val="auto"/>
              </w:rPr>
            </w:pPr>
          </w:p>
        </w:tc>
      </w:tr>
      <w:tr>
        <w:trPr>
          <w:trHeight w:val="20"/>
        </w:trPr>
        <w:tc>
          <w:tcPr>
            <w:tcW w:w="46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tcPr>
          <w:p>
            <w:pPr>
              <w:ind w:left="540"/>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(6,369 )</w:t>
            </w:r>
          </w:p>
        </w:tc>
        <w:tc>
          <w:tcPr>
            <w:tcW w:w="220" w:type="dxa"/>
            <w:vAlign w:val="bottom"/>
          </w:tcPr>
          <w:p>
            <w:pPr>
              <w:spacing w:after="0"/>
              <w:rPr>
                <w:sz w:val="18"/>
                <w:szCs w:val="18"/>
                <w:color w:val="auto"/>
              </w:rPr>
            </w:pPr>
          </w:p>
        </w:tc>
        <w:tc>
          <w:tcPr>
            <w:tcW w:w="1960" w:type="dxa"/>
            <w:vAlign w:val="bottom"/>
            <w:gridSpan w:val="2"/>
          </w:tcPr>
          <w:p>
            <w:pPr>
              <w:jc w:val="right"/>
              <w:ind w:right="1160"/>
              <w:spacing w:after="0"/>
              <w:rPr>
                <w:sz w:val="20"/>
                <w:szCs w:val="20"/>
                <w:color w:val="auto"/>
              </w:rPr>
            </w:pPr>
            <w:r>
              <w:rPr>
                <w:rFonts w:ascii="Arial" w:cs="Arial" w:eastAsia="Arial" w:hAnsi="Arial"/>
                <w:sz w:val="18"/>
                <w:szCs w:val="18"/>
                <w:color w:val="auto"/>
              </w:rPr>
              <w:t>(20,966 )</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(29,131 )</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(46,493 )</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Income tax benefit</w:t>
            </w: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0" w:type="dxa"/>
            <w:vAlign w:val="bottom"/>
          </w:tcPr>
          <w:p>
            <w:pPr>
              <w:ind w:left="54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(6,354 )</w:t>
            </w:r>
          </w:p>
        </w:tc>
        <w:tc>
          <w:tcPr>
            <w:tcW w:w="220" w:type="dxa"/>
            <w:vAlign w:val="bottom"/>
          </w:tcPr>
          <w:p>
            <w:pPr>
              <w:spacing w:after="0"/>
              <w:rPr>
                <w:sz w:val="19"/>
                <w:szCs w:val="19"/>
                <w:color w:val="auto"/>
              </w:rPr>
            </w:pPr>
          </w:p>
        </w:tc>
        <w:tc>
          <w:tcPr>
            <w:tcW w:w="1960" w:type="dxa"/>
            <w:vAlign w:val="bottom"/>
            <w:gridSpan w:val="2"/>
          </w:tcPr>
          <w:p>
            <w:pPr>
              <w:jc w:val="right"/>
              <w:ind w:right="1160"/>
              <w:spacing w:after="0"/>
              <w:rPr>
                <w:sz w:val="20"/>
                <w:szCs w:val="20"/>
                <w:color w:val="auto"/>
              </w:rPr>
            </w:pPr>
            <w:r>
              <w:rPr>
                <w:rFonts w:ascii="Arial" w:cs="Arial" w:eastAsia="Arial" w:hAnsi="Arial"/>
                <w:sz w:val="18"/>
                <w:szCs w:val="18"/>
                <w:color w:val="auto"/>
              </w:rPr>
              <w:t>(20,966 )</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(28,990 )</w:t>
            </w: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(46,493</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-1945640</wp:posOffset>
            </wp:positionV>
            <wp:extent cx="68580" cy="146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-1945640</wp:posOffset>
            </wp:positionV>
            <wp:extent cx="60325" cy="146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-1945640</wp:posOffset>
            </wp:positionV>
            <wp:extent cx="59690" cy="146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90" cy="1460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-1945640</wp:posOffset>
            </wp:positionV>
            <wp:extent cx="60325" cy="146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-720090</wp:posOffset>
            </wp:positionV>
            <wp:extent cx="68580" cy="1454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-720090</wp:posOffset>
            </wp:positionV>
            <wp:extent cx="60325" cy="1454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-720090</wp:posOffset>
            </wp:positionV>
            <wp:extent cx="59690" cy="1454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90" cy="1454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-720090</wp:posOffset>
            </wp:positionV>
            <wp:extent cx="60325" cy="1454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-436880</wp:posOffset>
            </wp:positionV>
            <wp:extent cx="68580" cy="146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-436880</wp:posOffset>
            </wp:positionV>
            <wp:extent cx="60325" cy="146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-436880</wp:posOffset>
            </wp:positionV>
            <wp:extent cx="59690" cy="1460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90" cy="1460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-436880</wp:posOffset>
            </wp:positionV>
            <wp:extent cx="60325" cy="1460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-154305</wp:posOffset>
            </wp:positionV>
            <wp:extent cx="6412230" cy="5314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412230" cy="53149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p>
      <w:pPr>
        <w:ind w:left="760" w:right="860"/>
        <w:spacing w:after="0" w:line="229" w:lineRule="auto"/>
        <w:rPr>
          <w:sz w:val="20"/>
          <w:szCs w:val="20"/>
          <w:color w:val="auto"/>
        </w:rPr>
      </w:pPr>
      <w:r>
        <w:rPr>
          <w:rFonts w:ascii="Arial" w:cs="Arial" w:eastAsia="Arial" w:hAnsi="Arial"/>
          <w:sz w:val="18"/>
          <w:szCs w:val="18"/>
          <w:color w:val="auto"/>
        </w:rPr>
        <w:t>Less: Net loss attributable to Definitive OpCo prior to the Reorganization Transactions</w:t>
      </w:r>
    </w:p>
    <w:p>
      <w:pPr>
        <w:ind w:left="760"/>
        <w:spacing w:after="0" w:line="221" w:lineRule="auto"/>
        <w:rPr>
          <w:sz w:val="20"/>
          <w:szCs w:val="20"/>
          <w:color w:val="auto"/>
        </w:rPr>
      </w:pPr>
      <w:r>
        <w:rPr>
          <w:rFonts w:ascii="Arial" w:cs="Arial" w:eastAsia="Arial" w:hAnsi="Arial"/>
          <w:sz w:val="18"/>
          <w:szCs w:val="18"/>
          <w:color w:val="auto"/>
        </w:rPr>
        <w:t>Less: Net loss attributable to</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noncontrolling interests</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Net loss attributable to Definitive</w:t>
      </w:r>
    </w:p>
    <w:p>
      <w:pPr>
        <w:ind w:left="1120"/>
        <w:spacing w:after="0"/>
        <w:rPr>
          <w:sz w:val="20"/>
          <w:szCs w:val="20"/>
          <w:color w:val="auto"/>
        </w:rPr>
      </w:pPr>
      <w:r>
        <w:rPr>
          <w:rFonts w:ascii="Arial" w:cs="Arial" w:eastAsia="Arial" w:hAnsi="Arial"/>
          <w:sz w:val="18"/>
          <w:szCs w:val="18"/>
          <w:color w:val="auto"/>
        </w:rPr>
        <w:t>Healthcare Corp.</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11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160"/>
              <w:spacing w:after="0"/>
              <w:rPr>
                <w:sz w:val="20"/>
                <w:szCs w:val="20"/>
                <w:color w:val="auto"/>
              </w:rPr>
            </w:pPr>
            <w:r>
              <w:rPr>
                <w:rFonts w:ascii="Arial" w:cs="Arial" w:eastAsia="Arial" w:hAnsi="Arial"/>
                <w:sz w:val="18"/>
                <w:szCs w:val="18"/>
                <w:color w:val="auto"/>
              </w:rPr>
              <w:t>(7,816 )</w:t>
            </w:r>
          </w:p>
        </w:tc>
        <w:tc>
          <w:tcPr>
            <w:tcW w:w="240" w:type="dxa"/>
            <w:vAlign w:val="bottom"/>
          </w:tcPr>
          <w:p>
            <w:pPr>
              <w:spacing w:after="0"/>
              <w:rPr>
                <w:sz w:val="20"/>
                <w:szCs w:val="20"/>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(33,343 )</w:t>
            </w:r>
          </w:p>
        </w:tc>
      </w:tr>
      <w:tr>
        <w:trPr>
          <w:trHeight w:val="486"/>
        </w:trPr>
        <w:tc>
          <w:tcPr>
            <w:tcW w:w="26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(3,665 )</w:t>
            </w:r>
          </w:p>
        </w:tc>
        <w:tc>
          <w:tcPr>
            <w:tcW w:w="280" w:type="dxa"/>
            <w:vAlign w:val="bottom"/>
          </w:tcPr>
          <w:p>
            <w:pPr>
              <w:spacing w:after="0"/>
              <w:rPr>
                <w:sz w:val="24"/>
                <w:szCs w:val="24"/>
                <w:color w:val="auto"/>
              </w:rPr>
            </w:pPr>
          </w:p>
        </w:tc>
        <w:tc>
          <w:tcPr>
            <w:tcW w:w="1900" w:type="dxa"/>
            <w:vAlign w:val="bottom"/>
            <w:gridSpan w:val="2"/>
          </w:tcPr>
          <w:p>
            <w:pPr>
              <w:jc w:val="right"/>
              <w:ind w:right="1160"/>
              <w:spacing w:after="0"/>
              <w:rPr>
                <w:sz w:val="20"/>
                <w:szCs w:val="20"/>
                <w:color w:val="auto"/>
              </w:rPr>
            </w:pPr>
            <w:r>
              <w:rPr>
                <w:rFonts w:ascii="Arial" w:cs="Arial" w:eastAsia="Arial" w:hAnsi="Arial"/>
                <w:sz w:val="18"/>
                <w:szCs w:val="18"/>
                <w:color w:val="auto"/>
              </w:rPr>
              <w:t>(5,172 )</w:t>
            </w:r>
          </w:p>
        </w:tc>
        <w:tc>
          <w:tcPr>
            <w:tcW w:w="24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(12,527 )</w:t>
            </w:r>
          </w:p>
        </w:tc>
        <w:tc>
          <w:tcPr>
            <w:tcW w:w="24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(5,172 )</w:t>
            </w:r>
          </w:p>
        </w:tc>
      </w:tr>
      <w:tr>
        <w:trPr>
          <w:trHeight w:val="95"/>
        </w:trPr>
        <w:tc>
          <w:tcPr>
            <w:tcW w:w="2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77"/>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(2,689 )  $</w:t>
            </w:r>
          </w:p>
        </w:tc>
        <w:tc>
          <w:tcPr>
            <w:tcW w:w="1900" w:type="dxa"/>
            <w:vAlign w:val="bottom"/>
            <w:gridSpan w:val="2"/>
          </w:tcPr>
          <w:p>
            <w:pPr>
              <w:jc w:val="right"/>
              <w:ind w:right="1160"/>
              <w:spacing w:after="0"/>
              <w:rPr>
                <w:sz w:val="20"/>
                <w:szCs w:val="20"/>
                <w:color w:val="auto"/>
              </w:rPr>
            </w:pPr>
            <w:r>
              <w:rPr>
                <w:rFonts w:ascii="Arial" w:cs="Arial" w:eastAsia="Arial" w:hAnsi="Arial"/>
                <w:sz w:val="18"/>
                <w:szCs w:val="18"/>
                <w:color w:val="auto"/>
              </w:rPr>
              <w:t>(7,978 )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(16,463 )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(7,978 )</w:t>
            </w:r>
          </w:p>
        </w:tc>
      </w:tr>
      <w:tr>
        <w:trPr>
          <w:trHeight w:val="81"/>
        </w:trPr>
        <w:tc>
          <w:tcPr>
            <w:tcW w:w="2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2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-2923540</wp:posOffset>
            </wp:positionH>
            <wp:positionV relativeFrom="paragraph">
              <wp:posOffset>-256540</wp:posOffset>
            </wp:positionV>
            <wp:extent cx="6412230" cy="2571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41223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60" w:space="720"/>
            <w:col w:w="6020"/>
          </w:cols>
          <w:pgMar w:left="320" w:top="648" w:right="37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2022 compared to Three Months Ended September 30, 2021</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Revenue increased $14.3 million, or 33%, in the three months ended September 30, 2022 compared with the same period in the prior year, driven by higher subscription revenue of $13.4 million. This increase was primarily due to net expansion with existing customers, as well as organic addition of new customers, and the addition of new customers resulting from the acquisition of Analytical Wizards.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Cost of Revenue</w:t>
      </w:r>
    </w:p>
    <w:p>
      <w:pPr>
        <w:spacing w:after="0" w:line="108" w:lineRule="exact"/>
        <w:rPr>
          <w:sz w:val="20"/>
          <w:szCs w:val="20"/>
          <w:color w:val="auto"/>
        </w:rPr>
      </w:pPr>
    </w:p>
    <w:p>
      <w:pPr>
        <w:ind w:right="260" w:firstLine="509"/>
        <w:spacing w:after="0" w:line="270" w:lineRule="auto"/>
        <w:rPr>
          <w:sz w:val="20"/>
          <w:szCs w:val="20"/>
          <w:color w:val="auto"/>
        </w:rPr>
      </w:pPr>
      <w:r>
        <w:rPr>
          <w:rFonts w:ascii="Arial" w:cs="Arial" w:eastAsia="Arial" w:hAnsi="Arial"/>
          <w:sz w:val="17"/>
          <w:szCs w:val="17"/>
          <w:color w:val="auto"/>
        </w:rPr>
        <w:t>Cost of revenue decreased $0.8 million, or 7%, in the three months ended September 30, 2022 compared with the same period in the prior year, primarily due to lower amortization of acquired technology costs, partially offset by increased hosting fees, increases in employee benefit and insurance costs and, to a lesser extent, incremental personnel costs resulting from the acquisition of Analytical Wizards.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Operating Expenses</w:t>
      </w:r>
    </w:p>
    <w:p>
      <w:pPr>
        <w:spacing w:after="0" w:line="108"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Operating expenses increased $20.5 million, or 56%, during the three months ended September 30, 2022 compared with the same period in the prior year. While inflation has generally contributed to rising vendor and labor costs, we believe the increase to operating expenses was primarily due to:</w:t>
      </w:r>
    </w:p>
    <w:p>
      <w:pPr>
        <w:spacing w:after="0" w:line="30" w:lineRule="exact"/>
        <w:rPr>
          <w:sz w:val="20"/>
          <w:szCs w:val="20"/>
          <w:color w:val="auto"/>
        </w:rPr>
      </w:pPr>
    </w:p>
    <w:p>
      <w:pPr>
        <w:jc w:val="both"/>
        <w:ind w:left="1020" w:right="440" w:hanging="503"/>
        <w:spacing w:after="0" w:line="24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sales and marketing expense of $6.8 million for the three months ended September 30, 2022, due primarily to increased personnel costs resulting from additional hiring, as well as increases in stock-based compensation expense and in employee benefit and insurance costs;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type w:val="continuous"/>
        </w:sectPr>
      </w:pPr>
    </w:p>
    <w:bookmarkStart w:id="37" w:name="page38"/>
    <w:bookmarkEnd w:id="37"/>
    <w:p>
      <w:pPr>
        <w:ind w:left="1020" w:right="160" w:hanging="503"/>
        <w:spacing w:after="0" w:line="25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product development expense of $4.5 million for the three months ended September 30, 2022, due primarily to increased personnel costs resulting from additional hiring and the acquisition of Analytical Wizards, as well as increases in stock-based compensation expense and in employee benefit and insurance costs;</w:t>
      </w:r>
    </w:p>
    <w:p>
      <w:pPr>
        <w:spacing w:after="0" w:line="66" w:lineRule="exact"/>
        <w:rPr>
          <w:rFonts w:ascii="Arial" w:cs="Arial" w:eastAsia="Arial" w:hAnsi="Arial"/>
          <w:sz w:val="18"/>
          <w:szCs w:val="18"/>
          <w:color w:val="auto"/>
        </w:rPr>
      </w:pPr>
    </w:p>
    <w:p>
      <w:pPr>
        <w:ind w:left="1020" w:right="40" w:hanging="503"/>
        <w:spacing w:after="0" w:line="249"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general and administrative expense of $5.8 million for the three months ended September 30, 2022, due primarily to increased personnel costs arising from additional hiring and increases in employee benefit and insurance costs, as well as increases in stock-based compensation expense, bad debt expense and additional accounting and legal expenses resulting from the transition to becoming a publicly-traded company. If the macroenvironment trends described above continue, we may experience additional increases in bad debt expense in the future;</w:t>
      </w:r>
    </w:p>
    <w:p>
      <w:pPr>
        <w:spacing w:after="0" w:line="73" w:lineRule="exact"/>
        <w:rPr>
          <w:rFonts w:ascii="Arial" w:cs="Arial" w:eastAsia="Arial" w:hAnsi="Arial"/>
          <w:sz w:val="18"/>
          <w:szCs w:val="18"/>
          <w:color w:val="auto"/>
        </w:rPr>
      </w:pPr>
    </w:p>
    <w:p>
      <w:pPr>
        <w:ind w:left="1020" w:right="580" w:hanging="50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transaction, integration and restructuring expenses of $3.1 million for the three months ended September 30, 2022, due primarily to a go-to-market integration project conducted in the third quarter of 2022.</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Total other income, net was $3.1 million for the three months ended September 30, 2022, driven primarily by a TRA liability remeasurement gain of $5.2 million, partially offset by $2.5 million of interest expense, net. Total other expense, net of $16.9 million for the three months ended September 30, 2021 was driven by a $9.9 million loss from the extinguishment of debt and interest expense of $7.2 million. Interest expense, net was lower in the three months ended September 30, 2022 compared with the same period in the prior year due to lower interest rates and a lower outstanding debt balance resulting from the refinancing of the Company’s debt in September of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2022 compared to Nine Months Ended September 30, 2021</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w:t>
      </w:r>
    </w:p>
    <w:p>
      <w:pPr>
        <w:spacing w:after="0" w:line="108" w:lineRule="exact"/>
        <w:rPr>
          <w:sz w:val="20"/>
          <w:szCs w:val="20"/>
          <w:color w:val="auto"/>
        </w:rPr>
      </w:pPr>
    </w:p>
    <w:p>
      <w:pPr>
        <w:jc w:val="both"/>
        <w:ind w:right="80" w:firstLine="509"/>
        <w:spacing w:after="0" w:line="256" w:lineRule="auto"/>
        <w:rPr>
          <w:sz w:val="20"/>
          <w:szCs w:val="20"/>
          <w:color w:val="auto"/>
        </w:rPr>
      </w:pPr>
      <w:r>
        <w:rPr>
          <w:rFonts w:ascii="Arial" w:cs="Arial" w:eastAsia="Arial" w:hAnsi="Arial"/>
          <w:sz w:val="18"/>
          <w:szCs w:val="18"/>
          <w:color w:val="auto"/>
        </w:rPr>
        <w:t>Revenue increased $42.2 million, or 35%, in the nine months ended September 30, 2022 compared with the same period in the prior year, driven by higher subscription revenue of $40.6 million. This increase was primarily due to net expansion with existing customers, as well as organic addition of new customers, and the addition of new customers resulting from the acquisition of Analytical Wizards.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Cost of Revenue</w:t>
      </w:r>
    </w:p>
    <w:p>
      <w:pPr>
        <w:spacing w:after="0" w:line="108" w:lineRule="exact"/>
        <w:rPr>
          <w:sz w:val="20"/>
          <w:szCs w:val="20"/>
          <w:color w:val="auto"/>
        </w:rPr>
      </w:pPr>
    </w:p>
    <w:p>
      <w:pPr>
        <w:jc w:val="both"/>
        <w:ind w:right="400" w:firstLine="509"/>
        <w:spacing w:after="0" w:line="303" w:lineRule="auto"/>
        <w:rPr>
          <w:sz w:val="20"/>
          <w:szCs w:val="20"/>
          <w:color w:val="auto"/>
        </w:rPr>
      </w:pPr>
      <w:r>
        <w:rPr>
          <w:rFonts w:ascii="Arial" w:cs="Arial" w:eastAsia="Arial" w:hAnsi="Arial"/>
          <w:sz w:val="16"/>
          <w:szCs w:val="16"/>
          <w:color w:val="auto"/>
        </w:rPr>
        <w:t>Cost of revenue increased $3.0 million, or 10%, in the nine months ended September 30, 2022 compared with the same period in the prior year, primarily due to increased data and hosting fees, increases in employee benefit and insurance costs and, to a lesser extent, incremental personnel costs resulting from the acquisition of Analytical Wizards, partially offset by lower amortization of acquired technology costs.</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Operating Expenses</w:t>
      </w:r>
    </w:p>
    <w:p>
      <w:pPr>
        <w:spacing w:after="0" w:line="108" w:lineRule="exact"/>
        <w:rPr>
          <w:sz w:val="20"/>
          <w:szCs w:val="20"/>
          <w:color w:val="auto"/>
        </w:rPr>
      </w:pPr>
    </w:p>
    <w:p>
      <w:pPr>
        <w:ind w:right="80" w:firstLine="509"/>
        <w:spacing w:after="0" w:line="342" w:lineRule="auto"/>
        <w:rPr>
          <w:sz w:val="20"/>
          <w:szCs w:val="20"/>
          <w:color w:val="auto"/>
        </w:rPr>
      </w:pPr>
      <w:r>
        <w:rPr>
          <w:rFonts w:ascii="Arial" w:cs="Arial" w:eastAsia="Arial" w:hAnsi="Arial"/>
          <w:sz w:val="16"/>
          <w:szCs w:val="16"/>
          <w:color w:val="auto"/>
        </w:rPr>
        <w:t>Operating expenses increased $58.0 million, or 56%, during the nine months ended September 30, 2022 compared with the same period in the prior year. While inflation has generally contributed to rising vendor and labor costs, we believe the increase to operating expenses was primarily due to:</w:t>
      </w:r>
    </w:p>
    <w:p>
      <w:pPr>
        <w:spacing w:after="0" w:line="2" w:lineRule="exact"/>
        <w:rPr>
          <w:sz w:val="20"/>
          <w:szCs w:val="20"/>
          <w:color w:val="auto"/>
        </w:rPr>
      </w:pPr>
    </w:p>
    <w:p>
      <w:pPr>
        <w:jc w:val="both"/>
        <w:ind w:left="1020" w:right="480" w:hanging="503"/>
        <w:spacing w:after="0" w:line="25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sales and marketing expense of $27.1 million for the nine months ended September 30, 2022, due primarily to increased personnel costs resulting from additional hiring, as well as increases in stock-based compensation expense and in employee benefit and insurance costs;</w:t>
      </w:r>
    </w:p>
    <w:p>
      <w:pPr>
        <w:spacing w:after="0" w:line="66" w:lineRule="exact"/>
        <w:rPr>
          <w:rFonts w:ascii="Arial" w:cs="Arial" w:eastAsia="Arial" w:hAnsi="Arial"/>
          <w:sz w:val="18"/>
          <w:szCs w:val="18"/>
          <w:color w:val="auto"/>
        </w:rPr>
      </w:pPr>
    </w:p>
    <w:p>
      <w:pPr>
        <w:ind w:left="1020" w:right="160" w:hanging="503"/>
        <w:spacing w:after="0" w:line="25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product development expense of $11.9 million for the nine months ended September 30, 2022, due primarily to increased personnel costs resulting from additional hiring and the acquisition of Analytical Wizards, as well as increases in stock-based compensation expense and in employee benefit and insurance costs;</w:t>
      </w:r>
    </w:p>
    <w:p>
      <w:pPr>
        <w:spacing w:after="0" w:line="66" w:lineRule="exact"/>
        <w:rPr>
          <w:rFonts w:ascii="Arial" w:cs="Arial" w:eastAsia="Arial" w:hAnsi="Arial"/>
          <w:sz w:val="18"/>
          <w:szCs w:val="18"/>
          <w:color w:val="auto"/>
        </w:rPr>
      </w:pPr>
    </w:p>
    <w:p>
      <w:pPr>
        <w:ind w:left="1020" w:hanging="503"/>
        <w:spacing w:after="0" w:line="245"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general and administrative expense of $14.7 million for the nine months ended September 30, 2022, due primarily to increased personnel costs arising from additional hiring and increases in employee benefit and insurance costs, as well as increases in stock-based compensation expense, bad debt expense and additional accounting and legal expenses resulting from the transition to becoming a publicly traded company. If the macroenvironment trends described above continue, we may experience additional increases in bad debt expense in the future;</w:t>
      </w:r>
    </w:p>
    <w:p>
      <w:pPr>
        <w:spacing w:after="0" w:line="91" w:lineRule="exact"/>
        <w:rPr>
          <w:rFonts w:ascii="Arial" w:cs="Arial" w:eastAsia="Arial" w:hAnsi="Arial"/>
          <w:sz w:val="18"/>
          <w:szCs w:val="18"/>
          <w:color w:val="auto"/>
        </w:rPr>
      </w:pPr>
    </w:p>
    <w:p>
      <w:pPr>
        <w:ind w:left="1020" w:right="20" w:hanging="503"/>
        <w:spacing w:after="0" w:line="248"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transaction, integration and restructuring expenses of $3.0 million for the nine months ended September 30, 2022, due primarily to costs from the acquisition of Analytical Wizards, restructuring costs and a go-to-market integration project conducted in the third quarter of 2022.</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8" w:name="page39"/>
    <w:bookmarkEnd w:id="38"/>
    <w:p>
      <w:pPr>
        <w:ind w:left="520"/>
        <w:spacing w:after="0"/>
        <w:rPr>
          <w:sz w:val="20"/>
          <w:szCs w:val="20"/>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ind w:right="60" w:firstLine="509"/>
        <w:spacing w:after="0" w:line="263" w:lineRule="auto"/>
        <w:rPr>
          <w:sz w:val="20"/>
          <w:szCs w:val="20"/>
          <w:color w:val="auto"/>
        </w:rPr>
      </w:pPr>
      <w:r>
        <w:rPr>
          <w:rFonts w:ascii="Arial" w:cs="Arial" w:eastAsia="Arial" w:hAnsi="Arial"/>
          <w:sz w:val="17"/>
          <w:szCs w:val="17"/>
          <w:color w:val="auto"/>
        </w:rPr>
        <w:t>Total other income, net was $2.5 million for the nine months ended September 30, 2022, driven primarily by a TRA liability remeasurement gain of $8.3 million, partially offset by $6.9 million of interest expense, net. Total other expense, net of $33.7 million for the nine months ended September 30, 2021 was driven by a $9.9 million loss from the extinguishment of debt and interest expense, net of $24.0 million. Interest expense, net was lower in the nine months ended September 30, 2022 compared with the same period in the prior year due to lower interest rates and a lower outstanding debt balance resulting from the refinancing of the Company’s debt in September of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04" w:lineRule="exact"/>
        <w:rPr>
          <w:sz w:val="20"/>
          <w:szCs w:val="20"/>
          <w:color w:val="auto"/>
        </w:rPr>
      </w:pPr>
    </w:p>
    <w:p>
      <w:pPr>
        <w:ind w:right="20" w:firstLine="509"/>
        <w:spacing w:after="0" w:line="275" w:lineRule="auto"/>
        <w:rPr>
          <w:sz w:val="20"/>
          <w:szCs w:val="20"/>
          <w:color w:val="auto"/>
        </w:rPr>
      </w:pPr>
      <w:r>
        <w:rPr>
          <w:rFonts w:ascii="Arial" w:cs="Arial" w:eastAsia="Arial" w:hAnsi="Arial"/>
          <w:sz w:val="16"/>
          <w:szCs w:val="16"/>
          <w:color w:val="auto"/>
        </w:rPr>
        <w:t>As of September 30, 2022, we had $228.8 million of cash and cash equivalents, $120.8 million of short-term investments and $75.0 million available under our revolving credit facility. Our principal sources of liquidity are cash and cash equivalents and short-term investments on hand, primarily from our IPO and follow-on offerings, as well as the cash flows we generate from operations. Our principal uses of liquidity have been primarily for investment in long-term growth of the business through capital expenditures and acquisitions, as well as debt services and distributions to members of Definitive OpCo. In addition, on October 7, 2022, we filed a registration statement on Form S-3 with the SEC using a “shelf” registration process. If and when we utilize the shelf registration, we will be able to, from time to time, offer and sell, either individually or in combination, in one or more offerings of</w:t>
      </w:r>
    </w:p>
    <w:p>
      <w:pPr>
        <w:spacing w:after="0" w:line="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securities described in the shelf registration statement. Each time we offer securities under this shelf registration, we will provide a prospectus supplement that will contain more specific information about the terms of that offering.</w:t>
      </w:r>
    </w:p>
    <w:p>
      <w:pPr>
        <w:spacing w:after="0" w:line="49"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auto"/>
        </w:rPr>
        <w:t>All of our business is conducted through Definitive OpCo and its consolidated subsidiaries and affiliates, and the financial results are included in the condensed consolidated financial statements of Definitive Healthcare Corp. Definitive Healthcare Corp. has no independent means of generating revenue. The Amended LLC Agreement provides that certain distributions will be made to cover Definitive Healthcare Corp.'s taxes and such tax distributions are also expected to be used by Definitive Healthcare Corp. to satisfy its obligations under the TRA.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2021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w:t>
      </w:r>
    </w:p>
    <w:p>
      <w:pPr>
        <w:spacing w:after="0" w:line="54"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We believe that our cash flow from operations, availability under the 2021 Credit Agreement and available cash and cash equivalents and short-term investments will be sufficient to meet our liquidity needs for at least the next twelve months. We anticipate that to the extent that we require additional liquidity, it will be funded through the incurrence of additional indebtedness, the issuance of additional equity, or a combination thereof. We cannot provide assurance that we will be able to obtain this additional liquidity on reasonable terms, or at all.</w:t>
      </w:r>
    </w:p>
    <w:p>
      <w:pPr>
        <w:spacing w:after="0" w:line="73" w:lineRule="exact"/>
        <w:rPr>
          <w:sz w:val="20"/>
          <w:szCs w:val="20"/>
          <w:color w:val="auto"/>
        </w:rPr>
      </w:pPr>
    </w:p>
    <w:p>
      <w:pPr>
        <w:ind w:firstLine="509"/>
        <w:spacing w:after="0" w:line="260" w:lineRule="auto"/>
        <w:rPr>
          <w:sz w:val="20"/>
          <w:szCs w:val="20"/>
          <w:color w:val="auto"/>
        </w:rPr>
      </w:pPr>
      <w:r>
        <w:rPr>
          <w:rFonts w:ascii="Arial" w:cs="Arial" w:eastAsia="Arial" w:hAnsi="Arial"/>
          <w:sz w:val="17"/>
          <w:szCs w:val="17"/>
          <w:color w:val="auto"/>
        </w:rPr>
        <w:t>Additionally, our liquidity and our ability to meet our obligations and fund our capital requirements are dependent on our future financial performance, which is subject to general economic, financial and other factors that are beyond our control. See “Risk Factors” in our 2021 Form 10-K and the factors described elsewhere in this “Management’s Discussion and Analysis of Financial Condition and Results of Operations.” Macroeconomic conditions, including rising inflation and a potential recession, could increase our anticipated funding requirements. In the event we need to seek additional funding, rising interest rates, stock market volatility or other unfavorable macroeconomic conditions may also prevent us from obtaining additional financing on favorable terms or at all. Accordingly, we cannot provide assurance that our business will generate sufficient cash flow from operations or that future borrowings will be available from additional indebtedness or otherwise to meet our liquidity needs. In addition, if we decide to pursue one or more significant acquisitions, we may incur additional debt or sell or issue additional equity to finance such acquisitions, which could possibly result in additional expenses or dilution.</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0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7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69"/>
        </w:trPr>
        <w:tc>
          <w:tcPr>
            <w:tcW w:w="70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39,799</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20,993</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(181,017 )</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(5,662 )</w:t>
            </w: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(17,239 )</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149,695</w:t>
            </w:r>
          </w:p>
        </w:tc>
        <w:tc>
          <w:tcPr>
            <w:tcW w:w="100" w:type="dxa"/>
            <w:vAlign w:val="bottom"/>
          </w:tcPr>
          <w:p>
            <w:pPr>
              <w:spacing w:after="0"/>
              <w:rPr>
                <w:sz w:val="18"/>
                <w:szCs w:val="18"/>
                <w:color w:val="auto"/>
              </w:rPr>
            </w:pPr>
          </w:p>
        </w:tc>
      </w:tr>
      <w:tr>
        <w:trPr>
          <w:trHeight w:val="249"/>
        </w:trPr>
        <w:tc>
          <w:tcPr>
            <w:tcW w:w="7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 in cash and cash equivalents (excluding effect of exchange rate changes)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(158,457</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165,026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-25400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04"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auto"/>
        </w:rPr>
        <w:t>Net cash provided by operating activities was $39.8 million during the nine months ended September 30, 2022, primarily as a result of a net loss of $29.0 million, offset by non-cash charges of $68.8 million. The non-cash charges were primarily comprised of amortization of intangible assets of $42.5 million, equity compensation costs of $25.0 million, and amortization of deferred contract costs of $6.3 million, offset by a gain on remeasurement of the TRA of $8.3 million. The net decrease in operating assets and liabilities of $0.1 million was primarily the result of cash outflows resulting from an increase in deferred contract costs of $10.1 million, a decrease in deferred revenue due to the time of billings and cash received in advance of revenue recognition for subscription services of $3.0 million, and a decrease in accounts payable, accrued expenses, and other current liabilities, collectively, of $2.4 million. These decreases were almost entirely offset by decreases in accounts receivable of $12.5 million and a decrease in prepaids and other assets of $2.6 million.</w:t>
      </w:r>
    </w:p>
    <w:p>
      <w:pPr>
        <w:spacing w:after="0" w:line="50" w:lineRule="exact"/>
        <w:rPr>
          <w:sz w:val="20"/>
          <w:szCs w:val="20"/>
          <w:color w:val="auto"/>
        </w:rPr>
      </w:pPr>
    </w:p>
    <w:p>
      <w:pPr>
        <w:ind w:right="80" w:firstLine="509"/>
        <w:spacing w:after="0" w:line="261" w:lineRule="auto"/>
        <w:rPr>
          <w:sz w:val="20"/>
          <w:szCs w:val="20"/>
          <w:color w:val="auto"/>
        </w:rPr>
      </w:pPr>
      <w:r>
        <w:rPr>
          <w:rFonts w:ascii="Arial" w:cs="Arial" w:eastAsia="Arial" w:hAnsi="Arial"/>
          <w:sz w:val="17"/>
          <w:szCs w:val="17"/>
          <w:color w:val="auto"/>
        </w:rPr>
        <w:t>Net cash provided by operating activities was $21.0 million during the nine months ended September 30, 2021, primarily as a result of a net loss of $46.5 million, which was offset by non-cash charges of $66.9 million. The non-cash charges were primarily comprised of amortization of intangible assets of $43.5 million, a loss on the extinguishment of the previous debt facility of $9.9 million, equity compensation costs of $4.3 million, a $3.2 million increase in the earnout liability related to the Monocl acquisition, amortization of deferred contract costs of $3.2 million, and amortization of debt issuance costs of $1.5 million. The change in operating assets and liabilities was primarily the result of an increase in deferred revenue of $9.0 million due to the timing of billings and cash received in advance of revenue recognition for subscription services and a decrease in accounts receivable of $5.2 million, partially offset by an increase in deferred contract costs of $9.0 million and cash outflows resulting from lower accounts payable, accrued expenses and other current liabilities collectively of $4.0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104" w:lineRule="exact"/>
        <w:rPr>
          <w:sz w:val="20"/>
          <w:szCs w:val="20"/>
          <w:color w:val="auto"/>
        </w:rPr>
      </w:pPr>
    </w:p>
    <w:p>
      <w:pPr>
        <w:jc w:val="both"/>
        <w:ind w:right="520" w:firstLine="509"/>
        <w:spacing w:after="0" w:line="256" w:lineRule="auto"/>
        <w:rPr>
          <w:sz w:val="20"/>
          <w:szCs w:val="20"/>
          <w:color w:val="auto"/>
        </w:rPr>
      </w:pPr>
      <w:r>
        <w:rPr>
          <w:rFonts w:ascii="Arial" w:cs="Arial" w:eastAsia="Arial" w:hAnsi="Arial"/>
          <w:sz w:val="18"/>
          <w:szCs w:val="18"/>
          <w:color w:val="auto"/>
        </w:rPr>
        <w:t>Cash used in investing activities during the nine months ended September 30, 2022 was $181.0 million, driven primarily by $217.3 million in purchases of short-term investments, partially offset by $96.0 million in maturities of short-term investments, and $56.3 million paid to complete the purchase of Analytical Wizards (net of cash acquired).</w:t>
      </w:r>
    </w:p>
    <w:p>
      <w:pPr>
        <w:spacing w:after="0" w:line="67"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Cash used in investing activities during the nine months ended September 30, 2021 was $5.7 million, primarily related to purchases of data and expenditures associated with the buildout of one of our office facilities.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provided by Financing Activities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Cash used in financing activities during the nine months ended September 30, 2022 was $17.2 million, primarily driven by $6.9 million in tax</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distribution payments to members, repayments of the 2021 Term Loan of $5.2 million, taxes paid related to the net share settlement of equity awards of</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$2.7 million, $1.3 million in payments of deferred equity offering issuance costs, and $1.1 million in payments of contingent consideration arising from the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Monocl acquisition.</w:t>
      </w:r>
    </w:p>
    <w:p>
      <w:pPr>
        <w:spacing w:after="0" w:line="88" w:lineRule="exact"/>
        <w:rPr>
          <w:sz w:val="20"/>
          <w:szCs w:val="20"/>
          <w:color w:val="auto"/>
        </w:rPr>
      </w:pPr>
    </w:p>
    <w:p>
      <w:pPr>
        <w:ind w:right="260" w:firstLine="509"/>
        <w:spacing w:after="0" w:line="268" w:lineRule="auto"/>
        <w:rPr>
          <w:sz w:val="20"/>
          <w:szCs w:val="20"/>
          <w:color w:val="auto"/>
        </w:rPr>
      </w:pPr>
      <w:r>
        <w:rPr>
          <w:rFonts w:ascii="Arial" w:cs="Arial" w:eastAsia="Arial" w:hAnsi="Arial"/>
          <w:sz w:val="17"/>
          <w:szCs w:val="17"/>
          <w:color w:val="auto"/>
        </w:rPr>
        <w:t>Cash provided by financing activities during the nine months ended September 30, 2021 was $149.7 million, primarily driven by net proceeds received from the Company's IPO in September 2021 of $360.0 million and proceeds of $275.0 million from the 2021 Term Loan under the 2021 Credit Agreement executed in the third quarter of 2021. These cash inflows were partially offset by repayments of the 2019 Term Loan of $472.7 million, distribution payments made to members of $7.1 million, and payments of debt issuance costs of $3.5 million.</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Debt Obligations</w:t>
      </w:r>
      <w:r>
        <w:rPr>
          <w:rFonts w:ascii="Arial" w:cs="Arial" w:eastAsia="Arial" w:hAnsi="Arial"/>
          <w:sz w:val="18"/>
          <w:szCs w:val="18"/>
          <w:color w:val="auto"/>
        </w:rPr>
        <w:t xml:space="preserve"> for additional information related to our debt obligations.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04" w:lineRule="exact"/>
        <w:rPr>
          <w:sz w:val="20"/>
          <w:szCs w:val="20"/>
          <w:color w:val="auto"/>
        </w:rPr>
      </w:pPr>
    </w:p>
    <w:p>
      <w:pPr>
        <w:ind w:right="620" w:firstLine="509"/>
        <w:spacing w:after="0" w:line="277" w:lineRule="auto"/>
        <w:rPr>
          <w:sz w:val="20"/>
          <w:szCs w:val="20"/>
          <w:color w:val="auto"/>
        </w:rPr>
      </w:pPr>
      <w:r>
        <w:rPr>
          <w:rFonts w:ascii="Arial" w:cs="Arial" w:eastAsia="Arial" w:hAnsi="Arial"/>
          <w:sz w:val="18"/>
          <w:szCs w:val="18"/>
          <w:color w:val="auto"/>
        </w:rPr>
        <w:t>The 2021 Term Loan of $275.0 million has a maturity date of September 17, 2026. The 2021 Term Loan was recorded net of $3.5 million in issuance costs, which are amortized to interest expense over the term of the loan using the effective interest method.</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0" w:name="page41"/>
    <w:bookmarkEnd w:id="40"/>
    <w:p>
      <w:pPr>
        <w:ind w:right="160" w:firstLine="509"/>
        <w:spacing w:after="0" w:line="249" w:lineRule="auto"/>
        <w:rPr>
          <w:sz w:val="20"/>
          <w:szCs w:val="20"/>
          <w:color w:val="auto"/>
        </w:rPr>
      </w:pPr>
      <w:r>
        <w:rPr>
          <w:rFonts w:ascii="Arial" w:cs="Arial" w:eastAsia="Arial" w:hAnsi="Arial"/>
          <w:sz w:val="18"/>
          <w:szCs w:val="18"/>
          <w:color w:val="auto"/>
        </w:rPr>
        <w:t>The 2021 Term Loan is subject to annual amortization of principal, payable in equal quarterly installments on the last day of each fiscal quarter, commencing on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maturity. There was $268.1 million outstanding on the 2021 Term Loan at September 30, 2022.</w:t>
      </w:r>
    </w:p>
    <w:p>
      <w:pPr>
        <w:spacing w:after="0" w:line="74"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The 2021 Revolving Line of Credit is committed for $75.0 million and has a maturity date of September 17, 2026. There was no outstanding balance as of September 30, 2022. On October 31, 2022, the Company amended the 2021 Credit Agreement to replace the LIBO rate with Term SOFR plus an applicable rate.</w:t>
      </w:r>
    </w:p>
    <w:p>
      <w:pPr>
        <w:spacing w:after="0" w:line="67"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The 2021 Credit Agreement includes certain financial covenants, and the Company was compliant with its financial covenants under the 2021 Credit Agreement as of September 30, 2022 and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In connection with the Reorganization Transactions and the IPO, the Company entered into the TRA with certain of our pre- IPO unitholders and the former shareholders of certain Blocker Companies. The TRA provides for the payment by Definitive Healthcare Corp. of 85% of the amount of any tax benefits that it actually realizes, or in some cases is deemed to realize, as a result of (i) certain favorable tax attributes it acquired from the Blocker Companies in the Reorganization Transactions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the acquisition of LLC Units by Definitive Healthcare Corp. and (iii) certain payments made under the TRA.</w:t>
      </w:r>
    </w:p>
    <w:p>
      <w:pPr>
        <w:spacing w:after="0" w:line="67"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In each case, these tax basis adjustments generated over time may increase (for tax purposes) the Definitive Healthcare Corp.’s depreciation and amortization deductions and, therefore, may reduce the amount of tax that the Definitive Healthcare Corp. would otherwise be required to pay in the future, although the IRS may challenge all or part of the validity of that tax basis, and a court could sustain such a challenge. The anticipated tax basis adjustments upon redemptions or exchanges of LLC Units may also decrease gains (or increase losses) on future dispositions of certain assets to the extent tax basis is allocated to those assets. The payment obligations under the TRA are an obligation of Definitive Healthcare Corp., but not of Definitive OpCo. Definitive Healthcare Corp. expects to benefit from the remaining 15% of realized cash tax benefits. For purposes of the TRA, the realized cash tax benefits will be computed by comparing the actual income tax liability of Definitive Healthcare Corp. (calculated with certain assumptions) to the amount of such taxes that Definitive Healthcare Corp. would have been required to pay had there been no tax basis adjustments of the assets of Definitive Healthcare Corp. as a result of redemptions or exchanges and no utilization of certain tax attributes of the Blocker Companies, and had Definitive Healthcare Corp. not entered into the TRA. The term of the TRA will continue until all such tax benefits have been utilized or expired, unless (i) Definitive Healthcare Corp. exercises its right to terminate the TRA for an amount based on the agreed payments remaining to be made under the agreement, (ii) Definitive Healthcare Corp. breaches any of its material obligations under the TRA in which case all obligations (including any additional interest due relating to any deferred payments) generally will be accelerated and due as if Definitive Healthcare Corp. had exercised its right to terminate the TRA, or (iii) there is a change of control of Definitive Healthcare Corp., in which case, all obligations (including any additional interest due relating to any deferred payments) generally will be accelerated and due as if Definitive Healthcare Corp. had exercised its right to terminate the TRA as described above in clause (i). Estimating the amount of payments that may be made under the TRA is by its nature imprecise, insofar as the calculation of amounts payable depends on a variety of factors. The amount of the anticipated tax basis adjustments, as well as the amount and timing of any payments under the TRA, will vary depending upon a number of factors, including the timing of exchanges, the price of shares of our Class A Common Stock at the time of an exchange, the extent to which such exchanges are taxable, the amount of tax attributes, and the amount and timing of our income.</w:t>
      </w:r>
    </w:p>
    <w:p>
      <w:pPr>
        <w:spacing w:after="0" w:line="75" w:lineRule="exact"/>
        <w:rPr>
          <w:sz w:val="20"/>
          <w:szCs w:val="20"/>
          <w:color w:val="auto"/>
        </w:rPr>
      </w:pPr>
    </w:p>
    <w:p>
      <w:pPr>
        <w:ind w:right="120" w:firstLine="509"/>
        <w:spacing w:after="0" w:line="249" w:lineRule="auto"/>
        <w:rPr>
          <w:sz w:val="20"/>
          <w:szCs w:val="20"/>
          <w:color w:val="auto"/>
        </w:rPr>
      </w:pPr>
      <w:r>
        <w:rPr>
          <w:rFonts w:ascii="Arial" w:cs="Arial" w:eastAsia="Arial" w:hAnsi="Arial"/>
          <w:sz w:val="18"/>
          <w:szCs w:val="18"/>
          <w:color w:val="auto"/>
        </w:rPr>
        <w:t xml:space="preserve">We expect that as a result of the size of the anticipated tax basis adjustment of the tangible and intangible assets of Definitive OpCo upon the exchange or redemption of LLC Units and our possible utilization of certain tax attributes, the payments that Definitive Healthcare Corp. may make under the TRA will be substantial. The payments under the TRA are not conditioned upon continued ownership of us by the exchanging holders of LLC Units. See Note 18.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our unaudited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08"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Capital expenditures decreased by $2.2 million to $3.5 million for the nine months ended September 30, 2022 compared to $5.7 million for the same period in the prior year, primarily driven by higher capital expenditures in support of the Company’s growth in the prior year that did not repeat in the first nine months of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2022, we had no off-balance sheet arrangements.</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Our unaudited interim condensed consolidated financial statements have been prepared in accordance with GAAP, which requires us to make estimates and assumptions that affect reported amounts. The estimates and assumptions are based on historical experience and on other factors that we believe to be reasonable. Actual results may differ from those estimates. We review these estimates on a periodic basis to ensure reasonableness. Although actual amounts may differ from such estimated amounts, we believe such differences are not likely to be material. For additional detail regarding our critical accounting policies and estimates including business combinations, goodwill and indefinite-lived intangible assets and income taxes, see our discussion for the year ended December 31, 2021 included in our 2021 Form 10-K. There have been no material changes to these policies or estimates as of September 30,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04" w:lineRule="exact"/>
        <w:rPr>
          <w:sz w:val="20"/>
          <w:szCs w:val="20"/>
          <w:color w:val="auto"/>
        </w:rPr>
      </w:pPr>
    </w:p>
    <w:p>
      <w:pPr>
        <w:ind w:right="180" w:firstLine="509"/>
        <w:spacing w:after="0" w:line="263"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04"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 xml:space="preserve">See new accounting pronouncements described under “—Adoption of Recently Issued Financial Accounting Standards” and “—Recently Issued Accounting Pronouncements Not Yet Adopted” within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the unaudited interim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60" w:firstLine="509"/>
        <w:spacing w:after="0" w:line="291" w:lineRule="auto"/>
        <w:rPr>
          <w:sz w:val="20"/>
          <w:szCs w:val="20"/>
          <w:color w:val="auto"/>
        </w:rPr>
      </w:pPr>
      <w:r>
        <w:rPr>
          <w:rFonts w:ascii="Arial" w:cs="Arial" w:eastAsia="Arial" w:hAnsi="Arial"/>
          <w:sz w:val="17"/>
          <w:szCs w:val="17"/>
          <w:color w:val="auto"/>
        </w:rPr>
        <w:t>Market risk represents the risk of loss that may impact our financial condition due to adverse changes in financial market prices and rates. Our market risk exposure is primarily a result of exposure due to potential changes in inflation, interest rates or currency rates.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cash, cash equivalents, and short-term investments primarily consist of cash on hand and highly liquid investments in money market funds, U.S. government securities and commercial paper. As of September 30, 2022, we had cash and cash equivalents of $228.8 million and short-term investments of $120.8 million.</w:t>
      </w:r>
    </w:p>
    <w:p>
      <w:pPr>
        <w:spacing w:after="0" w:line="74" w:lineRule="exact"/>
        <w:rPr>
          <w:sz w:val="20"/>
          <w:szCs w:val="20"/>
          <w:color w:val="auto"/>
        </w:rPr>
      </w:pPr>
    </w:p>
    <w:p>
      <w:pPr>
        <w:ind w:right="60" w:firstLine="509"/>
        <w:spacing w:after="0" w:line="288" w:lineRule="auto"/>
        <w:rPr>
          <w:sz w:val="20"/>
          <w:szCs w:val="20"/>
          <w:color w:val="auto"/>
        </w:rPr>
      </w:pPr>
      <w:r>
        <w:rPr>
          <w:rFonts w:ascii="Arial" w:cs="Arial" w:eastAsia="Arial" w:hAnsi="Arial"/>
          <w:sz w:val="16"/>
          <w:szCs w:val="16"/>
          <w:color w:val="auto"/>
        </w:rPr>
        <w:t>Our operating results are subject to market risk from interest rate fluctuations on our 2021 Term Loan, which bears a variable interest rate based on the SOFR Rate or a Base Rate plus an applicable margin. In order to reduce the interest rate risk on our debt, we have entered into an interest rate swap agreement on a portion of our borrowings. As of September 30, 2022, the total principal balance outstanding was $268.1 million. Excluding the effect of the interest rate swap agreement, a hypothetical 1.0% increase or decrease in the interest rate associated with borrowings under the 2021 Credit Agreement would have resulted in an impact to interest expense of approximately $2.1 million for the nine months ended September 30, 2022.</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4"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To date, the majority of our sales contracts have been denominated in U.S. dollars. We have one foreign entity established in Sweden and one in India. The functional currencies of these foreign subsidiaries are the Swedish Krona and the Indian Rupee, respectively. Assets and liabilities of the foreign subsidiaries are translated into U.S. dollars at the exchange rates in effect at the reporting date and revenue and expenses are translated at average exchange rates in effect during each reporting period. Realized and unrealized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17"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We do not believe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right="260" w:firstLine="509"/>
        <w:spacing w:after="0" w:line="249" w:lineRule="auto"/>
        <w:rPr>
          <w:sz w:val="20"/>
          <w:szCs w:val="20"/>
          <w:color w:val="auto"/>
        </w:rPr>
      </w:pPr>
      <w:r>
        <w:rPr>
          <w:rFonts w:ascii="Arial" w:cs="Arial" w:eastAsia="Arial" w:hAnsi="Arial"/>
          <w:sz w:val="18"/>
          <w:szCs w:val="18"/>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40" w:firstLine="509"/>
        <w:spacing w:after="0" w:line="277" w:lineRule="auto"/>
        <w:rPr>
          <w:sz w:val="20"/>
          <w:szCs w:val="20"/>
          <w:color w:val="auto"/>
        </w:rPr>
      </w:pPr>
      <w:r>
        <w:rPr>
          <w:rFonts w:ascii="Arial" w:cs="Arial" w:eastAsia="Arial" w:hAnsi="Arial"/>
          <w:sz w:val="16"/>
          <w:szCs w:val="16"/>
          <w:color w:val="auto"/>
        </w:rPr>
        <w:t>As of the end of the period covered by this Quarterly Report,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Based on such evaluation, our principal executive officer and principal financial officer have concluded that our disclosure controls and procedures were effective as of September 30, 2022 to provide reasonable assurance that information to be disclosed by us in the reports that we file or submit under the Exchange Act is (i) recorded, processed, summarized and reported within the time periods specified in the rules and forms of the SEC and (ii) accumulated and communicated to management, including our principal executive and principal financial officers or persons performing similar functions, as appropriate to allow timely decisions regarding disclosure.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4"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color w:val="auto"/>
        </w:rPr>
        <w:t>During the quarter ended September 30, 2022, no change in our internal control over financial reporting (as defined in Rules 13a-15(f) and 15d-15(f) under the Exchange Act) occurred that has materially affected, or is reasonably likely to materially affect, our internal control over financial reporting.</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140" w:firstLine="509"/>
        <w:spacing w:after="0" w:line="283" w:lineRule="auto"/>
        <w:rPr>
          <w:sz w:val="20"/>
          <w:szCs w:val="20"/>
          <w:color w:val="auto"/>
        </w:rPr>
      </w:pPr>
      <w:r>
        <w:rPr>
          <w:rFonts w:ascii="Arial" w:cs="Arial" w:eastAsia="Arial" w:hAnsi="Arial"/>
          <w:sz w:val="16"/>
          <w:szCs w:val="16"/>
          <w:color w:val="auto"/>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Although the outcomes of these matters cannot be predicted with certainty, in the opinion of management, the ultimate resolution of these matters would not be expected to have a material adverse effect on our financial position, results of operations, or cash flows.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For a more detailed discussion of our risks and uncertainties, see also Item 1A – Risk Factors in our 2021 Form 10-K. There have been no material changes in our risk factors since the filing of our 2021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Pursuant to the terms of the Amended LLC Agreement, holders of LLC Units have the right to exchange all or a portion of their LLC Units for newly issued shares of Class A Common Stock on a one-for-one basis, which issuances are made in reliance on Section 4(a)(2) of the Securities Act. Upon any such exchange, a corresponding number of shares of Class B Common Stock held by the LLC Unit holder are cancelled. Such exchanges executed in the third quarter of 2022 are as follows:</w:t>
      </w:r>
    </w:p>
    <w:p>
      <w:pPr>
        <w:spacing w:after="0" w:line="159" w:lineRule="exact"/>
        <w:rPr>
          <w:sz w:val="20"/>
          <w:szCs w:val="20"/>
          <w:color w:val="auto"/>
        </w:rPr>
      </w:pPr>
    </w:p>
    <w:tbl>
      <w:tblPr>
        <w:tblLayout w:type="fixed"/>
        <w:tblInd w:w="282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tcPr>
          <w:p>
            <w:pPr>
              <w:jc w:val="right"/>
              <w:ind w:right="270"/>
              <w:spacing w:after="0"/>
              <w:rPr>
                <w:sz w:val="20"/>
                <w:szCs w:val="20"/>
                <w:color w:val="auto"/>
              </w:rPr>
            </w:pPr>
            <w:r>
              <w:rPr>
                <w:rFonts w:ascii="Arial" w:cs="Arial" w:eastAsia="Arial" w:hAnsi="Arial"/>
                <w:sz w:val="18"/>
                <w:szCs w:val="18"/>
                <w:b w:val="1"/>
                <w:bCs w:val="1"/>
                <w:color w:val="auto"/>
              </w:rPr>
              <w:t>Number of Shares</w:t>
            </w:r>
          </w:p>
        </w:tc>
        <w:tc>
          <w:tcPr>
            <w:tcW w:w="60" w:type="dxa"/>
            <w:vAlign w:val="bottom"/>
          </w:tcPr>
          <w:p>
            <w:pPr>
              <w:spacing w:after="0"/>
              <w:rPr>
                <w:sz w:val="17"/>
                <w:szCs w:val="17"/>
                <w:color w:val="auto"/>
              </w:rPr>
            </w:pPr>
          </w:p>
        </w:tc>
      </w:tr>
      <w:tr>
        <w:trPr>
          <w:trHeight w:val="234"/>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 of Exchange</w:t>
            </w:r>
          </w:p>
        </w:tc>
        <w:tc>
          <w:tcPr>
            <w:tcW w:w="200" w:type="dxa"/>
            <w:vAlign w:val="bottom"/>
          </w:tcPr>
          <w:p>
            <w:pPr>
              <w:spacing w:after="0"/>
              <w:rPr>
                <w:sz w:val="20"/>
                <w:szCs w:val="20"/>
                <w:color w:val="auto"/>
              </w:rPr>
            </w:pPr>
          </w:p>
        </w:tc>
        <w:tc>
          <w:tcPr>
            <w:tcW w:w="2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Exchanged</w:t>
            </w:r>
          </w:p>
        </w:tc>
        <w:tc>
          <w:tcPr>
            <w:tcW w:w="60" w:type="dxa"/>
            <w:vAlign w:val="bottom"/>
          </w:tcPr>
          <w:p>
            <w:pPr>
              <w:spacing w:after="0"/>
              <w:rPr>
                <w:sz w:val="20"/>
                <w:szCs w:val="20"/>
                <w:color w:val="auto"/>
              </w:rPr>
            </w:pPr>
          </w:p>
        </w:tc>
      </w:tr>
      <w:tr>
        <w:trPr>
          <w:trHeight w:val="21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August 1, 2022</w:t>
            </w:r>
          </w:p>
        </w:tc>
        <w:tc>
          <w:tcPr>
            <w:tcW w:w="200" w:type="dxa"/>
            <w:vAlign w:val="bottom"/>
            <w:shd w:val="clear" w:color="auto" w:fill="CFF0FC"/>
          </w:tcPr>
          <w:p>
            <w:pPr>
              <w:spacing w:after="0"/>
              <w:rPr>
                <w:sz w:val="18"/>
                <w:szCs w:val="18"/>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26,428</w:t>
            </w:r>
          </w:p>
        </w:tc>
        <w:tc>
          <w:tcPr>
            <w:tcW w:w="60" w:type="dxa"/>
            <w:vAlign w:val="bottom"/>
            <w:shd w:val="clear" w:color="auto" w:fill="CFF0FC"/>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August 8, 2022</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27,920</w:t>
            </w:r>
          </w:p>
        </w:tc>
        <w:tc>
          <w:tcPr>
            <w:tcW w:w="60" w:type="dxa"/>
            <w:vAlign w:val="bottom"/>
          </w:tcPr>
          <w:p>
            <w:pPr>
              <w:spacing w:after="0"/>
              <w:rPr>
                <w:sz w:val="18"/>
                <w:szCs w:val="18"/>
                <w:color w:val="auto"/>
              </w:rPr>
            </w:pPr>
          </w:p>
        </w:tc>
      </w:tr>
      <w:tr>
        <w:trPr>
          <w:trHeight w:val="216"/>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August 9, 2022</w:t>
            </w:r>
          </w:p>
        </w:tc>
        <w:tc>
          <w:tcPr>
            <w:tcW w:w="2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3,054,723</w:t>
            </w:r>
          </w:p>
        </w:tc>
        <w:tc>
          <w:tcPr>
            <w:tcW w:w="60" w:type="dxa"/>
            <w:vAlign w:val="bottom"/>
            <w:shd w:val="clear" w:color="auto" w:fill="CFF0FC"/>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August 10, 2022</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1,016,000</w:t>
            </w:r>
          </w:p>
        </w:tc>
        <w:tc>
          <w:tcPr>
            <w:tcW w:w="60" w:type="dxa"/>
            <w:vAlign w:val="bottom"/>
          </w:tcPr>
          <w:p>
            <w:pPr>
              <w:spacing w:after="0"/>
              <w:rPr>
                <w:sz w:val="18"/>
                <w:szCs w:val="18"/>
                <w:color w:val="auto"/>
              </w:rPr>
            </w:pPr>
          </w:p>
        </w:tc>
      </w:tr>
      <w:tr>
        <w:trPr>
          <w:trHeight w:val="216"/>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August 15, 2022</w:t>
            </w:r>
          </w:p>
        </w:tc>
        <w:tc>
          <w:tcPr>
            <w:tcW w:w="2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60" w:type="dxa"/>
            <w:vAlign w:val="bottom"/>
            <w:shd w:val="clear" w:color="auto" w:fill="CFF0FC"/>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August 29, 2022</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2,284</w:t>
            </w:r>
          </w:p>
        </w:tc>
        <w:tc>
          <w:tcPr>
            <w:tcW w:w="60" w:type="dxa"/>
            <w:vAlign w:val="bottom"/>
          </w:tcPr>
          <w:p>
            <w:pPr>
              <w:spacing w:after="0"/>
              <w:rPr>
                <w:sz w:val="18"/>
                <w:szCs w:val="18"/>
                <w:color w:val="auto"/>
              </w:rPr>
            </w:pPr>
          </w:p>
        </w:tc>
      </w:tr>
      <w:tr>
        <w:trPr>
          <w:trHeight w:val="216"/>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September 19, 2022</w:t>
            </w:r>
          </w:p>
        </w:tc>
        <w:tc>
          <w:tcPr>
            <w:tcW w:w="2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20,946</w:t>
            </w:r>
          </w:p>
        </w:tc>
        <w:tc>
          <w:tcPr>
            <w:tcW w:w="60" w:type="dxa"/>
            <w:vAlign w:val="bottom"/>
            <w:shd w:val="clear" w:color="auto" w:fill="CFF0FC"/>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September 26, 2022</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4,632</w:t>
            </w:r>
          </w:p>
        </w:tc>
        <w:tc>
          <w:tcPr>
            <w:tcW w:w="60" w:type="dxa"/>
            <w:vAlign w:val="bottom"/>
          </w:tcPr>
          <w:p>
            <w:pPr>
              <w:spacing w:after="0"/>
              <w:rPr>
                <w:sz w:val="18"/>
                <w:szCs w:val="18"/>
                <w:color w:val="auto"/>
              </w:rPr>
            </w:pPr>
          </w:p>
        </w:tc>
      </w:tr>
      <w:tr>
        <w:trPr>
          <w:trHeight w:val="249"/>
        </w:trPr>
        <w:tc>
          <w:tcPr>
            <w:tcW w:w="3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FF0FC"/>
            </w:tcBorders>
            <w:shd w:val="clear" w:color="auto" w:fill="CFF0FC"/>
          </w:tcPr>
          <w:p>
            <w:pPr>
              <w:spacing w:after="0"/>
              <w:rPr>
                <w:sz w:val="21"/>
                <w:szCs w:val="21"/>
                <w:color w:val="auto"/>
              </w:rPr>
            </w:pPr>
          </w:p>
        </w:tc>
        <w:tc>
          <w:tcPr>
            <w:tcW w:w="2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4,172,933</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-25400</wp:posOffset>
            </wp:positionV>
            <wp:extent cx="342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342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360" w:firstLine="509"/>
        <w:spacing w:after="0" w:line="263" w:lineRule="auto"/>
        <w:rPr>
          <w:sz w:val="20"/>
          <w:szCs w:val="20"/>
          <w:color w:val="auto"/>
        </w:rPr>
      </w:pPr>
      <w:r>
        <w:rPr>
          <w:rFonts w:ascii="Arial" w:cs="Arial" w:eastAsia="Arial" w:hAnsi="Arial"/>
          <w:sz w:val="17"/>
          <w:szCs w:val="17"/>
          <w:color w:val="auto"/>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Definitive Healthcare Corp., any other persons, any state of affairs or other matters.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ind w:left="36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80" w:type="dxa"/>
            <w:vAlign w:val="bottom"/>
            <w:gridSpan w:val="13"/>
          </w:tcPr>
          <w:p>
            <w:pPr>
              <w:ind w:left="1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gridSpan w:val="18"/>
          </w:tcPr>
          <w:p>
            <w:pPr>
              <w:spacing w:after="0" w:line="162" w:lineRule="exact"/>
              <w:rPr>
                <w:rFonts w:ascii="Arial" w:cs="Arial" w:eastAsia="Arial" w:hAnsi="Arial"/>
                <w:sz w:val="18"/>
                <w:szCs w:val="18"/>
                <w:color w:val="0000FF"/>
                <w:w w:val="90"/>
              </w:rPr>
            </w:pPr>
            <w:hyperlink r:id="rId286">
              <w:r>
                <w:rPr>
                  <w:rFonts w:ascii="Arial" w:cs="Arial" w:eastAsia="Arial" w:hAnsi="Arial"/>
                  <w:sz w:val="18"/>
                  <w:szCs w:val="18"/>
                  <w:color w:val="0000FF"/>
                  <w:w w:val="90"/>
                </w:rPr>
                <w:t>Employment Agreement, dated as of September 22, 2022, by and between Definitive Healthcare, LLC and Jonathan Maack (incorporated</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top w:val="single" w:sz="8" w:color="0000FF"/>
            </w:tcBorders>
            <w:gridSpan w:val="17"/>
          </w:tcPr>
          <w:p>
            <w:pPr>
              <w:spacing w:after="0" w:line="169" w:lineRule="exact"/>
              <w:rPr>
                <w:rFonts w:ascii="Arial" w:cs="Arial" w:eastAsia="Arial" w:hAnsi="Arial"/>
                <w:sz w:val="18"/>
                <w:szCs w:val="18"/>
                <w:color w:val="0000FF"/>
                <w:w w:val="94"/>
              </w:rPr>
            </w:pPr>
            <w:hyperlink r:id="rId286">
              <w:r>
                <w:rPr>
                  <w:rFonts w:ascii="Arial" w:cs="Arial" w:eastAsia="Arial" w:hAnsi="Arial"/>
                  <w:sz w:val="18"/>
                  <w:szCs w:val="18"/>
                  <w:color w:val="0000FF"/>
                  <w:w w:val="94"/>
                </w:rPr>
                <w:t>by reference to Exhibit 10.1 to the Company’s Current Report on Form 8-K (File No. 001-40815) filed with the SEC on November 3,</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10.2†</w:t>
            </w:r>
          </w:p>
        </w:tc>
        <w:tc>
          <w:tcPr>
            <w:tcW w:w="160" w:type="dxa"/>
            <w:vAlign w:val="bottom"/>
            <w:gridSpan w:val="2"/>
          </w:tcPr>
          <w:p>
            <w:pPr>
              <w:spacing w:after="0"/>
              <w:rPr>
                <w:sz w:val="14"/>
                <w:szCs w:val="14"/>
                <w:color w:val="auto"/>
              </w:rPr>
            </w:pPr>
          </w:p>
        </w:tc>
        <w:tc>
          <w:tcPr>
            <w:tcW w:w="44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2"/>
              </w:rPr>
            </w:pPr>
            <w:hyperlink r:id="rId286">
              <w:r>
                <w:rPr>
                  <w:rFonts w:ascii="Arial" w:cs="Arial" w:eastAsia="Arial" w:hAnsi="Arial"/>
                  <w:sz w:val="18"/>
                  <w:szCs w:val="18"/>
                  <w:color w:val="0000FF"/>
                  <w:w w:val="82"/>
                </w:rPr>
                <w:t>2022).</w:t>
              </w:r>
            </w:hyperlink>
          </w:p>
        </w:tc>
        <w:tc>
          <w:tcPr>
            <w:tcW w:w="20" w:type="dxa"/>
            <w:vAlign w:val="bottom"/>
            <w:tcBorders>
              <w:top w:val="single" w:sz="8" w:color="0000FF"/>
              <w:bottom w:val="single" w:sz="8" w:color="0000EE"/>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33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2"/>
          </w:tcPr>
          <w:p>
            <w:pPr>
              <w:spacing w:after="0" w:line="182" w:lineRule="exact"/>
              <w:rPr>
                <w:rFonts w:ascii="Arial" w:cs="Arial" w:eastAsia="Arial" w:hAnsi="Arial"/>
                <w:sz w:val="18"/>
                <w:szCs w:val="18"/>
                <w:color w:val="0000FF"/>
              </w:rPr>
            </w:pPr>
            <w:hyperlink r:id="rId287">
              <w:r>
                <w:rPr>
                  <w:rFonts w:ascii="Arial" w:cs="Arial" w:eastAsia="Arial" w:hAnsi="Arial"/>
                  <w:sz w:val="18"/>
                  <w:szCs w:val="18"/>
                  <w:color w:val="0000FF"/>
                </w:rPr>
                <w:t>Form</w:t>
              </w:r>
            </w:hyperlink>
          </w:p>
        </w:tc>
        <w:tc>
          <w:tcPr>
            <w:tcW w:w="9460" w:type="dxa"/>
            <w:vAlign w:val="bottom"/>
            <w:gridSpan w:val="16"/>
          </w:tcPr>
          <w:p>
            <w:pPr>
              <w:spacing w:after="0" w:line="182" w:lineRule="exact"/>
              <w:rPr>
                <w:rFonts w:ascii="Arial" w:cs="Arial" w:eastAsia="Arial" w:hAnsi="Arial"/>
                <w:sz w:val="18"/>
                <w:szCs w:val="18"/>
                <w:color w:val="0000FF"/>
                <w:w w:val="92"/>
              </w:rPr>
            </w:pPr>
            <w:hyperlink r:id="rId287">
              <w:r>
                <w:rPr>
                  <w:rFonts w:ascii="Arial" w:cs="Arial" w:eastAsia="Arial" w:hAnsi="Arial"/>
                  <w:sz w:val="18"/>
                  <w:szCs w:val="18"/>
                  <w:color w:val="0000FF"/>
                  <w:w w:val="92"/>
                </w:rPr>
                <w:t>of Executive Restricted Stock Unit Award Agreement under Definitive Healthcare Corp. 2021 Equity Incentive Plan (incorporated</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top w:val="single" w:sz="8" w:color="0000FF"/>
            </w:tcBorders>
            <w:gridSpan w:val="16"/>
          </w:tcPr>
          <w:p>
            <w:pPr>
              <w:spacing w:after="0" w:line="169" w:lineRule="exact"/>
              <w:rPr>
                <w:rFonts w:ascii="Arial" w:cs="Arial" w:eastAsia="Arial" w:hAnsi="Arial"/>
                <w:sz w:val="18"/>
                <w:szCs w:val="18"/>
                <w:color w:val="0000FF"/>
                <w:w w:val="94"/>
              </w:rPr>
            </w:pPr>
            <w:hyperlink r:id="rId287">
              <w:r>
                <w:rPr>
                  <w:rFonts w:ascii="Arial" w:cs="Arial" w:eastAsia="Arial" w:hAnsi="Arial"/>
                  <w:sz w:val="18"/>
                  <w:szCs w:val="18"/>
                  <w:color w:val="0000FF"/>
                  <w:w w:val="94"/>
                </w:rPr>
                <w:t>by reference to Exhibit 10.2 to the Company’s Current Report on Form 8-K (File No. 001-40815) filed with the SEC on November 3,</w:t>
              </w:r>
            </w:hyperlink>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10.3†</w:t>
            </w:r>
          </w:p>
        </w:tc>
        <w:tc>
          <w:tcPr>
            <w:tcW w:w="160" w:type="dxa"/>
            <w:vAlign w:val="bottom"/>
            <w:gridSpan w:val="2"/>
          </w:tcPr>
          <w:p>
            <w:pPr>
              <w:spacing w:after="0"/>
              <w:rPr>
                <w:sz w:val="14"/>
                <w:szCs w:val="14"/>
                <w:color w:val="auto"/>
              </w:rPr>
            </w:pPr>
          </w:p>
        </w:tc>
        <w:tc>
          <w:tcPr>
            <w:tcW w:w="44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2"/>
              </w:rPr>
            </w:pPr>
            <w:hyperlink r:id="rId287">
              <w:r>
                <w:rPr>
                  <w:rFonts w:ascii="Arial" w:cs="Arial" w:eastAsia="Arial" w:hAnsi="Arial"/>
                  <w:sz w:val="18"/>
                  <w:szCs w:val="18"/>
                  <w:color w:val="0000FF"/>
                  <w:w w:val="82"/>
                </w:rPr>
                <w:t>2022).</w:t>
              </w:r>
            </w:hyperlink>
          </w:p>
        </w:tc>
        <w:tc>
          <w:tcPr>
            <w:tcW w:w="20" w:type="dxa"/>
            <w:vAlign w:val="bottom"/>
            <w:tcBorders>
              <w:top w:val="single" w:sz="8" w:color="0000FF"/>
              <w:bottom w:val="single" w:sz="8" w:color="0000EE"/>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33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2"/>
          </w:tcPr>
          <w:p>
            <w:pPr>
              <w:spacing w:after="0" w:line="182" w:lineRule="exact"/>
              <w:rPr>
                <w:rFonts w:ascii="Arial" w:cs="Arial" w:eastAsia="Arial" w:hAnsi="Arial"/>
                <w:sz w:val="18"/>
                <w:szCs w:val="18"/>
                <w:color w:val="0000FF"/>
              </w:rPr>
            </w:pPr>
            <w:hyperlink r:id="rId288">
              <w:r>
                <w:rPr>
                  <w:rFonts w:ascii="Arial" w:cs="Arial" w:eastAsia="Arial" w:hAnsi="Arial"/>
                  <w:sz w:val="18"/>
                  <w:szCs w:val="18"/>
                  <w:color w:val="0000FF"/>
                </w:rPr>
                <w:t>Form</w:t>
              </w:r>
            </w:hyperlink>
          </w:p>
        </w:tc>
        <w:tc>
          <w:tcPr>
            <w:tcW w:w="9460" w:type="dxa"/>
            <w:vAlign w:val="bottom"/>
            <w:gridSpan w:val="16"/>
          </w:tcPr>
          <w:p>
            <w:pPr>
              <w:spacing w:after="0" w:line="182" w:lineRule="exact"/>
              <w:rPr>
                <w:rFonts w:ascii="Arial" w:cs="Arial" w:eastAsia="Arial" w:hAnsi="Arial"/>
                <w:sz w:val="18"/>
                <w:szCs w:val="18"/>
                <w:color w:val="0000FF"/>
                <w:w w:val="93"/>
              </w:rPr>
            </w:pPr>
            <w:hyperlink r:id="rId288">
              <w:r>
                <w:rPr>
                  <w:rFonts w:ascii="Arial" w:cs="Arial" w:eastAsia="Arial" w:hAnsi="Arial"/>
                  <w:sz w:val="18"/>
                  <w:szCs w:val="18"/>
                  <w:color w:val="0000FF"/>
                  <w:w w:val="93"/>
                </w:rPr>
                <w:t>of Director Restricted Stock Unit Award Agreement under Definitive Healthcare Corp. 2021 Equity Incentive Plan (incorporated</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top w:val="single" w:sz="8" w:color="0000FF"/>
            </w:tcBorders>
            <w:gridSpan w:val="13"/>
          </w:tcPr>
          <w:p>
            <w:pPr>
              <w:spacing w:after="0" w:line="169" w:lineRule="exact"/>
              <w:rPr>
                <w:rFonts w:ascii="Arial" w:cs="Arial" w:eastAsia="Arial" w:hAnsi="Arial"/>
                <w:sz w:val="18"/>
                <w:szCs w:val="18"/>
                <w:color w:val="0000FF"/>
                <w:w w:val="94"/>
              </w:rPr>
            </w:pPr>
            <w:hyperlink r:id="rId288">
              <w:r>
                <w:rPr>
                  <w:rFonts w:ascii="Arial" w:cs="Arial" w:eastAsia="Arial" w:hAnsi="Arial"/>
                  <w:sz w:val="18"/>
                  <w:szCs w:val="18"/>
                  <w:color w:val="0000FF"/>
                  <w:w w:val="94"/>
                </w:rPr>
                <w:t>by reference to Exhibit 10.1 to the Company’s Current Report on Form 8-K (File No. 001-40815) filed with the SEC on October 3,</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10.4</w:t>
            </w:r>
            <w:r>
              <w:rPr>
                <w:rFonts w:ascii="Arial" w:cs="Arial" w:eastAsia="Arial" w:hAnsi="Arial"/>
                <w:sz w:val="24"/>
                <w:szCs w:val="24"/>
                <w:color w:val="auto"/>
                <w:vertAlign w:val="superscript"/>
              </w:rPr>
              <w:t>+</w:t>
            </w:r>
            <w:r>
              <w:rPr>
                <w:rFonts w:ascii="Arial" w:cs="Arial" w:eastAsia="Arial" w:hAnsi="Arial"/>
                <w:sz w:val="18"/>
                <w:szCs w:val="18"/>
                <w:color w:val="auto"/>
              </w:rPr>
              <w:t>†</w:t>
            </w:r>
          </w:p>
        </w:tc>
        <w:tc>
          <w:tcPr>
            <w:tcW w:w="160" w:type="dxa"/>
            <w:vAlign w:val="bottom"/>
            <w:gridSpan w:val="2"/>
          </w:tcPr>
          <w:p>
            <w:pPr>
              <w:spacing w:after="0"/>
              <w:rPr>
                <w:sz w:val="14"/>
                <w:szCs w:val="14"/>
                <w:color w:val="auto"/>
              </w:rPr>
            </w:pPr>
          </w:p>
        </w:tc>
        <w:tc>
          <w:tcPr>
            <w:tcW w:w="44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2"/>
              </w:rPr>
            </w:pPr>
            <w:hyperlink r:id="rId288">
              <w:r>
                <w:rPr>
                  <w:rFonts w:ascii="Arial" w:cs="Arial" w:eastAsia="Arial" w:hAnsi="Arial"/>
                  <w:sz w:val="18"/>
                  <w:szCs w:val="18"/>
                  <w:color w:val="0000FF"/>
                  <w:w w:val="82"/>
                </w:rPr>
                <w:t>2022).</w:t>
              </w:r>
            </w:hyperlink>
          </w:p>
        </w:tc>
        <w:tc>
          <w:tcPr>
            <w:tcW w:w="20" w:type="dxa"/>
            <w:vAlign w:val="bottom"/>
            <w:tcBorders>
              <w:top w:val="single" w:sz="8" w:color="0000FF"/>
              <w:bottom w:val="single" w:sz="8" w:color="0000EE"/>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336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18"/>
          </w:tcPr>
          <w:p>
            <w:pPr>
              <w:spacing w:after="0" w:line="182" w:lineRule="exact"/>
              <w:rPr>
                <w:sz w:val="20"/>
                <w:szCs w:val="20"/>
                <w:color w:val="auto"/>
              </w:rPr>
            </w:pPr>
            <w:r>
              <w:rPr>
                <w:rFonts w:ascii="Arial" w:cs="Arial" w:eastAsia="Arial" w:hAnsi="Arial"/>
                <w:sz w:val="18"/>
                <w:szCs w:val="18"/>
                <w:color w:val="0000FF"/>
                <w:w w:val="94"/>
              </w:rPr>
              <w:t>Amendment, dated August 9, 2022, to Restricted Stock Unit Award Agreements, issued under the Definitive Healthcare Corp. 2021</w:t>
            </w:r>
          </w:p>
        </w:tc>
        <w:tc>
          <w:tcPr>
            <w:tcW w:w="0" w:type="dxa"/>
            <w:vAlign w:val="bottom"/>
          </w:tcPr>
          <w:p>
            <w:pPr>
              <w:spacing w:after="0"/>
              <w:rPr>
                <w:sz w:val="1"/>
                <w:szCs w:val="1"/>
                <w:color w:val="auto"/>
              </w:rPr>
            </w:pPr>
          </w:p>
        </w:tc>
      </w:tr>
      <w:tr>
        <w:trPr>
          <w:trHeight w:val="169"/>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10.5</w:t>
            </w:r>
            <w:r>
              <w:rPr>
                <w:rFonts w:ascii="Arial" w:cs="Arial" w:eastAsia="Arial" w:hAnsi="Arial"/>
                <w:sz w:val="24"/>
                <w:szCs w:val="24"/>
                <w:color w:val="auto"/>
                <w:vertAlign w:val="superscript"/>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20" w:type="dxa"/>
            <w:vAlign w:val="bottom"/>
            <w:tcBorders>
              <w:top w:val="single" w:sz="8" w:color="0000FF"/>
            </w:tcBorders>
            <w:gridSpan w:val="10"/>
          </w:tcPr>
          <w:p>
            <w:pPr>
              <w:spacing w:after="0" w:line="169" w:lineRule="exact"/>
              <w:rPr>
                <w:sz w:val="20"/>
                <w:szCs w:val="20"/>
                <w:color w:val="auto"/>
              </w:rPr>
            </w:pPr>
            <w:r>
              <w:rPr>
                <w:rFonts w:ascii="Arial" w:cs="Arial" w:eastAsia="Arial" w:hAnsi="Arial"/>
                <w:sz w:val="18"/>
                <w:szCs w:val="18"/>
                <w:color w:val="0000FF"/>
              </w:rPr>
              <w:t>Equity Incentive Plan, between Robert Musslewhite and Definitive Healthcare Corp.</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right w:val="single" w:sz="8" w:color="0000FF"/>
            </w:tcBorders>
            <w:gridSpan w:val="3"/>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40" w:type="dxa"/>
            <w:vAlign w:val="bottom"/>
            <w:tcBorders>
              <w:bottom w:val="single" w:sz="8" w:color="0000FF"/>
            </w:tcBorders>
            <w:gridSpan w:val="12"/>
          </w:tcPr>
          <w:p>
            <w:pPr>
              <w:spacing w:after="0" w:line="182" w:lineRule="exact"/>
              <w:rPr>
                <w:sz w:val="20"/>
                <w:szCs w:val="20"/>
                <w:color w:val="auto"/>
              </w:rPr>
            </w:pPr>
            <w:r>
              <w:rPr>
                <w:rFonts w:ascii="Arial" w:cs="Arial" w:eastAsia="Arial" w:hAnsi="Arial"/>
                <w:sz w:val="18"/>
                <w:szCs w:val="18"/>
                <w:color w:val="0000FF"/>
                <w:w w:val="90"/>
              </w:rPr>
              <w:t>Amendment, dated October 31,2022, to Credit Agreement, dated September 17, 2021, by and among Definitive Healthcare Holdings,</w:t>
            </w:r>
          </w:p>
        </w:tc>
        <w:tc>
          <w:tcPr>
            <w:tcW w:w="28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gridSpan w:val="18"/>
          </w:tcPr>
          <w:p>
            <w:pPr>
              <w:spacing w:after="0" w:line="169" w:lineRule="exact"/>
              <w:rPr>
                <w:sz w:val="20"/>
                <w:szCs w:val="20"/>
                <w:color w:val="auto"/>
              </w:rPr>
            </w:pPr>
            <w:r>
              <w:rPr>
                <w:rFonts w:ascii="Arial" w:cs="Arial" w:eastAsia="Arial" w:hAnsi="Arial"/>
                <w:sz w:val="18"/>
                <w:szCs w:val="18"/>
                <w:color w:val="0000FF"/>
                <w:w w:val="94"/>
              </w:rPr>
              <w:t>LLC, AIDH Buyer, LLC, Bank of America, N.A. as Administrative Agent, the lenders party thereto and the issuing banks from time to</w:t>
            </w:r>
          </w:p>
        </w:tc>
        <w:tc>
          <w:tcPr>
            <w:tcW w:w="0" w:type="dxa"/>
            <w:vAlign w:val="bottom"/>
          </w:tcPr>
          <w:p>
            <w:pPr>
              <w:spacing w:after="0"/>
              <w:rPr>
                <w:sz w:val="1"/>
                <w:szCs w:val="1"/>
                <w:color w:val="auto"/>
              </w:rPr>
            </w:pPr>
          </w:p>
        </w:tc>
      </w:tr>
      <w:tr>
        <w:trPr>
          <w:trHeight w:val="169"/>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31.1</w:t>
            </w:r>
            <w:r>
              <w:rPr>
                <w:rFonts w:ascii="Arial" w:cs="Arial" w:eastAsia="Arial" w:hAnsi="Arial"/>
                <w:sz w:val="24"/>
                <w:szCs w:val="24"/>
                <w:color w:val="auto"/>
                <w:vertAlign w:val="superscript"/>
              </w:rPr>
              <w:t>+</w:t>
            </w: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tcBorders>
              <w:top w:val="single" w:sz="8" w:color="0000FF"/>
            </w:tcBorders>
            <w:gridSpan w:val="14"/>
          </w:tcPr>
          <w:p>
            <w:pPr>
              <w:spacing w:after="0" w:line="169" w:lineRule="exact"/>
              <w:rPr>
                <w:sz w:val="20"/>
                <w:szCs w:val="20"/>
                <w:color w:val="auto"/>
              </w:rPr>
            </w:pPr>
            <w:r>
              <w:rPr>
                <w:rFonts w:ascii="Arial" w:cs="Arial" w:eastAsia="Arial" w:hAnsi="Arial"/>
                <w:sz w:val="18"/>
                <w:szCs w:val="18"/>
                <w:color w:val="0000FF"/>
              </w:rPr>
              <w:t>time party thereto.</w:t>
            </w:r>
          </w:p>
        </w:tc>
        <w:tc>
          <w:tcPr>
            <w:tcW w:w="4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right w:val="single" w:sz="8" w:color="0000EE"/>
            </w:tcBorders>
            <w:gridSpan w:val="3"/>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18"/>
          </w:tcPr>
          <w:p>
            <w:pPr>
              <w:spacing w:after="0" w:line="182" w:lineRule="exact"/>
              <w:rPr>
                <w:sz w:val="20"/>
                <w:szCs w:val="20"/>
                <w:color w:val="auto"/>
              </w:rPr>
            </w:pPr>
            <w:r>
              <w:rPr>
                <w:rFonts w:ascii="Arial" w:cs="Arial" w:eastAsia="Arial" w:hAnsi="Arial"/>
                <w:sz w:val="18"/>
                <w:szCs w:val="18"/>
                <w:color w:val="0000FF"/>
                <w:w w:val="91"/>
              </w:rPr>
              <w:t>Certification of Principal Executive Officer pursuant to Exchange Act Rules 13a-14(a) and 15d-14(a), as adopted pursuant to Section 302</w:t>
            </w:r>
          </w:p>
        </w:tc>
        <w:tc>
          <w:tcPr>
            <w:tcW w:w="0" w:type="dxa"/>
            <w:vAlign w:val="bottom"/>
          </w:tcPr>
          <w:p>
            <w:pPr>
              <w:spacing w:after="0"/>
              <w:rPr>
                <w:sz w:val="1"/>
                <w:szCs w:val="1"/>
                <w:color w:val="auto"/>
              </w:rPr>
            </w:pPr>
          </w:p>
        </w:tc>
      </w:tr>
      <w:tr>
        <w:trPr>
          <w:trHeight w:val="169"/>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31.2</w:t>
            </w:r>
            <w:r>
              <w:rPr>
                <w:rFonts w:ascii="Arial" w:cs="Arial" w:eastAsia="Arial" w:hAnsi="Arial"/>
                <w:sz w:val="24"/>
                <w:szCs w:val="24"/>
                <w:color w:val="auto"/>
                <w:vertAlign w:val="superscript"/>
              </w:rPr>
              <w:t>+</w:t>
            </w: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top w:val="single" w:sz="8" w:color="0000FF"/>
            </w:tcBorders>
            <w:gridSpan w:val="17"/>
          </w:tcPr>
          <w:p>
            <w:pPr>
              <w:spacing w:after="0" w:line="169" w:lineRule="exact"/>
              <w:rPr>
                <w:sz w:val="20"/>
                <w:szCs w:val="20"/>
                <w:color w:val="auto"/>
              </w:rPr>
            </w:pPr>
            <w:r>
              <w:rPr>
                <w:rFonts w:ascii="Arial" w:cs="Arial" w:eastAsia="Arial" w:hAnsi="Arial"/>
                <w:sz w:val="18"/>
                <w:szCs w:val="18"/>
                <w:color w:val="0000FF"/>
              </w:rPr>
              <w:t>of the Sarbanes-Oxley Act of 2002.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4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4"/>
              </w:rPr>
              <w:t>Certification of Principal Financial</w:t>
            </w:r>
          </w:p>
        </w:tc>
        <w:tc>
          <w:tcPr>
            <w:tcW w:w="7380" w:type="dxa"/>
            <w:vAlign w:val="bottom"/>
            <w:gridSpan w:val="14"/>
          </w:tcPr>
          <w:p>
            <w:pPr>
              <w:spacing w:after="0" w:line="182" w:lineRule="exact"/>
              <w:rPr>
                <w:sz w:val="20"/>
                <w:szCs w:val="20"/>
                <w:color w:val="auto"/>
              </w:rPr>
            </w:pPr>
            <w:r>
              <w:rPr>
                <w:rFonts w:ascii="Arial" w:cs="Arial" w:eastAsia="Arial" w:hAnsi="Arial"/>
                <w:sz w:val="18"/>
                <w:szCs w:val="18"/>
                <w:color w:val="0000FF"/>
                <w:w w:val="94"/>
              </w:rPr>
              <w:t>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32.1</w:t>
            </w:r>
            <w:r>
              <w:rPr>
                <w:rFonts w:ascii="Arial" w:cs="Arial" w:eastAsia="Arial" w:hAnsi="Arial"/>
                <w:sz w:val="24"/>
                <w:szCs w:val="24"/>
                <w:color w:val="auto"/>
                <w:vertAlign w:val="superscript"/>
              </w:rPr>
              <w:t>+</w:t>
            </w: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top w:val="single" w:sz="8" w:color="0000FF"/>
            </w:tcBorders>
            <w:gridSpan w:val="11"/>
          </w:tcPr>
          <w:p>
            <w:pPr>
              <w:spacing w:after="0" w:line="169" w:lineRule="exact"/>
              <w:rPr>
                <w:sz w:val="20"/>
                <w:szCs w:val="20"/>
                <w:color w:val="auto"/>
              </w:rPr>
            </w:pPr>
            <w:r>
              <w:rPr>
                <w:rFonts w:ascii="Arial" w:cs="Arial" w:eastAsia="Arial" w:hAnsi="Arial"/>
                <w:sz w:val="18"/>
                <w:szCs w:val="18"/>
                <w:color w:val="0000FF"/>
              </w:rPr>
              <w:t>Adopted Pursuant to Section 302 of the Sarbanes-Oxley Act of 2002.</w:t>
            </w:r>
          </w:p>
        </w:tc>
        <w:tc>
          <w:tcPr>
            <w:tcW w:w="200" w:type="dxa"/>
            <w:vAlign w:val="bottom"/>
            <w:gridSpan w:val="4"/>
          </w:tcPr>
          <w:p>
            <w:pPr>
              <w:spacing w:after="0"/>
              <w:rPr>
                <w:sz w:val="14"/>
                <w:szCs w:val="14"/>
                <w:color w:val="auto"/>
              </w:rPr>
            </w:pP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6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5"/>
              </w:rPr>
              <w:t>Certification of Principal Executive Officer and Principal Financial</w:t>
            </w:r>
          </w:p>
        </w:tc>
        <w:tc>
          <w:tcPr>
            <w:tcW w:w="20" w:type="dxa"/>
            <w:vAlign w:val="bottom"/>
            <w:tcBorders>
              <w:top w:val="single" w:sz="8" w:color="0000EE"/>
            </w:tcBorders>
          </w:tcPr>
          <w:p>
            <w:pPr>
              <w:spacing w:after="0"/>
              <w:rPr>
                <w:sz w:val="15"/>
                <w:szCs w:val="15"/>
                <w:color w:val="auto"/>
              </w:rPr>
            </w:pPr>
          </w:p>
        </w:tc>
        <w:tc>
          <w:tcPr>
            <w:tcW w:w="4940" w:type="dxa"/>
            <w:vAlign w:val="bottom"/>
            <w:gridSpan w:val="11"/>
          </w:tcPr>
          <w:p>
            <w:pPr>
              <w:spacing w:after="0" w:line="182" w:lineRule="exact"/>
              <w:rPr>
                <w:sz w:val="20"/>
                <w:szCs w:val="20"/>
                <w:color w:val="auto"/>
              </w:rPr>
            </w:pPr>
            <w:r>
              <w:rPr>
                <w:rFonts w:ascii="Arial" w:cs="Arial" w:eastAsia="Arial" w:hAnsi="Arial"/>
                <w:sz w:val="18"/>
                <w:szCs w:val="18"/>
                <w:color w:val="0000FF"/>
                <w:w w:val="90"/>
              </w:rPr>
              <w:t>Officer Pursuant to 18 U.S.C. Section 1350, as Adopted Pursuant to</w:t>
            </w:r>
          </w:p>
        </w:tc>
        <w:tc>
          <w:tcPr>
            <w:tcW w:w="0" w:type="dxa"/>
            <w:vAlign w:val="bottom"/>
          </w:tcPr>
          <w:p>
            <w:pPr>
              <w:spacing w:after="0"/>
              <w:rPr>
                <w:sz w:val="1"/>
                <w:szCs w:val="1"/>
                <w:color w:val="auto"/>
              </w:rPr>
            </w:pPr>
          </w:p>
        </w:tc>
      </w:tr>
      <w:tr>
        <w:trPr>
          <w:trHeight w:val="169"/>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101.INS</w:t>
            </w:r>
            <w:r>
              <w:rPr>
                <w:rFonts w:ascii="Arial" w:cs="Arial" w:eastAsia="Arial" w:hAnsi="Arial"/>
                <w:sz w:val="24"/>
                <w:szCs w:val="24"/>
                <w:color w:val="auto"/>
                <w:vertAlign w:val="superscript"/>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tcBorders>
            <w:gridSpan w:val="15"/>
          </w:tcPr>
          <w:p>
            <w:pPr>
              <w:spacing w:after="0" w:line="169" w:lineRule="exact"/>
              <w:rPr>
                <w:sz w:val="20"/>
                <w:szCs w:val="20"/>
                <w:color w:val="auto"/>
              </w:rPr>
            </w:pPr>
            <w:r>
              <w:rPr>
                <w:rFonts w:ascii="Arial" w:cs="Arial" w:eastAsia="Arial" w:hAnsi="Arial"/>
                <w:sz w:val="18"/>
                <w:szCs w:val="18"/>
                <w:color w:val="0000FF"/>
              </w:rPr>
              <w:t>Section 906 of the Sarbanes-Oxley Act of 2002.</w:t>
            </w: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auto"/>
                <w:w w:val="91"/>
              </w:rPr>
              <w:t>Inline XBRL Instance Document – the instance</w:t>
            </w:r>
          </w:p>
        </w:tc>
        <w:tc>
          <w:tcPr>
            <w:tcW w:w="6480" w:type="dxa"/>
            <w:vAlign w:val="bottom"/>
            <w:gridSpan w:val="13"/>
          </w:tcPr>
          <w:p>
            <w:pPr>
              <w:spacing w:after="0" w:line="182" w:lineRule="exact"/>
              <w:rPr>
                <w:sz w:val="20"/>
                <w:szCs w:val="20"/>
                <w:color w:val="auto"/>
              </w:rPr>
            </w:pPr>
            <w:r>
              <w:rPr>
                <w:rFonts w:ascii="Arial" w:cs="Arial" w:eastAsia="Arial" w:hAnsi="Arial"/>
                <w:sz w:val="18"/>
                <w:szCs w:val="18"/>
                <w:color w:val="auto"/>
                <w:w w:val="90"/>
              </w:rPr>
              <w:t>document does not appear in the Interactive Data File because XBRL tags are embedded</w:t>
            </w:r>
          </w:p>
        </w:tc>
        <w:tc>
          <w:tcPr>
            <w:tcW w:w="0" w:type="dxa"/>
            <w:vAlign w:val="bottom"/>
          </w:tcPr>
          <w:p>
            <w:pPr>
              <w:spacing w:after="0"/>
              <w:rPr>
                <w:sz w:val="1"/>
                <w:szCs w:val="1"/>
                <w:color w:val="auto"/>
              </w:rPr>
            </w:pPr>
          </w:p>
        </w:tc>
      </w:tr>
      <w:tr>
        <w:trPr>
          <w:trHeight w:val="203"/>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101.SCH</w:t>
            </w:r>
            <w:r>
              <w:rPr>
                <w:rFonts w:ascii="Arial" w:cs="Arial" w:eastAsia="Arial" w:hAnsi="Arial"/>
                <w:sz w:val="24"/>
                <w:szCs w:val="24"/>
                <w:color w:val="auto"/>
                <w:vertAlign w:val="superscript"/>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18"/>
          </w:tcPr>
          <w:p>
            <w:pPr>
              <w:spacing w:after="0" w:line="202" w:lineRule="exact"/>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180"/>
        </w:trPr>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18"/>
          </w:tcPr>
          <w:p>
            <w:pPr>
              <w:spacing w:after="0" w:line="181"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160" w:type="dxa"/>
            <w:vAlign w:val="bottom"/>
          </w:tcPr>
          <w:p>
            <w:pPr>
              <w:ind w:left="20"/>
              <w:spacing w:after="0" w:line="202" w:lineRule="exact"/>
              <w:rPr>
                <w:sz w:val="20"/>
                <w:szCs w:val="20"/>
                <w:color w:val="auto"/>
              </w:rPr>
            </w:pPr>
            <w:r>
              <w:rPr>
                <w:rFonts w:ascii="Arial" w:cs="Arial" w:eastAsia="Arial" w:hAnsi="Arial"/>
                <w:sz w:val="17"/>
                <w:szCs w:val="17"/>
                <w:color w:val="auto"/>
              </w:rPr>
              <w:t>101.CAL</w:t>
            </w:r>
            <w:r>
              <w:rPr>
                <w:rFonts w:ascii="Arial" w:cs="Arial" w:eastAsia="Arial" w:hAnsi="Arial"/>
                <w:sz w:val="23"/>
                <w:szCs w:val="23"/>
                <w:color w:val="auto"/>
                <w:vertAlign w:val="superscript"/>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18"/>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160" w:type="dxa"/>
            <w:vAlign w:val="bottom"/>
          </w:tcPr>
          <w:p>
            <w:pPr>
              <w:ind w:left="20"/>
              <w:spacing w:after="0" w:line="202" w:lineRule="exact"/>
              <w:rPr>
                <w:sz w:val="20"/>
                <w:szCs w:val="20"/>
                <w:color w:val="auto"/>
              </w:rPr>
            </w:pPr>
            <w:r>
              <w:rPr>
                <w:rFonts w:ascii="Arial" w:cs="Arial" w:eastAsia="Arial" w:hAnsi="Arial"/>
                <w:sz w:val="17"/>
                <w:szCs w:val="17"/>
                <w:color w:val="auto"/>
              </w:rPr>
              <w:t>101.DEF</w:t>
            </w:r>
            <w:r>
              <w:rPr>
                <w:rFonts w:ascii="Arial" w:cs="Arial" w:eastAsia="Arial" w:hAnsi="Arial"/>
                <w:sz w:val="23"/>
                <w:szCs w:val="23"/>
                <w:color w:val="auto"/>
                <w:vertAlign w:val="superscript"/>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18"/>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1160" w:type="dxa"/>
            <w:vAlign w:val="bottom"/>
          </w:tcPr>
          <w:p>
            <w:pPr>
              <w:ind w:left="20"/>
              <w:spacing w:after="0" w:line="202" w:lineRule="exact"/>
              <w:rPr>
                <w:sz w:val="20"/>
                <w:szCs w:val="20"/>
                <w:color w:val="auto"/>
              </w:rPr>
            </w:pPr>
            <w:r>
              <w:rPr>
                <w:rFonts w:ascii="Arial" w:cs="Arial" w:eastAsia="Arial" w:hAnsi="Arial"/>
                <w:sz w:val="17"/>
                <w:szCs w:val="17"/>
                <w:color w:val="auto"/>
              </w:rPr>
              <w:t>101.LAB</w:t>
            </w:r>
            <w:r>
              <w:rPr>
                <w:rFonts w:ascii="Arial" w:cs="Arial" w:eastAsia="Arial" w:hAnsi="Arial"/>
                <w:sz w:val="23"/>
                <w:szCs w:val="23"/>
                <w:color w:val="auto"/>
                <w:vertAlign w:val="superscript"/>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18"/>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03"/>
        </w:trPr>
        <w:tc>
          <w:tcPr>
            <w:tcW w:w="1160" w:type="dxa"/>
            <w:vAlign w:val="bottom"/>
          </w:tcPr>
          <w:p>
            <w:pPr>
              <w:ind w:left="20"/>
              <w:spacing w:after="0" w:line="202" w:lineRule="exact"/>
              <w:rPr>
                <w:sz w:val="20"/>
                <w:szCs w:val="20"/>
                <w:color w:val="auto"/>
              </w:rPr>
            </w:pPr>
            <w:r>
              <w:rPr>
                <w:rFonts w:ascii="Arial" w:cs="Arial" w:eastAsia="Arial" w:hAnsi="Arial"/>
                <w:sz w:val="17"/>
                <w:szCs w:val="17"/>
                <w:color w:val="auto"/>
              </w:rPr>
              <w:t>101.PRE</w:t>
            </w:r>
            <w:r>
              <w:rPr>
                <w:rFonts w:ascii="Arial" w:cs="Arial" w:eastAsia="Arial" w:hAnsi="Arial"/>
                <w:sz w:val="23"/>
                <w:szCs w:val="23"/>
                <w:color w:val="auto"/>
                <w:vertAlign w:val="superscript"/>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18"/>
          </w:tcPr>
          <w:p>
            <w:pPr>
              <w:spacing w:after="0" w:line="202" w:lineRule="exact"/>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15"/>
        </w:trPr>
        <w:tc>
          <w:tcPr>
            <w:tcW w:w="1160" w:type="dxa"/>
            <w:vAlign w:val="bottom"/>
          </w:tcPr>
          <w:p>
            <w:pPr>
              <w:ind w:left="20"/>
              <w:spacing w:after="0"/>
              <w:rPr>
                <w:sz w:val="20"/>
                <w:szCs w:val="20"/>
                <w:color w:val="auto"/>
              </w:rPr>
            </w:pPr>
            <w:r>
              <w:rPr>
                <w:rFonts w:ascii="Arial" w:cs="Arial" w:eastAsia="Arial" w:hAnsi="Arial"/>
                <w:sz w:val="18"/>
                <w:szCs w:val="18"/>
                <w:color w:val="auto"/>
              </w:rPr>
              <w:t>104</w:t>
            </w:r>
            <w:r>
              <w:rPr>
                <w:rFonts w:ascii="Arial" w:cs="Arial" w:eastAsia="Arial" w:hAnsi="Arial"/>
                <w:sz w:val="24"/>
                <w:szCs w:val="24"/>
                <w:color w:val="auto"/>
                <w:vertAlign w:val="superscript"/>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8"/>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32" w:lineRule="exact"/>
        <w:rPr>
          <w:sz w:val="20"/>
          <w:szCs w:val="20"/>
          <w:color w:val="auto"/>
        </w:rPr>
      </w:pPr>
    </w:p>
    <w:p>
      <w:pPr>
        <w:jc w:val="both"/>
        <w:ind w:right="180" w:firstLine="8"/>
        <w:spacing w:after="0" w:line="249" w:lineRule="auto"/>
        <w:tabs>
          <w:tab w:leader="none" w:pos="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certifications attached as Exhibits 31.1, 31.2 and 32.1 that accompany this Quarterly Report on Form 10-Q are not deemed filed with the Securities and Exchange Commission and are not to be incorporated by reference into any filing of Definitive Healthcare Corp.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5" w:name="page46"/>
    <w:bookmarkEnd w:id="45"/>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DEFINITIVE HEALTHCARE CORP.</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Registrant</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244"/>
        </w:trPr>
        <w:tc>
          <w:tcPr>
            <w:tcW w:w="2700" w:type="dxa"/>
            <w:vAlign w:val="bottom"/>
          </w:tcPr>
          <w:p>
            <w:pPr>
              <w:spacing w:after="0"/>
              <w:rPr>
                <w:sz w:val="20"/>
                <w:szCs w:val="20"/>
                <w:color w:val="auto"/>
              </w:rPr>
            </w:pPr>
            <w:r>
              <w:rPr>
                <w:rFonts w:ascii="Arial" w:cs="Arial" w:eastAsia="Arial" w:hAnsi="Arial"/>
                <w:sz w:val="18"/>
                <w:szCs w:val="18"/>
                <w:color w:val="auto"/>
              </w:rPr>
              <w:t>November 3, 2022</w:t>
            </w:r>
          </w:p>
        </w:tc>
        <w:tc>
          <w:tcPr>
            <w:tcW w:w="2500" w:type="dxa"/>
            <w:vAlign w:val="bottom"/>
          </w:tcPr>
          <w:p>
            <w:pPr>
              <w:ind w:left="216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1"/>
                <w:szCs w:val="21"/>
                <w:color w:val="auto"/>
              </w:rPr>
            </w:pPr>
          </w:p>
        </w:tc>
        <w:tc>
          <w:tcPr>
            <w:tcW w:w="53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Robert Musslewhite</w:t>
            </w:r>
          </w:p>
        </w:tc>
        <w:tc>
          <w:tcPr>
            <w:tcW w:w="0" w:type="dxa"/>
            <w:vAlign w:val="bottom"/>
          </w:tcPr>
          <w:p>
            <w:pPr>
              <w:spacing w:after="0"/>
              <w:rPr>
                <w:sz w:val="1"/>
                <w:szCs w:val="1"/>
                <w:color w:val="auto"/>
              </w:rPr>
            </w:pPr>
          </w:p>
        </w:tc>
      </w:tr>
      <w:tr>
        <w:trPr>
          <w:trHeight w:val="21"/>
        </w:trPr>
        <w:tc>
          <w:tcPr>
            <w:tcW w:w="270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8"/>
                <w:szCs w:val="18"/>
                <w:color w:val="auto"/>
              </w:rPr>
              <w:t>Name:</w:t>
            </w:r>
          </w:p>
        </w:tc>
        <w:tc>
          <w:tcPr>
            <w:tcW w:w="4700" w:type="dxa"/>
            <w:vAlign w:val="bottom"/>
            <w:vMerge w:val="restart"/>
          </w:tcPr>
          <w:p>
            <w:pPr>
              <w:ind w:left="140"/>
              <w:spacing w:after="0"/>
              <w:rPr>
                <w:sz w:val="20"/>
                <w:szCs w:val="20"/>
                <w:color w:val="auto"/>
              </w:rPr>
            </w:pPr>
            <w:r>
              <w:rPr>
                <w:rFonts w:ascii="Arial" w:cs="Arial" w:eastAsia="Arial" w:hAnsi="Arial"/>
                <w:sz w:val="18"/>
                <w:szCs w:val="18"/>
                <w:color w:val="auto"/>
              </w:rPr>
              <w:t>Robert Musslewhite</w:t>
            </w:r>
          </w:p>
        </w:tc>
        <w:tc>
          <w:tcPr>
            <w:tcW w:w="0" w:type="dxa"/>
            <w:vAlign w:val="bottom"/>
          </w:tcPr>
          <w:p>
            <w:pPr>
              <w:spacing w:after="0"/>
              <w:rPr>
                <w:sz w:val="1"/>
                <w:szCs w:val="1"/>
                <w:color w:val="auto"/>
              </w:rPr>
            </w:pPr>
          </w:p>
        </w:tc>
      </w:tr>
      <w:tr>
        <w:trPr>
          <w:trHeight w:val="195"/>
        </w:trPr>
        <w:tc>
          <w:tcPr>
            <w:tcW w:w="2700" w:type="dxa"/>
            <w:vAlign w:val="bottom"/>
          </w:tcPr>
          <w:p>
            <w:pPr>
              <w:spacing w:after="0" w:line="195" w:lineRule="exact"/>
              <w:rPr>
                <w:sz w:val="20"/>
                <w:szCs w:val="20"/>
                <w:color w:val="auto"/>
              </w:rPr>
            </w:pPr>
            <w:r>
              <w:rPr>
                <w:rFonts w:ascii="Arial" w:cs="Arial" w:eastAsia="Arial" w:hAnsi="Arial"/>
                <w:sz w:val="18"/>
                <w:szCs w:val="18"/>
                <w:color w:val="auto"/>
              </w:rPr>
              <w:t>Date</w:t>
            </w:r>
          </w:p>
        </w:tc>
        <w:tc>
          <w:tcPr>
            <w:tcW w:w="25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Title:</w:t>
            </w:r>
          </w:p>
        </w:tc>
        <w:tc>
          <w:tcPr>
            <w:tcW w:w="4700" w:type="dxa"/>
            <w:vAlign w:val="bottom"/>
          </w:tcPr>
          <w:p>
            <w:pPr>
              <w:ind w:left="140"/>
              <w:spacing w:after="0"/>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473"/>
        </w:trPr>
        <w:tc>
          <w:tcPr>
            <w:tcW w:w="2700" w:type="dxa"/>
            <w:vAlign w:val="bottom"/>
          </w:tcPr>
          <w:p>
            <w:pPr>
              <w:spacing w:after="0"/>
              <w:rPr>
                <w:sz w:val="20"/>
                <w:szCs w:val="20"/>
                <w:color w:val="auto"/>
              </w:rPr>
            </w:pPr>
            <w:r>
              <w:rPr>
                <w:rFonts w:ascii="Arial" w:cs="Arial" w:eastAsia="Arial" w:hAnsi="Arial"/>
                <w:sz w:val="18"/>
                <w:szCs w:val="18"/>
                <w:color w:val="auto"/>
              </w:rPr>
              <w:t>November 3, 2022</w:t>
            </w:r>
          </w:p>
        </w:tc>
        <w:tc>
          <w:tcPr>
            <w:tcW w:w="2500" w:type="dxa"/>
            <w:vAlign w:val="bottom"/>
          </w:tcPr>
          <w:p>
            <w:pPr>
              <w:ind w:left="216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53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Richard Booth</w:t>
            </w:r>
          </w:p>
        </w:tc>
        <w:tc>
          <w:tcPr>
            <w:tcW w:w="0" w:type="dxa"/>
            <w:vAlign w:val="bottom"/>
          </w:tcPr>
          <w:p>
            <w:pPr>
              <w:spacing w:after="0"/>
              <w:rPr>
                <w:sz w:val="1"/>
                <w:szCs w:val="1"/>
                <w:color w:val="auto"/>
              </w:rPr>
            </w:pPr>
          </w:p>
        </w:tc>
      </w:tr>
      <w:tr>
        <w:trPr>
          <w:trHeight w:val="34"/>
        </w:trPr>
        <w:tc>
          <w:tcPr>
            <w:tcW w:w="2700" w:type="dxa"/>
            <w:vAlign w:val="bottom"/>
            <w:tcBorders>
              <w:bottom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8"/>
                <w:szCs w:val="18"/>
                <w:color w:val="auto"/>
              </w:rPr>
              <w:t>Name:</w:t>
            </w:r>
          </w:p>
        </w:tc>
        <w:tc>
          <w:tcPr>
            <w:tcW w:w="4700" w:type="dxa"/>
            <w:vAlign w:val="bottom"/>
            <w:vMerge w:val="restart"/>
          </w:tcPr>
          <w:p>
            <w:pPr>
              <w:ind w:left="140"/>
              <w:spacing w:after="0"/>
              <w:rPr>
                <w:sz w:val="20"/>
                <w:szCs w:val="20"/>
                <w:color w:val="auto"/>
              </w:rPr>
            </w:pPr>
            <w:r>
              <w:rPr>
                <w:rFonts w:ascii="Arial" w:cs="Arial" w:eastAsia="Arial" w:hAnsi="Arial"/>
                <w:sz w:val="18"/>
                <w:szCs w:val="18"/>
                <w:color w:val="auto"/>
              </w:rPr>
              <w:t>Richard Booth</w:t>
            </w:r>
          </w:p>
        </w:tc>
        <w:tc>
          <w:tcPr>
            <w:tcW w:w="0" w:type="dxa"/>
            <w:vAlign w:val="bottom"/>
          </w:tcPr>
          <w:p>
            <w:pPr>
              <w:spacing w:after="0"/>
              <w:rPr>
                <w:sz w:val="1"/>
                <w:szCs w:val="1"/>
                <w:color w:val="auto"/>
              </w:rPr>
            </w:pPr>
          </w:p>
        </w:tc>
      </w:tr>
      <w:tr>
        <w:trPr>
          <w:trHeight w:val="195"/>
        </w:trPr>
        <w:tc>
          <w:tcPr>
            <w:tcW w:w="2700" w:type="dxa"/>
            <w:vAlign w:val="bottom"/>
          </w:tcPr>
          <w:p>
            <w:pPr>
              <w:spacing w:after="0" w:line="195" w:lineRule="exact"/>
              <w:rPr>
                <w:sz w:val="20"/>
                <w:szCs w:val="20"/>
                <w:color w:val="auto"/>
              </w:rPr>
            </w:pPr>
            <w:r>
              <w:rPr>
                <w:rFonts w:ascii="Arial" w:cs="Arial" w:eastAsia="Arial" w:hAnsi="Arial"/>
                <w:sz w:val="18"/>
                <w:szCs w:val="18"/>
                <w:color w:val="auto"/>
              </w:rPr>
              <w:t>Date</w:t>
            </w:r>
          </w:p>
        </w:tc>
        <w:tc>
          <w:tcPr>
            <w:tcW w:w="25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Title:</w:t>
            </w:r>
          </w:p>
        </w:tc>
        <w:tc>
          <w:tcPr>
            <w:tcW w:w="4700" w:type="dxa"/>
            <w:vAlign w:val="bottom"/>
          </w:tcPr>
          <w:p>
            <w:pPr>
              <w:ind w:left="140"/>
              <w:spacing w:after="0"/>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t>Exhibit 10.4</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Musslewhite 2021 RSU Amendment</w:t>
      </w:r>
    </w:p>
    <w:p>
      <w:pPr>
        <w:spacing w:after="0" w:line="13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AMENDMENT TO RESTRICTED STOCK UNIT AWARD AGREEMENTS</w:t>
      </w:r>
    </w:p>
    <w:p>
      <w:pPr>
        <w:spacing w:after="0" w:line="212" w:lineRule="exact"/>
        <w:rPr>
          <w:sz w:val="20"/>
          <w:szCs w:val="20"/>
          <w:color w:val="auto"/>
        </w:rPr>
      </w:pPr>
    </w:p>
    <w:p>
      <w:pPr>
        <w:ind w:firstLine="749"/>
        <w:spacing w:after="0" w:line="328" w:lineRule="auto"/>
        <w:rPr>
          <w:sz w:val="20"/>
          <w:szCs w:val="20"/>
          <w:color w:val="auto"/>
        </w:rPr>
      </w:pPr>
      <w:r>
        <w:rPr>
          <w:rFonts w:ascii="Arial" w:cs="Arial" w:eastAsia="Arial" w:hAnsi="Arial"/>
          <w:sz w:val="19"/>
          <w:szCs w:val="19"/>
          <w:color w:val="auto"/>
        </w:rPr>
        <w:t>This Amendment (the “</w:t>
      </w:r>
      <w:r>
        <w:rPr>
          <w:rFonts w:ascii="Arial" w:cs="Arial" w:eastAsia="Arial" w:hAnsi="Arial"/>
          <w:sz w:val="19"/>
          <w:szCs w:val="19"/>
          <w:b w:val="1"/>
          <w:bCs w:val="1"/>
          <w:i w:val="1"/>
          <w:iCs w:val="1"/>
          <w:color w:val="auto"/>
        </w:rPr>
        <w:t>Amendment</w:t>
      </w:r>
      <w:r>
        <w:rPr>
          <w:rFonts w:ascii="Arial" w:cs="Arial" w:eastAsia="Arial" w:hAnsi="Arial"/>
          <w:sz w:val="19"/>
          <w:szCs w:val="19"/>
          <w:color w:val="auto"/>
        </w:rPr>
        <w:t>”) to the Restricted Stock Unit Award Agreements (as defined below) between Robert Musslewhite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and Definitive Healthcare Corp.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is effective as of August 9, 2022.</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53" w:lineRule="exact"/>
        <w:rPr>
          <w:sz w:val="20"/>
          <w:szCs w:val="20"/>
          <w:color w:val="auto"/>
        </w:rPr>
      </w:pPr>
    </w:p>
    <w:p>
      <w:pPr>
        <w:jc w:val="both"/>
        <w:ind w:firstLine="448"/>
        <w:spacing w:after="0" w:line="256" w:lineRule="auto"/>
        <w:tabs>
          <w:tab w:leader="none" w:pos="8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On October 7, 2021, the Company granted to Participant two restricted stock unit awards with respect to 433,550 and 216,450 shares of the Company’s Common Stock pursuant to the Company’s 2021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as evidenced by the related restricted stock unit notices and agreements issued under the Plan (the “</w:t>
      </w:r>
      <w:r>
        <w:rPr>
          <w:rFonts w:ascii="Arial" w:cs="Arial" w:eastAsia="Arial" w:hAnsi="Arial"/>
          <w:sz w:val="20"/>
          <w:szCs w:val="20"/>
          <w:b w:val="1"/>
          <w:bCs w:val="1"/>
          <w:i w:val="1"/>
          <w:iCs w:val="1"/>
          <w:color w:val="auto"/>
        </w:rPr>
        <w:t>RSU Award Agreements</w:t>
      </w:r>
      <w:r>
        <w:rPr>
          <w:rFonts w:ascii="Arial" w:cs="Arial" w:eastAsia="Arial" w:hAnsi="Arial"/>
          <w:sz w:val="20"/>
          <w:szCs w:val="20"/>
          <w:color w:val="auto"/>
        </w:rPr>
        <w:t>”); and</w:t>
      </w:r>
    </w:p>
    <w:p>
      <w:pPr>
        <w:spacing w:after="0" w:line="200" w:lineRule="exact"/>
        <w:rPr>
          <w:rFonts w:ascii="Arial" w:cs="Arial" w:eastAsia="Arial" w:hAnsi="Arial"/>
          <w:sz w:val="20"/>
          <w:szCs w:val="20"/>
          <w:color w:val="auto"/>
        </w:rPr>
      </w:pPr>
    </w:p>
    <w:p>
      <w:pPr>
        <w:spacing w:after="0" w:line="303" w:lineRule="exact"/>
        <w:rPr>
          <w:rFonts w:ascii="Arial" w:cs="Arial" w:eastAsia="Arial" w:hAnsi="Arial"/>
          <w:sz w:val="20"/>
          <w:szCs w:val="20"/>
          <w:color w:val="auto"/>
        </w:rPr>
      </w:pPr>
    </w:p>
    <w:p>
      <w:pPr>
        <w:ind w:left="880" w:hanging="432"/>
        <w:spacing w:after="0"/>
        <w:tabs>
          <w:tab w:leader="none" w:pos="8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On August 9, 2022, the Compensation Committee of the Board of Directors approved this amendment to the RSU</w:t>
      </w:r>
    </w:p>
    <w:p>
      <w:pPr>
        <w:spacing w:after="0" w:line="26" w:lineRule="exact"/>
        <w:rPr>
          <w:rFonts w:ascii="Arial" w:cs="Arial" w:eastAsia="Arial" w:hAnsi="Arial"/>
          <w:sz w:val="20"/>
          <w:szCs w:val="20"/>
          <w:color w:val="auto"/>
        </w:rPr>
      </w:pPr>
    </w:p>
    <w:p>
      <w:pPr>
        <w:spacing w:after="0" w:line="261" w:lineRule="auto"/>
        <w:rPr>
          <w:rFonts w:ascii="Arial" w:cs="Arial" w:eastAsia="Arial" w:hAnsi="Arial"/>
          <w:sz w:val="20"/>
          <w:szCs w:val="20"/>
          <w:color w:val="auto"/>
        </w:rPr>
      </w:pPr>
      <w:r>
        <w:rPr>
          <w:rFonts w:ascii="Arial" w:cs="Arial" w:eastAsia="Arial" w:hAnsi="Arial"/>
          <w:sz w:val="20"/>
          <w:szCs w:val="20"/>
          <w:color w:val="auto"/>
        </w:rPr>
        <w:t>Award Agreements. Unless otherwise defined in this Amendment, the terms used in this Amendment shall have the meanings defined in the Plan.</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0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promises, covenants and conditions hereinafter set forth, and for</w:t>
      </w:r>
      <w:r>
        <w:rPr>
          <w:rFonts w:ascii="Arial" w:cs="Arial" w:eastAsia="Arial" w:hAnsi="Arial"/>
          <w:sz w:val="22"/>
          <w:szCs w:val="22"/>
          <w:b w:val="1"/>
          <w:bCs w:val="1"/>
          <w:color w:val="auto"/>
        </w:rPr>
        <w:t xml:space="preserve"> </w:t>
      </w:r>
      <w:r>
        <w:rPr>
          <w:rFonts w:ascii="Arial" w:cs="Arial" w:eastAsia="Arial" w:hAnsi="Arial"/>
          <w:sz w:val="22"/>
          <w:szCs w:val="22"/>
          <w:color w:val="auto"/>
        </w:rPr>
        <w:t>other good and valuable consideration, the receipt and sufficiency of which are hereby acknowledged, the parties hereto mutually agree as follows:</w:t>
      </w:r>
    </w:p>
    <w:p>
      <w:pPr>
        <w:spacing w:after="0" w:line="177" w:lineRule="exact"/>
        <w:rPr>
          <w:sz w:val="20"/>
          <w:szCs w:val="20"/>
          <w:color w:val="auto"/>
        </w:rPr>
      </w:pPr>
    </w:p>
    <w:p>
      <w:pPr>
        <w:ind w:left="1500" w:hanging="743"/>
        <w:spacing w:after="0"/>
        <w:tabs>
          <w:tab w:leader="none" w:pos="1500" w:val="left"/>
        </w:tabs>
        <w:numPr>
          <w:ilvl w:val="1"/>
          <w:numId w:val="13"/>
        </w:numPr>
        <w:rPr>
          <w:rFonts w:ascii="Arial" w:cs="Arial" w:eastAsia="Arial" w:hAnsi="Arial"/>
          <w:sz w:val="22"/>
          <w:szCs w:val="22"/>
          <w:color w:val="auto"/>
        </w:rPr>
      </w:pPr>
      <w:r>
        <w:rPr>
          <w:rFonts w:ascii="Arial" w:cs="Arial" w:eastAsia="Arial" w:hAnsi="Arial"/>
          <w:sz w:val="22"/>
          <w:szCs w:val="22"/>
          <w:color w:val="auto"/>
        </w:rPr>
        <w:t>The RSU Award Agreements are hereby amended to add a new Section 4(d) as follows:</w:t>
      </w:r>
    </w:p>
    <w:p>
      <w:pPr>
        <w:spacing w:after="0" w:line="250" w:lineRule="exact"/>
        <w:rPr>
          <w:rFonts w:ascii="Arial" w:cs="Arial" w:eastAsia="Arial" w:hAnsi="Arial"/>
          <w:sz w:val="22"/>
          <w:szCs w:val="22"/>
          <w:color w:val="auto"/>
        </w:rPr>
      </w:pPr>
    </w:p>
    <w:p>
      <w:pPr>
        <w:ind w:left="1880" w:hanging="1392"/>
        <w:spacing w:after="0" w:line="256" w:lineRule="auto"/>
        <w:tabs>
          <w:tab w:leader="none" w:pos="941" w:val="left"/>
        </w:tabs>
        <w:numPr>
          <w:ilvl w:val="0"/>
          <w:numId w:val="14"/>
        </w:numPr>
        <w:rPr>
          <w:rFonts w:ascii="Arial" w:cs="Arial" w:eastAsia="Arial" w:hAnsi="Arial"/>
          <w:sz w:val="20"/>
          <w:szCs w:val="20"/>
          <w:color w:val="auto"/>
        </w:rPr>
      </w:pPr>
      <w:r>
        <w:rPr>
          <w:rFonts w:ascii="Arial" w:cs="Arial" w:eastAsia="Arial" w:hAnsi="Arial"/>
          <w:sz w:val="20"/>
          <w:szCs w:val="20"/>
          <w:color w:val="auto"/>
        </w:rPr>
        <w:t>Notwithstanding the preceding provisions of this Section 4, the terms of Section 5 of that certain employment agreement, dated May 4, 2022, by and between the Company and Participant (the “</w:t>
      </w:r>
      <w:r>
        <w:rPr>
          <w:rFonts w:ascii="Arial" w:cs="Arial" w:eastAsia="Arial" w:hAnsi="Arial"/>
          <w:sz w:val="20"/>
          <w:szCs w:val="20"/>
          <w:u w:val="single" w:color="auto"/>
          <w:color w:val="auto"/>
        </w:rPr>
        <w:t>Employment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shall apply for purposes of the Participant’s obligations regarding the use or disclosure of the Company’s confidential information and trade secrets.</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left="1500" w:hanging="743"/>
        <w:spacing w:after="0"/>
        <w:tabs>
          <w:tab w:leader="none" w:pos="1500" w:val="left"/>
        </w:tabs>
        <w:numPr>
          <w:ilvl w:val="1"/>
          <w:numId w:val="14"/>
        </w:numPr>
        <w:rPr>
          <w:rFonts w:ascii="Arial" w:cs="Arial" w:eastAsia="Arial" w:hAnsi="Arial"/>
          <w:sz w:val="22"/>
          <w:szCs w:val="22"/>
          <w:color w:val="auto"/>
        </w:rPr>
      </w:pPr>
      <w:r>
        <w:rPr>
          <w:rFonts w:ascii="Arial" w:cs="Arial" w:eastAsia="Arial" w:hAnsi="Arial"/>
          <w:sz w:val="22"/>
          <w:szCs w:val="22"/>
          <w:color w:val="auto"/>
        </w:rPr>
        <w:t>The RSU Award Agreements are hereby amended to add a new Section 5(d) as follows:</w:t>
      </w:r>
    </w:p>
    <w:p>
      <w:pPr>
        <w:spacing w:after="0" w:line="250" w:lineRule="exact"/>
        <w:rPr>
          <w:rFonts w:ascii="Arial" w:cs="Arial" w:eastAsia="Arial" w:hAnsi="Arial"/>
          <w:sz w:val="22"/>
          <w:szCs w:val="22"/>
          <w:color w:val="auto"/>
        </w:rPr>
      </w:pPr>
    </w:p>
    <w:p>
      <w:pPr>
        <w:jc w:val="both"/>
        <w:ind w:left="1880"/>
        <w:spacing w:after="0" w:line="257" w:lineRule="auto"/>
        <w:tabs>
          <w:tab w:leader="none" w:pos="2310" w:val="left"/>
        </w:tabs>
        <w:numPr>
          <w:ilvl w:val="2"/>
          <w:numId w:val="14"/>
        </w:numPr>
        <w:rPr>
          <w:rFonts w:ascii="Arial" w:cs="Arial" w:eastAsia="Arial" w:hAnsi="Arial"/>
          <w:sz w:val="20"/>
          <w:szCs w:val="20"/>
          <w:color w:val="auto"/>
        </w:rPr>
      </w:pPr>
      <w:r>
        <w:rPr>
          <w:rFonts w:ascii="Arial" w:cs="Arial" w:eastAsia="Arial" w:hAnsi="Arial"/>
          <w:sz w:val="20"/>
          <w:szCs w:val="20"/>
          <w:color w:val="auto"/>
        </w:rPr>
        <w:t>Notwithstanding the preceding provisions of this Section 5, the terms of Sections 6 and 7 of the Employment Agreement shall apply for purposes of the Participant’s obligations regarding non-competition and non-solicitation.</w:t>
      </w:r>
    </w:p>
    <w:p>
      <w:pPr>
        <w:spacing w:after="0" w:line="107" w:lineRule="exact"/>
        <w:rPr>
          <w:rFonts w:ascii="Arial" w:cs="Arial" w:eastAsia="Arial" w:hAnsi="Arial"/>
          <w:sz w:val="20"/>
          <w:szCs w:val="20"/>
          <w:color w:val="auto"/>
        </w:rPr>
      </w:pPr>
    </w:p>
    <w:p>
      <w:pPr>
        <w:ind w:left="1500" w:hanging="743"/>
        <w:spacing w:after="0"/>
        <w:tabs>
          <w:tab w:leader="none" w:pos="1500" w:val="left"/>
        </w:tabs>
        <w:numPr>
          <w:ilvl w:val="1"/>
          <w:numId w:val="14"/>
        </w:numPr>
        <w:rPr>
          <w:rFonts w:ascii="Arial" w:cs="Arial" w:eastAsia="Arial" w:hAnsi="Arial"/>
          <w:sz w:val="19"/>
          <w:szCs w:val="19"/>
          <w:color w:val="auto"/>
        </w:rPr>
      </w:pPr>
      <w:r>
        <w:rPr>
          <w:rFonts w:ascii="Arial" w:cs="Arial" w:eastAsia="Arial" w:hAnsi="Arial"/>
          <w:sz w:val="19"/>
          <w:szCs w:val="19"/>
          <w:color w:val="auto"/>
        </w:rPr>
        <w:t>The RSU Award Agreements are hereby amended to add a new sentence to the end of Section 6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359410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7" w:name="page48"/>
    <w:bookmarkEnd w:id="47"/>
    <w:p>
      <w:pPr>
        <w:ind w:left="1880"/>
        <w:spacing w:after="0"/>
        <w:rPr>
          <w:sz w:val="20"/>
          <w:szCs w:val="20"/>
          <w:color w:val="auto"/>
        </w:rPr>
      </w:pPr>
      <w:r>
        <w:rPr>
          <w:rFonts w:ascii="Arial" w:cs="Arial" w:eastAsia="Arial" w:hAnsi="Arial"/>
          <w:sz w:val="20"/>
          <w:szCs w:val="20"/>
          <w:color w:val="auto"/>
        </w:rPr>
        <w:t>Notwithstanding the foregoing, the terms of Section 8 of the Employment Agreement shall apply.</w:t>
      </w:r>
    </w:p>
    <w:p>
      <w:pPr>
        <w:spacing w:after="0" w:line="130" w:lineRule="exact"/>
        <w:rPr>
          <w:sz w:val="20"/>
          <w:szCs w:val="20"/>
          <w:color w:val="auto"/>
        </w:rPr>
      </w:pPr>
    </w:p>
    <w:p>
      <w:pPr>
        <w:ind w:right="20" w:firstLine="757"/>
        <w:spacing w:after="0" w:line="250" w:lineRule="auto"/>
        <w:tabs>
          <w:tab w:leader="none" w:pos="1498"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RSU Award Agreements are hereby amended to add the following sentence immediately after the word “Definitions” in the first paragraph of Section 7:</w:t>
      </w:r>
    </w:p>
    <w:p>
      <w:pPr>
        <w:spacing w:after="0" w:line="220" w:lineRule="exact"/>
        <w:rPr>
          <w:sz w:val="20"/>
          <w:szCs w:val="20"/>
          <w:color w:val="auto"/>
        </w:rPr>
      </w:pPr>
    </w:p>
    <w:p>
      <w:pPr>
        <w:jc w:val="both"/>
        <w:ind w:left="1880"/>
        <w:spacing w:after="0" w:line="257" w:lineRule="auto"/>
        <w:rPr>
          <w:sz w:val="20"/>
          <w:szCs w:val="20"/>
          <w:color w:val="auto"/>
        </w:rPr>
      </w:pPr>
      <w:r>
        <w:rPr>
          <w:rFonts w:ascii="Arial" w:cs="Arial" w:eastAsia="Arial" w:hAnsi="Arial"/>
          <w:sz w:val="20"/>
          <w:szCs w:val="20"/>
          <w:color w:val="auto"/>
        </w:rPr>
        <w:t>To the extent used expressly in this Agreement, the following definitions shall apply. To the extent the same term is defined in the Employment Agreement, the term as defined in the Employment Agreement shall apply.</w:t>
      </w:r>
    </w:p>
    <w:p>
      <w:pPr>
        <w:spacing w:after="0" w:line="107" w:lineRule="exact"/>
        <w:rPr>
          <w:sz w:val="20"/>
          <w:szCs w:val="20"/>
          <w:color w:val="auto"/>
        </w:rPr>
      </w:pPr>
    </w:p>
    <w:p>
      <w:pPr>
        <w:ind w:left="1500" w:hanging="743"/>
        <w:spacing w:after="0"/>
        <w:tabs>
          <w:tab w:leader="none" w:pos="15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RSU Award Agreements are hereby amended to replace Section 8(j) in its entirety as follows:</w:t>
      </w:r>
    </w:p>
    <w:p>
      <w:pPr>
        <w:spacing w:after="0" w:line="237" w:lineRule="exact"/>
        <w:rPr>
          <w:rFonts w:ascii="Arial" w:cs="Arial" w:eastAsia="Arial" w:hAnsi="Arial"/>
          <w:sz w:val="22"/>
          <w:szCs w:val="22"/>
          <w:color w:val="auto"/>
        </w:rPr>
      </w:pPr>
    </w:p>
    <w:p>
      <w:pPr>
        <w:jc w:val="both"/>
        <w:ind w:left="1880"/>
        <w:spacing w:after="0" w:line="260" w:lineRule="auto"/>
        <w:tabs>
          <w:tab w:leader="none" w:pos="2320" w:val="left"/>
        </w:tabs>
        <w:numPr>
          <w:ilvl w:val="1"/>
          <w:numId w:val="16"/>
        </w:numPr>
        <w:rPr>
          <w:rFonts w:ascii="Arial" w:cs="Arial" w:eastAsia="Arial" w:hAnsi="Arial"/>
          <w:sz w:val="20"/>
          <w:szCs w:val="20"/>
          <w:color w:val="auto"/>
        </w:rPr>
      </w:pPr>
      <w:r>
        <w:rPr>
          <w:rFonts w:ascii="Arial" w:cs="Arial" w:eastAsia="Arial" w:hAnsi="Arial"/>
          <w:sz w:val="20"/>
          <w:szCs w:val="20"/>
          <w:u w:val="single" w:color="auto"/>
          <w:color w:val="auto"/>
        </w:rPr>
        <w:t>Other Restrictive Covenants</w:t>
      </w:r>
      <w:r>
        <w:rPr>
          <w:rFonts w:ascii="Arial" w:cs="Arial" w:eastAsia="Arial" w:hAnsi="Arial"/>
          <w:sz w:val="20"/>
          <w:szCs w:val="20"/>
          <w:color w:val="auto"/>
        </w:rPr>
        <w:t>. Notwithstanding any other language in this Agreement, this Agreement does not supersede, and shall not preclude the enforceability of (in addition to enforcement of this</w:t>
      </w:r>
    </w:p>
    <w:p>
      <w:pPr>
        <w:spacing w:after="0" w:line="1" w:lineRule="exact"/>
        <w:rPr>
          <w:rFonts w:ascii="Arial" w:cs="Arial" w:eastAsia="Arial" w:hAnsi="Arial"/>
          <w:sz w:val="20"/>
          <w:szCs w:val="20"/>
          <w:color w:val="auto"/>
        </w:rPr>
      </w:pPr>
    </w:p>
    <w:p>
      <w:pPr>
        <w:jc w:val="both"/>
        <w:ind w:left="1880"/>
        <w:spacing w:after="0" w:line="257" w:lineRule="auto"/>
        <w:rPr>
          <w:rFonts w:ascii="Arial" w:cs="Arial" w:eastAsia="Arial" w:hAnsi="Arial"/>
          <w:sz w:val="20"/>
          <w:szCs w:val="20"/>
          <w:color w:val="auto"/>
        </w:rPr>
      </w:pPr>
      <w:r>
        <w:rPr>
          <w:rFonts w:ascii="Arial" w:cs="Arial" w:eastAsia="Arial" w:hAnsi="Arial"/>
          <w:sz w:val="20"/>
          <w:szCs w:val="20"/>
          <w:color w:val="auto"/>
        </w:rPr>
        <w:t>Agreement), any restrictive covenant provision contained in any prior or subsequent agreement entered into by the Participant, nor shall any subsequent agreement entered into by the Participant be construed or interpreted as amending, superseding, overriding, or otherwise precluding the enforceability of the restrictive covenants contained herein (including in Sections 4 and 5) unless such subsequent agreement specifically references the applicable covenant in this Agreement and expressly states that such covenant shall be superseded.</w:t>
      </w:r>
    </w:p>
    <w:p>
      <w:pPr>
        <w:spacing w:after="0" w:line="97" w:lineRule="exact"/>
        <w:rPr>
          <w:rFonts w:ascii="Arial" w:cs="Arial" w:eastAsia="Arial" w:hAnsi="Arial"/>
          <w:sz w:val="20"/>
          <w:szCs w:val="20"/>
          <w:color w:val="auto"/>
        </w:rPr>
      </w:pPr>
    </w:p>
    <w:p>
      <w:pPr>
        <w:ind w:firstLine="757"/>
        <w:spacing w:after="0" w:line="263" w:lineRule="auto"/>
        <w:tabs>
          <w:tab w:leader="none" w:pos="1498"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No Employment Rights</w:t>
      </w:r>
      <w:r>
        <w:rPr>
          <w:rFonts w:ascii="Arial" w:cs="Arial" w:eastAsia="Arial" w:hAnsi="Arial"/>
          <w:sz w:val="22"/>
          <w:szCs w:val="22"/>
          <w:color w:val="auto"/>
        </w:rPr>
        <w:t>. Nothing in this Amendment shall affect in any manner whatsoever the right or power of the Company to terminate Participant’s employment relationship for any reason.</w:t>
      </w:r>
    </w:p>
    <w:p>
      <w:pPr>
        <w:spacing w:after="0" w:line="161" w:lineRule="exact"/>
        <w:rPr>
          <w:rFonts w:ascii="Arial" w:cs="Arial" w:eastAsia="Arial" w:hAnsi="Arial"/>
          <w:sz w:val="22"/>
          <w:szCs w:val="22"/>
          <w:color w:val="auto"/>
        </w:rPr>
      </w:pPr>
    </w:p>
    <w:p>
      <w:pPr>
        <w:jc w:val="both"/>
        <w:ind w:firstLine="757"/>
        <w:spacing w:after="0" w:line="247" w:lineRule="auto"/>
        <w:tabs>
          <w:tab w:leader="none" w:pos="1498"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Entire Agreement; Counterparts</w:t>
      </w:r>
      <w:r>
        <w:rPr>
          <w:rFonts w:ascii="Arial" w:cs="Arial" w:eastAsia="Arial" w:hAnsi="Arial"/>
          <w:sz w:val="22"/>
          <w:szCs w:val="22"/>
          <w:color w:val="auto"/>
        </w:rPr>
        <w:t>. Except as explicitly modified herein, the RSU Award Agreements shall remain in full force and effect. In the event of any conflict between this Amendment and the RSU Award Agreement, this Amendment shall govern.</w:t>
      </w:r>
    </w:p>
    <w:p>
      <w:pPr>
        <w:spacing w:after="0" w:line="177" w:lineRule="exact"/>
        <w:rPr>
          <w:sz w:val="20"/>
          <w:szCs w:val="20"/>
          <w:color w:val="auto"/>
        </w:rPr>
      </w:pPr>
    </w:p>
    <w:p>
      <w:pPr>
        <w:ind w:firstLine="749"/>
        <w:spacing w:after="0" w:line="263" w:lineRule="auto"/>
        <w:rPr>
          <w:sz w:val="20"/>
          <w:szCs w:val="20"/>
          <w:color w:val="auto"/>
        </w:rPr>
      </w:pPr>
      <w:r>
        <w:rPr>
          <w:rFonts w:ascii="Arial" w:cs="Arial" w:eastAsia="Arial" w:hAnsi="Arial"/>
          <w:sz w:val="22"/>
          <w:szCs w:val="22"/>
          <w:color w:val="auto"/>
        </w:rPr>
        <w:t>IN WITNESS WHEREOF, the parties hereto have caused this Amendment to be duly executed as of the day and year written above.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200" w:type="dxa"/>
            <w:vAlign w:val="bottom"/>
            <w:gridSpan w:val="2"/>
          </w:tcPr>
          <w:p>
            <w:pPr>
              <w:spacing w:after="0"/>
              <w:rPr>
                <w:sz w:val="20"/>
                <w:szCs w:val="20"/>
                <w:color w:val="auto"/>
              </w:rPr>
            </w:pPr>
            <w:r>
              <w:rPr>
                <w:rFonts w:ascii="Arial" w:cs="Arial" w:eastAsia="Arial" w:hAnsi="Arial"/>
                <w:sz w:val="20"/>
                <w:szCs w:val="20"/>
                <w:b w:val="1"/>
                <w:bCs w:val="1"/>
                <w:color w:val="auto"/>
              </w:rPr>
              <w:t>PARTICIPANT</w:t>
            </w:r>
          </w:p>
        </w:tc>
        <w:tc>
          <w:tcPr>
            <w:tcW w:w="4620" w:type="dxa"/>
            <w:vAlign w:val="bottom"/>
          </w:tcPr>
          <w:p>
            <w:pPr>
              <w:spacing w:after="0"/>
              <w:rPr>
                <w:sz w:val="22"/>
                <w:szCs w:val="22"/>
                <w:color w:val="auto"/>
              </w:rPr>
            </w:pPr>
          </w:p>
        </w:tc>
        <w:tc>
          <w:tcPr>
            <w:tcW w:w="4420" w:type="dxa"/>
            <w:vAlign w:val="bottom"/>
            <w:gridSpan w:val="3"/>
          </w:tcPr>
          <w:p>
            <w:pPr>
              <w:ind w:left="340"/>
              <w:spacing w:after="0"/>
              <w:rPr>
                <w:sz w:val="20"/>
                <w:szCs w:val="20"/>
                <w:color w:val="auto"/>
              </w:rPr>
            </w:pPr>
            <w:r>
              <w:rPr>
                <w:rFonts w:ascii="Arial" w:cs="Arial" w:eastAsia="Arial" w:hAnsi="Arial"/>
                <w:sz w:val="20"/>
                <w:szCs w:val="20"/>
                <w:b w:val="1"/>
                <w:bCs w:val="1"/>
                <w:color w:val="auto"/>
              </w:rPr>
              <w:t>DEFINITIVE HEALTHCARE CORP.</w:t>
            </w:r>
          </w:p>
        </w:tc>
      </w:tr>
      <w:tr>
        <w:trPr>
          <w:trHeight w:val="347"/>
        </w:trPr>
        <w:tc>
          <w:tcPr>
            <w:tcW w:w="22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Robert Musslewhite</w:t>
            </w:r>
          </w:p>
        </w:tc>
        <w:tc>
          <w:tcPr>
            <w:tcW w:w="4620" w:type="dxa"/>
            <w:vAlign w:val="bottom"/>
          </w:tcPr>
          <w:p>
            <w:pPr>
              <w:spacing w:after="0"/>
              <w:rPr>
                <w:sz w:val="24"/>
                <w:szCs w:val="24"/>
                <w:color w:val="auto"/>
              </w:rPr>
            </w:pP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Thomas Penque</w:t>
            </w:r>
          </w:p>
        </w:tc>
        <w:tc>
          <w:tcPr>
            <w:tcW w:w="2440" w:type="dxa"/>
            <w:vAlign w:val="bottom"/>
          </w:tcPr>
          <w:p>
            <w:pPr>
              <w:spacing w:after="0"/>
              <w:rPr>
                <w:sz w:val="24"/>
                <w:szCs w:val="24"/>
                <w:color w:val="auto"/>
              </w:rPr>
            </w:pPr>
          </w:p>
        </w:tc>
      </w:tr>
      <w:tr>
        <w:trPr>
          <w:trHeight w:val="416"/>
        </w:trPr>
        <w:tc>
          <w:tcPr>
            <w:tcW w:w="2200" w:type="dxa"/>
            <w:vAlign w:val="bottom"/>
            <w:gridSpan w:val="2"/>
          </w:tcPr>
          <w:p>
            <w:pPr>
              <w:spacing w:after="0"/>
              <w:rPr>
                <w:sz w:val="20"/>
                <w:szCs w:val="20"/>
                <w:color w:val="auto"/>
              </w:rPr>
            </w:pPr>
            <w:r>
              <w:rPr>
                <w:rFonts w:ascii="Arial" w:cs="Arial" w:eastAsia="Arial" w:hAnsi="Arial"/>
                <w:sz w:val="20"/>
                <w:szCs w:val="20"/>
                <w:color w:val="auto"/>
              </w:rPr>
              <w:t>Signature</w:t>
            </w:r>
          </w:p>
        </w:tc>
        <w:tc>
          <w:tcPr>
            <w:tcW w:w="9040" w:type="dxa"/>
            <w:vAlign w:val="bottom"/>
            <w:gridSpan w:val="4"/>
          </w:tcPr>
          <w:p>
            <w:pPr>
              <w:ind w:left="4560"/>
              <w:spacing w:after="0"/>
              <w:rPr>
                <w:sz w:val="20"/>
                <w:szCs w:val="20"/>
                <w:color w:val="auto"/>
              </w:rPr>
            </w:pPr>
            <w:r>
              <w:rPr>
                <w:rFonts w:ascii="Arial" w:cs="Arial" w:eastAsia="Arial" w:hAnsi="Arial"/>
                <w:sz w:val="20"/>
                <w:szCs w:val="20"/>
                <w:color w:val="auto"/>
              </w:rPr>
              <w:t>Thomas Penque</w:t>
            </w:r>
          </w:p>
        </w:tc>
      </w:tr>
      <w:tr>
        <w:trPr>
          <w:trHeight w:val="351"/>
        </w:trPr>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20"/>
                <w:szCs w:val="20"/>
                <w:color w:val="auto"/>
              </w:rPr>
              <w:t>Chief Talent Officer</w:t>
            </w:r>
          </w:p>
        </w:tc>
      </w:tr>
      <w:tr>
        <w:trPr>
          <w:trHeight w:val="306"/>
        </w:trPr>
        <w:tc>
          <w:tcPr>
            <w:tcW w:w="17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August 9, 2022</w:t>
            </w:r>
          </w:p>
        </w:tc>
        <w:tc>
          <w:tcPr>
            <w:tcW w:w="4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August 9, 2022</w:t>
            </w:r>
          </w:p>
        </w:tc>
        <w:tc>
          <w:tcPr>
            <w:tcW w:w="2440" w:type="dxa"/>
            <w:vAlign w:val="bottom"/>
          </w:tcPr>
          <w:p>
            <w:pPr>
              <w:spacing w:after="0"/>
              <w:rPr>
                <w:sz w:val="24"/>
                <w:szCs w:val="24"/>
                <w:color w:val="auto"/>
              </w:rPr>
            </w:pPr>
          </w:p>
        </w:tc>
      </w:tr>
      <w:tr>
        <w:trPr>
          <w:trHeight w:val="376"/>
        </w:trPr>
        <w:tc>
          <w:tcPr>
            <w:tcW w:w="2200" w:type="dxa"/>
            <w:vAlign w:val="bottom"/>
            <w:gridSpan w:val="2"/>
          </w:tcPr>
          <w:p>
            <w:pPr>
              <w:spacing w:after="0"/>
              <w:rPr>
                <w:sz w:val="20"/>
                <w:szCs w:val="20"/>
                <w:color w:val="auto"/>
              </w:rPr>
            </w:pPr>
            <w:r>
              <w:rPr>
                <w:rFonts w:ascii="Arial" w:cs="Arial" w:eastAsia="Arial" w:hAnsi="Arial"/>
                <w:sz w:val="20"/>
                <w:szCs w:val="20"/>
                <w:color w:val="auto"/>
              </w:rPr>
              <w:t>Date</w:t>
            </w:r>
          </w:p>
        </w:tc>
        <w:tc>
          <w:tcPr>
            <w:tcW w:w="4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20"/>
                <w:szCs w:val="20"/>
                <w:color w:val="auto"/>
              </w:rPr>
              <w:t>Date</w:t>
            </w:r>
          </w:p>
        </w:tc>
      </w:tr>
      <w:tr>
        <w:trPr>
          <w:trHeight w:val="435"/>
        </w:trPr>
        <w:tc>
          <w:tcPr>
            <w:tcW w:w="17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t>Exhibit 10.5</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6" w:lineRule="exact"/>
        <w:rPr>
          <w:sz w:val="20"/>
          <w:szCs w:val="20"/>
          <w:color w:val="auto"/>
        </w:rPr>
      </w:pPr>
    </w:p>
    <w:p>
      <w:pPr>
        <w:jc w:val="center"/>
        <w:ind w:right="180"/>
        <w:spacing w:after="0"/>
        <w:rPr>
          <w:sz w:val="20"/>
          <w:szCs w:val="20"/>
          <w:color w:val="auto"/>
        </w:rPr>
      </w:pPr>
      <w:r>
        <w:rPr>
          <w:rFonts w:ascii="Arial" w:cs="Arial" w:eastAsia="Arial" w:hAnsi="Arial"/>
          <w:sz w:val="20"/>
          <w:szCs w:val="20"/>
          <w:u w:val="single" w:color="auto"/>
          <w:color w:val="auto"/>
        </w:rPr>
        <w:t>AMENDMENT NO. 1</w:t>
      </w:r>
    </w:p>
    <w:p>
      <w:pPr>
        <w:spacing w:after="0" w:line="297" w:lineRule="exact"/>
        <w:rPr>
          <w:sz w:val="20"/>
          <w:szCs w:val="20"/>
          <w:color w:val="auto"/>
        </w:rPr>
      </w:pPr>
    </w:p>
    <w:p>
      <w:pPr>
        <w:jc w:val="both"/>
        <w:ind w:left="100" w:right="260" w:firstLine="749"/>
        <w:spacing w:after="0" w:line="278" w:lineRule="auto"/>
        <w:rPr>
          <w:sz w:val="20"/>
          <w:szCs w:val="20"/>
          <w:color w:val="auto"/>
        </w:rPr>
      </w:pPr>
      <w:r>
        <w:rPr>
          <w:rFonts w:ascii="Arial" w:cs="Arial" w:eastAsia="Arial" w:hAnsi="Arial"/>
          <w:sz w:val="18"/>
          <w:szCs w:val="18"/>
          <w:color w:val="auto"/>
        </w:rPr>
        <w:t>THIS AMENDMENT NO. 1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October 31, 2022, is entered into among Definitive Healthcare Holdings,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AIDH Buyer, LLC, a Delaware limited liability company (“</w:t>
      </w:r>
      <w:r>
        <w:rPr>
          <w:rFonts w:ascii="Arial" w:cs="Arial" w:eastAsia="Arial" w:hAnsi="Arial"/>
          <w:sz w:val="18"/>
          <w:szCs w:val="18"/>
          <w:u w:val="single" w:color="auto"/>
          <w:color w:val="auto"/>
        </w:rPr>
        <w:t>Holdings</w:t>
      </w:r>
      <w:r>
        <w:rPr>
          <w:rFonts w:ascii="Arial" w:cs="Arial" w:eastAsia="Arial" w:hAnsi="Arial"/>
          <w:sz w:val="18"/>
          <w:szCs w:val="18"/>
          <w:color w:val="auto"/>
        </w:rPr>
        <w:t>”), the other Loan Guarantors party hereto, the Lenders party thereto and BANK OF AMERICA, N.A., as administrative agent and collateral agent (in such capacities, collectively,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Capitalized terms used herein but not otherwise defined herein shall have the meanings provided to such terms in the Credit Agreement (as defined below).</w:t>
      </w:r>
    </w:p>
    <w:p>
      <w:pPr>
        <w:spacing w:after="0" w:line="151" w:lineRule="exact"/>
        <w:rPr>
          <w:sz w:val="20"/>
          <w:szCs w:val="20"/>
          <w:color w:val="auto"/>
        </w:rPr>
      </w:pPr>
    </w:p>
    <w:p>
      <w:pPr>
        <w:jc w:val="center"/>
        <w:ind w:right="180"/>
        <w:spacing w:after="0"/>
        <w:rPr>
          <w:sz w:val="20"/>
          <w:szCs w:val="20"/>
          <w:color w:val="auto"/>
        </w:rPr>
      </w:pPr>
      <w:r>
        <w:rPr>
          <w:rFonts w:ascii="Arial" w:cs="Arial" w:eastAsia="Arial" w:hAnsi="Arial"/>
          <w:sz w:val="20"/>
          <w:szCs w:val="20"/>
          <w:u w:val="single" w:color="auto"/>
          <w:color w:val="auto"/>
        </w:rPr>
        <w:t>RECITALS</w:t>
      </w:r>
    </w:p>
    <w:p>
      <w:pPr>
        <w:spacing w:after="0" w:line="297" w:lineRule="exact"/>
        <w:rPr>
          <w:sz w:val="20"/>
          <w:szCs w:val="20"/>
          <w:color w:val="auto"/>
        </w:rPr>
      </w:pPr>
    </w:p>
    <w:p>
      <w:pPr>
        <w:jc w:val="both"/>
        <w:ind w:left="100" w:right="280" w:firstLine="749"/>
        <w:spacing w:after="0" w:line="246" w:lineRule="auto"/>
        <w:rPr>
          <w:sz w:val="20"/>
          <w:szCs w:val="20"/>
          <w:color w:val="auto"/>
        </w:rPr>
      </w:pPr>
      <w:r>
        <w:rPr>
          <w:rFonts w:ascii="Arial" w:cs="Arial" w:eastAsia="Arial" w:hAnsi="Arial"/>
          <w:sz w:val="20"/>
          <w:szCs w:val="20"/>
          <w:color w:val="auto"/>
        </w:rPr>
        <w:t>WHEREAS, the Borrower, Holdings, the Lenders and Issuing Banks from time to time party thereto, and Bank of America, N.A., as Administrative Agent, have entered into that certain Credit Agreement dated as of September 17, 2021 (as amended, modified, extended, restated, replaced, or supplemented from time to time prior to the date hereof, the “</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and as amended by this Agreement,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w:t>
      </w:r>
    </w:p>
    <w:p>
      <w:pPr>
        <w:spacing w:after="0" w:line="259" w:lineRule="exact"/>
        <w:rPr>
          <w:sz w:val="20"/>
          <w:szCs w:val="20"/>
          <w:color w:val="auto"/>
        </w:rPr>
      </w:pPr>
    </w:p>
    <w:p>
      <w:pPr>
        <w:jc w:val="both"/>
        <w:ind w:left="100" w:right="280" w:firstLine="749"/>
        <w:spacing w:after="0" w:line="250" w:lineRule="auto"/>
        <w:rPr>
          <w:sz w:val="20"/>
          <w:szCs w:val="20"/>
          <w:color w:val="auto"/>
        </w:rPr>
      </w:pPr>
      <w:r>
        <w:rPr>
          <w:rFonts w:ascii="Arial" w:cs="Arial" w:eastAsia="Arial" w:hAnsi="Arial"/>
          <w:sz w:val="20"/>
          <w:szCs w:val="20"/>
          <w:color w:val="auto"/>
        </w:rPr>
        <w:t>WHEREAS, certain loans and/or other extensions of credit (the “</w:t>
      </w:r>
      <w:r>
        <w:rPr>
          <w:rFonts w:ascii="Arial" w:cs="Arial" w:eastAsia="Arial" w:hAnsi="Arial"/>
          <w:sz w:val="20"/>
          <w:szCs w:val="20"/>
          <w:u w:val="single" w:color="auto"/>
          <w:color w:val="auto"/>
        </w:rPr>
        <w:t>Loans</w:t>
      </w:r>
      <w:r>
        <w:rPr>
          <w:rFonts w:ascii="Arial" w:cs="Arial" w:eastAsia="Arial" w:hAnsi="Arial"/>
          <w:sz w:val="20"/>
          <w:szCs w:val="20"/>
          <w:color w:val="auto"/>
        </w:rPr>
        <w:t>”) under the Credit Agreement denominated in Dollars incur or are permitted to incur interest, fees, commissions or other amounts based on the LIBO Rate in accordance with the terms of the Credit Agreement;</w:t>
      </w:r>
    </w:p>
    <w:p>
      <w:pPr>
        <w:spacing w:after="0" w:line="186" w:lineRule="exact"/>
        <w:rPr>
          <w:sz w:val="20"/>
          <w:szCs w:val="20"/>
          <w:color w:val="auto"/>
        </w:rPr>
      </w:pPr>
    </w:p>
    <w:p>
      <w:pPr>
        <w:jc w:val="both"/>
        <w:ind w:left="100" w:right="260" w:firstLine="749"/>
        <w:spacing w:after="0" w:line="241" w:lineRule="auto"/>
        <w:rPr>
          <w:sz w:val="20"/>
          <w:szCs w:val="20"/>
          <w:color w:val="auto"/>
        </w:rPr>
      </w:pPr>
      <w:r>
        <w:rPr>
          <w:rFonts w:ascii="Arial" w:cs="Arial" w:eastAsia="Arial" w:hAnsi="Arial"/>
          <w:sz w:val="20"/>
          <w:szCs w:val="20"/>
          <w:color w:val="auto"/>
        </w:rPr>
        <w:t>WHEREAS, pursuant to Section 9.02 of the Credit Agreement, the Borrower as requested, and the Administrative Agent and Lenders party hereto, which constitute all of the Lenders under the Existing Credit Agreement (the “</w:t>
      </w:r>
      <w:r>
        <w:rPr>
          <w:rFonts w:ascii="Arial" w:cs="Arial" w:eastAsia="Arial" w:hAnsi="Arial"/>
          <w:sz w:val="20"/>
          <w:szCs w:val="20"/>
          <w:u w:val="single" w:color="auto"/>
          <w:color w:val="auto"/>
        </w:rPr>
        <w:t>Consenting Lenders</w:t>
      </w:r>
      <w:r>
        <w:rPr>
          <w:rFonts w:ascii="Arial" w:cs="Arial" w:eastAsia="Arial" w:hAnsi="Arial"/>
          <w:sz w:val="20"/>
          <w:szCs w:val="20"/>
          <w:color w:val="auto"/>
        </w:rPr>
        <w:t>”), have agreed to replace the LIBO Rate for Dollars with a successor rate and make certain other amendments to the Existing Credit Agreement as set forth herein, in each case, subject to the terms and conditions set forth herein.</w:t>
      </w:r>
    </w:p>
    <w:p>
      <w:pPr>
        <w:spacing w:after="0" w:line="197" w:lineRule="exact"/>
        <w:rPr>
          <w:sz w:val="20"/>
          <w:szCs w:val="20"/>
          <w:color w:val="auto"/>
        </w:rPr>
      </w:pPr>
    </w:p>
    <w:p>
      <w:pPr>
        <w:jc w:val="both"/>
        <w:ind w:left="100" w:right="260" w:firstLine="749"/>
        <w:spacing w:after="0" w:line="287" w:lineRule="auto"/>
        <w:rPr>
          <w:sz w:val="20"/>
          <w:szCs w:val="20"/>
          <w:color w:val="auto"/>
        </w:rPr>
      </w:pPr>
      <w:r>
        <w:rPr>
          <w:rFonts w:ascii="Arial" w:cs="Arial" w:eastAsia="Arial" w:hAnsi="Arial"/>
          <w:sz w:val="19"/>
          <w:szCs w:val="19"/>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52" w:lineRule="exact"/>
        <w:rPr>
          <w:sz w:val="20"/>
          <w:szCs w:val="20"/>
          <w:color w:val="auto"/>
        </w:rPr>
      </w:pPr>
    </w:p>
    <w:p>
      <w:pPr>
        <w:ind w:left="840"/>
        <w:spacing w:after="0"/>
        <w:tabs>
          <w:tab w:leader="none" w:pos="2000" w:val="left"/>
        </w:tabs>
        <w:rPr>
          <w:sz w:val="20"/>
          <w:szCs w:val="20"/>
          <w:color w:val="auto"/>
        </w:rPr>
      </w:pPr>
      <w:r>
        <w:rPr>
          <w:rFonts w:ascii="Arial" w:cs="Arial" w:eastAsia="Arial" w:hAnsi="Arial"/>
          <w:sz w:val="20"/>
          <w:szCs w:val="20"/>
          <w:color w:val="auto"/>
        </w:rPr>
        <w:t>SECTION I.</w:t>
      </w:r>
      <w:r>
        <w:rPr>
          <w:sz w:val="20"/>
          <w:szCs w:val="20"/>
          <w:color w:val="auto"/>
        </w:rPr>
        <w:tab/>
      </w:r>
      <w:r>
        <w:rPr>
          <w:rFonts w:ascii="Arial" w:cs="Arial" w:eastAsia="Arial" w:hAnsi="Arial"/>
          <w:sz w:val="19"/>
          <w:szCs w:val="19"/>
          <w:color w:val="auto"/>
        </w:rPr>
        <w:t>AMENDMENT TO CREDIT AGREEMENT; EXHIBITS</w:t>
      </w:r>
    </w:p>
    <w:p>
      <w:pPr>
        <w:spacing w:after="0" w:line="202" w:lineRule="exact"/>
        <w:rPr>
          <w:sz w:val="20"/>
          <w:szCs w:val="20"/>
          <w:color w:val="auto"/>
        </w:rPr>
      </w:pPr>
    </w:p>
    <w:p>
      <w:pPr>
        <w:jc w:val="both"/>
        <w:ind w:left="100" w:right="280" w:firstLine="741"/>
        <w:spacing w:after="0" w:line="241" w:lineRule="auto"/>
        <w:tabs>
          <w:tab w:leader="none" w:pos="1693"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Credit Agreement</w:t>
      </w:r>
      <w:r>
        <w:rPr>
          <w:rFonts w:ascii="Arial" w:cs="Arial" w:eastAsia="Arial" w:hAnsi="Arial"/>
          <w:sz w:val="20"/>
          <w:szCs w:val="20"/>
          <w:color w:val="auto"/>
        </w:rPr>
        <w:t xml:space="preserve">. Effective as of the Amendment Effective Date, the Existing Credit Agreement is hereby amended to (x) delete the stricken text (indicated textually in the same manner as the following example: </w:t>
      </w:r>
      <w:r>
        <w:rPr>
          <w:rFonts w:ascii="Arial" w:cs="Arial" w:eastAsia="Arial" w:hAnsi="Arial"/>
          <w:sz w:val="20"/>
          <w:szCs w:val="20"/>
          <w:color w:val="C00000"/>
          <w:strike w:val="1"/>
        </w:rPr>
        <w:t>stricken text</w:t>
      </w:r>
      <w:r>
        <w:rPr>
          <w:rFonts w:ascii="Arial" w:cs="Arial" w:eastAsia="Arial" w:hAnsi="Arial"/>
          <w:sz w:val="20"/>
          <w:szCs w:val="20"/>
          <w:color w:val="auto"/>
        </w:rPr>
        <w:t xml:space="preserve">) and (y) add the double-underlined text (indicated textually in the same manner as the following example: </w:t>
      </w:r>
      <w:r>
        <w:rPr>
          <w:rFonts w:ascii="Arial" w:cs="Arial" w:eastAsia="Arial" w:hAnsi="Arial"/>
          <w:sz w:val="20"/>
          <w:szCs w:val="20"/>
          <w:u w:val="single" w:color="auto"/>
          <w:color w:val="0070C0"/>
        </w:rPr>
        <w:t>double-underlined text</w:t>
      </w:r>
      <w:r>
        <w:rPr>
          <w:rFonts w:ascii="Arial" w:cs="Arial" w:eastAsia="Arial" w:hAnsi="Arial"/>
          <w:sz w:val="20"/>
          <w:szCs w:val="20"/>
          <w:color w:val="auto"/>
        </w:rPr>
        <w:t xml:space="preserve">), in each case as set forth in </w:t>
      </w:r>
      <w:r>
        <w:rPr>
          <w:rFonts w:ascii="Arial" w:cs="Arial" w:eastAsia="Arial" w:hAnsi="Arial"/>
          <w:sz w:val="20"/>
          <w:szCs w:val="20"/>
          <w:u w:val="single" w:color="auto"/>
          <w:color w:val="auto"/>
        </w:rPr>
        <w:t>Annex A</w:t>
      </w:r>
      <w:r>
        <w:rPr>
          <w:rFonts w:ascii="Arial" w:cs="Arial" w:eastAsia="Arial" w:hAnsi="Arial"/>
          <w:sz w:val="20"/>
          <w:szCs w:val="20"/>
          <w:color w:val="auto"/>
        </w:rPr>
        <w:t xml:space="preserve"> hereto.</w:t>
      </w:r>
    </w:p>
    <w:p>
      <w:pPr>
        <w:spacing w:after="0" w:line="264" w:lineRule="exact"/>
        <w:rPr>
          <w:rFonts w:ascii="Arial" w:cs="Arial" w:eastAsia="Arial" w:hAnsi="Arial"/>
          <w:sz w:val="20"/>
          <w:szCs w:val="20"/>
          <w:color w:val="auto"/>
        </w:rPr>
      </w:pPr>
    </w:p>
    <w:p>
      <w:pPr>
        <w:ind w:left="100" w:right="300" w:firstLine="741"/>
        <w:spacing w:after="0" w:line="260" w:lineRule="auto"/>
        <w:tabs>
          <w:tab w:leader="none" w:pos="1693"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Exhibits</w:t>
      </w:r>
      <w:r>
        <w:rPr>
          <w:rFonts w:ascii="Arial" w:cs="Arial" w:eastAsia="Arial" w:hAnsi="Arial"/>
          <w:sz w:val="20"/>
          <w:szCs w:val="20"/>
          <w:color w:val="auto"/>
        </w:rPr>
        <w:t xml:space="preserve">. Effective as of the Amendment Effective Date, each of Exhibits B, H, L and Q to the Existing Credit Agreement is hereby amended and restated in the form set forth in </w:t>
      </w:r>
      <w:r>
        <w:rPr>
          <w:rFonts w:ascii="Arial" w:cs="Arial" w:eastAsia="Arial" w:hAnsi="Arial"/>
          <w:sz w:val="20"/>
          <w:szCs w:val="20"/>
          <w:u w:val="single" w:color="auto"/>
          <w:color w:val="auto"/>
        </w:rPr>
        <w:t>Annex B</w:t>
      </w:r>
      <w:r>
        <w:rPr>
          <w:rFonts w:ascii="Arial" w:cs="Arial" w:eastAsia="Arial" w:hAnsi="Arial"/>
          <w:sz w:val="20"/>
          <w:szCs w:val="20"/>
          <w:color w:val="auto"/>
        </w:rPr>
        <w:t xml:space="preserve"> hereto.</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SECTION II. CONDITIONS PRECEDENT</w:t>
      </w:r>
    </w:p>
    <w:p>
      <w:pPr>
        <w:spacing w:after="0" w:line="216" w:lineRule="exact"/>
        <w:rPr>
          <w:sz w:val="20"/>
          <w:szCs w:val="20"/>
          <w:color w:val="auto"/>
        </w:rPr>
      </w:pPr>
    </w:p>
    <w:p>
      <w:pPr>
        <w:ind w:left="100" w:right="280" w:firstLine="749"/>
        <w:spacing w:after="0" w:line="287" w:lineRule="auto"/>
        <w:rPr>
          <w:sz w:val="20"/>
          <w:szCs w:val="20"/>
          <w:color w:val="auto"/>
        </w:rPr>
      </w:pPr>
      <w:r>
        <w:rPr>
          <w:rFonts w:ascii="Arial" w:cs="Arial" w:eastAsia="Arial" w:hAnsi="Arial"/>
          <w:sz w:val="19"/>
          <w:szCs w:val="19"/>
          <w:color w:val="auto"/>
        </w:rPr>
        <w:t>This Amendment shall become effective as of the first date on which each of the following conditions in this Section II have been satisfied (the date of satisfaction of such conditions being referred to herein as the “</w:t>
      </w:r>
      <w:r>
        <w:rPr>
          <w:rFonts w:ascii="Arial" w:cs="Arial" w:eastAsia="Arial" w:hAnsi="Arial"/>
          <w:sz w:val="19"/>
          <w:szCs w:val="19"/>
          <w:u w:val="single" w:color="auto"/>
          <w:color w:val="auto"/>
        </w:rPr>
        <w:t>Amendment Effective Date</w:t>
      </w:r>
      <w:r>
        <w:rPr>
          <w:rFonts w:ascii="Arial" w:cs="Arial" w:eastAsia="Arial" w:hAnsi="Arial"/>
          <w:sz w:val="19"/>
          <w:szCs w:val="19"/>
          <w:color w:val="auto"/>
        </w:rPr>
        <w:t>”):</w:t>
      </w:r>
    </w:p>
    <w:p>
      <w:pPr>
        <w:spacing w:after="0" w:line="206" w:lineRule="exact"/>
        <w:rPr>
          <w:sz w:val="20"/>
          <w:szCs w:val="20"/>
          <w:color w:val="auto"/>
        </w:rPr>
      </w:pPr>
    </w:p>
    <w:p>
      <w:pPr>
        <w:ind w:left="1580" w:hanging="739"/>
        <w:spacing w:after="0"/>
        <w:tabs>
          <w:tab w:leader="none" w:pos="1580"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Execution</w:t>
      </w:r>
      <w:r>
        <w:rPr>
          <w:rFonts w:ascii="Arial" w:cs="Arial" w:eastAsia="Arial" w:hAnsi="Arial"/>
          <w:sz w:val="20"/>
          <w:szCs w:val="20"/>
          <w:color w:val="auto"/>
        </w:rPr>
        <w:t>. The Administrative Agent shall have received (i) a counterpart signature page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28" w:right="339" w:bottom="1440" w:gutter="0" w:footer="0" w:header="0"/>
        </w:sectPr>
      </w:pPr>
    </w:p>
    <w:bookmarkStart w:id="49" w:name="page50"/>
    <w:bookmarkEnd w:id="49"/>
    <w:p>
      <w:pPr>
        <w:jc w:val="both"/>
        <w:ind w:left="100"/>
        <w:spacing w:after="0" w:line="246" w:lineRule="auto"/>
        <w:rPr>
          <w:sz w:val="20"/>
          <w:szCs w:val="20"/>
          <w:color w:val="auto"/>
        </w:rPr>
      </w:pPr>
      <w:r>
        <w:rPr>
          <w:rFonts w:ascii="Arial" w:cs="Arial" w:eastAsia="Arial" w:hAnsi="Arial"/>
          <w:sz w:val="20"/>
          <w:szCs w:val="20"/>
          <w:color w:val="auto"/>
        </w:rPr>
        <w:t>of this Amendment duly executed by each of the Loan Parties, (ii) a counterpart signature page of this Amendment duly executed by each of the Consenting Lenders and (iii) a counterpart signature page of this Amendment duly executed by the Administrative Agent. Each Consenting Lender that submits an executed counterpart hereto acknowledges and agrees that the submission of an executed counterpart hereto is irrevocable.</w:t>
      </w:r>
    </w:p>
    <w:p>
      <w:pPr>
        <w:spacing w:after="0" w:line="191" w:lineRule="exact"/>
        <w:rPr>
          <w:sz w:val="20"/>
          <w:szCs w:val="20"/>
          <w:color w:val="auto"/>
        </w:rPr>
      </w:pPr>
    </w:p>
    <w:p>
      <w:pPr>
        <w:jc w:val="both"/>
        <w:ind w:left="100" w:firstLine="741"/>
        <w:spacing w:after="0" w:line="316" w:lineRule="auto"/>
        <w:tabs>
          <w:tab w:leader="none" w:pos="158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The representations and warranties of the Loan Parties set forth in this Amendment and the other Loan Documents shall be true and correct in all material respects on and as of the Amendment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that (i) to the extent that any representation and warranty specifically refers to a given date or period, it shall be true and correct in all material respects as of such date or for such period and (ii) to the extent that any representation and warranty is qualified by or subject to a “material adverse effect”, “material adverse change” or similar term or qualification, the same shall be true and correct in all respects.</w:t>
      </w:r>
    </w:p>
    <w:p>
      <w:pPr>
        <w:spacing w:after="0" w:line="138" w:lineRule="exact"/>
        <w:rPr>
          <w:rFonts w:ascii="Arial" w:cs="Arial" w:eastAsia="Arial" w:hAnsi="Arial"/>
          <w:sz w:val="16"/>
          <w:szCs w:val="16"/>
          <w:color w:val="auto"/>
        </w:rPr>
      </w:pPr>
    </w:p>
    <w:p>
      <w:pPr>
        <w:ind w:left="100" w:right="20" w:firstLine="741"/>
        <w:spacing w:after="0" w:line="260" w:lineRule="auto"/>
        <w:tabs>
          <w:tab w:leader="none" w:pos="1579"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No Default or Event of Default</w:t>
      </w:r>
      <w:r>
        <w:rPr>
          <w:rFonts w:ascii="Arial" w:cs="Arial" w:eastAsia="Arial" w:hAnsi="Arial"/>
          <w:sz w:val="20"/>
          <w:szCs w:val="20"/>
          <w:color w:val="auto"/>
        </w:rPr>
        <w:t>. At the time of and immediately after giving effect to this Amendment, no Default or Event of Default has occurred and is continuing.</w:t>
      </w:r>
    </w:p>
    <w:p>
      <w:pPr>
        <w:spacing w:after="0" w:line="176" w:lineRule="exact"/>
        <w:rPr>
          <w:rFonts w:ascii="Arial" w:cs="Arial" w:eastAsia="Arial" w:hAnsi="Arial"/>
          <w:sz w:val="20"/>
          <w:szCs w:val="20"/>
          <w:color w:val="auto"/>
        </w:rPr>
      </w:pPr>
    </w:p>
    <w:p>
      <w:pPr>
        <w:ind w:left="100" w:right="20" w:firstLine="741"/>
        <w:spacing w:after="0" w:line="246" w:lineRule="auto"/>
        <w:tabs>
          <w:tab w:leader="none" w:pos="1579"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Officer’s Certificate</w:t>
      </w:r>
      <w:r>
        <w:rPr>
          <w:rFonts w:ascii="Arial" w:cs="Arial" w:eastAsia="Arial" w:hAnsi="Arial"/>
          <w:sz w:val="20"/>
          <w:szCs w:val="20"/>
          <w:color w:val="auto"/>
        </w:rPr>
        <w:t xml:space="preserve">. The Administrative Agent shall have received a certificate from a Responsible Officer of the Borrower certifying the satisfaction of the conditions precedent set forth in </w:t>
      </w:r>
      <w:r>
        <w:rPr>
          <w:rFonts w:ascii="Arial" w:cs="Arial" w:eastAsia="Arial" w:hAnsi="Arial"/>
          <w:sz w:val="20"/>
          <w:szCs w:val="20"/>
          <w:u w:val="single" w:color="auto"/>
          <w:color w:val="auto"/>
        </w:rPr>
        <w:t>Paragraphs 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C</w:t>
      </w:r>
      <w:r>
        <w:rPr>
          <w:rFonts w:ascii="Arial" w:cs="Arial" w:eastAsia="Arial" w:hAnsi="Arial"/>
          <w:sz w:val="20"/>
          <w:szCs w:val="20"/>
          <w:color w:val="auto"/>
        </w:rPr>
        <w:t xml:space="preserve"> above.</w:t>
      </w:r>
    </w:p>
    <w:p>
      <w:pPr>
        <w:spacing w:after="0" w:line="271" w:lineRule="exact"/>
        <w:rPr>
          <w:sz w:val="20"/>
          <w:szCs w:val="20"/>
          <w:color w:val="auto"/>
        </w:rPr>
      </w:pPr>
    </w:p>
    <w:p>
      <w:pPr>
        <w:ind w:left="840"/>
        <w:spacing w:after="0"/>
        <w:tabs>
          <w:tab w:leader="none" w:pos="1560" w:val="left"/>
          <w:tab w:leader="none" w:pos="7540" w:val="left"/>
        </w:tabs>
        <w:rPr>
          <w:sz w:val="20"/>
          <w:szCs w:val="20"/>
          <w:color w:val="auto"/>
        </w:rPr>
      </w:pPr>
      <w:r>
        <w:rPr>
          <w:rFonts w:ascii="Arial" w:cs="Arial" w:eastAsia="Arial" w:hAnsi="Arial"/>
          <w:sz w:val="20"/>
          <w:szCs w:val="20"/>
          <w:color w:val="auto"/>
        </w:rPr>
        <w:t>E.</w:t>
      </w:r>
      <w:r>
        <w:rPr>
          <w:sz w:val="20"/>
          <w:szCs w:val="20"/>
          <w:color w:val="auto"/>
        </w:rPr>
        <w:tab/>
      </w:r>
      <w:r>
        <w:rPr>
          <w:rFonts w:ascii="Arial" w:cs="Arial" w:eastAsia="Arial" w:hAnsi="Arial"/>
          <w:sz w:val="20"/>
          <w:szCs w:val="20"/>
          <w:u w:val="single" w:color="auto"/>
          <w:color w:val="auto"/>
        </w:rPr>
        <w:t>Secretary’s Certificate and Good Standing Certificates of Loan Parties</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The Administrative Agent (or its counsel)</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shall have received:</w:t>
      </w:r>
    </w:p>
    <w:p>
      <w:pPr>
        <w:spacing w:after="0" w:line="200" w:lineRule="exact"/>
        <w:rPr>
          <w:sz w:val="20"/>
          <w:szCs w:val="20"/>
          <w:color w:val="auto"/>
        </w:rPr>
      </w:pPr>
    </w:p>
    <w:p>
      <w:pPr>
        <w:ind w:left="2320" w:hanging="731"/>
        <w:spacing w:after="0"/>
        <w:tabs>
          <w:tab w:leader="none" w:pos="2320" w:val="left"/>
        </w:tabs>
        <w:numPr>
          <w:ilvl w:val="1"/>
          <w:numId w:val="20"/>
        </w:numPr>
        <w:rPr>
          <w:rFonts w:ascii="Arial" w:cs="Arial" w:eastAsia="Arial" w:hAnsi="Arial"/>
          <w:sz w:val="19"/>
          <w:szCs w:val="19"/>
          <w:color w:val="auto"/>
        </w:rPr>
      </w:pPr>
      <w:r>
        <w:rPr>
          <w:rFonts w:ascii="Arial" w:cs="Arial" w:eastAsia="Arial" w:hAnsi="Arial"/>
          <w:sz w:val="19"/>
          <w:szCs w:val="19"/>
          <w:color w:val="auto"/>
        </w:rPr>
        <w:t>a certificate of each Loan Party, dated the Amendment Effective Date and executed by a Responsible</w:t>
      </w:r>
    </w:p>
    <w:p>
      <w:pPr>
        <w:spacing w:after="0" w:line="27"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0"/>
          <w:szCs w:val="20"/>
          <w:color w:val="auto"/>
        </w:rPr>
        <w:t>Officer, which shall:</w:t>
      </w:r>
    </w:p>
    <w:p>
      <w:pPr>
        <w:spacing w:after="0" w:line="199" w:lineRule="exact"/>
        <w:rPr>
          <w:rFonts w:ascii="Arial" w:cs="Arial" w:eastAsia="Arial" w:hAnsi="Arial"/>
          <w:sz w:val="19"/>
          <w:szCs w:val="19"/>
          <w:color w:val="auto"/>
        </w:rPr>
      </w:pPr>
    </w:p>
    <w:p>
      <w:pPr>
        <w:jc w:val="both"/>
        <w:ind w:left="100" w:right="20" w:firstLine="2238"/>
        <w:spacing w:after="0" w:line="241" w:lineRule="auto"/>
        <w:tabs>
          <w:tab w:leader="none" w:pos="3077" w:val="left"/>
        </w:tabs>
        <w:numPr>
          <w:ilvl w:val="2"/>
          <w:numId w:val="20"/>
        </w:numPr>
        <w:rPr>
          <w:rFonts w:ascii="Arial" w:cs="Arial" w:eastAsia="Arial" w:hAnsi="Arial"/>
          <w:sz w:val="20"/>
          <w:szCs w:val="20"/>
          <w:color w:val="auto"/>
        </w:rPr>
      </w:pPr>
      <w:r>
        <w:rPr>
          <w:rFonts w:ascii="Arial" w:cs="Arial" w:eastAsia="Arial" w:hAnsi="Arial"/>
          <w:sz w:val="20"/>
          <w:szCs w:val="20"/>
          <w:color w:val="auto"/>
        </w:rPr>
        <w:t>certify that attached thereto is a true and complete copy of the resolutions, written consents or extracts of minutes of a meeting, as applicable, of its board of directors, board of managers, supervisory board, shareholders, members or other governing body (as the case may be and in each case, to the extent required) authorizing the execution, delivery and performance of this Amendment and that such resolutions or written consents have not been modified, rescinded or amended and are in full force and effect,</w:t>
      </w:r>
    </w:p>
    <w:p>
      <w:pPr>
        <w:spacing w:after="0" w:line="195" w:lineRule="exact"/>
        <w:rPr>
          <w:rFonts w:ascii="Arial" w:cs="Arial" w:eastAsia="Arial" w:hAnsi="Arial"/>
          <w:sz w:val="20"/>
          <w:szCs w:val="20"/>
          <w:color w:val="auto"/>
        </w:rPr>
      </w:pPr>
    </w:p>
    <w:p>
      <w:pPr>
        <w:ind w:left="100" w:firstLine="2238"/>
        <w:spacing w:after="0" w:line="287" w:lineRule="auto"/>
        <w:tabs>
          <w:tab w:leader="none" w:pos="3077" w:val="left"/>
        </w:tabs>
        <w:numPr>
          <w:ilvl w:val="2"/>
          <w:numId w:val="20"/>
        </w:numPr>
        <w:rPr>
          <w:rFonts w:ascii="Arial" w:cs="Arial" w:eastAsia="Arial" w:hAnsi="Arial"/>
          <w:sz w:val="19"/>
          <w:szCs w:val="19"/>
          <w:color w:val="auto"/>
        </w:rPr>
      </w:pPr>
      <w:r>
        <w:rPr>
          <w:rFonts w:ascii="Arial" w:cs="Arial" w:eastAsia="Arial" w:hAnsi="Arial"/>
          <w:sz w:val="19"/>
          <w:szCs w:val="19"/>
          <w:color w:val="auto"/>
        </w:rPr>
        <w:t>identify by name and title and bear the signatures of the Responsible Officer or authorized signatory of such Loan Party on the Amendment Effective Date that is authorized to sign this Amendment, as applicable, and</w:t>
      </w:r>
    </w:p>
    <w:p>
      <w:pPr>
        <w:spacing w:after="0" w:line="138" w:lineRule="exact"/>
        <w:rPr>
          <w:rFonts w:ascii="Arial" w:cs="Arial" w:eastAsia="Arial" w:hAnsi="Arial"/>
          <w:sz w:val="19"/>
          <w:szCs w:val="19"/>
          <w:color w:val="auto"/>
        </w:rPr>
      </w:pPr>
    </w:p>
    <w:p>
      <w:pPr>
        <w:jc w:val="both"/>
        <w:ind w:left="100" w:firstLine="2238"/>
        <w:spacing w:after="0" w:line="243" w:lineRule="auto"/>
        <w:tabs>
          <w:tab w:leader="none" w:pos="3077" w:val="left"/>
        </w:tabs>
        <w:numPr>
          <w:ilvl w:val="2"/>
          <w:numId w:val="20"/>
        </w:numPr>
        <w:rPr>
          <w:rFonts w:ascii="Arial" w:cs="Arial" w:eastAsia="Arial" w:hAnsi="Arial"/>
          <w:sz w:val="20"/>
          <w:szCs w:val="20"/>
          <w:color w:val="auto"/>
        </w:rPr>
      </w:pPr>
      <w:r>
        <w:rPr>
          <w:rFonts w:ascii="Arial" w:cs="Arial" w:eastAsia="Arial" w:hAnsi="Arial"/>
          <w:sz w:val="20"/>
          <w:szCs w:val="20"/>
          <w:color w:val="auto"/>
        </w:rPr>
        <w:t>certify (I) that attached thereto is a true and complete copy of the certificate or articles of incorporation or organization (or memorandum of association, articles of association or other equivalent thereof) of each Loan Party on the Amendment Effective Date (certified by the relevant authority of the jurisdiction of organization of such Loan Party) and a true and correct copy of its by-laws or operating, management, partnership or similar agreement (to the extent applicable) and (II) that such documents or agreements have not been amended (except as otherwise attached to such certificate and certified therein as being the only amendments thereto as of such date), and</w:t>
      </w:r>
    </w:p>
    <w:p>
      <w:pPr>
        <w:spacing w:after="0" w:line="182" w:lineRule="exact"/>
        <w:rPr>
          <w:rFonts w:ascii="Arial" w:cs="Arial" w:eastAsia="Arial" w:hAnsi="Arial"/>
          <w:sz w:val="20"/>
          <w:szCs w:val="20"/>
          <w:color w:val="auto"/>
        </w:rPr>
      </w:pPr>
    </w:p>
    <w:p>
      <w:pPr>
        <w:ind w:left="100" w:right="20" w:firstLine="1489"/>
        <w:spacing w:after="0" w:line="287" w:lineRule="auto"/>
        <w:tabs>
          <w:tab w:leader="none" w:pos="2328" w:val="left"/>
        </w:tabs>
        <w:numPr>
          <w:ilvl w:val="1"/>
          <w:numId w:val="20"/>
        </w:numPr>
        <w:rPr>
          <w:rFonts w:ascii="Arial" w:cs="Arial" w:eastAsia="Arial" w:hAnsi="Arial"/>
          <w:sz w:val="19"/>
          <w:szCs w:val="19"/>
          <w:color w:val="auto"/>
        </w:rPr>
      </w:pPr>
      <w:r>
        <w:rPr>
          <w:rFonts w:ascii="Arial" w:cs="Arial" w:eastAsia="Arial" w:hAnsi="Arial"/>
          <w:sz w:val="19"/>
          <w:szCs w:val="19"/>
          <w:color w:val="auto"/>
        </w:rPr>
        <w:t>a good standing certificate (or equivalent), dated as of a recent date for each such Loan Party from the relevant office of its jurisdiction of organization (to the extent available in the jurisdiction of organization of such Loan Party).</w:t>
      </w:r>
    </w:p>
    <w:p>
      <w:pPr>
        <w:spacing w:after="0" w:line="219" w:lineRule="exact"/>
        <w:rPr>
          <w:rFonts w:ascii="Arial" w:cs="Arial" w:eastAsia="Arial" w:hAnsi="Arial"/>
          <w:sz w:val="19"/>
          <w:szCs w:val="19"/>
          <w:color w:val="auto"/>
        </w:rPr>
      </w:pPr>
    </w:p>
    <w:p>
      <w:pPr>
        <w:jc w:val="both"/>
        <w:ind w:left="100" w:right="20" w:firstLine="741"/>
        <w:spacing w:after="0" w:line="241" w:lineRule="auto"/>
        <w:tabs>
          <w:tab w:leader="none" w:pos="1580"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Expenses</w:t>
      </w:r>
      <w:r>
        <w:rPr>
          <w:rFonts w:ascii="Arial" w:cs="Arial" w:eastAsia="Arial" w:hAnsi="Arial"/>
          <w:sz w:val="20"/>
          <w:szCs w:val="20"/>
          <w:color w:val="auto"/>
        </w:rPr>
        <w:t>. The Administrative Agent shall have received to the extent invoiced at least two (2) Business Days prior to the Amendment Effective Date (except as otherwise reasonably agreed by the Borrower), all reasonable and documented out-of-pocket expenses incurred on or prior to the Amendment Effective Date in connection with the preparation, execution and delivery of this Amendment and any other matters in connection herewith.</w:t>
      </w:r>
    </w:p>
    <w:p>
      <w:pPr>
        <w:spacing w:after="0" w:line="196" w:lineRule="exact"/>
        <w:rPr>
          <w:rFonts w:ascii="Arial" w:cs="Arial" w:eastAsia="Arial" w:hAnsi="Arial"/>
          <w:sz w:val="20"/>
          <w:szCs w:val="20"/>
          <w:color w:val="auto"/>
        </w:rPr>
      </w:pPr>
    </w:p>
    <w:p>
      <w:pPr>
        <w:ind w:left="1580" w:hanging="739"/>
        <w:spacing w:after="0"/>
        <w:tabs>
          <w:tab w:leader="none" w:pos="15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The Administrative Agent shall have received an Interest Election Request as required by</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Section 2.08 of the Credit Agreement.</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40" w:top="190" w:right="599" w:bottom="1440" w:gutter="0" w:footer="0" w:header="0"/>
        </w:sectPr>
      </w:pPr>
    </w:p>
    <w:bookmarkStart w:id="50" w:name="page51"/>
    <w:bookmarkEnd w:id="50"/>
    <w:p>
      <w:pPr>
        <w:jc w:val="both"/>
        <w:ind w:left="100" w:right="20" w:firstLine="749"/>
        <w:spacing w:after="0" w:line="282" w:lineRule="auto"/>
        <w:rPr>
          <w:sz w:val="20"/>
          <w:szCs w:val="20"/>
          <w:color w:val="auto"/>
        </w:rPr>
      </w:pPr>
      <w:r>
        <w:rPr>
          <w:rFonts w:ascii="Arial" w:cs="Arial" w:eastAsia="Arial" w:hAnsi="Arial"/>
          <w:sz w:val="18"/>
          <w:szCs w:val="18"/>
          <w:color w:val="auto"/>
        </w:rPr>
        <w:t>For purposes of determining whether the conditions specified in this SECTION II have been satisfied on the Amendment Effective Date, by executing and delivering its signature page(s), the Administrative Agent and each Lender, as applicable, shall be deemed to have consented to, approved or accepted, or to be satisfied with, each document or other matter required hereunder to be consented to or approved by or acceptable or satisfactory to the Administrative Agent or such Lender, as the case may be.</w:t>
      </w:r>
    </w:p>
    <w:p>
      <w:pPr>
        <w:spacing w:after="0" w:line="148"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SECTION III. REPRESENTATIONS AND WARRANTIES</w:t>
      </w:r>
    </w:p>
    <w:p>
      <w:pPr>
        <w:spacing w:after="0" w:line="29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Each of the Loan Parties hereby represents and warrants that, as of the Amendment Effective</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Date:</w:t>
      </w:r>
    </w:p>
    <w:p>
      <w:pPr>
        <w:spacing w:after="0" w:line="281" w:lineRule="exact"/>
        <w:rPr>
          <w:sz w:val="20"/>
          <w:szCs w:val="20"/>
          <w:color w:val="auto"/>
        </w:rPr>
      </w:pPr>
    </w:p>
    <w:p>
      <w:pPr>
        <w:jc w:val="both"/>
        <w:ind w:left="100" w:right="20" w:firstLine="741"/>
        <w:spacing w:after="0" w:line="241" w:lineRule="auto"/>
        <w:tabs>
          <w:tab w:leader="none" w:pos="1580" w:val="left"/>
        </w:tabs>
        <w:numPr>
          <w:ilvl w:val="1"/>
          <w:numId w:val="22"/>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of each Loan Party in the Credit Agreement and the other Loan Documents are true and correct in all material respects; </w:t>
      </w:r>
      <w:r>
        <w:rPr>
          <w:rFonts w:ascii="Arial" w:cs="Arial" w:eastAsia="Arial" w:hAnsi="Arial"/>
          <w:sz w:val="20"/>
          <w:szCs w:val="20"/>
          <w:u w:val="single" w:color="auto"/>
          <w:color w:val="auto"/>
        </w:rPr>
        <w:t>provided</w:t>
      </w:r>
      <w:r>
        <w:rPr>
          <w:rFonts w:ascii="Arial" w:cs="Arial" w:eastAsia="Arial" w:hAnsi="Arial"/>
          <w:sz w:val="20"/>
          <w:szCs w:val="20"/>
          <w:color w:val="auto"/>
        </w:rPr>
        <w:t>, that (i) to the extent that any representation and warranty specifically refers to a given date or period, it shall be true and correct in all material respects as of such date or for such period and (ii) to the extent that any representation and warranty is qualified by or subject to a “material adverse effect”, “material adverse change” or similar term or qualification, the same shall be true and correct in all respects;</w:t>
      </w:r>
    </w:p>
    <w:p>
      <w:pPr>
        <w:spacing w:after="0" w:line="195" w:lineRule="exact"/>
        <w:rPr>
          <w:rFonts w:ascii="Arial" w:cs="Arial" w:eastAsia="Arial" w:hAnsi="Arial"/>
          <w:sz w:val="20"/>
          <w:szCs w:val="20"/>
          <w:color w:val="auto"/>
        </w:rPr>
      </w:pPr>
    </w:p>
    <w:p>
      <w:pPr>
        <w:ind w:left="1580" w:hanging="739"/>
        <w:spacing w:after="0"/>
        <w:tabs>
          <w:tab w:leader="none" w:pos="15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this Amendment, no Default or Event of Default has occurred and</w:t>
      </w:r>
    </w:p>
    <w:p>
      <w:pPr>
        <w:spacing w:after="0" w:line="38"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20"/>
          <w:szCs w:val="20"/>
          <w:color w:val="auto"/>
        </w:rPr>
        <w:t>is continuing;</w:t>
      </w:r>
    </w:p>
    <w:p>
      <w:pPr>
        <w:spacing w:after="0" w:line="199" w:lineRule="exact"/>
        <w:rPr>
          <w:rFonts w:ascii="Arial" w:cs="Arial" w:eastAsia="Arial" w:hAnsi="Arial"/>
          <w:sz w:val="18"/>
          <w:szCs w:val="18"/>
          <w:color w:val="auto"/>
        </w:rPr>
      </w:pPr>
    </w:p>
    <w:p>
      <w:pPr>
        <w:jc w:val="both"/>
        <w:ind w:left="100" w:firstLine="741"/>
        <w:spacing w:after="0"/>
        <w:tabs>
          <w:tab w:leader="none" w:pos="1580" w:val="left"/>
        </w:tabs>
        <w:numPr>
          <w:ilvl w:val="1"/>
          <w:numId w:val="22"/>
        </w:numPr>
        <w:rPr>
          <w:rFonts w:ascii="Arial" w:cs="Arial" w:eastAsia="Arial" w:hAnsi="Arial"/>
          <w:sz w:val="20"/>
          <w:szCs w:val="20"/>
          <w:color w:val="auto"/>
        </w:rPr>
      </w:pPr>
      <w:r>
        <w:rPr>
          <w:rFonts w:ascii="Arial" w:cs="Arial" w:eastAsia="Arial" w:hAnsi="Arial"/>
          <w:sz w:val="20"/>
          <w:szCs w:val="20"/>
          <w:color w:val="auto"/>
        </w:rPr>
        <w:t>Holdings, the Borrower and each of the other Loan Parties party hereto is (i) duly organized or incorporated (as applicable) and validly existing and (ii) in good standing (to the extent such concept exists in the relevant jurisdiction) under the Requirements of Law of its jurisdiction of organization. The execution, delivery and performance by each Loan Party of this Amendment (a) are within such Loan Party’s corporate or other organizational power and (b) have been duly authorized by all necessary corporate or other organizational action of such Loan Party. This Amendment has been duly executed and delivered by such Loan Party and is a legal, valid and binding obligation of such Loan Party, enforceable in accordance with its terms, subject to the Legal Reservations.</w:t>
      </w:r>
    </w:p>
    <w:p>
      <w:pPr>
        <w:spacing w:after="0" w:line="199" w:lineRule="exact"/>
        <w:rPr>
          <w:rFonts w:ascii="Arial" w:cs="Arial" w:eastAsia="Arial" w:hAnsi="Arial"/>
          <w:sz w:val="20"/>
          <w:szCs w:val="20"/>
          <w:color w:val="auto"/>
        </w:rPr>
      </w:pPr>
    </w:p>
    <w:p>
      <w:pPr>
        <w:ind w:left="1580" w:hanging="739"/>
        <w:spacing w:after="0"/>
        <w:tabs>
          <w:tab w:leader="none" w:pos="15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execution and delivery of this Amendment and the performance by such Loan Party of its obligations hereunder</w:t>
      </w:r>
    </w:p>
    <w:p>
      <w:pPr>
        <w:spacing w:after="0" w:line="38" w:lineRule="exact"/>
        <w:rPr>
          <w:rFonts w:ascii="Arial" w:cs="Arial" w:eastAsia="Arial" w:hAnsi="Arial"/>
          <w:sz w:val="18"/>
          <w:szCs w:val="18"/>
          <w:color w:val="auto"/>
        </w:rPr>
      </w:pPr>
    </w:p>
    <w:p>
      <w:pPr>
        <w:jc w:val="both"/>
        <w:ind w:left="100" w:hanging="8"/>
        <w:spacing w:after="0" w:line="268" w:lineRule="auto"/>
        <w:tabs>
          <w:tab w:leader="none" w:pos="377"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do not require any consent or approval of, registration or filing with, or any other action by, any Governmental Authority, except (i) such as have been obtained or made and are in full force and effect, (ii) in connection with the Perfection Requirements and (iii) such consents, approvals, registrations, filings, or other actions the failure to obtain or make which would not be reasonably expected to have a Material Adverse Effect, (b) will not violate any (i) of such Loan Party’s Organizational Documents or (ii) Requirement of Law applicable to such Loan Party which violation, in the case of this </w:t>
      </w:r>
      <w:r>
        <w:rPr>
          <w:rFonts w:ascii="Arial" w:cs="Arial" w:eastAsia="Arial" w:hAnsi="Arial"/>
          <w:sz w:val="18"/>
          <w:szCs w:val="18"/>
          <w:u w:val="single" w:color="auto"/>
          <w:color w:val="auto"/>
        </w:rPr>
        <w:t>clause (b)(ii)</w:t>
      </w:r>
      <w:r>
        <w:rPr>
          <w:rFonts w:ascii="Arial" w:cs="Arial" w:eastAsia="Arial" w:hAnsi="Arial"/>
          <w:sz w:val="18"/>
          <w:szCs w:val="18"/>
          <w:color w:val="auto"/>
        </w:rPr>
        <w:t xml:space="preserve">, would reasonably be expected to have a Material Adverse Effect and (c) will not violate or result in a default under any material Contractual Obligation to which such Loan Party is a party which violation, in the case of this </w:t>
      </w:r>
      <w:r>
        <w:rPr>
          <w:rFonts w:ascii="Arial" w:cs="Arial" w:eastAsia="Arial" w:hAnsi="Arial"/>
          <w:sz w:val="18"/>
          <w:szCs w:val="18"/>
          <w:u w:val="single" w:color="auto"/>
          <w:color w:val="auto"/>
        </w:rPr>
        <w:t>clause (c)</w:t>
      </w:r>
      <w:r>
        <w:rPr>
          <w:rFonts w:ascii="Arial" w:cs="Arial" w:eastAsia="Arial" w:hAnsi="Arial"/>
          <w:sz w:val="18"/>
          <w:szCs w:val="18"/>
          <w:color w:val="auto"/>
        </w:rPr>
        <w:t>, would reasonably be expected to result in a Material Adverse Effect.</w:t>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SECTION IV. CONVERSION TO TERM SOFR BORROWINGS</w:t>
      </w:r>
    </w:p>
    <w:p>
      <w:pPr>
        <w:spacing w:after="0" w:line="216" w:lineRule="exact"/>
        <w:rPr>
          <w:sz w:val="20"/>
          <w:szCs w:val="20"/>
          <w:color w:val="auto"/>
        </w:rPr>
      </w:pPr>
    </w:p>
    <w:p>
      <w:pPr>
        <w:jc w:val="both"/>
        <w:ind w:left="100" w:right="20" w:firstLine="749"/>
        <w:spacing w:after="0" w:line="277" w:lineRule="auto"/>
        <w:rPr>
          <w:sz w:val="20"/>
          <w:szCs w:val="20"/>
          <w:color w:val="auto"/>
        </w:rPr>
      </w:pPr>
      <w:r>
        <w:rPr>
          <w:rFonts w:ascii="Arial" w:cs="Arial" w:eastAsia="Arial" w:hAnsi="Arial"/>
          <w:sz w:val="18"/>
          <w:szCs w:val="18"/>
          <w:color w:val="auto"/>
        </w:rPr>
        <w:t xml:space="preserve">Each of the parties hereto agrees that from and after the Amendment Effective Date, any request for a new Loan denominated in Dollars, or to continue an existing LIBO Rate Loan denominated in Dollars, shall be deemed to be a request for a new Loan bearing interest at Term SOFR;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any LIBO Rate Loan is outstanding on the Amendment Effective Date, such Loan shall continue to bear interest at the LIBO Rate until the end of the current Interest Period or payment period applicable to such Loan.</w:t>
      </w:r>
    </w:p>
    <w:p>
      <w:pPr>
        <w:spacing w:after="0" w:line="165"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SECTION V. MISCELLANEOUS</w:t>
      </w:r>
    </w:p>
    <w:p>
      <w:pPr>
        <w:spacing w:after="0" w:line="216" w:lineRule="exact"/>
        <w:rPr>
          <w:sz w:val="20"/>
          <w:szCs w:val="20"/>
          <w:color w:val="auto"/>
        </w:rPr>
      </w:pPr>
    </w:p>
    <w:p>
      <w:pPr>
        <w:ind w:left="1580" w:hanging="740"/>
        <w:spacing w:after="0"/>
        <w:tabs>
          <w:tab w:leader="none" w:pos="1580"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Reference to and Effect on the Credit Agreement and the Other Loan Documents</w:t>
      </w:r>
      <w:r>
        <w:rPr>
          <w:rFonts w:ascii="Arial" w:cs="Arial" w:eastAsia="Arial" w:hAnsi="Arial"/>
          <w:sz w:val="20"/>
          <w:szCs w:val="20"/>
          <w:color w:val="auto"/>
        </w:rPr>
        <w:t>.</w:t>
      </w:r>
    </w:p>
    <w:p>
      <w:pPr>
        <w:spacing w:after="0" w:line="297" w:lineRule="exact"/>
        <w:rPr>
          <w:sz w:val="20"/>
          <w:szCs w:val="20"/>
          <w:color w:val="auto"/>
        </w:rPr>
      </w:pPr>
    </w:p>
    <w:p>
      <w:pPr>
        <w:jc w:val="both"/>
        <w:ind w:left="100" w:firstLine="741"/>
        <w:spacing w:after="0" w:line="246" w:lineRule="auto"/>
        <w:tabs>
          <w:tab w:leader="none" w:pos="15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On and after the Amendment Effective Date, each reference in the Credit Agreement to “this Agreement”, “hereunder”, “hereof”, “herein” or words of like import referring to the Credit Agreement, and each reference in the other Loan Documents to the “Credit Agreement”, “thereunder”, “thereof”,</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40" w:top="339" w:right="599" w:bottom="1440" w:gutter="0" w:footer="0" w:header="0"/>
        </w:sectPr>
      </w:pPr>
    </w:p>
    <w:bookmarkStart w:id="51" w:name="page52"/>
    <w:bookmarkEnd w:id="51"/>
    <w:p>
      <w:pPr>
        <w:ind w:left="100"/>
        <w:spacing w:after="0" w:line="260" w:lineRule="auto"/>
        <w:rPr>
          <w:sz w:val="20"/>
          <w:szCs w:val="20"/>
          <w:color w:val="auto"/>
        </w:rPr>
      </w:pPr>
      <w:r>
        <w:rPr>
          <w:rFonts w:ascii="Arial" w:cs="Arial" w:eastAsia="Arial" w:hAnsi="Arial"/>
          <w:sz w:val="20"/>
          <w:szCs w:val="20"/>
          <w:color w:val="auto"/>
        </w:rPr>
        <w:t>“therein” or words of like import referring to the Credit Agreement shall mean and be a reference to the Existing Credit Agreement as amended hereby.</w:t>
      </w:r>
    </w:p>
    <w:p>
      <w:pPr>
        <w:spacing w:after="0" w:line="177" w:lineRule="exact"/>
        <w:rPr>
          <w:sz w:val="20"/>
          <w:szCs w:val="20"/>
          <w:color w:val="auto"/>
        </w:rPr>
      </w:pPr>
    </w:p>
    <w:p>
      <w:pPr>
        <w:ind w:left="1580" w:hanging="739"/>
        <w:spacing w:after="0"/>
        <w:tabs>
          <w:tab w:leader="none" w:pos="1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Credit Agreement and the other Loan Documents shall remain in full force and effect and are hereby ratified and</w:t>
      </w:r>
    </w:p>
    <w:p>
      <w:pPr>
        <w:spacing w:after="0" w:line="38"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20"/>
          <w:szCs w:val="20"/>
          <w:color w:val="auto"/>
        </w:rPr>
        <w:t>confirmed.</w:t>
      </w:r>
    </w:p>
    <w:p>
      <w:pPr>
        <w:spacing w:after="0" w:line="186" w:lineRule="exact"/>
        <w:rPr>
          <w:rFonts w:ascii="Arial" w:cs="Arial" w:eastAsia="Arial" w:hAnsi="Arial"/>
          <w:sz w:val="18"/>
          <w:szCs w:val="18"/>
          <w:color w:val="auto"/>
        </w:rPr>
      </w:pPr>
    </w:p>
    <w:p>
      <w:pPr>
        <w:jc w:val="both"/>
        <w:ind w:left="100" w:firstLine="741"/>
        <w:spacing w:after="0" w:line="269" w:lineRule="auto"/>
        <w:tabs>
          <w:tab w:leader="none" w:pos="1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By executing and delivering a copy hereof, (A) the Borrower and each other Loan Party hereby agrees that all Secured Obligations shall continue to be guaranteed pursuant to the Loan Guaranty in accordance with the terms and provisions thereof and shall continue to be secured pursuant to the Collateral Documents in accordance with the terms and provisions thereof, and (B) the Borrower and each other Loan Party hereby (x) reaffirms its prior grant and the validity of the Liens granted by it pursuant to the Collateral Documents, (y) agrees that, notwithstanding the effectiveness of this Amendment, after giving effect to this Amendment, the guaranty pursuant to the Loan Guaranty and the Liens created pursuant to the Collateral Documents for the benefit of the Secured Parties continue to be in full force and effect and (z) affirms, acknowledges and confirms all of its obligations and liabilities under the Loan Documents to which it is a party, in each case after giving effect to this Amendment, all as provided in such Loan Documents, and acknowledges and agrees that such obligations and liabilities continue in full force and effect in respect of, and to secure, the Secured Obligations under the Credit Agreement and the other Loan Documents, in each case after giving effect to this Amendment.</w:t>
      </w:r>
    </w:p>
    <w:p>
      <w:pPr>
        <w:spacing w:after="0" w:line="177" w:lineRule="exact"/>
        <w:rPr>
          <w:rFonts w:ascii="Arial" w:cs="Arial" w:eastAsia="Arial" w:hAnsi="Arial"/>
          <w:sz w:val="18"/>
          <w:szCs w:val="18"/>
          <w:color w:val="auto"/>
        </w:rPr>
      </w:pPr>
    </w:p>
    <w:p>
      <w:pPr>
        <w:jc w:val="both"/>
        <w:ind w:left="100" w:firstLine="741"/>
        <w:spacing w:after="0" w:line="241" w:lineRule="auto"/>
        <w:tabs>
          <w:tab w:leader="none" w:pos="1579"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execution, delivery and performance of this Amendment shall not constitute a waiver of any provision of, or operate as a waiver of any right, power or remedy of the Administrative Agent, any Lender or any Issuing Bank under, the Credit Agreement or any of the other Loan Documents. Nothing herein contained shall be construed as a substitution or novation of the obligations outstanding under the Credit Agreement or any other Loan Document or instruments securing the same, which shall remain in full force and effect.</w:t>
      </w:r>
    </w:p>
    <w:p>
      <w:pPr>
        <w:spacing w:after="0" w:line="195" w:lineRule="exact"/>
        <w:rPr>
          <w:sz w:val="20"/>
          <w:szCs w:val="20"/>
          <w:color w:val="auto"/>
        </w:rPr>
      </w:pPr>
    </w:p>
    <w:p>
      <w:pPr>
        <w:ind w:left="1680" w:hanging="839"/>
        <w:spacing w:after="0"/>
        <w:tabs>
          <w:tab w:leader="none" w:pos="1680"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Loan Document</w:t>
      </w:r>
      <w:r>
        <w:rPr>
          <w:rFonts w:ascii="Arial" w:cs="Arial" w:eastAsia="Arial" w:hAnsi="Arial"/>
          <w:sz w:val="20"/>
          <w:szCs w:val="20"/>
          <w:color w:val="auto"/>
        </w:rPr>
        <w:t>. For the avoidance of doubt, this Amendment constitutes a Loan Document.</w:t>
      </w:r>
    </w:p>
    <w:p>
      <w:pPr>
        <w:spacing w:after="0" w:line="215" w:lineRule="exact"/>
        <w:rPr>
          <w:rFonts w:ascii="Arial" w:cs="Arial" w:eastAsia="Arial" w:hAnsi="Arial"/>
          <w:sz w:val="20"/>
          <w:szCs w:val="20"/>
          <w:color w:val="auto"/>
        </w:rPr>
      </w:pPr>
    </w:p>
    <w:p>
      <w:pPr>
        <w:ind w:left="100" w:right="20" w:firstLine="741"/>
        <w:spacing w:after="0" w:line="260" w:lineRule="auto"/>
        <w:tabs>
          <w:tab w:leader="none" w:pos="1693"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and Subsection headings in this Amendment are included herein for convenience of reference only and shall not constitute a part of this Amendment for any other purpose or be given any substantive effect.</w:t>
      </w:r>
    </w:p>
    <w:p>
      <w:pPr>
        <w:spacing w:after="0" w:line="230" w:lineRule="exact"/>
        <w:rPr>
          <w:rFonts w:ascii="Arial" w:cs="Arial" w:eastAsia="Arial" w:hAnsi="Arial"/>
          <w:sz w:val="20"/>
          <w:szCs w:val="20"/>
          <w:color w:val="auto"/>
        </w:rPr>
      </w:pPr>
    </w:p>
    <w:p>
      <w:pPr>
        <w:jc w:val="both"/>
        <w:ind w:left="100" w:firstLine="741"/>
        <w:spacing w:after="0" w:line="239" w:lineRule="auto"/>
        <w:tabs>
          <w:tab w:leader="none" w:pos="1693"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Applicable Law; Waiver of Jury Trial</w:t>
      </w:r>
      <w:r>
        <w:rPr>
          <w:rFonts w:ascii="Arial" w:cs="Arial" w:eastAsia="Arial" w:hAnsi="Arial"/>
          <w:sz w:val="20"/>
          <w:szCs w:val="20"/>
          <w:color w:val="auto"/>
        </w:rPr>
        <w:t>. THIS AMENDMENT AND THE OTHER LOAN DOCUMENTS (OTHER THAN AS EXPRESSLY SET FORTH IN ANY OTHER LOAN DOCUMENT) AND ANY CLAIM, CONTROVERSY OR DISPUTE ARISING UNDER OR RELATED TO THIS AMENDMENT AND THE OTHER LOAN DOCUMENTS (OTHER THAN AS EXPRESSLY SET FORTH IN ANY OTHER LOAN DOCUMENT), WHETHER IN TORT, CONTRACT (AT LAW OR IN EQUITY) OR OTHERWISE, SHALL BE GOVERNED BY, AND CONSTRUED AND INTERPRETED IN ACCORDANCE WITH, THE LAWS OF THE STATE OF NEW YORK. EACH PARTY HERETO HEREBY IRREVOCABLY WAIVES, TO THE FULLEST EXTENT PERMITTED BY APPLICABLE REQUIREMENTS OF LAW, ANY RIGHT IT MAY HAVE TO A TRIAL BY JURY IN ANY SUIT, ACTION, PROCEEDING OR COUNTERCLAIM (WHETHER BASED ON CONTRACT, TORT OR ANY OTHER THEORY) DIRECTLY OR INDIRECTLY ARISING OUT OF OR RELATING TO THIS AMENDMENT, ANY OTHER LOAN DOCUMENT OR THE TRANSACTIONS CONTEMPLATED HEREBY OR THEREBY. EACH PARTY HERETO (a) CERTIFIES THAT NO REPRESENTATIVE, AGENT OR ATTORNEY OF ANY OTHER PARTY HERETO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6" w:lineRule="exact"/>
        <w:rPr>
          <w:rFonts w:ascii="Arial" w:cs="Arial" w:eastAsia="Arial" w:hAnsi="Arial"/>
          <w:sz w:val="20"/>
          <w:szCs w:val="20"/>
          <w:color w:val="auto"/>
        </w:rPr>
      </w:pPr>
    </w:p>
    <w:p>
      <w:pPr>
        <w:ind w:left="100" w:right="20" w:firstLine="741"/>
        <w:spacing w:after="0" w:line="260" w:lineRule="auto"/>
        <w:tabs>
          <w:tab w:leader="none" w:pos="1693"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Jurisdiction; Service of Process</w:t>
      </w:r>
      <w:r>
        <w:rPr>
          <w:rFonts w:ascii="Arial" w:cs="Arial" w:eastAsia="Arial" w:hAnsi="Arial"/>
          <w:sz w:val="20"/>
          <w:szCs w:val="20"/>
          <w:color w:val="auto"/>
        </w:rPr>
        <w:t xml:space="preserve">. The provisions of Sections 9.10(b), (c) and (d) of the Credit Agreement are hereby incorporated by reference, </w:t>
      </w:r>
      <w:r>
        <w:rPr>
          <w:rFonts w:ascii="Arial" w:cs="Arial" w:eastAsia="Arial" w:hAnsi="Arial"/>
          <w:sz w:val="20"/>
          <w:szCs w:val="20"/>
          <w:i w:val="1"/>
          <w:iCs w:val="1"/>
          <w:color w:val="auto"/>
        </w:rPr>
        <w:t>mutatis mutandis</w:t>
      </w:r>
      <w:r>
        <w:rPr>
          <w:rFonts w:ascii="Arial" w:cs="Arial" w:eastAsia="Arial" w:hAnsi="Arial"/>
          <w:sz w:val="20"/>
          <w:szCs w:val="20"/>
          <w:color w:val="auto"/>
        </w:rPr>
        <w:t>, as if set forth in full herein.</w:t>
      </w:r>
    </w:p>
    <w:p>
      <w:pPr>
        <w:spacing w:after="0" w:line="163" w:lineRule="exact"/>
        <w:rPr>
          <w:rFonts w:ascii="Arial" w:cs="Arial" w:eastAsia="Arial" w:hAnsi="Arial"/>
          <w:sz w:val="20"/>
          <w:szCs w:val="20"/>
          <w:color w:val="auto"/>
        </w:rPr>
      </w:pPr>
    </w:p>
    <w:p>
      <w:pPr>
        <w:ind w:left="1680" w:hanging="839"/>
        <w:spacing w:after="0"/>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one or more of the parties to this Amendment on any number of</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separate counterparts, and all of said counterparts taken together shall be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40" w:top="204" w:right="599" w:bottom="1440" w:gutter="0" w:footer="0" w:header="0"/>
        </w:sectPr>
      </w:pPr>
    </w:p>
    <w:bookmarkStart w:id="52" w:name="page53"/>
    <w:bookmarkEnd w:id="52"/>
    <w:p>
      <w:pPr>
        <w:ind w:left="100" w:right="100"/>
        <w:spacing w:after="0" w:line="288" w:lineRule="auto"/>
        <w:rPr>
          <w:sz w:val="20"/>
          <w:szCs w:val="20"/>
          <w:color w:val="auto"/>
        </w:rPr>
      </w:pPr>
      <w:r>
        <w:rPr>
          <w:rFonts w:ascii="Arial" w:cs="Arial" w:eastAsia="Arial" w:hAnsi="Arial"/>
          <w:sz w:val="19"/>
          <w:szCs w:val="19"/>
          <w:color w:val="auto"/>
        </w:rPr>
        <w:t>deemed to constitute one and the same instrument. Delivery of an executed counterpart to this First Amendment by facsimile transmission or by electronic mail in pdf format shall be as effective as delivery of a manually executed counterpart hereof.</w:t>
      </w:r>
    </w:p>
    <w:p>
      <w:pPr>
        <w:spacing w:after="0" w:line="152" w:lineRule="exact"/>
        <w:rPr>
          <w:sz w:val="20"/>
          <w:szCs w:val="20"/>
          <w:color w:val="auto"/>
        </w:rPr>
      </w:pPr>
    </w:p>
    <w:p>
      <w:pPr>
        <w:jc w:val="both"/>
        <w:ind w:left="100" w:right="80" w:firstLine="741"/>
        <w:spacing w:after="0" w:line="252" w:lineRule="auto"/>
        <w:tabs>
          <w:tab w:leader="none" w:pos="1693"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Electronic Execution</w:t>
      </w:r>
      <w:r>
        <w:rPr>
          <w:rFonts w:ascii="Arial" w:cs="Arial" w:eastAsia="Arial" w:hAnsi="Arial"/>
          <w:sz w:val="19"/>
          <w:szCs w:val="19"/>
          <w:color w:val="auto"/>
        </w:rPr>
        <w:t xml:space="preserve">. The words “execution,” “execute,” “signed,” “signature,” and words of like import in or related to this Amendment or any other document to be signed in connection with this Amendment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contained in the Credit Agreement to the contrary the Administrative Agent is under no obligation to agree to accept electronic signatures in any form or in any format unless expressly agreed to by the Administrative Agent pursuant to procedures approved by it.</w:t>
      </w:r>
    </w:p>
    <w:p>
      <w:pPr>
        <w:spacing w:after="0" w:line="189" w:lineRule="exact"/>
        <w:rPr>
          <w:rFonts w:ascii="Arial" w:cs="Arial" w:eastAsia="Arial" w:hAnsi="Arial"/>
          <w:sz w:val="19"/>
          <w:szCs w:val="19"/>
          <w:color w:val="auto"/>
        </w:rPr>
      </w:pPr>
    </w:p>
    <w:p>
      <w:pPr>
        <w:ind w:left="100" w:right="100" w:firstLine="741"/>
        <w:spacing w:after="0" w:line="260" w:lineRule="auto"/>
        <w:tabs>
          <w:tab w:leader="none" w:pos="1693"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Successor and Assigns</w:t>
      </w:r>
      <w:r>
        <w:rPr>
          <w:rFonts w:ascii="Arial" w:cs="Arial" w:eastAsia="Arial" w:hAnsi="Arial"/>
          <w:sz w:val="20"/>
          <w:szCs w:val="20"/>
          <w:color w:val="auto"/>
        </w:rPr>
        <w:t>. This Amendment shall inure to the benefit of, and be binding upon, the parties hereto and their respective successors and assigns.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[remainder of page intentionally left blank]</w:t>
      </w:r>
    </w:p>
    <w:p>
      <w:pPr>
        <w:spacing w:after="0" w:line="25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Each of the parties hereto has caused a counterpart of this Agreement to be duly executed and delivered as of the date first above</w:t>
      </w:r>
    </w:p>
    <w:p>
      <w:pPr>
        <w:spacing w:after="0" w:line="6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written.</w:t>
      </w:r>
    </w:p>
    <w:p>
      <w:pPr>
        <w:spacing w:after="0" w:line="186" w:lineRule="exact"/>
        <w:rPr>
          <w:sz w:val="20"/>
          <w:szCs w:val="20"/>
          <w:color w:val="auto"/>
        </w:rPr>
      </w:pPr>
    </w:p>
    <w:p>
      <w:pPr>
        <w:ind w:left="5980"/>
        <w:spacing w:after="0"/>
        <w:rPr>
          <w:sz w:val="20"/>
          <w:szCs w:val="20"/>
          <w:color w:val="auto"/>
        </w:rPr>
      </w:pPr>
      <w:r>
        <w:rPr>
          <w:rFonts w:ascii="Arial" w:cs="Arial" w:eastAsia="Arial" w:hAnsi="Arial"/>
          <w:sz w:val="20"/>
          <w:szCs w:val="20"/>
          <w:u w:val="single" w:color="auto"/>
          <w:color w:val="auto"/>
        </w:rPr>
        <w:t>BORROWER</w:t>
      </w:r>
      <w:r>
        <w:rPr>
          <w:rFonts w:ascii="Arial" w:cs="Arial" w:eastAsia="Arial" w:hAnsi="Arial"/>
          <w:sz w:val="20"/>
          <w:szCs w:val="20"/>
          <w:color w:val="auto"/>
        </w:rPr>
        <w:t>:</w:t>
      </w:r>
    </w:p>
    <w:p>
      <w:pPr>
        <w:spacing w:after="0" w:line="297"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DEFINITIVE HEALTHCARE HOLDINGS, LLC</w:t>
      </w:r>
    </w:p>
    <w:p>
      <w:pPr>
        <w:spacing w:after="0" w:line="200" w:lineRule="exact"/>
        <w:rPr>
          <w:sz w:val="20"/>
          <w:szCs w:val="20"/>
          <w:color w:val="auto"/>
        </w:rPr>
      </w:pPr>
    </w:p>
    <w:p>
      <w:pPr>
        <w:spacing w:after="0" w:line="205"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By: /s/ 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-14605</wp:posOffset>
            </wp:positionV>
            <wp:extent cx="10750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ind w:left="5340"/>
        <w:spacing w:after="0"/>
        <w:rPr>
          <w:sz w:val="20"/>
          <w:szCs w:val="20"/>
          <w:color w:val="auto"/>
        </w:rPr>
      </w:pPr>
      <w:r>
        <w:rPr>
          <w:rFonts w:ascii="Arial" w:cs="Arial" w:eastAsia="Arial" w:hAnsi="Arial"/>
          <w:sz w:val="20"/>
          <w:szCs w:val="20"/>
          <w:color w:val="auto"/>
        </w:rPr>
        <w:t>Name: Richard Booth</w:t>
      </w:r>
    </w:p>
    <w:p>
      <w:pPr>
        <w:ind w:left="5340"/>
        <w:spacing w:after="0"/>
        <w:rPr>
          <w:sz w:val="20"/>
          <w:szCs w:val="20"/>
          <w:color w:val="auto"/>
        </w:rPr>
      </w:pPr>
      <w:r>
        <w:rPr>
          <w:rFonts w:ascii="Arial" w:cs="Arial" w:eastAsia="Arial" w:hAnsi="Arial"/>
          <w:sz w:val="20"/>
          <w:szCs w:val="20"/>
          <w:color w:val="auto"/>
        </w:rPr>
        <w:t>Title: Treasurer</w:t>
      </w:r>
    </w:p>
    <w:p>
      <w:pPr>
        <w:spacing w:after="0" w:line="186" w:lineRule="exact"/>
        <w:rPr>
          <w:sz w:val="20"/>
          <w:szCs w:val="20"/>
          <w:color w:val="auto"/>
        </w:rPr>
      </w:pPr>
    </w:p>
    <w:p>
      <w:pPr>
        <w:ind w:left="5340"/>
        <w:spacing w:after="0"/>
        <w:rPr>
          <w:sz w:val="20"/>
          <w:szCs w:val="20"/>
          <w:color w:val="auto"/>
        </w:rPr>
      </w:pPr>
      <w:r>
        <w:rPr>
          <w:rFonts w:ascii="Arial" w:cs="Arial" w:eastAsia="Arial" w:hAnsi="Arial"/>
          <w:sz w:val="20"/>
          <w:szCs w:val="20"/>
          <w:u w:val="single" w:color="auto"/>
          <w:color w:val="auto"/>
        </w:rPr>
        <w:t>HOLDINGS</w:t>
      </w:r>
      <w:r>
        <w:rPr>
          <w:rFonts w:ascii="Arial" w:cs="Arial" w:eastAsia="Arial" w:hAnsi="Arial"/>
          <w:sz w:val="20"/>
          <w:szCs w:val="20"/>
          <w:color w:val="auto"/>
        </w:rPr>
        <w:t>:</w:t>
      </w:r>
    </w:p>
    <w:p>
      <w:pPr>
        <w:spacing w:after="0" w:line="283"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AIDH BUYER, LLC</w:t>
      </w:r>
    </w:p>
    <w:p>
      <w:pPr>
        <w:spacing w:after="0" w:line="200" w:lineRule="exact"/>
        <w:rPr>
          <w:sz w:val="20"/>
          <w:szCs w:val="20"/>
          <w:color w:val="auto"/>
        </w:rPr>
      </w:pPr>
    </w:p>
    <w:p>
      <w:pPr>
        <w:spacing w:after="0" w:line="218"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By: /s/ 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-14605</wp:posOffset>
            </wp:positionV>
            <wp:extent cx="10750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ind w:left="5340"/>
        <w:spacing w:after="0"/>
        <w:rPr>
          <w:sz w:val="20"/>
          <w:szCs w:val="20"/>
          <w:color w:val="auto"/>
        </w:rPr>
      </w:pPr>
      <w:r>
        <w:rPr>
          <w:rFonts w:ascii="Arial" w:cs="Arial" w:eastAsia="Arial" w:hAnsi="Arial"/>
          <w:sz w:val="20"/>
          <w:szCs w:val="20"/>
          <w:color w:val="auto"/>
        </w:rPr>
        <w:t>Name: Richard Booth</w:t>
      </w:r>
    </w:p>
    <w:p>
      <w:pPr>
        <w:ind w:left="5340"/>
        <w:spacing w:after="0"/>
        <w:rPr>
          <w:sz w:val="20"/>
          <w:szCs w:val="20"/>
          <w:color w:val="auto"/>
        </w:rPr>
      </w:pPr>
      <w:r>
        <w:rPr>
          <w:rFonts w:ascii="Arial" w:cs="Arial" w:eastAsia="Arial" w:hAnsi="Arial"/>
          <w:sz w:val="20"/>
          <w:szCs w:val="20"/>
          <w:color w:val="auto"/>
        </w:rPr>
        <w:t>Title: Treasurer</w:t>
      </w:r>
    </w:p>
    <w:p>
      <w:pPr>
        <w:spacing w:after="0" w:line="186" w:lineRule="exact"/>
        <w:rPr>
          <w:sz w:val="20"/>
          <w:szCs w:val="20"/>
          <w:color w:val="auto"/>
        </w:rPr>
      </w:pPr>
    </w:p>
    <w:p>
      <w:pPr>
        <w:ind w:left="5340"/>
        <w:spacing w:after="0"/>
        <w:rPr>
          <w:sz w:val="20"/>
          <w:szCs w:val="20"/>
          <w:color w:val="auto"/>
        </w:rPr>
      </w:pPr>
      <w:r>
        <w:rPr>
          <w:rFonts w:ascii="Arial" w:cs="Arial" w:eastAsia="Arial" w:hAnsi="Arial"/>
          <w:sz w:val="20"/>
          <w:szCs w:val="20"/>
          <w:u w:val="single" w:color="auto"/>
          <w:color w:val="auto"/>
        </w:rPr>
        <w:t>GUARANTORS</w:t>
      </w:r>
      <w:r>
        <w:rPr>
          <w:rFonts w:ascii="Arial" w:cs="Arial" w:eastAsia="Arial" w:hAnsi="Arial"/>
          <w:sz w:val="20"/>
          <w:szCs w:val="20"/>
          <w:color w:val="auto"/>
        </w:rPr>
        <w:t>:</w:t>
      </w:r>
    </w:p>
    <w:p>
      <w:pPr>
        <w:spacing w:after="0" w:line="283"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DEFINITIVE HEALTHCARE, LLC HEALTHCARE SALES</w:t>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ENABLEMENT, INC. MONOCL HOLDING COMPANY</w:t>
      </w:r>
    </w:p>
    <w:p>
      <w:pPr>
        <w:ind w:left="5340"/>
        <w:spacing w:after="0"/>
        <w:rPr>
          <w:sz w:val="20"/>
          <w:szCs w:val="20"/>
          <w:color w:val="auto"/>
        </w:rPr>
      </w:pPr>
      <w:r>
        <w:rPr>
          <w:rFonts w:ascii="Arial" w:cs="Arial" w:eastAsia="Arial" w:hAnsi="Arial"/>
          <w:sz w:val="20"/>
          <w:szCs w:val="20"/>
          <w:color w:val="auto"/>
        </w:rPr>
        <w:t>MONOCL COMPANY ANALYTICAL WIZARDS, INC.</w:t>
      </w:r>
    </w:p>
    <w:p>
      <w:pPr>
        <w:spacing w:after="0" w:line="200"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By: /s/ 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-14605</wp:posOffset>
            </wp:positionV>
            <wp:extent cx="10750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ind w:left="5340"/>
        <w:spacing w:after="0"/>
        <w:rPr>
          <w:sz w:val="20"/>
          <w:szCs w:val="20"/>
          <w:color w:val="auto"/>
        </w:rPr>
      </w:pPr>
      <w:r>
        <w:rPr>
          <w:rFonts w:ascii="Arial" w:cs="Arial" w:eastAsia="Arial" w:hAnsi="Arial"/>
          <w:sz w:val="20"/>
          <w:szCs w:val="20"/>
          <w:color w:val="auto"/>
        </w:rPr>
        <w:t>Name: Richard Booth</w:t>
      </w:r>
    </w:p>
    <w:p>
      <w:pPr>
        <w:ind w:left="5340"/>
        <w:spacing w:after="0"/>
        <w:tabs>
          <w:tab w:leader="none" w:pos="61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Treasurer</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122" w:right="519" w:bottom="1440" w:gutter="0" w:footer="0" w:header="0"/>
        </w:sectPr>
      </w:pPr>
    </w:p>
    <w:bookmarkStart w:id="53" w:name="page54"/>
    <w:bookmarkEnd w:id="53"/>
    <w:p>
      <w:pPr>
        <w:jc w:val="right"/>
        <w:spacing w:after="0"/>
        <w:rPr>
          <w:sz w:val="20"/>
          <w:szCs w:val="20"/>
          <w:color w:val="auto"/>
        </w:rPr>
      </w:pPr>
      <w:r>
        <w:rPr>
          <w:rFonts w:ascii="Arial" w:cs="Arial" w:eastAsia="Arial" w:hAnsi="Arial"/>
          <w:sz w:val="19"/>
          <w:szCs w:val="19"/>
          <w:color w:val="1F1F1F"/>
        </w:rPr>
        <w:t>BANK OF AMERICA, N.A., as Administrative Agent and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180"/>
        <w:spacing w:after="0"/>
        <w:rPr>
          <w:sz w:val="20"/>
          <w:szCs w:val="20"/>
          <w:color w:val="auto"/>
        </w:rPr>
      </w:pPr>
      <w:r>
        <w:rPr>
          <w:rFonts w:ascii="Arial" w:cs="Arial" w:eastAsia="Arial" w:hAnsi="Arial"/>
          <w:sz w:val="18"/>
          <w:szCs w:val="18"/>
          <w:color w:val="232323"/>
        </w:rPr>
        <w:t xml:space="preserve">Barclays Bank PLC, as a </w:t>
      </w:r>
      <w:r>
        <w:rPr>
          <w:rFonts w:ascii="Arial" w:cs="Arial" w:eastAsia="Arial" w:hAnsi="Arial"/>
          <w:sz w:val="18"/>
          <w:szCs w:val="18"/>
          <w:color w:val="383838"/>
        </w:rPr>
        <w:t>Lender</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77"/>
          <w:szCs w:val="77"/>
          <w:u w:val="single" w:color="auto"/>
          <w:color w:val="383838"/>
        </w:rPr>
        <w:t>B</w:t>
      </w:r>
      <w:r>
        <w:rPr>
          <w:rFonts w:ascii="Arial" w:cs="Arial" w:eastAsia="Arial" w:hAnsi="Arial"/>
          <w:sz w:val="77"/>
          <w:szCs w:val="77"/>
          <w:u w:val="single" w:color="auto"/>
          <w:color w:val="575EA3"/>
        </w:rPr>
        <w:t>Y-</w:t>
      </w:r>
      <w:r>
        <w:rPr>
          <w:rFonts w:ascii="Arial" w:cs="Arial" w:eastAsia="Arial" w:hAnsi="Arial"/>
          <w:sz w:val="77"/>
          <w:szCs w:val="77"/>
          <w:u w:val="single" w:color="auto"/>
          <w:color w:val="676BC4"/>
        </w:rPr>
        <w:t>V nr</w:t>
      </w:r>
      <w:r>
        <w:rPr>
          <w:rFonts w:ascii="Arial" w:cs="Arial" w:eastAsia="Arial" w:hAnsi="Arial"/>
          <w:sz w:val="77"/>
          <w:szCs w:val="77"/>
          <w:color w:val="676BC4"/>
        </w:rPr>
        <w:t>-</w:t>
      </w:r>
    </w:p>
    <w:p>
      <w:pPr>
        <w:ind w:left="5180"/>
        <w:spacing w:after="0" w:line="200" w:lineRule="auto"/>
        <w:rPr>
          <w:sz w:val="20"/>
          <w:szCs w:val="20"/>
          <w:color w:val="auto"/>
        </w:rPr>
      </w:pPr>
      <w:r>
        <w:rPr>
          <w:rFonts w:ascii="Arial" w:cs="Arial" w:eastAsia="Arial" w:hAnsi="Arial"/>
          <w:sz w:val="18"/>
          <w:szCs w:val="18"/>
          <w:color w:val="383838"/>
        </w:rPr>
        <w:t>Nam</w:t>
      </w:r>
      <w:r>
        <w:rPr>
          <w:rFonts w:ascii="Arial" w:cs="Arial" w:eastAsia="Arial" w:hAnsi="Arial"/>
          <w:sz w:val="18"/>
          <w:szCs w:val="18"/>
          <w:u w:val="single" w:color="auto"/>
          <w:color w:val="383838"/>
        </w:rPr>
        <w:t>e:</w:t>
      </w:r>
      <w:r>
        <w:rPr>
          <w:rFonts w:ascii="Arial" w:cs="Arial" w:eastAsia="Arial" w:hAnsi="Arial"/>
          <w:sz w:val="22"/>
          <w:szCs w:val="22"/>
          <w:i w:val="1"/>
          <w:iCs w:val="1"/>
          <w:u w:val="single" w:color="auto"/>
          <w:color w:val="797ECD"/>
        </w:rPr>
        <w:t>,r</w:t>
      </w:r>
      <w:r>
        <w:rPr>
          <w:rFonts w:ascii="Arial" w:cs="Arial" w:eastAsia="Arial" w:hAnsi="Arial"/>
          <w:sz w:val="22"/>
          <w:szCs w:val="22"/>
          <w:i w:val="1"/>
          <w:iCs w:val="1"/>
          <w:u w:val="single" w:color="auto"/>
          <w:color w:val="9395CF"/>
        </w:rPr>
        <w:t>e</w:t>
      </w:r>
      <w:r>
        <w:rPr>
          <w:rFonts w:ascii="Arial" w:cs="Arial" w:eastAsia="Arial" w:hAnsi="Arial"/>
          <w:sz w:val="22"/>
          <w:szCs w:val="22"/>
          <w:i w:val="1"/>
          <w:iCs w:val="1"/>
          <w:u w:val="single" w:color="auto"/>
          <w:color w:val="797ECD"/>
        </w:rPr>
        <w:t>"</w:t>
      </w:r>
      <w:r>
        <w:rPr>
          <w:rFonts w:ascii="Arial" w:cs="Arial" w:eastAsia="Arial" w:hAnsi="Arial"/>
          <w:sz w:val="22"/>
          <w:szCs w:val="22"/>
          <w:i w:val="1"/>
          <w:iCs w:val="1"/>
          <w:color w:val="797ECD"/>
        </w:rPr>
        <w:t>'</w:t>
      </w:r>
      <w:r>
        <w:rPr>
          <w:rFonts w:ascii="Arial" w:cs="Arial" w:eastAsia="Arial" w:hAnsi="Arial"/>
          <w:sz w:val="18"/>
          <w:szCs w:val="18"/>
          <w:color w:val="383838"/>
        </w:rPr>
        <w:t xml:space="preserve"> </w:t>
      </w:r>
      <w:r>
        <w:rPr>
          <w:rFonts w:ascii="Arial" w:cs="Arial" w:eastAsia="Arial" w:hAnsi="Arial"/>
          <w:sz w:val="21"/>
          <w:szCs w:val="21"/>
          <w:i w:val="1"/>
          <w:iCs w:val="1"/>
          <w:color w:val="676BC4"/>
        </w:rPr>
        <w:t>Veec..'1</w:t>
      </w:r>
      <w:r>
        <w:rPr>
          <w:rFonts w:ascii="Arial" w:cs="Arial" w:eastAsia="Arial" w:hAnsi="Arial"/>
          <w:sz w:val="18"/>
          <w:szCs w:val="18"/>
          <w:color w:val="383838"/>
        </w:rPr>
        <w:t xml:space="preserve"> </w:t>
      </w:r>
      <w:r>
        <w:rPr>
          <w:rFonts w:ascii="Arial" w:cs="Arial" w:eastAsia="Arial" w:hAnsi="Arial"/>
          <w:sz w:val="18"/>
          <w:szCs w:val="18"/>
          <w:i w:val="1"/>
          <w:iCs w:val="1"/>
          <w:u w:val="single" w:color="auto"/>
          <w:color w:val="676BC4"/>
        </w:rPr>
        <w:t>flL</w:t>
      </w:r>
    </w:p>
    <w:p>
      <w:pPr>
        <w:ind w:left="5180"/>
        <w:spacing w:after="0"/>
        <w:rPr>
          <w:sz w:val="20"/>
          <w:szCs w:val="20"/>
          <w:color w:val="auto"/>
        </w:rPr>
      </w:pPr>
      <w:r>
        <w:rPr>
          <w:rFonts w:ascii="Arial" w:cs="Arial" w:eastAsia="Arial" w:hAnsi="Arial"/>
          <w:sz w:val="18"/>
          <w:szCs w:val="18"/>
          <w:color w:val="383838"/>
        </w:rPr>
        <w:t xml:space="preserve">Title: </w:t>
      </w:r>
      <w:r>
        <w:rPr>
          <w:rFonts w:ascii="Arial" w:cs="Arial" w:eastAsia="Arial" w:hAnsi="Arial"/>
          <w:sz w:val="24"/>
          <w:szCs w:val="24"/>
          <w:i w:val="1"/>
          <w:iCs w:val="1"/>
          <w:color w:val="676BC4"/>
        </w:rPr>
        <w:t>V</w:t>
      </w:r>
      <w:r>
        <w:rPr>
          <w:rFonts w:ascii="Arial" w:cs="Arial" w:eastAsia="Arial" w:hAnsi="Arial"/>
          <w:sz w:val="24"/>
          <w:szCs w:val="24"/>
          <w:i w:val="1"/>
          <w:iCs w:val="1"/>
          <w:color w:val="9395CF"/>
        </w:rPr>
        <w:t>i</w:t>
      </w:r>
      <w:r>
        <w:rPr>
          <w:rFonts w:ascii="Arial" w:cs="Arial" w:eastAsia="Arial" w:hAnsi="Arial"/>
          <w:sz w:val="24"/>
          <w:szCs w:val="24"/>
          <w:i w:val="1"/>
          <w:iCs w:val="1"/>
          <w:color w:val="797ECD"/>
        </w:rPr>
        <w:t>c.</w:t>
      </w:r>
      <w:r>
        <w:rPr>
          <w:rFonts w:ascii="Arial" w:cs="Arial" w:eastAsia="Arial" w:hAnsi="Arial"/>
          <w:sz w:val="24"/>
          <w:szCs w:val="24"/>
          <w:i w:val="1"/>
          <w:iCs w:val="1"/>
          <w:color w:val="9395CF"/>
        </w:rPr>
        <w:t>(.</w:t>
      </w:r>
      <w:r>
        <w:rPr>
          <w:rFonts w:ascii="Arial" w:cs="Arial" w:eastAsia="Arial" w:hAnsi="Arial"/>
          <w:sz w:val="18"/>
          <w:szCs w:val="18"/>
          <w:color w:val="383838"/>
        </w:rPr>
        <w:t xml:space="preserve"> </w:t>
      </w:r>
      <w:r>
        <w:rPr>
          <w:rFonts w:ascii="Arial" w:cs="Arial" w:eastAsia="Arial" w:hAnsi="Arial"/>
          <w:sz w:val="26"/>
          <w:szCs w:val="26"/>
          <w:color w:val="676BC4"/>
        </w:rPr>
        <w:t>fhs</w:t>
      </w:r>
      <w:r>
        <w:rPr>
          <w:rFonts w:ascii="Arial" w:cs="Arial" w:eastAsia="Arial" w:hAnsi="Arial"/>
          <w:sz w:val="18"/>
          <w:szCs w:val="18"/>
          <w:color w:val="383838"/>
        </w:rPr>
        <w:t xml:space="preserve"> </w:t>
      </w:r>
      <w:r>
        <w:rPr>
          <w:rFonts w:ascii="Arial" w:cs="Arial" w:eastAsia="Arial" w:hAnsi="Arial"/>
          <w:sz w:val="24"/>
          <w:szCs w:val="24"/>
          <w:i w:val="1"/>
          <w:iCs w:val="1"/>
          <w:color w:val="9395CF"/>
        </w:rPr>
        <w:t>r-</w:t>
      </w:r>
      <w:r>
        <w:rPr>
          <w:rFonts w:ascii="Arial" w:cs="Arial" w:eastAsia="Arial" w:hAnsi="Arial"/>
          <w:sz w:val="24"/>
          <w:szCs w:val="24"/>
          <w:i w:val="1"/>
          <w:iCs w:val="1"/>
          <w:color w:val="676BC4"/>
        </w:rPr>
        <w:t>fi:</w:t>
      </w:r>
      <w:r>
        <w:rPr>
          <w:rFonts w:ascii="Arial" w:cs="Arial" w:eastAsia="Arial" w:hAnsi="Arial"/>
          <w:sz w:val="24"/>
          <w:szCs w:val="24"/>
          <w:i w:val="1"/>
          <w:iCs w:val="1"/>
          <w:color w:val="797ECD"/>
        </w:rPr>
        <w:t>.</w:t>
      </w:r>
      <w:r>
        <w:rPr>
          <w:rFonts w:ascii="Arial" w:cs="Arial" w:eastAsia="Arial" w:hAnsi="Arial"/>
          <w:sz w:val="24"/>
          <w:szCs w:val="24"/>
          <w:i w:val="1"/>
          <w:iCs w:val="1"/>
          <w:color w:val="676BC4"/>
        </w:rPr>
        <w:t>.</w:t>
      </w:r>
      <w:r>
        <w:rPr>
          <w:rFonts w:ascii="Arial" w:cs="Arial" w:eastAsia="Arial" w:hAnsi="Arial"/>
          <w:sz w:val="24"/>
          <w:szCs w:val="24"/>
          <w:i w:val="1"/>
          <w:iCs w:val="1"/>
          <w:color w:val="797ECD"/>
        </w:rPr>
        <w:t>..</w:t>
      </w:r>
      <w:r>
        <w:rPr>
          <w:rFonts w:ascii="Arial" w:cs="Arial" w:eastAsia="Arial" w:hAnsi="Arial"/>
          <w:sz w:val="16"/>
          <w:szCs w:val="16"/>
          <w:i w:val="1"/>
          <w:iCs w:val="1"/>
          <w:color w:val="676BC4"/>
        </w:rPr>
        <w:t>-f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40" w:top="185" w:right="1019" w:bottom="1440" w:gutter="0" w:footer="0" w:header="0"/>
        </w:sectPr>
      </w:pPr>
    </w:p>
    <w:bookmarkStart w:id="54" w:name="page55"/>
    <w:bookmarkEnd w:id="54"/>
    <w:p>
      <w:pPr>
        <w:ind w:left="4040"/>
        <w:spacing w:after="0"/>
        <w:rPr>
          <w:sz w:val="20"/>
          <w:szCs w:val="20"/>
          <w:color w:val="auto"/>
        </w:rPr>
      </w:pPr>
      <w:r>
        <w:rPr>
          <w:rFonts w:ascii="Arial" w:cs="Arial" w:eastAsia="Arial" w:hAnsi="Arial"/>
          <w:sz w:val="18"/>
          <w:szCs w:val="18"/>
          <w:color w:val="232323"/>
        </w:rPr>
        <w:t xml:space="preserve">[Signature </w:t>
      </w:r>
      <w:r>
        <w:rPr>
          <w:rFonts w:ascii="Arial" w:cs="Arial" w:eastAsia="Arial" w:hAnsi="Arial"/>
          <w:sz w:val="18"/>
          <w:szCs w:val="18"/>
          <w:color w:val="383838"/>
        </w:rPr>
        <w:t>Page</w:t>
      </w:r>
      <w:r>
        <w:rPr>
          <w:rFonts w:ascii="Arial" w:cs="Arial" w:eastAsia="Arial" w:hAnsi="Arial"/>
          <w:sz w:val="18"/>
          <w:szCs w:val="18"/>
          <w:color w:val="232323"/>
        </w:rPr>
        <w:t xml:space="preserve"> to Amendment </w:t>
      </w:r>
      <w:r>
        <w:rPr>
          <w:rFonts w:ascii="Arial" w:cs="Arial" w:eastAsia="Arial" w:hAnsi="Arial"/>
          <w:sz w:val="18"/>
          <w:szCs w:val="18"/>
          <w:color w:val="383838"/>
        </w:rPr>
        <w:t>No.</w:t>
      </w:r>
      <w:r>
        <w:rPr>
          <w:rFonts w:ascii="Arial" w:cs="Arial" w:eastAsia="Arial" w:hAnsi="Arial"/>
          <w:sz w:val="18"/>
          <w:szCs w:val="18"/>
          <w:color w:val="232323"/>
        </w:rPr>
        <w:t xml:space="preserv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300"/>
        <w:spacing w:after="0"/>
        <w:rPr>
          <w:sz w:val="20"/>
          <w:szCs w:val="20"/>
          <w:color w:val="auto"/>
        </w:rPr>
      </w:pPr>
      <w:r>
        <w:rPr>
          <w:rFonts w:ascii="Arial" w:cs="Arial" w:eastAsia="Arial" w:hAnsi="Arial"/>
          <w:sz w:val="19"/>
          <w:szCs w:val="19"/>
          <w:color w:val="auto"/>
        </w:rPr>
        <w:t>CREDIT SUISSE AG, CAYMAN</w:t>
      </w:r>
    </w:p>
    <w:p>
      <w:pPr>
        <w:spacing w:after="0" w:line="27" w:lineRule="exact"/>
        <w:rPr>
          <w:sz w:val="20"/>
          <w:szCs w:val="20"/>
          <w:color w:val="auto"/>
        </w:rPr>
      </w:pPr>
    </w:p>
    <w:p>
      <w:pPr>
        <w:jc w:val="right"/>
        <w:ind w:right="2099"/>
        <w:spacing w:after="0"/>
        <w:rPr>
          <w:sz w:val="20"/>
          <w:szCs w:val="20"/>
          <w:color w:val="auto"/>
        </w:rPr>
      </w:pPr>
      <w:r>
        <w:rPr>
          <w:rFonts w:ascii="Arial" w:cs="Arial" w:eastAsia="Arial" w:hAnsi="Arial"/>
          <w:sz w:val="20"/>
          <w:szCs w:val="20"/>
          <w:color w:val="auto"/>
        </w:rPr>
        <w:t>ISLANDS BRANCH, as a Lender</w:t>
      </w:r>
    </w:p>
    <w:p>
      <w:pPr>
        <w:spacing w:after="0" w:line="173" w:lineRule="exact"/>
        <w:rPr>
          <w:sz w:val="20"/>
          <w:szCs w:val="20"/>
          <w:color w:val="auto"/>
        </w:rPr>
      </w:pPr>
    </w:p>
    <w:p>
      <w:pPr>
        <w:ind w:left="5340"/>
        <w:spacing w:after="0"/>
        <w:tabs>
          <w:tab w:leader="none" w:pos="5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Name: Vipul Dhadda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-14605</wp:posOffset>
            </wp:positionV>
            <wp:extent cx="6985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69850" cy="8255"/>
                    </a:xfrm>
                    <a:prstGeom prst="rect">
                      <a:avLst/>
                    </a:prstGeom>
                    <a:noFill/>
                  </pic:spPr>
                </pic:pic>
              </a:graphicData>
            </a:graphic>
          </wp:anchor>
        </w:drawing>
      </w:r>
    </w:p>
    <w:p>
      <w:pPr>
        <w:ind w:left="5340"/>
        <w:spacing w:after="0"/>
        <w:rPr>
          <w:sz w:val="20"/>
          <w:szCs w:val="20"/>
          <w:color w:val="auto"/>
        </w:rPr>
      </w:pPr>
      <w:r>
        <w:rPr>
          <w:rFonts w:ascii="Arial" w:cs="Arial" w:eastAsia="Arial" w:hAnsi="Arial"/>
          <w:sz w:val="20"/>
          <w:szCs w:val="20"/>
          <w:color w:val="auto"/>
        </w:rPr>
        <w:t>Title: Authorized Signatory</w:t>
      </w:r>
    </w:p>
    <w:p>
      <w:pPr>
        <w:spacing w:after="0" w:line="281"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3557270</wp:posOffset>
            </wp:positionH>
            <wp:positionV relativeFrom="paragraph">
              <wp:posOffset>-14605</wp:posOffset>
            </wp:positionV>
            <wp:extent cx="6985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69850" cy="8255"/>
                    </a:xfrm>
                    <a:prstGeom prst="rect">
                      <a:avLst/>
                    </a:prstGeom>
                    <a:noFill/>
                  </pic:spPr>
                </pic:pic>
              </a:graphicData>
            </a:graphic>
          </wp:anchor>
        </w:drawing>
      </w:r>
    </w:p>
    <w:p>
      <w:pPr>
        <w:spacing w:after="0" w:line="7"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Name: Wesley Cronin</w:t>
      </w:r>
    </w:p>
    <w:p>
      <w:pPr>
        <w:spacing w:after="0" w:line="27" w:lineRule="exact"/>
        <w:rPr>
          <w:sz w:val="20"/>
          <w:szCs w:val="20"/>
          <w:color w:val="auto"/>
        </w:rPr>
      </w:pPr>
    </w:p>
    <w:p>
      <w:pPr>
        <w:ind w:left="5320"/>
        <w:spacing w:after="0"/>
        <w:tabs>
          <w:tab w:leader="none" w:pos="61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314" w:right="1440" w:bottom="1440" w:gutter="0" w:footer="0" w:header="0"/>
        </w:sectPr>
      </w:pPr>
    </w:p>
    <w:bookmarkStart w:id="55" w:name="page56"/>
    <w:bookmarkEnd w:id="55"/>
    <w:p>
      <w:pPr>
        <w:ind w:left="4020"/>
        <w:spacing w:after="0"/>
        <w:rPr>
          <w:sz w:val="20"/>
          <w:szCs w:val="20"/>
          <w:color w:val="auto"/>
        </w:rPr>
      </w:pPr>
      <w:r>
        <w:rPr>
          <w:rFonts w:ascii="Arial" w:cs="Arial" w:eastAsia="Arial" w:hAnsi="Arial"/>
          <w:sz w:val="20"/>
          <w:szCs w:val="20"/>
          <w:color w:val="auto"/>
        </w:rPr>
        <w:t>[Signature Page to Amendment No. 1]</w:t>
      </w:r>
    </w:p>
    <w:p>
      <w:pPr>
        <w:spacing w:after="0" w:line="264" w:lineRule="exact"/>
        <w:rPr>
          <w:sz w:val="20"/>
          <w:szCs w:val="20"/>
          <w:color w:val="auto"/>
        </w:rPr>
      </w:pPr>
    </w:p>
    <w:p>
      <w:pPr>
        <w:ind w:left="5340"/>
        <w:spacing w:after="0"/>
        <w:rPr>
          <w:sz w:val="20"/>
          <w:szCs w:val="20"/>
          <w:color w:val="auto"/>
        </w:rPr>
      </w:pPr>
      <w:r>
        <w:rPr>
          <w:rFonts w:ascii="Arial" w:cs="Arial" w:eastAsia="Arial" w:hAnsi="Arial"/>
          <w:sz w:val="19"/>
          <w:szCs w:val="19"/>
          <w:color w:val="242424"/>
        </w:rPr>
        <w:t>DEUTSCHE BANK AG NEW YORK BRANCH,</w:t>
      </w:r>
    </w:p>
    <w:p>
      <w:pPr>
        <w:spacing w:after="0" w:line="14" w:lineRule="exact"/>
        <w:rPr>
          <w:sz w:val="20"/>
          <w:szCs w:val="20"/>
          <w:color w:val="auto"/>
        </w:rPr>
      </w:pPr>
    </w:p>
    <w:p>
      <w:pPr>
        <w:ind w:left="5340"/>
        <w:spacing w:after="0"/>
        <w:rPr>
          <w:sz w:val="20"/>
          <w:szCs w:val="20"/>
          <w:color w:val="auto"/>
        </w:rPr>
      </w:pPr>
      <w:r>
        <w:rPr>
          <w:rFonts w:ascii="Arial" w:cs="Arial" w:eastAsia="Arial" w:hAnsi="Arial"/>
          <w:sz w:val="19"/>
          <w:szCs w:val="19"/>
          <w:color w:val="242424"/>
        </w:rPr>
        <w:t>as a Lender</w:t>
      </w:r>
    </w:p>
    <w:p>
      <w:pPr>
        <w:spacing w:after="0" w:line="200" w:lineRule="exact"/>
        <w:rPr>
          <w:sz w:val="20"/>
          <w:szCs w:val="20"/>
          <w:color w:val="auto"/>
        </w:rPr>
      </w:pPr>
    </w:p>
    <w:p>
      <w:pPr>
        <w:spacing w:after="0" w:line="260" w:lineRule="exact"/>
        <w:rPr>
          <w:sz w:val="20"/>
          <w:szCs w:val="20"/>
          <w:color w:val="auto"/>
        </w:rPr>
      </w:pPr>
    </w:p>
    <w:p>
      <w:pPr>
        <w:spacing w:after="0"/>
        <w:tabs>
          <w:tab w:leader="none" w:pos="1180" w:val="left"/>
        </w:tabs>
        <w:rPr>
          <w:sz w:val="20"/>
          <w:szCs w:val="20"/>
          <w:color w:val="auto"/>
        </w:rPr>
      </w:pPr>
      <w:r>
        <w:rPr>
          <w:rFonts w:ascii="Arial" w:cs="Arial" w:eastAsia="Arial" w:hAnsi="Arial"/>
          <w:sz w:val="19"/>
          <w:szCs w:val="19"/>
          <w:color w:val="242424"/>
        </w:rPr>
        <w:t>Name:</w:t>
      </w:r>
      <w:r>
        <w:rPr>
          <w:rFonts w:ascii="Arial" w:cs="Arial" w:eastAsia="Arial" w:hAnsi="Arial"/>
          <w:sz w:val="19"/>
          <w:szCs w:val="19"/>
          <w:u w:val="single" w:color="auto"/>
          <w:color w:val="242424"/>
        </w:rPr>
        <w:t>By</w:t>
      </w:r>
      <w:r>
        <w:rPr>
          <w:rFonts w:ascii="Arial" w:cs="Arial" w:eastAsia="Arial" w:hAnsi="Arial"/>
          <w:sz w:val="19"/>
          <w:szCs w:val="19"/>
          <w:color w:val="464646"/>
        </w:rPr>
        <w:t>:</w:t>
      </w:r>
      <w:r>
        <w:rPr>
          <w:rFonts w:ascii="Arial" w:cs="Arial" w:eastAsia="Arial" w:hAnsi="Arial"/>
          <w:sz w:val="19"/>
          <w:szCs w:val="19"/>
          <w:u w:val="single" w:color="auto"/>
          <w:color w:val="5E5E5E"/>
        </w:rPr>
        <w:t>_</w:t>
      </w:r>
      <w:r>
        <w:rPr>
          <w:rFonts w:ascii="Arial" w:cs="Arial" w:eastAsia="Arial" w:hAnsi="Arial"/>
          <w:sz w:val="19"/>
          <w:szCs w:val="19"/>
          <w:u w:val="single" w:color="auto"/>
          <w:color w:val="263DB5"/>
        </w:rPr>
        <w:t>-</w:t>
      </w:r>
      <w:r>
        <w:rPr>
          <w:rFonts w:ascii="Arial" w:cs="Arial" w:eastAsia="Arial" w:hAnsi="Arial"/>
          <w:sz w:val="19"/>
          <w:szCs w:val="19"/>
          <w:u w:val="single" w:color="auto"/>
          <w:color w:val="5E5E5E"/>
        </w:rPr>
        <w:t>-</w:t>
      </w:r>
      <w:r>
        <w:rPr>
          <w:sz w:val="20"/>
          <w:szCs w:val="20"/>
          <w:color w:val="auto"/>
        </w:rPr>
        <w:tab/>
      </w:r>
      <w:r>
        <w:rPr>
          <w:rFonts w:ascii="Arial" w:cs="Arial" w:eastAsia="Arial" w:hAnsi="Arial"/>
          <w:sz w:val="16"/>
          <w:szCs w:val="16"/>
          <w:color w:val="24242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-7620</wp:posOffset>
            </wp:positionV>
            <wp:extent cx="3568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356870" cy="8255"/>
                    </a:xfrm>
                    <a:prstGeom prst="rect">
                      <a:avLst/>
                    </a:prstGeom>
                    <a:noFill/>
                  </pic:spPr>
                </pic:pic>
              </a:graphicData>
            </a:graphic>
          </wp:anchor>
        </w:drawing>
      </w:r>
    </w:p>
    <w:p>
      <w:pPr>
        <w:spacing w:after="0" w:line="48" w:lineRule="exact"/>
        <w:rPr>
          <w:sz w:val="20"/>
          <w:szCs w:val="20"/>
          <w:color w:val="auto"/>
        </w:rPr>
      </w:pPr>
    </w:p>
    <w:p>
      <w:pPr>
        <w:jc w:val="both"/>
        <w:ind w:left="5760"/>
        <w:spacing w:after="0"/>
        <w:tabs>
          <w:tab w:leader="none" w:pos="6860" w:val="left"/>
        </w:tabs>
        <w:rPr>
          <w:sz w:val="20"/>
          <w:szCs w:val="20"/>
          <w:color w:val="auto"/>
        </w:rPr>
      </w:pPr>
      <w:r>
        <w:rPr>
          <w:rFonts w:ascii="Arial" w:cs="Arial" w:eastAsia="Arial" w:hAnsi="Arial"/>
          <w:sz w:val="19"/>
          <w:szCs w:val="19"/>
          <w:color w:val="242424"/>
        </w:rPr>
        <w:t>Title:</w:t>
      </w:r>
      <w:r>
        <w:rPr>
          <w:sz w:val="20"/>
          <w:szCs w:val="20"/>
          <w:color w:val="auto"/>
        </w:rPr>
        <w:tab/>
      </w:r>
      <w:r>
        <w:rPr>
          <w:rFonts w:ascii="Arial" w:cs="Arial" w:eastAsia="Arial" w:hAnsi="Arial"/>
          <w:sz w:val="19"/>
          <w:szCs w:val="19"/>
          <w:color w:val="242424"/>
        </w:rPr>
        <w:t xml:space="preserve">· </w:t>
      </w:r>
      <w:r>
        <w:rPr>
          <w:rFonts w:ascii="Arial" w:cs="Arial" w:eastAsia="Arial" w:hAnsi="Arial"/>
          <w:sz w:val="26"/>
          <w:szCs w:val="26"/>
          <w:b w:val="1"/>
          <w:bCs w:val="1"/>
          <w:color w:val="242424"/>
        </w:rPr>
        <w:t>·p</w:t>
      </w:r>
      <w:r>
        <w:rPr>
          <w:rFonts w:ascii="Arial" w:cs="Arial" w:eastAsia="Arial" w:hAnsi="Arial"/>
          <w:sz w:val="19"/>
          <w:szCs w:val="19"/>
          <w:color w:val="242424"/>
        </w:rPr>
        <w:t xml:space="preserve"> </w:t>
      </w:r>
      <w:r>
        <w:rPr>
          <w:rFonts w:ascii="Arial" w:cs="Arial" w:eastAsia="Arial" w:hAnsi="Arial"/>
          <w:sz w:val="25"/>
          <w:szCs w:val="25"/>
          <w:b w:val="1"/>
          <w:bCs w:val="1"/>
          <w:color w:val="242424"/>
        </w:rPr>
        <w:t>Tancorra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360"/>
        <w:spacing w:after="0"/>
        <w:rPr>
          <w:sz w:val="20"/>
          <w:szCs w:val="20"/>
          <w:color w:val="auto"/>
        </w:rPr>
      </w:pPr>
      <w:r>
        <w:rPr>
          <w:rFonts w:ascii="Arial" w:cs="Arial" w:eastAsia="Arial" w:hAnsi="Arial"/>
          <w:sz w:val="20"/>
          <w:szCs w:val="20"/>
          <w:color w:val="242424"/>
        </w:rPr>
        <w:t xml:space="preserve">By: </w:t>
      </w:r>
      <w:r>
        <w:rPr>
          <w:rFonts w:ascii="Arial" w:cs="Arial" w:eastAsia="Arial" w:hAnsi="Arial"/>
          <w:sz w:val="18"/>
          <w:szCs w:val="18"/>
          <w:color w:val="242424"/>
        </w:rPr>
        <w:t>Name: Title.</w:t>
      </w:r>
    </w:p>
    <w:p>
      <w:pPr>
        <w:spacing w:after="0" w:line="96" w:lineRule="exact"/>
        <w:rPr>
          <w:sz w:val="20"/>
          <w:szCs w:val="20"/>
          <w:color w:val="auto"/>
        </w:rPr>
      </w:pPr>
    </w:p>
    <w:p>
      <w:pPr>
        <w:ind w:left="200"/>
        <w:spacing w:after="0" w:line="240" w:lineRule="exact"/>
        <w:rPr>
          <w:sz w:val="20"/>
          <w:szCs w:val="20"/>
          <w:color w:val="auto"/>
        </w:rPr>
      </w:pPr>
      <w:r>
        <w:rPr>
          <w:rFonts w:ascii="PMingLiU" w:cs="PMingLiU" w:eastAsia="PMingLiU" w:hAnsi="PMingLiU"/>
          <w:sz w:val="20"/>
          <w:szCs w:val="20"/>
          <w:color w:val="auto"/>
        </w:rPr>
        <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20" w:right="1440" w:bottom="1440" w:gutter="0" w:footer="0" w:header="0"/>
        </w:sectPr>
      </w:pPr>
    </w:p>
    <w:bookmarkStart w:id="56" w:name="page57"/>
    <w:bookmarkEnd w:id="56"/>
    <w:p>
      <w:pPr>
        <w:ind w:left="180"/>
        <w:spacing w:after="0"/>
        <w:rPr>
          <w:sz w:val="20"/>
          <w:szCs w:val="20"/>
          <w:color w:val="auto"/>
        </w:rPr>
      </w:pPr>
      <w:r>
        <w:rPr>
          <w:rFonts w:ascii="Arial" w:cs="Arial" w:eastAsia="Arial" w:hAnsi="Arial"/>
          <w:sz w:val="18"/>
          <w:szCs w:val="18"/>
          <w:color w:val="262B54"/>
        </w:rPr>
        <w:t>...,, ---1--------,</w:t>
      </w:r>
      <w:r>
        <w:rPr>
          <w:rFonts w:ascii="Arial" w:cs="Arial" w:eastAsia="Arial" w:hAnsi="Arial"/>
          <w:sz w:val="18"/>
          <w:szCs w:val="18"/>
          <w:color w:val="242424"/>
        </w:rPr>
        <w:t>.,</w:t>
      </w:r>
      <w:r>
        <w:rPr>
          <w:rFonts w:ascii="Arial" w:cs="Arial" w:eastAsia="Arial" w:hAnsi="Arial"/>
          <w:sz w:val="18"/>
          <w:szCs w:val="18"/>
          <w:color w:val="262B54"/>
        </w:rPr>
        <w:t xml:space="preserve"> ---=-</w:t>
      </w:r>
      <w:r>
        <w:rPr>
          <w:rFonts w:ascii="Arial" w:cs="Arial" w:eastAsia="Arial" w:hAnsi="Arial"/>
          <w:sz w:val="18"/>
          <w:szCs w:val="18"/>
          <w:color w:val="242424"/>
        </w:rPr>
        <w:t>---</w:t>
      </w:r>
      <w:r>
        <w:rPr>
          <w:rFonts w:ascii="Arial" w:cs="Arial" w:eastAsia="Arial" w:hAnsi="Arial"/>
          <w:sz w:val="18"/>
          <w:szCs w:val="18"/>
          <w:color w:val="5E5E5E"/>
        </w:rPr>
        <w:t>­</w:t>
      </w:r>
    </w:p>
    <w:p>
      <w:pPr>
        <w:spacing w:after="0" w:line="265" w:lineRule="exact"/>
        <w:rPr>
          <w:sz w:val="20"/>
          <w:szCs w:val="20"/>
          <w:color w:val="auto"/>
        </w:rPr>
      </w:pPr>
    </w:p>
    <w:p>
      <w:pPr>
        <w:jc w:val="right"/>
        <w:ind w:right="2359"/>
        <w:spacing w:after="0"/>
        <w:rPr>
          <w:sz w:val="20"/>
          <w:szCs w:val="20"/>
          <w:color w:val="auto"/>
        </w:rPr>
      </w:pPr>
      <w:r>
        <w:rPr>
          <w:rFonts w:ascii="Arial" w:cs="Arial" w:eastAsia="Arial" w:hAnsi="Arial"/>
          <w:sz w:val="19"/>
          <w:szCs w:val="19"/>
          <w:b w:val="1"/>
          <w:bCs w:val="1"/>
          <w:color w:val="282828"/>
        </w:rPr>
        <w:t xml:space="preserve">DNB Capital LLC, </w:t>
      </w:r>
      <w:r>
        <w:rPr>
          <w:rFonts w:ascii="Arial" w:cs="Arial" w:eastAsia="Arial" w:hAnsi="Arial"/>
          <w:sz w:val="19"/>
          <w:szCs w:val="19"/>
          <w:color w:val="282828"/>
        </w:rPr>
        <w:t>as a Lender</w:t>
      </w:r>
    </w:p>
    <w:p>
      <w:pPr>
        <w:spacing w:after="0" w:line="200" w:lineRule="exact"/>
        <w:rPr>
          <w:sz w:val="20"/>
          <w:szCs w:val="20"/>
          <w:color w:val="auto"/>
        </w:rPr>
      </w:pPr>
    </w:p>
    <w:p>
      <w:pPr>
        <w:spacing w:after="0" w:line="295" w:lineRule="exact"/>
        <w:rPr>
          <w:sz w:val="20"/>
          <w:szCs w:val="20"/>
          <w:color w:val="auto"/>
        </w:rPr>
      </w:pPr>
    </w:p>
    <w:p>
      <w:pPr>
        <w:ind w:left="5300"/>
        <w:spacing w:after="0"/>
        <w:rPr>
          <w:sz w:val="20"/>
          <w:szCs w:val="20"/>
          <w:color w:val="auto"/>
        </w:rPr>
      </w:pPr>
      <w:r>
        <w:rPr>
          <w:rFonts w:ascii="Arial" w:cs="Arial" w:eastAsia="Arial" w:hAnsi="Arial"/>
          <w:sz w:val="20"/>
          <w:szCs w:val="20"/>
          <w:color w:val="282828"/>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3368040</wp:posOffset>
            </wp:positionH>
            <wp:positionV relativeFrom="paragraph">
              <wp:posOffset>-14605</wp:posOffset>
            </wp:positionV>
            <wp:extent cx="25146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190" w:lineRule="exact"/>
        <w:rPr>
          <w:sz w:val="20"/>
          <w:szCs w:val="20"/>
          <w:color w:val="auto"/>
        </w:rPr>
      </w:pPr>
    </w:p>
    <w:p>
      <w:pPr>
        <w:ind w:left="5320"/>
        <w:spacing w:after="0"/>
        <w:rPr>
          <w:sz w:val="20"/>
          <w:szCs w:val="20"/>
          <w:color w:val="auto"/>
        </w:rPr>
      </w:pPr>
      <w:r>
        <w:rPr>
          <w:rFonts w:ascii="Arial" w:cs="Arial" w:eastAsia="Arial" w:hAnsi="Arial"/>
          <w:sz w:val="19"/>
          <w:szCs w:val="19"/>
          <w:color w:val="282828"/>
        </w:rPr>
        <w:t xml:space="preserve">Name: </w:t>
      </w:r>
      <w:r>
        <w:rPr>
          <w:rFonts w:ascii="Arial" w:cs="Arial" w:eastAsia="Arial" w:hAnsi="Arial"/>
          <w:sz w:val="19"/>
          <w:szCs w:val="19"/>
          <w:color w:val="383838"/>
        </w:rPr>
        <w:t>Title:</w:t>
      </w:r>
    </w:p>
    <w:p>
      <w:pPr>
        <w:spacing w:after="0" w:line="84" w:lineRule="exact"/>
        <w:rPr>
          <w:sz w:val="20"/>
          <w:szCs w:val="20"/>
          <w:color w:val="auto"/>
        </w:rPr>
      </w:pPr>
    </w:p>
    <w:p>
      <w:pPr>
        <w:ind w:left="1000"/>
        <w:spacing w:after="0" w:line="240" w:lineRule="exact"/>
        <w:rPr>
          <w:sz w:val="20"/>
          <w:szCs w:val="20"/>
          <w:color w:val="auto"/>
        </w:rPr>
      </w:pPr>
      <w:r>
        <w:rPr>
          <w:rFonts w:ascii="PMingLiU" w:cs="PMingLiU" w:eastAsia="PMingLiU" w:hAnsi="PMingLiU"/>
          <w:sz w:val="20"/>
          <w:szCs w:val="20"/>
          <w:color w:val="auto"/>
        </w:rPr>
        <w:t/>
      </w: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220" w:right="1440" w:bottom="1440" w:gutter="0" w:footer="0" w:header="0"/>
        </w:sectPr>
      </w:pPr>
    </w:p>
    <w:bookmarkStart w:id="57" w:name="page58"/>
    <w:bookmarkEnd w:id="57"/>
    <w:p>
      <w:pPr>
        <w:ind w:left="500"/>
        <w:spacing w:after="0"/>
        <w:rPr>
          <w:sz w:val="20"/>
          <w:szCs w:val="20"/>
          <w:color w:val="auto"/>
        </w:rPr>
      </w:pPr>
      <w:r>
        <w:rPr>
          <w:rFonts w:ascii="Arial" w:cs="Arial" w:eastAsia="Arial" w:hAnsi="Arial"/>
          <w:sz w:val="24"/>
          <w:szCs w:val="24"/>
          <w:b w:val="1"/>
          <w:bCs w:val="1"/>
          <w:color w:val="282828"/>
        </w:rPr>
        <w:t xml:space="preserve">Dania </w:t>
      </w:r>
      <w:r>
        <w:rPr>
          <w:rFonts w:ascii="Arial" w:cs="Arial" w:eastAsia="Arial" w:hAnsi="Arial"/>
          <w:sz w:val="24"/>
          <w:szCs w:val="24"/>
          <w:b w:val="1"/>
          <w:bCs w:val="1"/>
          <w:color w:val="383838"/>
        </w:rPr>
        <w:t>Hinedi</w:t>
      </w:r>
      <w:r>
        <w:rPr>
          <w:rFonts w:ascii="Arial" w:cs="Arial" w:eastAsia="Arial" w:hAnsi="Arial"/>
          <w:sz w:val="24"/>
          <w:szCs w:val="24"/>
          <w:b w:val="1"/>
          <w:bCs w:val="1"/>
          <w:color w:val="282828"/>
        </w:rPr>
        <w:t xml:space="preserve"> </w:t>
      </w:r>
      <w:r>
        <w:rPr>
          <w:rFonts w:ascii="Arial" w:cs="Arial" w:eastAsia="Arial" w:hAnsi="Arial"/>
          <w:sz w:val="24"/>
          <w:szCs w:val="24"/>
          <w:b w:val="1"/>
          <w:bCs w:val="1"/>
          <w:color w:val="4D4D4D"/>
        </w:rPr>
        <w:t>S</w:t>
      </w:r>
      <w:r>
        <w:rPr>
          <w:rFonts w:ascii="Arial" w:cs="Arial" w:eastAsia="Arial" w:hAnsi="Arial"/>
          <w:sz w:val="24"/>
          <w:szCs w:val="24"/>
          <w:b w:val="1"/>
          <w:bCs w:val="1"/>
          <w:color w:val="B8B8B8"/>
        </w:rPr>
        <w:t>.</w:t>
      </w:r>
      <w:r>
        <w:rPr>
          <w:rFonts w:ascii="Arial" w:cs="Arial" w:eastAsia="Arial" w:hAnsi="Arial"/>
          <w:sz w:val="24"/>
          <w:szCs w:val="24"/>
          <w:b w:val="1"/>
          <w:bCs w:val="1"/>
          <w:color w:val="4D4D4D"/>
        </w:rPr>
        <w:t>e.,for</w:t>
      </w:r>
      <w:r>
        <w:rPr>
          <w:rFonts w:ascii="Arial" w:cs="Arial" w:eastAsia="Arial" w:hAnsi="Arial"/>
          <w:sz w:val="24"/>
          <w:szCs w:val="24"/>
          <w:b w:val="1"/>
          <w:bCs w:val="1"/>
          <w:color w:val="282828"/>
        </w:rPr>
        <w:t xml:space="preserve"> Vice </w:t>
      </w:r>
      <w:r>
        <w:rPr>
          <w:rFonts w:ascii="Arial" w:cs="Arial" w:eastAsia="Arial" w:hAnsi="Arial"/>
          <w:sz w:val="24"/>
          <w:szCs w:val="24"/>
          <w:b w:val="1"/>
          <w:bCs w:val="1"/>
          <w:color w:val="383838"/>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2059"/>
        <w:spacing w:after="0"/>
        <w:tabs>
          <w:tab w:leader="none" w:pos="840" w:val="left"/>
          <w:tab w:leader="none" w:pos="80" w:val="left"/>
        </w:tabs>
        <w:rPr>
          <w:sz w:val="20"/>
          <w:szCs w:val="20"/>
          <w:color w:val="auto"/>
        </w:rPr>
      </w:pPr>
      <w:r>
        <w:rPr>
          <w:rFonts w:ascii="Arial" w:cs="Arial" w:eastAsia="Arial" w:hAnsi="Arial"/>
          <w:sz w:val="19"/>
          <w:szCs w:val="19"/>
          <w:color w:val="282828"/>
        </w:rPr>
        <w:t>By: tL-;l(.,d,,va .::  !</w:t>
      </w:r>
      <w:r>
        <w:rPr>
          <w:sz w:val="20"/>
          <w:szCs w:val="20"/>
          <w:color w:val="auto"/>
        </w:rPr>
        <w:tab/>
      </w:r>
      <w:r>
        <w:rPr>
          <w:rFonts w:ascii="Arial" w:cs="Arial" w:eastAsia="Arial" w:hAnsi="Arial"/>
          <w:sz w:val="19"/>
          <w:szCs w:val="19"/>
          <w:color w:val="282828"/>
        </w:rPr>
        <w:t>.!:::</w:t>
      </w:r>
      <w:r>
        <w:rPr>
          <w:sz w:val="20"/>
          <w:szCs w:val="20"/>
          <w:color w:val="auto"/>
        </w:rPr>
        <w:tab/>
      </w:r>
      <w:r>
        <w:rPr>
          <w:rFonts w:ascii="Arial" w:cs="Arial" w:eastAsia="Arial" w:hAnsi="Arial"/>
          <w:sz w:val="17"/>
          <w:szCs w:val="17"/>
          <w:color w:val="4D4D4D"/>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4254500</wp:posOffset>
            </wp:positionH>
            <wp:positionV relativeFrom="paragraph">
              <wp:posOffset>-12700</wp:posOffset>
            </wp:positionV>
            <wp:extent cx="32321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323215" cy="8255"/>
                    </a:xfrm>
                    <a:prstGeom prst="rect">
                      <a:avLst/>
                    </a:prstGeom>
                    <a:noFill/>
                  </pic:spPr>
                </pic:pic>
              </a:graphicData>
            </a:graphic>
          </wp:anchor>
        </w:drawing>
        <w:drawing>
          <wp:anchor simplePos="0" relativeHeight="251657728" behindDoc="1" locked="0" layoutInCell="0" allowOverlap="1">
            <wp:simplePos x="0" y="0"/>
            <wp:positionH relativeFrom="column">
              <wp:posOffset>4747895</wp:posOffset>
            </wp:positionH>
            <wp:positionV relativeFrom="paragraph">
              <wp:posOffset>-12700</wp:posOffset>
            </wp:positionV>
            <wp:extent cx="6985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69850" cy="8255"/>
                    </a:xfrm>
                    <a:prstGeom prst="rect">
                      <a:avLst/>
                    </a:prstGeom>
                    <a:noFill/>
                  </pic:spPr>
                </pic:pic>
              </a:graphicData>
            </a:graphic>
          </wp:anchor>
        </w:drawing>
      </w:r>
    </w:p>
    <w:p>
      <w:pPr>
        <w:spacing w:after="0" w:line="194" w:lineRule="exact"/>
        <w:rPr>
          <w:sz w:val="20"/>
          <w:szCs w:val="20"/>
          <w:color w:val="auto"/>
        </w:rPr>
      </w:pPr>
    </w:p>
    <w:p>
      <w:pPr>
        <w:ind w:left="5320"/>
        <w:spacing w:after="0"/>
        <w:rPr>
          <w:sz w:val="20"/>
          <w:szCs w:val="20"/>
          <w:color w:val="auto"/>
        </w:rPr>
      </w:pPr>
      <w:r>
        <w:rPr>
          <w:rFonts w:ascii="Arial" w:cs="Arial" w:eastAsia="Arial" w:hAnsi="Arial"/>
          <w:sz w:val="19"/>
          <w:szCs w:val="19"/>
          <w:color w:val="383838"/>
        </w:rPr>
        <w:t xml:space="preserve">Name: </w:t>
      </w:r>
      <w:r>
        <w:rPr>
          <w:rFonts w:ascii="Arial" w:cs="Arial" w:eastAsia="Arial" w:hAnsi="Arial"/>
          <w:sz w:val="19"/>
          <w:szCs w:val="19"/>
          <w:color w:val="282828"/>
        </w:rPr>
        <w:t>Title:</w:t>
      </w:r>
    </w:p>
    <w:p>
      <w:pPr>
        <w:spacing w:after="0" w:line="126"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7" w:right="1440" w:bottom="1440" w:gutter="0" w:footer="0" w:header="0"/>
        </w:sectPr>
      </w:pPr>
    </w:p>
    <w:bookmarkStart w:id="58" w:name="page59"/>
    <w:bookmarkEnd w:id="58"/>
    <w:p>
      <w:pPr>
        <w:jc w:val="center"/>
        <w:ind w:right="59"/>
        <w:spacing w:after="0"/>
        <w:rPr>
          <w:sz w:val="20"/>
          <w:szCs w:val="20"/>
          <w:color w:val="auto"/>
        </w:rPr>
      </w:pPr>
      <w:r>
        <w:rPr>
          <w:rFonts w:ascii="Arial" w:cs="Arial" w:eastAsia="Arial" w:hAnsi="Arial"/>
          <w:sz w:val="22"/>
          <w:szCs w:val="22"/>
          <w:color w:val="282828"/>
        </w:rPr>
        <w:t xml:space="preserve">Krist1'.e </w:t>
      </w:r>
      <w:r>
        <w:rPr>
          <w:rFonts w:ascii="Arial" w:cs="Arial" w:eastAsia="Arial" w:hAnsi="Arial"/>
          <w:sz w:val="20"/>
          <w:szCs w:val="20"/>
          <w:color w:val="282828"/>
        </w:rPr>
        <w:t>Li</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282828"/>
        </w:rPr>
        <w:t>Senior Vice President</w:t>
      </w:r>
    </w:p>
    <w:p>
      <w:pPr>
        <w:spacing w:after="0" w:line="253" w:lineRule="exact"/>
        <w:rPr>
          <w:sz w:val="20"/>
          <w:szCs w:val="20"/>
          <w:color w:val="auto"/>
        </w:rPr>
      </w:pPr>
    </w:p>
    <w:p>
      <w:pPr>
        <w:jc w:val="right"/>
        <w:ind w:right="1019"/>
        <w:spacing w:after="0"/>
        <w:rPr>
          <w:sz w:val="20"/>
          <w:szCs w:val="20"/>
          <w:color w:val="auto"/>
        </w:rPr>
      </w:pPr>
      <w:r>
        <w:rPr>
          <w:rFonts w:ascii="Arial" w:cs="Arial" w:eastAsia="Arial" w:hAnsi="Arial"/>
          <w:sz w:val="20"/>
          <w:szCs w:val="20"/>
          <w:color w:val="auto"/>
        </w:rPr>
        <w:t>GOLDMAN SACHS BANK USA, as a Lender</w:t>
      </w:r>
    </w:p>
    <w:p>
      <w:pPr>
        <w:spacing w:after="0" w:line="200" w:lineRule="exact"/>
        <w:rPr>
          <w:sz w:val="20"/>
          <w:szCs w:val="20"/>
          <w:color w:val="auto"/>
        </w:rPr>
      </w:pPr>
    </w:p>
    <w:p>
      <w:pPr>
        <w:spacing w:after="0" w:line="218" w:lineRule="exact"/>
        <w:rPr>
          <w:sz w:val="20"/>
          <w:szCs w:val="20"/>
          <w:color w:val="auto"/>
        </w:rPr>
      </w:pPr>
    </w:p>
    <w:p>
      <w:pPr>
        <w:ind w:left="5340"/>
        <w:spacing w:after="0"/>
        <w:tabs>
          <w:tab w:leader="none" w:pos="5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Name: Keshia Leday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3569970</wp:posOffset>
            </wp:positionH>
            <wp:positionV relativeFrom="paragraph">
              <wp:posOffset>-14605</wp:posOffset>
            </wp:positionV>
            <wp:extent cx="6985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69850" cy="8255"/>
                    </a:xfrm>
                    <a:prstGeom prst="rect">
                      <a:avLst/>
                    </a:prstGeom>
                    <a:noFill/>
                  </pic:spPr>
                </pic:pic>
              </a:graphicData>
            </a:graphic>
          </wp:anchor>
        </w:drawing>
      </w:r>
    </w:p>
    <w:p>
      <w:pPr>
        <w:ind w:left="5340"/>
        <w:spacing w:after="0"/>
        <w:rPr>
          <w:sz w:val="20"/>
          <w:szCs w:val="20"/>
          <w:color w:val="auto"/>
        </w:rPr>
      </w:pPr>
      <w:r>
        <w:rPr>
          <w:rFonts w:ascii="Arial" w:cs="Arial" w:eastAsia="Arial" w:hAnsi="Arial"/>
          <w:sz w:val="20"/>
          <w:szCs w:val="20"/>
          <w:color w:val="auto"/>
        </w:rPr>
        <w:t>Title: Authorized Signatory</w:t>
      </w:r>
    </w:p>
    <w:p>
      <w:pPr>
        <w:spacing w:after="0" w:line="254"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JPMorgan Chase Bank, N.A., as a Lender</w:t>
      </w:r>
    </w:p>
    <w:p>
      <w:pPr>
        <w:spacing w:after="0" w:line="200" w:lineRule="exact"/>
        <w:rPr>
          <w:sz w:val="20"/>
          <w:szCs w:val="20"/>
          <w:color w:val="auto"/>
        </w:rPr>
      </w:pPr>
    </w:p>
    <w:p>
      <w:pPr>
        <w:spacing w:after="0" w:line="218" w:lineRule="exact"/>
        <w:rPr>
          <w:sz w:val="20"/>
          <w:szCs w:val="20"/>
          <w:color w:val="auto"/>
        </w:rPr>
      </w:pPr>
    </w:p>
    <w:p>
      <w:pPr>
        <w:ind w:left="5340"/>
        <w:spacing w:after="0"/>
        <w:tabs>
          <w:tab w:leader="none" w:pos="5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Name: Mike McKenzie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-14605</wp:posOffset>
            </wp:positionV>
            <wp:extent cx="6985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69850" cy="8255"/>
                    </a:xfrm>
                    <a:prstGeom prst="rect">
                      <a:avLst/>
                    </a:prstGeom>
                    <a:noFill/>
                  </pic:spPr>
                </pic:pic>
              </a:graphicData>
            </a:graphic>
          </wp:anchor>
        </w:drawing>
      </w:r>
    </w:p>
    <w:p>
      <w:pPr>
        <w:ind w:left="5340"/>
        <w:spacing w:after="0"/>
        <w:rPr>
          <w:sz w:val="20"/>
          <w:szCs w:val="20"/>
          <w:color w:val="auto"/>
        </w:rPr>
      </w:pPr>
      <w:r>
        <w:rPr>
          <w:rFonts w:ascii="Arial" w:cs="Arial" w:eastAsia="Arial" w:hAnsi="Arial"/>
          <w:sz w:val="20"/>
          <w:szCs w:val="20"/>
          <w:color w:val="auto"/>
        </w:rPr>
        <w:t>Title: Authorized Signatory</w:t>
      </w:r>
    </w:p>
    <w:p>
      <w:pPr>
        <w:spacing w:after="0" w:line="283" w:lineRule="exact"/>
        <w:rPr>
          <w:sz w:val="20"/>
          <w:szCs w:val="20"/>
          <w:color w:val="auto"/>
        </w:rPr>
      </w:pPr>
    </w:p>
    <w:p>
      <w:pPr>
        <w:ind w:left="5420"/>
        <w:spacing w:after="0"/>
        <w:rPr>
          <w:sz w:val="20"/>
          <w:szCs w:val="20"/>
          <w:color w:val="auto"/>
        </w:rPr>
      </w:pPr>
      <w:r>
        <w:rPr>
          <w:rFonts w:ascii="Arial" w:cs="Arial" w:eastAsia="Arial" w:hAnsi="Arial"/>
          <w:sz w:val="18"/>
          <w:szCs w:val="18"/>
          <w:color w:val="4F4F4F"/>
        </w:rPr>
        <w:t>;\!ORGAN STANLEY SENIOR FUNDIN(i.</w:t>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9"/>
          <w:szCs w:val="19"/>
          <w:color w:val="4F4F4F"/>
        </w:rPr>
        <w:t xml:space="preserve">INC. </w:t>
      </w:r>
      <w:r>
        <w:rPr>
          <w:rFonts w:ascii="Arial" w:cs="Arial" w:eastAsia="Arial" w:hAnsi="Arial"/>
          <w:sz w:val="17"/>
          <w:szCs w:val="17"/>
          <w:color w:val="4F4F4F"/>
        </w:rPr>
        <w:t>a" a</w:t>
      </w:r>
      <w:r>
        <w:rPr>
          <w:rFonts w:ascii="Arial" w:cs="Arial" w:eastAsia="Arial" w:hAnsi="Arial"/>
          <w:sz w:val="19"/>
          <w:szCs w:val="19"/>
          <w:color w:val="4F4F4F"/>
        </w:rPr>
        <w:t xml:space="preserve"> Lender</w:t>
      </w:r>
    </w:p>
    <w:p>
      <w:pPr>
        <w:spacing w:after="0" w:line="200" w:lineRule="exact"/>
        <w:rPr>
          <w:sz w:val="20"/>
          <w:szCs w:val="20"/>
          <w:color w:val="auto"/>
        </w:rPr>
      </w:pPr>
    </w:p>
    <w:p>
      <w:pPr>
        <w:spacing w:after="0" w:line="208" w:lineRule="exact"/>
        <w:rPr>
          <w:sz w:val="20"/>
          <w:szCs w:val="20"/>
          <w:color w:val="auto"/>
        </w:rPr>
      </w:pPr>
    </w:p>
    <w:p>
      <w:pPr>
        <w:ind w:left="5420"/>
        <w:spacing w:after="0"/>
        <w:tabs>
          <w:tab w:leader="none" w:pos="6600" w:val="left"/>
        </w:tabs>
        <w:rPr>
          <w:sz w:val="20"/>
          <w:szCs w:val="20"/>
          <w:color w:val="auto"/>
        </w:rPr>
      </w:pPr>
      <w:r>
        <w:rPr>
          <w:rFonts w:ascii="Arial" w:cs="Arial" w:eastAsia="Arial" w:hAnsi="Arial"/>
          <w:sz w:val="18"/>
          <w:szCs w:val="18"/>
          <w:color w:val="4F4F4F"/>
        </w:rPr>
        <w:t>Hy:</w:t>
      </w:r>
      <w:r>
        <w:rPr>
          <w:rFonts w:ascii="Arial" w:cs="Arial" w:eastAsia="Arial" w:hAnsi="Arial"/>
          <w:sz w:val="18"/>
          <w:szCs w:val="18"/>
          <w:color w:val="BCBCBC"/>
        </w:rPr>
        <w:t>_ _</w:t>
      </w:r>
      <w:r>
        <w:rPr>
          <w:rFonts w:ascii="Arial" w:cs="Arial" w:eastAsia="Arial" w:hAnsi="Arial"/>
          <w:sz w:val="18"/>
          <w:szCs w:val="18"/>
          <w:color w:val="4F4F4F"/>
        </w:rPr>
        <w:t>.</w:t>
      </w:r>
      <w:r>
        <w:rPr>
          <w:sz w:val="20"/>
          <w:szCs w:val="20"/>
          <w:color w:val="auto"/>
        </w:rPr>
        <w:tab/>
      </w:r>
      <w:r>
        <w:rPr>
          <w:rFonts w:ascii="Arial" w:cs="Arial" w:eastAsia="Arial" w:hAnsi="Arial"/>
          <w:sz w:val="17"/>
          <w:szCs w:val="17"/>
          <w:color w:val="BCBCBC"/>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-19050</wp:posOffset>
            </wp:positionV>
            <wp:extent cx="14605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ind w:left="5440"/>
        <w:spacing w:after="0"/>
        <w:rPr>
          <w:sz w:val="20"/>
          <w:szCs w:val="20"/>
          <w:color w:val="auto"/>
        </w:rPr>
      </w:pPr>
      <w:r>
        <w:rPr>
          <w:rFonts w:ascii="Arial" w:cs="Arial" w:eastAsia="Arial" w:hAnsi="Arial"/>
          <w:sz w:val="19"/>
          <w:szCs w:val="19"/>
          <w:color w:val="4F4F4F"/>
        </w:rPr>
        <w:t>Nam,:: Tayo Lapitc</w:t>
      </w:r>
    </w:p>
    <w:p>
      <w:pPr>
        <w:spacing w:after="0" w:line="14" w:lineRule="exact"/>
        <w:rPr>
          <w:sz w:val="20"/>
          <w:szCs w:val="20"/>
          <w:color w:val="auto"/>
        </w:rPr>
      </w:pPr>
    </w:p>
    <w:p>
      <w:pPr>
        <w:ind w:left="5420"/>
        <w:spacing w:after="0"/>
        <w:rPr>
          <w:sz w:val="20"/>
          <w:szCs w:val="20"/>
          <w:color w:val="auto"/>
        </w:rPr>
      </w:pPr>
      <w:r>
        <w:rPr>
          <w:rFonts w:ascii="Arial" w:cs="Arial" w:eastAsia="Arial" w:hAnsi="Arial"/>
          <w:sz w:val="17"/>
          <w:szCs w:val="17"/>
          <w:b w:val="1"/>
          <w:bCs w:val="1"/>
          <w:color w:val="4F4F4F"/>
        </w:rPr>
        <w:t xml:space="preserve">Titk: </w:t>
      </w:r>
      <w:r>
        <w:rPr>
          <w:rFonts w:ascii="Arial" w:cs="Arial" w:eastAsia="Arial" w:hAnsi="Arial"/>
          <w:sz w:val="17"/>
          <w:szCs w:val="17"/>
          <w:color w:val="4F4F4F"/>
        </w:rPr>
        <w:t>Vil.'.:</w:t>
      </w:r>
      <w:r>
        <w:rPr>
          <w:rFonts w:ascii="Arial" w:cs="Arial" w:eastAsia="Arial" w:hAnsi="Arial"/>
          <w:sz w:val="17"/>
          <w:szCs w:val="17"/>
          <w:b w:val="1"/>
          <w:bCs w:val="1"/>
          <w:color w:val="4F4F4F"/>
        </w:rPr>
        <w:t xml:space="preserve"> </w:t>
      </w:r>
      <w:r>
        <w:rPr>
          <w:rFonts w:ascii="Arial" w:cs="Arial" w:eastAsia="Arial" w:hAnsi="Arial"/>
          <w:sz w:val="18"/>
          <w:szCs w:val="18"/>
          <w:color w:val="4F4F4F"/>
        </w:rPr>
        <w:t>PrL·,id1..•111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213" w:right="1440"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1803400</wp:posOffset>
            </wp:positionV>
            <wp:extent cx="1765935" cy="1200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460"/>
        <w:spacing w:after="0"/>
        <w:rPr>
          <w:sz w:val="20"/>
          <w:szCs w:val="20"/>
          <w:color w:val="auto"/>
        </w:rPr>
      </w:pPr>
      <w:r>
        <w:rPr>
          <w:rFonts w:ascii="Arial" w:cs="Arial" w:eastAsia="Arial" w:hAnsi="Arial"/>
          <w:sz w:val="19"/>
          <w:szCs w:val="19"/>
          <w:color w:val="262626"/>
        </w:rPr>
        <w:t>MUFG Union Bank, N.A., as a Lender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440"/>
        <w:spacing w:after="0"/>
        <w:tabs>
          <w:tab w:leader="none" w:pos="5900" w:val="left"/>
        </w:tabs>
        <w:rPr>
          <w:sz w:val="20"/>
          <w:szCs w:val="20"/>
          <w:color w:val="auto"/>
        </w:rPr>
      </w:pPr>
      <w:r>
        <w:rPr>
          <w:rFonts w:ascii="Arial" w:cs="Arial" w:eastAsia="Arial" w:hAnsi="Arial"/>
          <w:sz w:val="19"/>
          <w:szCs w:val="19"/>
          <w:color w:val="262626"/>
        </w:rPr>
        <w:t>By:</w:t>
      </w:r>
      <w:r>
        <w:rPr>
          <w:sz w:val="20"/>
          <w:szCs w:val="20"/>
          <w:color w:val="auto"/>
        </w:rPr>
        <w:tab/>
      </w:r>
      <w:r>
        <w:rPr>
          <w:rFonts w:ascii="Arial" w:cs="Arial" w:eastAsia="Arial" w:hAnsi="Arial"/>
          <w:sz w:val="44"/>
          <w:szCs w:val="44"/>
          <w:color w:val="464646"/>
        </w:rPr>
        <w:t>cvj --1 ---------,L/</w:t>
      </w:r>
      <w:r>
        <w:rPr>
          <w:rFonts w:ascii="Arial" w:cs="Arial" w:eastAsia="Arial" w:hAnsi="Arial"/>
          <w:sz w:val="21"/>
          <w:szCs w:val="21"/>
          <w:i w:val="1"/>
          <w:iCs w:val="1"/>
          <w:color w:val="5D5D5D"/>
        </w:rPr>
        <w:t>-.i</w:t>
      </w:r>
      <w:r>
        <w:rPr>
          <w:rFonts w:ascii="Arial" w:cs="Arial" w:eastAsia="Arial" w:hAnsi="Arial"/>
          <w:sz w:val="44"/>
          <w:szCs w:val="44"/>
          <w:color w:val="464646"/>
        </w:rPr>
        <w:t xml:space="preserve"> </w:t>
      </w:r>
      <w:r>
        <w:rPr>
          <w:rFonts w:ascii="Arial" w:cs="Arial" w:eastAsia="Arial" w:hAnsi="Arial"/>
          <w:sz w:val="40"/>
          <w:szCs w:val="40"/>
          <w:i w:val="1"/>
          <w:iCs w:val="1"/>
          <w:color w:val="464646"/>
        </w:rPr>
        <w:t>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-32385</wp:posOffset>
            </wp:positionV>
            <wp:extent cx="6667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95" w:lineRule="exact"/>
        <w:rPr>
          <w:sz w:val="20"/>
          <w:szCs w:val="20"/>
          <w:color w:val="auto"/>
        </w:rPr>
      </w:pPr>
    </w:p>
    <w:p>
      <w:pPr>
        <w:ind w:left="5440"/>
        <w:spacing w:after="0"/>
        <w:rPr>
          <w:sz w:val="20"/>
          <w:szCs w:val="20"/>
          <w:color w:val="auto"/>
        </w:rPr>
      </w:pPr>
      <w:r>
        <w:rPr>
          <w:rFonts w:ascii="Arial" w:cs="Arial" w:eastAsia="Arial" w:hAnsi="Arial"/>
          <w:sz w:val="19"/>
          <w:szCs w:val="19"/>
          <w:color w:val="262626"/>
        </w:rPr>
        <w:t>Name: Daniel E. Von Herzen,</w:t>
      </w:r>
    </w:p>
    <w:p>
      <w:pPr>
        <w:spacing w:after="0" w:line="14" w:lineRule="exact"/>
        <w:rPr>
          <w:sz w:val="20"/>
          <w:szCs w:val="20"/>
          <w:color w:val="auto"/>
        </w:rPr>
      </w:pPr>
    </w:p>
    <w:p>
      <w:pPr>
        <w:ind w:left="5440"/>
        <w:spacing w:after="0"/>
        <w:rPr>
          <w:sz w:val="20"/>
          <w:szCs w:val="20"/>
          <w:color w:val="auto"/>
        </w:rPr>
      </w:pPr>
      <w:r>
        <w:rPr>
          <w:rFonts w:ascii="Arial" w:cs="Arial" w:eastAsia="Arial" w:hAnsi="Arial"/>
          <w:sz w:val="19"/>
          <w:szCs w:val="19"/>
          <w:color w:val="262626"/>
        </w:rPr>
        <w:t>Title: Director - Sr</w:t>
      </w:r>
      <w:r>
        <w:rPr>
          <w:rFonts w:ascii="Arial" w:cs="Arial" w:eastAsia="Arial" w:hAnsi="Arial"/>
          <w:sz w:val="19"/>
          <w:szCs w:val="19"/>
          <w:color w:val="5D5D5D"/>
        </w:rPr>
        <w:t>.</w:t>
      </w:r>
      <w:r>
        <w:rPr>
          <w:rFonts w:ascii="Arial" w:cs="Arial" w:eastAsia="Arial" w:hAnsi="Arial"/>
          <w:sz w:val="19"/>
          <w:szCs w:val="19"/>
          <w:color w:val="262626"/>
        </w:rPr>
        <w:t xml:space="preserve"> Credit Executive</w:t>
      </w:r>
    </w:p>
    <w:p>
      <w:pPr>
        <w:spacing w:after="0" w:line="238" w:lineRule="exact"/>
        <w:rPr>
          <w:sz w:val="20"/>
          <w:szCs w:val="20"/>
          <w:color w:val="auto"/>
        </w:rPr>
      </w:pPr>
    </w:p>
    <w:p>
      <w:pPr>
        <w:ind w:left="5020"/>
        <w:spacing w:after="0"/>
        <w:rPr>
          <w:sz w:val="20"/>
          <w:szCs w:val="20"/>
          <w:color w:val="auto"/>
        </w:rPr>
      </w:pPr>
      <w:r>
        <w:rPr>
          <w:rFonts w:ascii="Arial" w:cs="Arial" w:eastAsia="Arial" w:hAnsi="Arial"/>
          <w:sz w:val="19"/>
          <w:szCs w:val="19"/>
          <w:color w:val="auto"/>
        </w:rPr>
        <w:t>Stifel Bank &amp; Trust,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wp:posOffset>
            </wp:positionV>
            <wp:extent cx="2031365" cy="660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203136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00"/>
        <w:spacing w:after="0"/>
        <w:rPr>
          <w:sz w:val="20"/>
          <w:szCs w:val="20"/>
          <w:color w:val="auto"/>
        </w:rPr>
      </w:pPr>
      <w:r>
        <w:rPr>
          <w:rFonts w:ascii="Arial" w:cs="Arial" w:eastAsia="Arial" w:hAnsi="Arial"/>
          <w:sz w:val="20"/>
          <w:szCs w:val="20"/>
          <w:u w:val="single" w:color="auto"/>
          <w:color w:val="auto"/>
        </w:rPr>
        <w:t>Appendix A</w:t>
      </w:r>
    </w:p>
    <w:p>
      <w:pPr>
        <w:spacing w:after="0" w:line="297"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Credit Agreement [see</w:t>
      </w:r>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76835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US-DOCS\135399344.8</w:t>
      </w:r>
    </w:p>
    <w:p>
      <w:pPr>
        <w:spacing w:after="0" w:line="28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Execution Version</w:t>
      </w:r>
    </w:p>
    <w:p>
      <w:pPr>
        <w:spacing w:after="0" w:line="200" w:lineRule="exact"/>
        <w:rPr>
          <w:sz w:val="20"/>
          <w:szCs w:val="20"/>
          <w:color w:val="auto"/>
        </w:rPr>
      </w:pPr>
    </w:p>
    <w:p>
      <w:pPr>
        <w:spacing w:after="0" w:line="284" w:lineRule="exact"/>
        <w:rPr>
          <w:sz w:val="20"/>
          <w:szCs w:val="20"/>
          <w:color w:val="auto"/>
        </w:rPr>
      </w:pPr>
    </w:p>
    <w:p>
      <w:pPr>
        <w:ind w:left="4240"/>
        <w:spacing w:after="0"/>
        <w:rPr>
          <w:sz w:val="20"/>
          <w:szCs w:val="20"/>
          <w:color w:val="auto"/>
        </w:rPr>
      </w:pPr>
      <w:r>
        <w:rPr>
          <w:rFonts w:ascii="Arial" w:cs="Arial" w:eastAsia="Arial" w:hAnsi="Arial"/>
          <w:sz w:val="19"/>
          <w:szCs w:val="19"/>
          <w:color w:val="auto"/>
        </w:rPr>
        <w:t>Published Deal CUSIP Number Published Revolver CUSIP Number:</w:t>
      </w:r>
    </w:p>
    <w:p>
      <w:pPr>
        <w:spacing w:after="0" w:line="81" w:lineRule="exact"/>
        <w:rPr>
          <w:sz w:val="20"/>
          <w:szCs w:val="20"/>
          <w:color w:val="auto"/>
        </w:rPr>
      </w:pPr>
    </w:p>
    <w:p>
      <w:pPr>
        <w:ind w:left="880"/>
        <w:spacing w:after="0" w:line="228" w:lineRule="exact"/>
        <w:rPr>
          <w:sz w:val="20"/>
          <w:szCs w:val="20"/>
          <w:color w:val="auto"/>
        </w:rPr>
      </w:pPr>
      <w:r>
        <w:rPr>
          <w:rFonts w:ascii="PMingLiU" w:cs="PMingLiU" w:eastAsia="PMingLiU" w:hAnsi="PMingLiU"/>
          <w:sz w:val="19"/>
          <w:szCs w:val="19"/>
          <w:color w:val="auto"/>
        </w:rPr>
        <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40" w:top="1440" w:right="1419" w:bottom="1440" w:gutter="0" w:footer="0" w:header="0"/>
        </w:sectPr>
      </w:pPr>
    </w:p>
    <w:bookmarkStart w:id="61" w:name="page62"/>
    <w:bookmarkEnd w:id="61"/>
    <w:p>
      <w:pPr>
        <w:ind w:left="880"/>
        <w:spacing w:after="0"/>
        <w:rPr>
          <w:sz w:val="20"/>
          <w:szCs w:val="20"/>
          <w:color w:val="auto"/>
        </w:rPr>
      </w:pPr>
      <w:r>
        <w:rPr>
          <w:rFonts w:ascii="Arial" w:cs="Arial" w:eastAsia="Arial" w:hAnsi="Arial"/>
          <w:sz w:val="19"/>
          <w:szCs w:val="19"/>
          <w:color w:val="auto"/>
        </w:rPr>
        <w:t>24477GAA6</w:t>
      </w:r>
    </w:p>
    <w:p>
      <w:pPr>
        <w:ind w:left="880"/>
        <w:spacing w:after="0"/>
        <w:rPr>
          <w:sz w:val="20"/>
          <w:szCs w:val="20"/>
          <w:color w:val="auto"/>
        </w:rPr>
      </w:pPr>
      <w:r>
        <w:rPr>
          <w:rFonts w:ascii="Arial" w:cs="Arial" w:eastAsia="Arial" w:hAnsi="Arial"/>
          <w:sz w:val="19"/>
          <w:szCs w:val="19"/>
          <w:color w:val="auto"/>
        </w:rPr>
        <w:t>24477GAB4</w:t>
      </w:r>
    </w:p>
    <w:p>
      <w:pPr>
        <w:spacing w:after="0" w:line="184" w:lineRule="exact"/>
        <w:rPr>
          <w:sz w:val="20"/>
          <w:szCs w:val="20"/>
          <w:color w:val="auto"/>
        </w:rPr>
      </w:pPr>
    </w:p>
    <w:p>
      <w:pPr>
        <w:jc w:val="right"/>
        <w:ind w:right="1519"/>
        <w:spacing w:after="0"/>
        <w:tabs>
          <w:tab w:leader="none" w:pos="940" w:val="left"/>
        </w:tabs>
        <w:rPr>
          <w:sz w:val="20"/>
          <w:szCs w:val="20"/>
          <w:color w:val="auto"/>
        </w:rPr>
      </w:pPr>
      <w:r>
        <w:rPr>
          <w:rFonts w:ascii="Arial" w:cs="Arial" w:eastAsia="Arial" w:hAnsi="Arial"/>
          <w:sz w:val="19"/>
          <w:szCs w:val="19"/>
          <w:color w:val="auto"/>
        </w:rPr>
        <w:t>Published Term Loan A CUSIP Number:</w:t>
      </w:r>
      <w:r>
        <w:rPr>
          <w:sz w:val="20"/>
          <w:szCs w:val="20"/>
          <w:color w:val="auto"/>
        </w:rPr>
        <w:tab/>
      </w:r>
      <w:r>
        <w:rPr>
          <w:rFonts w:ascii="Arial" w:cs="Arial" w:eastAsia="Arial" w:hAnsi="Arial"/>
          <w:sz w:val="17"/>
          <w:szCs w:val="17"/>
          <w:color w:val="auto"/>
        </w:rPr>
        <w:t>24477GAC2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20"/>
        <w:spacing w:after="0"/>
        <w:rPr>
          <w:sz w:val="20"/>
          <w:szCs w:val="20"/>
          <w:color w:val="auto"/>
        </w:rPr>
      </w:pPr>
      <w:r>
        <w:rPr>
          <w:rFonts w:ascii="Arial" w:cs="Arial" w:eastAsia="Arial" w:hAnsi="Arial"/>
          <w:sz w:val="19"/>
          <w:szCs w:val="19"/>
          <w:color w:val="auto"/>
        </w:rPr>
        <w:t>CREDIT AGREEMENT</w:t>
      </w:r>
    </w:p>
    <w:p>
      <w:pPr>
        <w:spacing w:after="0" w:line="200" w:lineRule="exact"/>
        <w:rPr>
          <w:sz w:val="20"/>
          <w:szCs w:val="20"/>
          <w:color w:val="auto"/>
        </w:rPr>
      </w:pPr>
    </w:p>
    <w:p>
      <w:pPr>
        <w:jc w:val="center"/>
        <w:ind w:right="-120"/>
        <w:spacing w:after="0"/>
        <w:rPr>
          <w:sz w:val="20"/>
          <w:szCs w:val="20"/>
          <w:color w:val="auto"/>
        </w:rPr>
      </w:pPr>
      <w:r>
        <w:rPr>
          <w:rFonts w:ascii="Arial" w:cs="Arial" w:eastAsia="Arial" w:hAnsi="Arial"/>
          <w:sz w:val="19"/>
          <w:szCs w:val="19"/>
          <w:color w:val="auto"/>
        </w:rPr>
        <w:t>dated as of September 17, 2021</w:t>
      </w:r>
      <w:r>
        <w:rPr>
          <w:rFonts w:ascii="Arial" w:cs="Arial" w:eastAsia="Arial" w:hAnsi="Arial"/>
          <w:sz w:val="19"/>
          <w:szCs w:val="19"/>
          <w:color w:val="0000FF"/>
        </w:rPr>
        <w:t>,</w:t>
      </w:r>
    </w:p>
    <w:p>
      <w:pPr>
        <w:spacing w:after="0" w:line="14" w:lineRule="exact"/>
        <w:rPr>
          <w:sz w:val="20"/>
          <w:szCs w:val="20"/>
          <w:color w:val="auto"/>
        </w:rPr>
      </w:pPr>
    </w:p>
    <w:p>
      <w:pPr>
        <w:jc w:val="center"/>
        <w:ind w:right="-120"/>
        <w:spacing w:after="0"/>
        <w:rPr>
          <w:sz w:val="20"/>
          <w:szCs w:val="20"/>
          <w:color w:val="auto"/>
        </w:rPr>
      </w:pPr>
      <w:r>
        <w:rPr>
          <w:rFonts w:ascii="Arial" w:cs="Arial" w:eastAsia="Arial" w:hAnsi="Arial"/>
          <w:sz w:val="19"/>
          <w:szCs w:val="19"/>
          <w:u w:val="single" w:color="auto"/>
          <w:color w:val="0000FF"/>
        </w:rPr>
        <w:t>as amended by Amendment No. 1, dated as of October 31, 2022</w:t>
      </w:r>
    </w:p>
    <w:p>
      <w:pPr>
        <w:spacing w:after="0" w:line="279" w:lineRule="exact"/>
        <w:rPr>
          <w:sz w:val="20"/>
          <w:szCs w:val="20"/>
          <w:color w:val="auto"/>
        </w:rPr>
      </w:pPr>
    </w:p>
    <w:p>
      <w:pPr>
        <w:ind w:left="4860"/>
        <w:spacing w:after="0"/>
        <w:rPr>
          <w:sz w:val="20"/>
          <w:szCs w:val="20"/>
          <w:color w:val="auto"/>
        </w:rPr>
      </w:pPr>
      <w:r>
        <w:rPr>
          <w:rFonts w:ascii="Arial" w:cs="Arial" w:eastAsia="Arial" w:hAnsi="Arial"/>
          <w:sz w:val="19"/>
          <w:szCs w:val="19"/>
          <w:color w:val="auto"/>
        </w:rPr>
        <w:t>among</w:t>
      </w:r>
    </w:p>
    <w:p>
      <w:pPr>
        <w:spacing w:after="0" w:line="200" w:lineRule="exact"/>
        <w:rPr>
          <w:sz w:val="20"/>
          <w:szCs w:val="20"/>
          <w:color w:val="auto"/>
        </w:rPr>
      </w:pPr>
    </w:p>
    <w:p>
      <w:pPr>
        <w:ind w:left="3200"/>
        <w:spacing w:after="0"/>
        <w:rPr>
          <w:sz w:val="20"/>
          <w:szCs w:val="20"/>
          <w:color w:val="auto"/>
        </w:rPr>
      </w:pPr>
      <w:r>
        <w:rPr>
          <w:rFonts w:ascii="Arial" w:cs="Arial" w:eastAsia="Arial" w:hAnsi="Arial"/>
          <w:sz w:val="19"/>
          <w:szCs w:val="19"/>
          <w:color w:val="auto"/>
        </w:rPr>
        <w:t>DEFINITIVE HEALTHCARE HOLDINGS, LLC,</w:t>
      </w:r>
    </w:p>
    <w:p>
      <w:pPr>
        <w:spacing w:after="0" w:line="25"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as the Borrower,</w:t>
      </w:r>
    </w:p>
    <w:p>
      <w:pPr>
        <w:spacing w:after="0" w:line="187"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AIDH BUYER, LLC,</w:t>
      </w:r>
    </w:p>
    <w:p>
      <w:pPr>
        <w:spacing w:after="0" w:line="25" w:lineRule="exact"/>
        <w:rPr>
          <w:sz w:val="20"/>
          <w:szCs w:val="20"/>
          <w:color w:val="auto"/>
        </w:rPr>
      </w:pPr>
    </w:p>
    <w:p>
      <w:pPr>
        <w:ind w:left="4660"/>
        <w:spacing w:after="0"/>
        <w:rPr>
          <w:sz w:val="20"/>
          <w:szCs w:val="20"/>
          <w:color w:val="auto"/>
        </w:rPr>
      </w:pPr>
      <w:r>
        <w:rPr>
          <w:rFonts w:ascii="Arial" w:cs="Arial" w:eastAsia="Arial" w:hAnsi="Arial"/>
          <w:sz w:val="19"/>
          <w:szCs w:val="19"/>
          <w:color w:val="auto"/>
        </w:rPr>
        <w:t>as Holdings,</w:t>
      </w:r>
    </w:p>
    <w:p>
      <w:pPr>
        <w:spacing w:after="0" w:line="200" w:lineRule="exact"/>
        <w:rPr>
          <w:sz w:val="20"/>
          <w:szCs w:val="20"/>
          <w:color w:val="auto"/>
        </w:rPr>
      </w:pPr>
    </w:p>
    <w:p>
      <w:pPr>
        <w:ind w:left="3020"/>
        <w:spacing w:after="0"/>
        <w:rPr>
          <w:sz w:val="20"/>
          <w:szCs w:val="20"/>
          <w:color w:val="auto"/>
        </w:rPr>
      </w:pPr>
      <w:r>
        <w:rPr>
          <w:rFonts w:ascii="Arial" w:cs="Arial" w:eastAsia="Arial" w:hAnsi="Arial"/>
          <w:sz w:val="19"/>
          <w:szCs w:val="19"/>
          <w:color w:val="auto"/>
        </w:rPr>
        <w:t>THE FINANCIAL INSTITUTIONS PARTY HERETO</w:t>
      </w:r>
    </w:p>
    <w:p>
      <w:pPr>
        <w:spacing w:after="0" w:line="119"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as Lenders and Issuing Banks, and</w:t>
      </w:r>
    </w:p>
    <w:p>
      <w:pPr>
        <w:spacing w:after="0" w:line="119"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BANK OF AMERICA, N.A.,</w:t>
      </w:r>
    </w:p>
    <w:p>
      <w:pPr>
        <w:spacing w:after="0" w:line="25" w:lineRule="exact"/>
        <w:rPr>
          <w:sz w:val="20"/>
          <w:szCs w:val="20"/>
          <w:color w:val="auto"/>
        </w:rPr>
      </w:pPr>
    </w:p>
    <w:p>
      <w:pPr>
        <w:jc w:val="center"/>
        <w:ind w:right="-120"/>
        <w:spacing w:after="0"/>
        <w:rPr>
          <w:sz w:val="20"/>
          <w:szCs w:val="20"/>
          <w:color w:val="auto"/>
        </w:rPr>
      </w:pPr>
      <w:r>
        <w:rPr>
          <w:rFonts w:ascii="Arial" w:cs="Arial" w:eastAsia="Arial" w:hAnsi="Arial"/>
          <w:sz w:val="19"/>
          <w:szCs w:val="19"/>
          <w:color w:val="auto"/>
        </w:rPr>
        <w:t>as Administrative Agent, an Issuing Bank and Swingline Lender,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3959"/>
        <w:spacing w:after="0"/>
        <w:rPr>
          <w:sz w:val="20"/>
          <w:szCs w:val="20"/>
          <w:color w:val="auto"/>
        </w:rPr>
      </w:pPr>
      <w:r>
        <w:rPr>
          <w:rFonts w:ascii="Arial" w:cs="Arial" w:eastAsia="Arial" w:hAnsi="Arial"/>
          <w:sz w:val="19"/>
          <w:szCs w:val="19"/>
          <w:color w:val="auto"/>
        </w:rPr>
        <w:t>BOFA SECURITIES, INC.,</w:t>
      </w:r>
    </w:p>
    <w:p>
      <w:pPr>
        <w:spacing w:after="0" w:line="22" w:lineRule="exact"/>
        <w:rPr>
          <w:sz w:val="20"/>
          <w:szCs w:val="20"/>
          <w:color w:val="auto"/>
        </w:rPr>
      </w:pPr>
    </w:p>
    <w:p>
      <w:pPr>
        <w:jc w:val="right"/>
        <w:ind w:right="3979"/>
        <w:spacing w:after="0"/>
        <w:rPr>
          <w:sz w:val="20"/>
          <w:szCs w:val="20"/>
          <w:color w:val="auto"/>
        </w:rPr>
      </w:pPr>
      <w:r>
        <w:rPr>
          <w:rFonts w:ascii="Arial" w:cs="Arial" w:eastAsia="Arial" w:hAnsi="Arial"/>
          <w:sz w:val="19"/>
          <w:szCs w:val="19"/>
          <w:color w:val="auto"/>
        </w:rPr>
        <w:t>BARCLAYS BANK PLC,</w:t>
      </w:r>
    </w:p>
    <w:p>
      <w:pPr>
        <w:spacing w:after="0" w:line="14"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CREDIT SUISSE LOAN FUNDING LLC,</w:t>
      </w:r>
    </w:p>
    <w:p>
      <w:pPr>
        <w:spacing w:after="0" w:line="25"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DEUTSCHE BANK SECURITIES INC.,</w:t>
      </w:r>
    </w:p>
    <w:p>
      <w:pPr>
        <w:spacing w:after="0" w:line="22"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GOLDMAN SACHS BANK USA, JPMORGAN</w:t>
      </w:r>
    </w:p>
    <w:p>
      <w:pPr>
        <w:spacing w:after="0" w:line="14" w:lineRule="exact"/>
        <w:rPr>
          <w:sz w:val="20"/>
          <w:szCs w:val="20"/>
          <w:color w:val="auto"/>
        </w:rPr>
      </w:pPr>
    </w:p>
    <w:p>
      <w:pPr>
        <w:jc w:val="center"/>
        <w:ind w:right="-120"/>
        <w:spacing w:after="0"/>
        <w:rPr>
          <w:sz w:val="20"/>
          <w:szCs w:val="20"/>
          <w:color w:val="auto"/>
        </w:rPr>
      </w:pPr>
      <w:r>
        <w:rPr>
          <w:rFonts w:ascii="Arial" w:cs="Arial" w:eastAsia="Arial" w:hAnsi="Arial"/>
          <w:sz w:val="19"/>
          <w:szCs w:val="19"/>
          <w:color w:val="auto"/>
        </w:rPr>
        <w:t>CHASE BANK, N.A.,</w:t>
      </w:r>
    </w:p>
    <w:p>
      <w:pPr>
        <w:spacing w:after="0" w:line="14" w:lineRule="exact"/>
        <w:rPr>
          <w:sz w:val="20"/>
          <w:szCs w:val="20"/>
          <w:color w:val="auto"/>
        </w:rPr>
      </w:pPr>
    </w:p>
    <w:p>
      <w:pPr>
        <w:jc w:val="center"/>
        <w:ind w:right="-120"/>
        <w:spacing w:after="0"/>
        <w:rPr>
          <w:sz w:val="20"/>
          <w:szCs w:val="20"/>
          <w:color w:val="auto"/>
        </w:rPr>
      </w:pPr>
      <w:r>
        <w:rPr>
          <w:rFonts w:ascii="Arial" w:cs="Arial" w:eastAsia="Arial" w:hAnsi="Arial"/>
          <w:sz w:val="19"/>
          <w:szCs w:val="19"/>
          <w:color w:val="auto"/>
        </w:rPr>
        <w:t>MORGAN STANLEY SENIOR FUNDING, INC.</w:t>
      </w:r>
    </w:p>
    <w:p>
      <w:pPr>
        <w:spacing w:after="0" w:line="22"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and</w:t>
      </w:r>
    </w:p>
    <w:p>
      <w:pPr>
        <w:spacing w:after="0" w:line="25" w:lineRule="exact"/>
        <w:rPr>
          <w:sz w:val="20"/>
          <w:szCs w:val="20"/>
          <w:color w:val="auto"/>
        </w:rPr>
      </w:pPr>
    </w:p>
    <w:p>
      <w:pPr>
        <w:ind w:left="4080"/>
        <w:spacing w:after="0"/>
        <w:rPr>
          <w:sz w:val="20"/>
          <w:szCs w:val="20"/>
          <w:color w:val="auto"/>
        </w:rPr>
      </w:pPr>
      <w:r>
        <w:rPr>
          <w:rFonts w:ascii="Arial" w:cs="Arial" w:eastAsia="Arial" w:hAnsi="Arial"/>
          <w:sz w:val="19"/>
          <w:szCs w:val="19"/>
          <w:color w:val="auto"/>
        </w:rPr>
        <w:t>STIFEL BANK &amp; TRUST,</w:t>
      </w:r>
    </w:p>
    <w:p>
      <w:pPr>
        <w:spacing w:after="0" w:line="22" w:lineRule="exact"/>
        <w:rPr>
          <w:sz w:val="20"/>
          <w:szCs w:val="20"/>
          <w:color w:val="auto"/>
        </w:rPr>
      </w:pPr>
    </w:p>
    <w:p>
      <w:pPr>
        <w:jc w:val="center"/>
        <w:ind w:right="-120"/>
        <w:spacing w:after="0"/>
        <w:rPr>
          <w:sz w:val="20"/>
          <w:szCs w:val="20"/>
          <w:color w:val="auto"/>
        </w:rPr>
      </w:pPr>
      <w:r>
        <w:rPr>
          <w:rFonts w:ascii="Arial" w:cs="Arial" w:eastAsia="Arial" w:hAnsi="Arial"/>
          <w:sz w:val="19"/>
          <w:szCs w:val="19"/>
          <w:color w:val="auto"/>
        </w:rPr>
        <w:t>as Joint Lead Arrangers and Joint Bookrunners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98" w:right="1440" w:bottom="1440" w:gutter="0" w:footer="0" w:header="0"/>
        </w:sectPr>
      </w:pPr>
    </w:p>
    <w:bookmarkStart w:id="62" w:name="page63"/>
    <w:bookmarkEnd w:id="62"/>
    <w:p>
      <w:pPr>
        <w:ind w:left="140"/>
        <w:spacing w:after="0"/>
        <w:rPr>
          <w:sz w:val="20"/>
          <w:szCs w:val="20"/>
          <w:color w:val="auto"/>
        </w:rPr>
      </w:pPr>
      <w:r>
        <w:rPr>
          <w:rFonts w:ascii="Arial" w:cs="Arial" w:eastAsia="Arial" w:hAnsi="Arial"/>
          <w:sz w:val="13"/>
          <w:szCs w:val="13"/>
          <w:color w:val="auto"/>
        </w:rPr>
        <w:t>WEIL:\98093729\19\40590.0004</w:t>
      </w:r>
    </w:p>
    <w:p>
      <w:pPr>
        <w:spacing w:after="0" w:line="253" w:lineRule="exact"/>
        <w:rPr>
          <w:sz w:val="20"/>
          <w:szCs w:val="20"/>
          <w:color w:val="auto"/>
        </w:rPr>
      </w:pPr>
    </w:p>
    <w:p>
      <w:pPr>
        <w:jc w:val="center"/>
        <w:ind w:right="220"/>
        <w:spacing w:after="0"/>
        <w:rPr>
          <w:sz w:val="20"/>
          <w:szCs w:val="20"/>
          <w:color w:val="auto"/>
        </w:rPr>
      </w:pPr>
      <w:r>
        <w:rPr>
          <w:rFonts w:ascii="Arial" w:cs="Arial" w:eastAsia="Arial" w:hAnsi="Arial"/>
          <w:sz w:val="19"/>
          <w:szCs w:val="19"/>
          <w:color w:val="auto"/>
        </w:rPr>
        <w:t>TABLE OF CONTENTS</w:t>
      </w:r>
    </w:p>
    <w:p>
      <w:pPr>
        <w:spacing w:after="0" w:line="274" w:lineRule="exact"/>
        <w:rPr>
          <w:sz w:val="20"/>
          <w:szCs w:val="20"/>
          <w:color w:val="auto"/>
        </w:rPr>
      </w:pPr>
    </w:p>
    <w:tbl>
      <w:tblPr>
        <w:tblLayout w:type="fixed"/>
        <w:tblInd w:w="100" w:type="dxa"/>
        <w:tblCellMar>
          <w:top w:w="0" w:type="dxa"/>
          <w:left w:w="0" w:type="dxa"/>
          <w:bottom w:w="0" w:type="dxa"/>
          <w:right w:w="0" w:type="dxa"/>
        </w:tblCellMar>
      </w:tblPr>
      <w:tr>
        <w:trPr>
          <w:trHeight w:val="218"/>
        </w:trPr>
        <w:tc>
          <w:tcPr>
            <w:tcW w:w="10360" w:type="dxa"/>
            <w:vAlign w:val="bottom"/>
            <w:gridSpan w:val="70"/>
          </w:tcPr>
          <w:p>
            <w:pPr>
              <w:spacing w:after="0"/>
              <w:rPr>
                <w:sz w:val="20"/>
                <w:szCs w:val="20"/>
                <w:color w:val="auto"/>
              </w:rPr>
            </w:pPr>
            <w:r>
              <w:rPr>
                <w:rFonts w:ascii="Arial" w:cs="Arial" w:eastAsia="Arial" w:hAnsi="Arial"/>
                <w:sz w:val="19"/>
                <w:szCs w:val="19"/>
                <w:color w:val="auto"/>
              </w:rPr>
              <w:t>Page</w:t>
            </w:r>
          </w:p>
        </w:tc>
        <w:tc>
          <w:tcPr>
            <w:tcW w:w="0" w:type="dxa"/>
            <w:vAlign w:val="bottom"/>
          </w:tcPr>
          <w:p>
            <w:pPr>
              <w:spacing w:after="0"/>
              <w:rPr>
                <w:sz w:val="1"/>
                <w:szCs w:val="1"/>
                <w:color w:val="auto"/>
              </w:rPr>
            </w:pPr>
          </w:p>
        </w:tc>
      </w:tr>
      <w:tr>
        <w:trPr>
          <w:trHeight w:val="738"/>
        </w:trPr>
        <w:tc>
          <w:tcPr>
            <w:tcW w:w="9680" w:type="dxa"/>
            <w:vAlign w:val="bottom"/>
            <w:gridSpan w:val="68"/>
          </w:tcPr>
          <w:p>
            <w:pPr>
              <w:spacing w:after="0"/>
              <w:rPr>
                <w:sz w:val="20"/>
                <w:szCs w:val="20"/>
                <w:color w:val="auto"/>
              </w:rPr>
            </w:pPr>
            <w:r>
              <w:rPr>
                <w:rFonts w:ascii="Arial" w:cs="Arial" w:eastAsia="Arial" w:hAnsi="Arial"/>
                <w:sz w:val="19"/>
                <w:szCs w:val="19"/>
                <w:color w:val="auto"/>
              </w:rPr>
              <w:t>ARTICLE 1</w:t>
            </w:r>
          </w:p>
        </w:tc>
        <w:tc>
          <w:tcPr>
            <w:tcW w:w="3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360" w:type="dxa"/>
            <w:vAlign w:val="bottom"/>
            <w:gridSpan w:val="70"/>
          </w:tcPr>
          <w:p>
            <w:pPr>
              <w:spacing w:after="0"/>
              <w:rPr>
                <w:sz w:val="20"/>
                <w:szCs w:val="20"/>
                <w:color w:val="auto"/>
              </w:rPr>
            </w:pPr>
            <w:r>
              <w:rPr>
                <w:rFonts w:ascii="Arial" w:cs="Arial" w:eastAsia="Arial" w:hAnsi="Arial"/>
                <w:sz w:val="19"/>
                <w:szCs w:val="19"/>
                <w:color w:val="auto"/>
              </w:rPr>
              <w:t>DEFINITIONS</w:t>
            </w:r>
          </w:p>
        </w:tc>
        <w:tc>
          <w:tcPr>
            <w:tcW w:w="0" w:type="dxa"/>
            <w:vAlign w:val="bottom"/>
          </w:tcPr>
          <w:p>
            <w:pPr>
              <w:spacing w:after="0"/>
              <w:rPr>
                <w:sz w:val="1"/>
                <w:szCs w:val="1"/>
                <w:color w:val="auto"/>
              </w:rPr>
            </w:pPr>
          </w:p>
        </w:tc>
      </w:tr>
      <w:tr>
        <w:trPr>
          <w:trHeight w:val="282"/>
        </w:trPr>
        <w:tc>
          <w:tcPr>
            <w:tcW w:w="1120" w:type="dxa"/>
            <w:vAlign w:val="bottom"/>
            <w:gridSpan w:val="5"/>
          </w:tcPr>
          <w:p>
            <w:pPr>
              <w:spacing w:after="0"/>
              <w:rPr>
                <w:sz w:val="20"/>
                <w:szCs w:val="20"/>
                <w:color w:val="auto"/>
              </w:rPr>
            </w:pPr>
            <w:r>
              <w:rPr>
                <w:rFonts w:ascii="Arial" w:cs="Arial" w:eastAsia="Arial" w:hAnsi="Arial"/>
                <w:sz w:val="19"/>
                <w:szCs w:val="19"/>
                <w:color w:val="auto"/>
                <w:w w:val="99"/>
              </w:rPr>
              <w:t>Section 1.01.</w:t>
            </w:r>
          </w:p>
        </w:tc>
        <w:tc>
          <w:tcPr>
            <w:tcW w:w="1840" w:type="dxa"/>
            <w:vAlign w:val="bottom"/>
            <w:gridSpan w:val="14"/>
          </w:tcPr>
          <w:p>
            <w:pPr>
              <w:spacing w:after="0"/>
              <w:rPr>
                <w:sz w:val="20"/>
                <w:szCs w:val="20"/>
                <w:color w:val="auto"/>
              </w:rPr>
            </w:pPr>
            <w:r>
              <w:rPr>
                <w:rFonts w:ascii="Arial" w:cs="Arial" w:eastAsia="Arial" w:hAnsi="Arial"/>
                <w:sz w:val="19"/>
                <w:szCs w:val="19"/>
                <w:color w:val="auto"/>
              </w:rPr>
              <w:t>Defined Terms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8"/>
          </w:tcPr>
          <w:p>
            <w:pPr>
              <w:spacing w:after="0"/>
              <w:rPr>
                <w:sz w:val="20"/>
                <w:szCs w:val="20"/>
                <w:color w:val="auto"/>
              </w:rPr>
            </w:pPr>
            <w:r>
              <w:rPr>
                <w:rFonts w:ascii="Arial" w:cs="Arial" w:eastAsia="Arial" w:hAnsi="Arial"/>
                <w:sz w:val="19"/>
                <w:szCs w:val="19"/>
                <w:color w:val="auto"/>
              </w:rPr>
              <w:t>1 Section 1.02.</w:t>
            </w:r>
          </w:p>
        </w:tc>
        <w:tc>
          <w:tcPr>
            <w:tcW w:w="3040" w:type="dxa"/>
            <w:vAlign w:val="bottom"/>
            <w:gridSpan w:val="25"/>
          </w:tcPr>
          <w:p>
            <w:pPr>
              <w:spacing w:after="0"/>
              <w:rPr>
                <w:sz w:val="20"/>
                <w:szCs w:val="20"/>
                <w:color w:val="auto"/>
              </w:rPr>
            </w:pPr>
            <w:r>
              <w:rPr>
                <w:rFonts w:ascii="Arial" w:cs="Arial" w:eastAsia="Arial" w:hAnsi="Arial"/>
                <w:sz w:val="19"/>
                <w:szCs w:val="19"/>
                <w:color w:val="auto"/>
                <w:w w:val="91"/>
              </w:rPr>
              <w:t>Classification of Loans and Borrowings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6"/>
          </w:tcPr>
          <w:p>
            <w:pPr>
              <w:jc w:val="center"/>
              <w:ind w:right="320"/>
              <w:spacing w:after="0"/>
              <w:rPr>
                <w:sz w:val="20"/>
                <w:szCs w:val="20"/>
                <w:color w:val="auto"/>
              </w:rPr>
            </w:pPr>
            <w:r>
              <w:rPr>
                <w:rFonts w:ascii="Arial" w:cs="Arial" w:eastAsia="Arial" w:hAnsi="Arial"/>
                <w:sz w:val="19"/>
                <w:szCs w:val="19"/>
                <w:color w:val="auto"/>
                <w:w w:val="91"/>
              </w:rPr>
              <w:t>61 Section 1.03.</w:t>
            </w:r>
          </w:p>
        </w:tc>
        <w:tc>
          <w:tcPr>
            <w:tcW w:w="0" w:type="dxa"/>
            <w:vAlign w:val="bottom"/>
          </w:tcPr>
          <w:p>
            <w:pPr>
              <w:spacing w:after="0"/>
              <w:rPr>
                <w:sz w:val="1"/>
                <w:szCs w:val="1"/>
                <w:color w:val="auto"/>
              </w:rPr>
            </w:pPr>
          </w:p>
        </w:tc>
      </w:tr>
      <w:tr>
        <w:trPr>
          <w:trHeight w:val="183"/>
        </w:trPr>
        <w:tc>
          <w:tcPr>
            <w:tcW w:w="1440" w:type="dxa"/>
            <w:vAlign w:val="bottom"/>
            <w:gridSpan w:val="8"/>
          </w:tcPr>
          <w:p>
            <w:pPr>
              <w:spacing w:after="0" w:line="183" w:lineRule="exact"/>
              <w:rPr>
                <w:sz w:val="20"/>
                <w:szCs w:val="20"/>
                <w:color w:val="auto"/>
              </w:rPr>
            </w:pPr>
            <w:r>
              <w:rPr>
                <w:rFonts w:ascii="Arial" w:cs="Arial" w:eastAsia="Arial" w:hAnsi="Arial"/>
                <w:sz w:val="19"/>
                <w:szCs w:val="19"/>
                <w:color w:val="auto"/>
              </w:rPr>
              <w:t>Terms Generally</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gridSpan w:val="3"/>
          </w:tcPr>
          <w:p>
            <w:pPr>
              <w:jc w:val="right"/>
              <w:spacing w:after="0" w:line="183" w:lineRule="exact"/>
              <w:rPr>
                <w:sz w:val="20"/>
                <w:szCs w:val="20"/>
                <w:color w:val="auto"/>
              </w:rPr>
            </w:pPr>
            <w:r>
              <w:rPr>
                <w:rFonts w:ascii="Arial" w:cs="Arial" w:eastAsia="Arial" w:hAnsi="Arial"/>
                <w:sz w:val="19"/>
                <w:szCs w:val="19"/>
                <w:color w:val="auto"/>
              </w:rPr>
              <w:t>61</w:t>
            </w:r>
          </w:p>
        </w:tc>
        <w:tc>
          <w:tcPr>
            <w:tcW w:w="40" w:type="dxa"/>
            <w:vAlign w:val="bottom"/>
          </w:tcPr>
          <w:p>
            <w:pPr>
              <w:spacing w:after="0"/>
              <w:rPr>
                <w:sz w:val="15"/>
                <w:szCs w:val="15"/>
                <w:color w:val="auto"/>
              </w:rPr>
            </w:pPr>
          </w:p>
        </w:tc>
        <w:tc>
          <w:tcPr>
            <w:tcW w:w="1200" w:type="dxa"/>
            <w:vAlign w:val="bottom"/>
            <w:tcBorders>
              <w:top w:val="single" w:sz="8" w:color="auto"/>
            </w:tcBorders>
            <w:gridSpan w:val="9"/>
          </w:tcPr>
          <w:p>
            <w:pPr>
              <w:jc w:val="right"/>
              <w:ind w:right="146"/>
              <w:spacing w:after="0" w:line="183" w:lineRule="exact"/>
              <w:rPr>
                <w:sz w:val="20"/>
                <w:szCs w:val="20"/>
                <w:color w:val="auto"/>
              </w:rPr>
            </w:pPr>
            <w:r>
              <w:rPr>
                <w:rFonts w:ascii="Arial" w:cs="Arial" w:eastAsia="Arial" w:hAnsi="Arial"/>
                <w:sz w:val="19"/>
                <w:szCs w:val="19"/>
                <w:color w:val="auto"/>
                <w:w w:val="84"/>
              </w:rPr>
              <w:t>Section 1.04.</w:t>
            </w:r>
          </w:p>
        </w:tc>
        <w:tc>
          <w:tcPr>
            <w:tcW w:w="2080" w:type="dxa"/>
            <w:vAlign w:val="bottom"/>
            <w:gridSpan w:val="14"/>
          </w:tcPr>
          <w:p>
            <w:pPr>
              <w:spacing w:after="0" w:line="183" w:lineRule="exact"/>
              <w:rPr>
                <w:sz w:val="20"/>
                <w:szCs w:val="20"/>
                <w:color w:val="auto"/>
              </w:rPr>
            </w:pPr>
            <w:r>
              <w:rPr>
                <w:rFonts w:ascii="Arial" w:cs="Arial" w:eastAsia="Arial" w:hAnsi="Arial"/>
                <w:sz w:val="19"/>
                <w:szCs w:val="19"/>
                <w:color w:val="auto"/>
                <w:w w:val="95"/>
              </w:rPr>
              <w:t>Accounting Terms; GAAP</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10"/>
          </w:tcPr>
          <w:p>
            <w:pPr>
              <w:spacing w:after="0" w:line="183" w:lineRule="exact"/>
              <w:rPr>
                <w:sz w:val="20"/>
                <w:szCs w:val="20"/>
                <w:color w:val="auto"/>
              </w:rPr>
            </w:pPr>
            <w:r>
              <w:rPr>
                <w:rFonts w:ascii="Arial" w:cs="Arial" w:eastAsia="Arial" w:hAnsi="Arial"/>
                <w:sz w:val="19"/>
                <w:szCs w:val="19"/>
                <w:color w:val="auto"/>
                <w:w w:val="94"/>
              </w:rPr>
              <w:t>63 Section 1.05.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top w:val="single" w:sz="8" w:color="auto"/>
            </w:tcBorders>
            <w:gridSpan w:val="6"/>
          </w:tcPr>
          <w:p>
            <w:pPr>
              <w:spacing w:after="0" w:line="183" w:lineRule="exact"/>
              <w:rPr>
                <w:sz w:val="20"/>
                <w:szCs w:val="20"/>
                <w:color w:val="auto"/>
              </w:rPr>
            </w:pPr>
            <w:r>
              <w:rPr>
                <w:rFonts w:ascii="Arial" w:cs="Arial" w:eastAsia="Arial" w:hAnsi="Arial"/>
                <w:sz w:val="19"/>
                <w:szCs w:val="19"/>
                <w:color w:val="auto"/>
                <w:w w:val="75"/>
              </w:rPr>
              <w:t>Effectuation</w:t>
            </w:r>
          </w:p>
        </w:tc>
        <w:tc>
          <w:tcPr>
            <w:tcW w:w="1580" w:type="dxa"/>
            <w:vAlign w:val="bottom"/>
            <w:gridSpan w:val="6"/>
          </w:tcPr>
          <w:p>
            <w:pPr>
              <w:ind w:left="160"/>
              <w:spacing w:after="0" w:line="183" w:lineRule="exact"/>
              <w:rPr>
                <w:sz w:val="20"/>
                <w:szCs w:val="20"/>
                <w:color w:val="auto"/>
              </w:rPr>
            </w:pPr>
            <w:r>
              <w:rPr>
                <w:rFonts w:ascii="Arial" w:cs="Arial" w:eastAsia="Arial" w:hAnsi="Arial"/>
                <w:sz w:val="19"/>
                <w:szCs w:val="19"/>
                <w:color w:val="auto"/>
              </w:rPr>
              <w:t>of Transactions</w:t>
            </w:r>
          </w:p>
        </w:tc>
        <w:tc>
          <w:tcPr>
            <w:tcW w:w="0" w:type="dxa"/>
            <w:vAlign w:val="bottom"/>
          </w:tcPr>
          <w:p>
            <w:pPr>
              <w:spacing w:after="0"/>
              <w:rPr>
                <w:sz w:val="1"/>
                <w:szCs w:val="1"/>
                <w:color w:val="auto"/>
              </w:rPr>
            </w:pPr>
          </w:p>
        </w:tc>
      </w:tr>
      <w:tr>
        <w:trPr>
          <w:trHeight w:val="20"/>
        </w:trPr>
        <w:tc>
          <w:tcPr>
            <w:tcW w:w="1260" w:type="dxa"/>
            <w:vAlign w:val="bottom"/>
            <w:gridSpan w:val="7"/>
            <w:vMerge w:val="restart"/>
          </w:tcPr>
          <w:p>
            <w:pPr>
              <w:spacing w:after="0" w:line="203" w:lineRule="exact"/>
              <w:rPr>
                <w:sz w:val="20"/>
                <w:szCs w:val="20"/>
                <w:color w:val="auto"/>
              </w:rPr>
            </w:pPr>
            <w:r>
              <w:rPr>
                <w:rFonts w:ascii="Arial" w:cs="Arial" w:eastAsia="Arial" w:hAnsi="Arial"/>
                <w:sz w:val="19"/>
                <w:szCs w:val="19"/>
                <w:color w:val="auto"/>
                <w:w w:val="90"/>
              </w:rPr>
              <w:t>64 Section 1.06.</w:t>
            </w:r>
          </w:p>
        </w:tc>
        <w:tc>
          <w:tcPr>
            <w:tcW w:w="2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0" w:type="dxa"/>
            <w:vAlign w:val="bottom"/>
            <w:gridSpan w:val="15"/>
            <w:vMerge w:val="restart"/>
          </w:tcPr>
          <w:p>
            <w:pPr>
              <w:ind w:left="20"/>
              <w:spacing w:after="0" w:line="203" w:lineRule="exact"/>
              <w:rPr>
                <w:sz w:val="20"/>
                <w:szCs w:val="20"/>
                <w:color w:val="auto"/>
              </w:rPr>
            </w:pPr>
            <w:r>
              <w:rPr>
                <w:rFonts w:ascii="Arial" w:cs="Arial" w:eastAsia="Arial" w:hAnsi="Arial"/>
                <w:sz w:val="19"/>
                <w:szCs w:val="19"/>
                <w:color w:val="auto"/>
                <w:w w:val="92"/>
              </w:rPr>
              <w:t>of Payment or Performance</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9"/>
            <w:vMerge w:val="restart"/>
          </w:tcPr>
          <w:p>
            <w:pPr>
              <w:spacing w:after="0" w:line="203" w:lineRule="exact"/>
              <w:rPr>
                <w:sz w:val="20"/>
                <w:szCs w:val="20"/>
                <w:color w:val="auto"/>
              </w:rPr>
            </w:pPr>
            <w:r>
              <w:rPr>
                <w:rFonts w:ascii="Arial" w:cs="Arial" w:eastAsia="Arial" w:hAnsi="Arial"/>
                <w:sz w:val="19"/>
                <w:szCs w:val="19"/>
                <w:color w:val="auto"/>
              </w:rPr>
              <w:t>Times of Day</w:t>
            </w: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gridSpan w:val="2"/>
            <w:vMerge w:val="restart"/>
          </w:tcPr>
          <w:p>
            <w:pPr>
              <w:jc w:val="right"/>
              <w:spacing w:after="0" w:line="203" w:lineRule="exact"/>
              <w:rPr>
                <w:sz w:val="20"/>
                <w:szCs w:val="20"/>
                <w:color w:val="auto"/>
              </w:rPr>
            </w:pPr>
            <w:r>
              <w:rPr>
                <w:rFonts w:ascii="Arial" w:cs="Arial" w:eastAsia="Arial" w:hAnsi="Arial"/>
                <w:sz w:val="19"/>
                <w:szCs w:val="19"/>
                <w:color w:val="FF0000"/>
                <w:strike w:val="1"/>
                <w:w w:val="84"/>
              </w:rPr>
              <w:t>64</w:t>
            </w:r>
          </w:p>
        </w:tc>
        <w:tc>
          <w:tcPr>
            <w:tcW w:w="1300" w:type="dxa"/>
            <w:vAlign w:val="bottom"/>
            <w:gridSpan w:val="8"/>
            <w:vMerge w:val="restart"/>
          </w:tcPr>
          <w:p>
            <w:pPr>
              <w:spacing w:after="0" w:line="203" w:lineRule="exact"/>
              <w:rPr>
                <w:sz w:val="20"/>
                <w:szCs w:val="20"/>
                <w:color w:val="auto"/>
              </w:rPr>
            </w:pPr>
            <w:r>
              <w:rPr>
                <w:rFonts w:ascii="Arial" w:cs="Arial" w:eastAsia="Arial" w:hAnsi="Arial"/>
                <w:sz w:val="19"/>
                <w:szCs w:val="19"/>
                <w:color w:val="0000FF"/>
                <w:w w:val="93"/>
              </w:rPr>
              <w:t xml:space="preserve">65 </w:t>
            </w:r>
            <w:r>
              <w:rPr>
                <w:rFonts w:ascii="Arial" w:cs="Arial" w:eastAsia="Arial" w:hAnsi="Arial"/>
                <w:sz w:val="19"/>
                <w:szCs w:val="19"/>
                <w:color w:val="000000"/>
                <w:w w:val="93"/>
              </w:rPr>
              <w:t>Section 1.08.</w:t>
            </w:r>
          </w:p>
        </w:tc>
        <w:tc>
          <w:tcPr>
            <w:tcW w:w="1060" w:type="dxa"/>
            <w:vAlign w:val="bottom"/>
            <w:gridSpan w:val="4"/>
            <w:vMerge w:val="restart"/>
          </w:tcPr>
          <w:p>
            <w:pPr>
              <w:ind w:left="140"/>
              <w:spacing w:after="0" w:line="203" w:lineRule="exact"/>
              <w:rPr>
                <w:sz w:val="20"/>
                <w:szCs w:val="20"/>
                <w:color w:val="auto"/>
              </w:rPr>
            </w:pPr>
            <w:r>
              <w:rPr>
                <w:rFonts w:ascii="Arial" w:cs="Arial" w:eastAsia="Arial" w:hAnsi="Arial"/>
                <w:sz w:val="19"/>
                <w:szCs w:val="19"/>
                <w:color w:val="auto"/>
              </w:rPr>
              <w:t>Currency</w:t>
            </w:r>
          </w:p>
        </w:tc>
        <w:tc>
          <w:tcPr>
            <w:tcW w:w="0" w:type="dxa"/>
            <w:vAlign w:val="bottom"/>
          </w:tcPr>
          <w:p>
            <w:pPr>
              <w:spacing w:after="0" w:line="20" w:lineRule="exact"/>
              <w:rPr>
                <w:sz w:val="1"/>
                <w:szCs w:val="1"/>
                <w:color w:val="auto"/>
              </w:rPr>
            </w:pPr>
          </w:p>
        </w:tc>
      </w:tr>
      <w:tr>
        <w:trPr>
          <w:trHeight w:val="183"/>
        </w:trPr>
        <w:tc>
          <w:tcPr>
            <w:tcW w:w="1260" w:type="dxa"/>
            <w:vAlign w:val="bottom"/>
            <w:gridSpan w:val="7"/>
            <w:vMerge w:val="continue"/>
          </w:tcPr>
          <w:p>
            <w:pPr>
              <w:spacing w:after="0"/>
              <w:rPr>
                <w:sz w:val="15"/>
                <w:szCs w:val="15"/>
                <w:color w:val="auto"/>
              </w:rPr>
            </w:pPr>
          </w:p>
        </w:tc>
        <w:tc>
          <w:tcPr>
            <w:tcW w:w="740" w:type="dxa"/>
            <w:vAlign w:val="bottom"/>
            <w:gridSpan w:val="6"/>
          </w:tcPr>
          <w:p>
            <w:pPr>
              <w:ind w:left="240"/>
              <w:spacing w:after="0" w:line="183" w:lineRule="exact"/>
              <w:rPr>
                <w:sz w:val="20"/>
                <w:szCs w:val="20"/>
                <w:color w:val="auto"/>
              </w:rPr>
            </w:pPr>
            <w:r>
              <w:rPr>
                <w:rFonts w:ascii="Arial" w:cs="Arial" w:eastAsia="Arial" w:hAnsi="Arial"/>
                <w:sz w:val="19"/>
                <w:szCs w:val="19"/>
                <w:color w:val="auto"/>
                <w:w w:val="84"/>
              </w:rPr>
              <w:t>Timing</w:t>
            </w:r>
          </w:p>
        </w:tc>
        <w:tc>
          <w:tcPr>
            <w:tcW w:w="120" w:type="dxa"/>
            <w:vAlign w:val="bottom"/>
            <w:vMerge w:val="continue"/>
          </w:tcPr>
          <w:p>
            <w:pPr>
              <w:spacing w:after="0"/>
              <w:rPr>
                <w:sz w:val="15"/>
                <w:szCs w:val="15"/>
                <w:color w:val="auto"/>
              </w:rPr>
            </w:pPr>
          </w:p>
        </w:tc>
        <w:tc>
          <w:tcPr>
            <w:tcW w:w="2200" w:type="dxa"/>
            <w:vAlign w:val="bottom"/>
            <w:gridSpan w:val="15"/>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gridSpan w:val="2"/>
          </w:tcPr>
          <w:p>
            <w:pPr>
              <w:jc w:val="right"/>
              <w:spacing w:after="0" w:line="183" w:lineRule="exact"/>
              <w:rPr>
                <w:sz w:val="20"/>
                <w:szCs w:val="20"/>
                <w:color w:val="auto"/>
              </w:rPr>
            </w:pPr>
            <w:r>
              <w:rPr>
                <w:rFonts w:ascii="Arial" w:cs="Arial" w:eastAsia="Arial" w:hAnsi="Arial"/>
                <w:sz w:val="19"/>
                <w:szCs w:val="19"/>
                <w:color w:val="FF0000"/>
                <w:strike w:val="1"/>
                <w:w w:val="75"/>
              </w:rPr>
              <w:t>64</w:t>
            </w:r>
          </w:p>
        </w:tc>
        <w:tc>
          <w:tcPr>
            <w:tcW w:w="1340" w:type="dxa"/>
            <w:vAlign w:val="bottom"/>
            <w:gridSpan w:val="10"/>
          </w:tcPr>
          <w:p>
            <w:pPr>
              <w:spacing w:after="0" w:line="183" w:lineRule="exact"/>
              <w:rPr>
                <w:sz w:val="20"/>
                <w:szCs w:val="20"/>
                <w:color w:val="auto"/>
              </w:rPr>
            </w:pPr>
            <w:r>
              <w:rPr>
                <w:rFonts w:ascii="Arial" w:cs="Arial" w:eastAsia="Arial" w:hAnsi="Arial"/>
                <w:sz w:val="19"/>
                <w:szCs w:val="19"/>
                <w:color w:val="0000FF"/>
                <w:w w:val="96"/>
              </w:rPr>
              <w:t xml:space="preserve">65 </w:t>
            </w:r>
            <w:r>
              <w:rPr>
                <w:rFonts w:ascii="Arial" w:cs="Arial" w:eastAsia="Arial" w:hAnsi="Arial"/>
                <w:sz w:val="19"/>
                <w:szCs w:val="19"/>
                <w:color w:val="000000"/>
                <w:w w:val="96"/>
              </w:rPr>
              <w:t>Section 1.07.</w:t>
            </w:r>
          </w:p>
        </w:tc>
        <w:tc>
          <w:tcPr>
            <w:tcW w:w="100" w:type="dxa"/>
            <w:vAlign w:val="bottom"/>
          </w:tcPr>
          <w:p>
            <w:pPr>
              <w:spacing w:after="0"/>
              <w:rPr>
                <w:sz w:val="15"/>
                <w:szCs w:val="15"/>
                <w:color w:val="auto"/>
              </w:rPr>
            </w:pPr>
          </w:p>
        </w:tc>
        <w:tc>
          <w:tcPr>
            <w:tcW w:w="1220" w:type="dxa"/>
            <w:vAlign w:val="bottom"/>
            <w:gridSpan w:val="9"/>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1300" w:type="dxa"/>
            <w:vAlign w:val="bottom"/>
            <w:gridSpan w:val="8"/>
            <w:vMerge w:val="continue"/>
          </w:tcPr>
          <w:p>
            <w:pPr>
              <w:spacing w:after="0"/>
              <w:rPr>
                <w:sz w:val="15"/>
                <w:szCs w:val="15"/>
                <w:color w:val="auto"/>
              </w:rPr>
            </w:pPr>
          </w:p>
        </w:tc>
        <w:tc>
          <w:tcPr>
            <w:tcW w:w="10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80" w:type="dxa"/>
            <w:vAlign w:val="bottom"/>
            <w:tcBorders>
              <w:right w:val="single" w:sz="8" w:color="0000FF"/>
            </w:tcBorders>
            <w:gridSpan w:val="37"/>
          </w:tcPr>
          <w:p>
            <w:pPr>
              <w:spacing w:after="0" w:line="20" w:lineRule="exact"/>
              <w:rPr>
                <w:sz w:val="1"/>
                <w:szCs w:val="1"/>
                <w:color w:val="auto"/>
              </w:rPr>
            </w:pPr>
          </w:p>
        </w:tc>
        <w:tc>
          <w:tcPr>
            <w:tcW w:w="2400" w:type="dxa"/>
            <w:vAlign w:val="bottom"/>
            <w:tcBorders>
              <w:right w:val="single" w:sz="8" w:color="FF0000"/>
            </w:tcBorders>
            <w:gridSpan w:val="16"/>
          </w:tcPr>
          <w:p>
            <w:pPr>
              <w:spacing w:after="0" w:line="20" w:lineRule="exact"/>
              <w:rPr>
                <w:sz w:val="1"/>
                <w:szCs w:val="1"/>
                <w:color w:val="auto"/>
              </w:rPr>
            </w:pPr>
          </w:p>
        </w:tc>
        <w:tc>
          <w:tcPr>
            <w:tcW w:w="160" w:type="dxa"/>
            <w:vAlign w:val="bottom"/>
            <w:tcBorders>
              <w:right w:val="single" w:sz="8" w:color="FF0000"/>
            </w:tcBorders>
            <w:gridSpan w:val="3"/>
            <w:shd w:val="clear" w:color="auto" w:fill="FF0000"/>
          </w:tcPr>
          <w:p>
            <w:pPr>
              <w:spacing w:after="0" w:line="20" w:lineRule="exact"/>
              <w:rPr>
                <w:sz w:val="1"/>
                <w:szCs w:val="1"/>
                <w:color w:val="auto"/>
              </w:rPr>
            </w:pPr>
          </w:p>
        </w:tc>
        <w:tc>
          <w:tcPr>
            <w:tcW w:w="2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80" w:type="dxa"/>
            <w:vAlign w:val="bottom"/>
            <w:tcBorders>
              <w:left w:val="single" w:sz="8" w:color="0000FF"/>
            </w:tcBorders>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11"/>
          </w:tcPr>
          <w:p>
            <w:pPr>
              <w:spacing w:after="0" w:line="196" w:lineRule="exact"/>
              <w:rPr>
                <w:sz w:val="20"/>
                <w:szCs w:val="20"/>
                <w:color w:val="auto"/>
              </w:rPr>
            </w:pPr>
            <w:r>
              <w:rPr>
                <w:rFonts w:ascii="Arial" w:cs="Arial" w:eastAsia="Arial" w:hAnsi="Arial"/>
                <w:sz w:val="19"/>
                <w:szCs w:val="19"/>
                <w:color w:val="auto"/>
                <w:w w:val="88"/>
              </w:rPr>
              <w:t>Equivalents Generally</w:t>
            </w:r>
          </w:p>
        </w:tc>
        <w:tc>
          <w:tcPr>
            <w:tcW w:w="200" w:type="dxa"/>
            <w:vAlign w:val="bottom"/>
          </w:tcPr>
          <w:p>
            <w:pPr>
              <w:spacing w:after="0"/>
              <w:rPr>
                <w:sz w:val="17"/>
                <w:szCs w:val="17"/>
                <w:color w:val="auto"/>
              </w:rPr>
            </w:pPr>
          </w:p>
        </w:tc>
        <w:tc>
          <w:tcPr>
            <w:tcW w:w="240" w:type="dxa"/>
            <w:vAlign w:val="bottom"/>
            <w:gridSpan w:val="2"/>
          </w:tcPr>
          <w:p>
            <w:pPr>
              <w:jc w:val="right"/>
              <w:ind w:right="40"/>
              <w:spacing w:after="0" w:line="196" w:lineRule="exact"/>
              <w:rPr>
                <w:sz w:val="20"/>
                <w:szCs w:val="20"/>
                <w:color w:val="auto"/>
              </w:rPr>
            </w:pPr>
            <w:r>
              <w:rPr>
                <w:rFonts w:ascii="Arial" w:cs="Arial" w:eastAsia="Arial" w:hAnsi="Arial"/>
                <w:sz w:val="19"/>
                <w:szCs w:val="19"/>
                <w:color w:val="FF0000"/>
                <w:strike w:val="1"/>
                <w:w w:val="84"/>
              </w:rPr>
              <w:t>64</w:t>
            </w:r>
          </w:p>
        </w:tc>
        <w:tc>
          <w:tcPr>
            <w:tcW w:w="2840" w:type="dxa"/>
            <w:vAlign w:val="bottom"/>
            <w:gridSpan w:val="19"/>
          </w:tcPr>
          <w:p>
            <w:pPr>
              <w:spacing w:after="0" w:line="196" w:lineRule="exact"/>
              <w:rPr>
                <w:sz w:val="20"/>
                <w:szCs w:val="20"/>
                <w:color w:val="auto"/>
              </w:rPr>
            </w:pPr>
            <w:r>
              <w:rPr>
                <w:rFonts w:ascii="Arial" w:cs="Arial" w:eastAsia="Arial" w:hAnsi="Arial"/>
                <w:sz w:val="19"/>
                <w:szCs w:val="19"/>
                <w:color w:val="0000FF"/>
                <w:w w:val="91"/>
              </w:rPr>
              <w:t xml:space="preserve">65 </w:t>
            </w:r>
            <w:r>
              <w:rPr>
                <w:rFonts w:ascii="Arial" w:cs="Arial" w:eastAsia="Arial" w:hAnsi="Arial"/>
                <w:sz w:val="19"/>
                <w:szCs w:val="19"/>
                <w:color w:val="000000"/>
                <w:w w:val="91"/>
              </w:rPr>
              <w:t>Section 1.09. Cashless Rollovers</w:t>
            </w:r>
          </w:p>
        </w:tc>
        <w:tc>
          <w:tcPr>
            <w:tcW w:w="220" w:type="dxa"/>
            <w:vAlign w:val="bottom"/>
            <w:gridSpan w:val="4"/>
          </w:tcPr>
          <w:p>
            <w:pPr>
              <w:jc w:val="right"/>
              <w:ind w:right="40"/>
              <w:spacing w:after="0" w:line="196" w:lineRule="exact"/>
              <w:rPr>
                <w:sz w:val="20"/>
                <w:szCs w:val="20"/>
                <w:color w:val="auto"/>
              </w:rPr>
            </w:pPr>
            <w:r>
              <w:rPr>
                <w:rFonts w:ascii="Arial" w:cs="Arial" w:eastAsia="Arial" w:hAnsi="Arial"/>
                <w:sz w:val="19"/>
                <w:szCs w:val="19"/>
                <w:color w:val="FF0000"/>
                <w:strike w:val="1"/>
                <w:w w:val="75"/>
              </w:rPr>
              <w:t>65</w:t>
            </w:r>
          </w:p>
        </w:tc>
        <w:tc>
          <w:tcPr>
            <w:tcW w:w="2820" w:type="dxa"/>
            <w:vAlign w:val="bottom"/>
            <w:gridSpan w:val="21"/>
          </w:tcPr>
          <w:p>
            <w:pPr>
              <w:spacing w:after="0" w:line="196" w:lineRule="exact"/>
              <w:rPr>
                <w:sz w:val="20"/>
                <w:szCs w:val="20"/>
                <w:color w:val="auto"/>
              </w:rPr>
            </w:pPr>
            <w:r>
              <w:rPr>
                <w:rFonts w:ascii="Arial" w:cs="Arial" w:eastAsia="Arial" w:hAnsi="Arial"/>
                <w:sz w:val="19"/>
                <w:szCs w:val="19"/>
                <w:color w:val="0000FF"/>
                <w:w w:val="88"/>
              </w:rPr>
              <w:t xml:space="preserve">66 </w:t>
            </w:r>
            <w:r>
              <w:rPr>
                <w:rFonts w:ascii="Arial" w:cs="Arial" w:eastAsia="Arial" w:hAnsi="Arial"/>
                <w:sz w:val="19"/>
                <w:szCs w:val="19"/>
                <w:color w:val="000000"/>
                <w:w w:val="88"/>
              </w:rPr>
              <w:t>Section 1.10. Alternate Currencies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9"/>
                <w:szCs w:val="19"/>
                <w:color w:val="FF0000"/>
                <w:strike w:val="1"/>
                <w:w w:val="75"/>
              </w:rPr>
              <w:t>65</w:t>
            </w:r>
          </w:p>
        </w:tc>
        <w:tc>
          <w:tcPr>
            <w:tcW w:w="200" w:type="dxa"/>
            <w:vAlign w:val="bottom"/>
          </w:tcPr>
          <w:p>
            <w:pPr>
              <w:jc w:val="right"/>
              <w:spacing w:after="0" w:line="196" w:lineRule="exact"/>
              <w:rPr>
                <w:sz w:val="20"/>
                <w:szCs w:val="20"/>
                <w:color w:val="auto"/>
              </w:rPr>
            </w:pPr>
            <w:r>
              <w:rPr>
                <w:rFonts w:ascii="Arial" w:cs="Arial" w:eastAsia="Arial" w:hAnsi="Arial"/>
                <w:sz w:val="19"/>
                <w:szCs w:val="19"/>
                <w:color w:val="0000FF"/>
                <w:w w:val="84"/>
              </w:rPr>
              <w:t>66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gridSpan w:val="5"/>
            <w:vMerge w:val="restart"/>
          </w:tcPr>
          <w:p>
            <w:pPr>
              <w:spacing w:after="0" w:line="203" w:lineRule="exact"/>
              <w:rPr>
                <w:sz w:val="20"/>
                <w:szCs w:val="20"/>
                <w:color w:val="auto"/>
              </w:rPr>
            </w:pPr>
            <w:r>
              <w:rPr>
                <w:rFonts w:ascii="Arial" w:cs="Arial" w:eastAsia="Arial" w:hAnsi="Arial"/>
                <w:sz w:val="19"/>
                <w:szCs w:val="19"/>
                <w:color w:val="auto"/>
                <w:w w:val="99"/>
              </w:rPr>
              <w:t>Section 1.11.</w:t>
            </w:r>
          </w:p>
        </w:tc>
        <w:tc>
          <w:tcPr>
            <w:tcW w:w="420" w:type="dxa"/>
            <w:vAlign w:val="bottom"/>
            <w:gridSpan w:val="4"/>
            <w:vMerge w:val="restart"/>
          </w:tcPr>
          <w:p>
            <w:pPr>
              <w:spacing w:after="0" w:line="203" w:lineRule="exact"/>
              <w:rPr>
                <w:sz w:val="20"/>
                <w:szCs w:val="20"/>
                <w:color w:val="auto"/>
              </w:rPr>
            </w:pPr>
            <w:r>
              <w:rPr>
                <w:rFonts w:ascii="Arial" w:cs="Arial" w:eastAsia="Arial" w:hAnsi="Arial"/>
                <w:sz w:val="19"/>
                <w:szCs w:val="19"/>
                <w:color w:val="auto"/>
                <w:w w:val="80"/>
              </w:rPr>
              <w:t>Rates</w:t>
            </w:r>
          </w:p>
        </w:tc>
        <w:tc>
          <w:tcPr>
            <w:tcW w:w="80" w:type="dxa"/>
            <w:vAlign w:val="bottom"/>
            <w:vMerge w:val="restart"/>
          </w:tcPr>
          <w:p>
            <w:pPr>
              <w:jc w:val="right"/>
              <w:spacing w:after="0" w:line="203" w:lineRule="exact"/>
              <w:rPr>
                <w:sz w:val="20"/>
                <w:szCs w:val="20"/>
                <w:color w:val="auto"/>
              </w:rPr>
            </w:pPr>
            <w:r>
              <w:rPr>
                <w:rFonts w:ascii="Arial" w:cs="Arial" w:eastAsia="Arial" w:hAnsi="Arial"/>
                <w:sz w:val="19"/>
                <w:szCs w:val="19"/>
                <w:color w:val="FF0000"/>
                <w:strike w:val="1"/>
                <w:w w:val="74"/>
              </w:rPr>
              <w:t>;</w:t>
            </w:r>
          </w:p>
        </w:tc>
        <w:tc>
          <w:tcPr>
            <w:tcW w:w="60" w:type="dxa"/>
            <w:vAlign w:val="bottom"/>
            <w:vMerge w:val="restart"/>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0000FF"/>
            </w:tcBorders>
            <w:gridSpan w:val="2"/>
          </w:tcPr>
          <w:p>
            <w:pPr>
              <w:spacing w:after="0" w:line="20" w:lineRule="exact"/>
              <w:rPr>
                <w:sz w:val="1"/>
                <w:szCs w:val="1"/>
                <w:color w:val="auto"/>
              </w:rPr>
            </w:pPr>
          </w:p>
        </w:tc>
        <w:tc>
          <w:tcPr>
            <w:tcW w:w="1060" w:type="dxa"/>
            <w:vAlign w:val="bottom"/>
            <w:gridSpan w:val="8"/>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gridSpan w:val="2"/>
            <w:vMerge w:val="restart"/>
          </w:tcPr>
          <w:p>
            <w:pPr>
              <w:spacing w:after="0" w:line="203" w:lineRule="exact"/>
              <w:rPr>
                <w:sz w:val="20"/>
                <w:szCs w:val="20"/>
                <w:color w:val="auto"/>
              </w:rPr>
            </w:pPr>
            <w:r>
              <w:rPr>
                <w:rFonts w:ascii="Arial" w:cs="Arial" w:eastAsia="Arial" w:hAnsi="Arial"/>
                <w:sz w:val="19"/>
                <w:szCs w:val="19"/>
                <w:color w:val="FF0000"/>
                <w:strike w:val="1"/>
                <w:w w:val="75"/>
              </w:rPr>
              <w:t>66</w:t>
            </w:r>
          </w:p>
        </w:tc>
        <w:tc>
          <w:tcPr>
            <w:tcW w:w="660" w:type="dxa"/>
            <w:vAlign w:val="bottom"/>
            <w:gridSpan w:val="2"/>
            <w:vMerge w:val="restart"/>
          </w:tcPr>
          <w:p>
            <w:pPr>
              <w:ind w:left="180"/>
              <w:spacing w:after="0" w:line="203" w:lineRule="exact"/>
              <w:rPr>
                <w:sz w:val="20"/>
                <w:szCs w:val="20"/>
                <w:color w:val="auto"/>
              </w:rPr>
            </w:pPr>
            <w:r>
              <w:rPr>
                <w:rFonts w:ascii="Arial" w:cs="Arial" w:eastAsia="Arial" w:hAnsi="Arial"/>
                <w:sz w:val="19"/>
                <w:szCs w:val="19"/>
                <w:color w:val="0000FF"/>
              </w:rPr>
              <w:t>67</w:t>
            </w:r>
          </w:p>
        </w:tc>
        <w:tc>
          <w:tcPr>
            <w:tcW w:w="60" w:type="dxa"/>
            <w:vAlign w:val="bottom"/>
            <w:vMerge w:val="restart"/>
          </w:tcPr>
          <w:p>
            <w:pPr>
              <w:spacing w:after="0" w:line="20" w:lineRule="exact"/>
              <w:rPr>
                <w:sz w:val="1"/>
                <w:szCs w:val="1"/>
                <w:color w:val="auto"/>
              </w:rPr>
            </w:pPr>
          </w:p>
        </w:tc>
        <w:tc>
          <w:tcPr>
            <w:tcW w:w="640" w:type="dxa"/>
            <w:vAlign w:val="bottom"/>
            <w:tcBorders>
              <w:right w:val="single" w:sz="8" w:color="FF0000"/>
            </w:tcBorders>
            <w:gridSpan w:val="4"/>
          </w:tcPr>
          <w:p>
            <w:pPr>
              <w:spacing w:after="0" w:line="20" w:lineRule="exact"/>
              <w:rPr>
                <w:sz w:val="1"/>
                <w:szCs w:val="1"/>
                <w:color w:val="auto"/>
              </w:rPr>
            </w:pPr>
          </w:p>
        </w:tc>
        <w:tc>
          <w:tcPr>
            <w:tcW w:w="220" w:type="dxa"/>
            <w:vAlign w:val="bottom"/>
            <w:tcBorders>
              <w:right w:val="single" w:sz="8" w:color="0000FF"/>
            </w:tcBorders>
            <w:gridSpan w:val="4"/>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tcBorders>
              <w:right w:val="single" w:sz="8" w:color="FF0000"/>
            </w:tcBorders>
            <w:gridSpan w:val="20"/>
          </w:tcPr>
          <w:p>
            <w:pPr>
              <w:spacing w:after="0" w:line="20" w:lineRule="exact"/>
              <w:rPr>
                <w:sz w:val="1"/>
                <w:szCs w:val="1"/>
                <w:color w:val="auto"/>
              </w:rPr>
            </w:pPr>
          </w:p>
        </w:tc>
        <w:tc>
          <w:tcPr>
            <w:tcW w:w="80" w:type="dxa"/>
            <w:vAlign w:val="bottom"/>
            <w:shd w:val="clear" w:color="auto" w:fill="FF0000"/>
          </w:tcPr>
          <w:p>
            <w:pPr>
              <w:spacing w:after="0" w:line="20" w:lineRule="exact"/>
              <w:rPr>
                <w:sz w:val="1"/>
                <w:szCs w:val="1"/>
                <w:color w:val="auto"/>
              </w:rPr>
            </w:pPr>
          </w:p>
        </w:tc>
        <w:tc>
          <w:tcPr>
            <w:tcW w:w="660" w:type="dxa"/>
            <w:vAlign w:val="bottom"/>
            <w:tcBorders>
              <w:left w:val="single" w:sz="8" w:color="FF0000"/>
              <w:right w:val="single" w:sz="8" w:color="0000FF"/>
            </w:tcBorders>
            <w:gridSpan w:val="3"/>
            <w:shd w:val="clear" w:color="auto" w:fill="FF0000"/>
          </w:tcPr>
          <w:p>
            <w:pPr>
              <w:spacing w:after="0" w:line="20" w:lineRule="exact"/>
              <w:rPr>
                <w:sz w:val="1"/>
                <w:szCs w:val="1"/>
                <w:color w:val="auto"/>
              </w:rPr>
            </w:pPr>
          </w:p>
        </w:tc>
        <w:tc>
          <w:tcPr>
            <w:tcW w:w="16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20" w:type="dxa"/>
            <w:vAlign w:val="bottom"/>
            <w:gridSpan w:val="5"/>
            <w:vMerge w:val="continue"/>
          </w:tcPr>
          <w:p>
            <w:pPr>
              <w:spacing w:after="0"/>
              <w:rPr>
                <w:sz w:val="15"/>
                <w:szCs w:val="15"/>
                <w:color w:val="auto"/>
              </w:rPr>
            </w:pPr>
          </w:p>
        </w:tc>
        <w:tc>
          <w:tcPr>
            <w:tcW w:w="420" w:type="dxa"/>
            <w:vAlign w:val="bottom"/>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500" w:type="dxa"/>
            <w:vAlign w:val="bottom"/>
            <w:gridSpan w:val="11"/>
          </w:tcPr>
          <w:p>
            <w:pPr>
              <w:spacing w:after="0" w:line="183" w:lineRule="exact"/>
              <w:rPr>
                <w:sz w:val="20"/>
                <w:szCs w:val="20"/>
                <w:color w:val="auto"/>
              </w:rPr>
            </w:pPr>
            <w:r>
              <w:rPr>
                <w:rFonts w:ascii="Arial" w:cs="Arial" w:eastAsia="Arial" w:hAnsi="Arial"/>
                <w:sz w:val="19"/>
                <w:szCs w:val="19"/>
                <w:color w:val="FF0000"/>
                <w:strike w:val="1"/>
                <w:w w:val="94"/>
              </w:rPr>
              <w:t>LIBOR Notification</w:t>
            </w:r>
          </w:p>
        </w:tc>
        <w:tc>
          <w:tcPr>
            <w:tcW w:w="40" w:type="dxa"/>
            <w:vAlign w:val="bottom"/>
            <w:tcBorders>
              <w:bottom w:val="single" w:sz="8" w:color="FF0000"/>
            </w:tcBorders>
            <w:vMerge w:val="continue"/>
          </w:tcPr>
          <w:p>
            <w:pPr>
              <w:spacing w:after="0"/>
              <w:rPr>
                <w:sz w:val="15"/>
                <w:szCs w:val="15"/>
                <w:color w:val="auto"/>
              </w:rPr>
            </w:pPr>
          </w:p>
        </w:tc>
        <w:tc>
          <w:tcPr>
            <w:tcW w:w="180" w:type="dxa"/>
            <w:vAlign w:val="bottom"/>
            <w:tcBorders>
              <w:bottom w:val="single" w:sz="8" w:color="FF0000"/>
            </w:tcBorders>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9"/>
                <w:szCs w:val="19"/>
                <w:color w:val="auto"/>
                <w:w w:val="99"/>
              </w:rPr>
              <w:t>Section 1.12.</w:t>
            </w:r>
          </w:p>
        </w:tc>
        <w:tc>
          <w:tcPr>
            <w:tcW w:w="2480" w:type="dxa"/>
            <w:vAlign w:val="bottom"/>
            <w:gridSpan w:val="21"/>
          </w:tcPr>
          <w:p>
            <w:pPr>
              <w:spacing w:after="0" w:line="196" w:lineRule="exact"/>
              <w:rPr>
                <w:sz w:val="20"/>
                <w:szCs w:val="20"/>
                <w:color w:val="auto"/>
              </w:rPr>
            </w:pPr>
            <w:r>
              <w:rPr>
                <w:rFonts w:ascii="Arial" w:cs="Arial" w:eastAsia="Arial" w:hAnsi="Arial"/>
                <w:sz w:val="19"/>
                <w:szCs w:val="19"/>
                <w:color w:val="auto"/>
                <w:w w:val="94"/>
              </w:rPr>
              <w:t>Certain Calculations and Tests</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gridSpan w:val="11"/>
          </w:tcPr>
          <w:p>
            <w:pPr>
              <w:jc w:val="center"/>
              <w:spacing w:after="0" w:line="196" w:lineRule="exact"/>
              <w:rPr>
                <w:sz w:val="20"/>
                <w:szCs w:val="20"/>
                <w:color w:val="auto"/>
              </w:rPr>
            </w:pPr>
            <w:r>
              <w:rPr>
                <w:rFonts w:ascii="Arial" w:cs="Arial" w:eastAsia="Arial" w:hAnsi="Arial"/>
                <w:sz w:val="19"/>
                <w:szCs w:val="19"/>
                <w:color w:val="auto"/>
                <w:w w:val="91"/>
              </w:rPr>
              <w:t>67 Section 1.13.</w:t>
            </w:r>
          </w:p>
        </w:tc>
        <w:tc>
          <w:tcPr>
            <w:tcW w:w="3180" w:type="dxa"/>
            <w:vAlign w:val="bottom"/>
            <w:gridSpan w:val="24"/>
          </w:tcPr>
          <w:p>
            <w:pPr>
              <w:ind w:left="80"/>
              <w:spacing w:after="0" w:line="196" w:lineRule="exact"/>
              <w:rPr>
                <w:sz w:val="20"/>
                <w:szCs w:val="20"/>
                <w:color w:val="auto"/>
              </w:rPr>
            </w:pPr>
            <w:r>
              <w:rPr>
                <w:rFonts w:ascii="Arial" w:cs="Arial" w:eastAsia="Arial" w:hAnsi="Arial"/>
                <w:sz w:val="19"/>
                <w:szCs w:val="19"/>
                <w:color w:val="auto"/>
                <w:w w:val="98"/>
              </w:rPr>
              <w:t>Effect of Benchmark Transition Event</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gridSpan w:val="5"/>
          </w:tcPr>
          <w:p>
            <w:pPr>
              <w:spacing w:after="0" w:line="196" w:lineRule="exact"/>
              <w:rPr>
                <w:sz w:val="20"/>
                <w:szCs w:val="20"/>
                <w:color w:val="auto"/>
              </w:rPr>
            </w:pPr>
            <w:r>
              <w:rPr>
                <w:rFonts w:ascii="Arial" w:cs="Arial" w:eastAsia="Arial" w:hAnsi="Arial"/>
                <w:sz w:val="19"/>
                <w:szCs w:val="19"/>
                <w:color w:val="auto"/>
              </w:rPr>
              <w:t>69 Section</w:t>
            </w:r>
          </w:p>
        </w:tc>
        <w:tc>
          <w:tcPr>
            <w:tcW w:w="0" w:type="dxa"/>
            <w:vAlign w:val="bottom"/>
          </w:tcPr>
          <w:p>
            <w:pPr>
              <w:spacing w:after="0"/>
              <w:rPr>
                <w:sz w:val="1"/>
                <w:szCs w:val="1"/>
                <w:color w:val="auto"/>
              </w:rPr>
            </w:pPr>
          </w:p>
        </w:tc>
      </w:tr>
      <w:tr>
        <w:trPr>
          <w:trHeight w:val="183"/>
        </w:trPr>
        <w:tc>
          <w:tcPr>
            <w:tcW w:w="600" w:type="dxa"/>
            <w:vAlign w:val="bottom"/>
            <w:gridSpan w:val="2"/>
          </w:tcPr>
          <w:p>
            <w:pPr>
              <w:spacing w:after="0" w:line="183" w:lineRule="exact"/>
              <w:rPr>
                <w:sz w:val="20"/>
                <w:szCs w:val="20"/>
                <w:color w:val="auto"/>
              </w:rPr>
            </w:pPr>
            <w:r>
              <w:rPr>
                <w:rFonts w:ascii="Arial" w:cs="Arial" w:eastAsia="Arial" w:hAnsi="Arial"/>
                <w:sz w:val="19"/>
                <w:szCs w:val="19"/>
                <w:color w:val="auto"/>
                <w:w w:val="94"/>
              </w:rPr>
              <w:t>1.14.</w:t>
            </w:r>
          </w:p>
        </w:tc>
        <w:tc>
          <w:tcPr>
            <w:tcW w:w="1280" w:type="dxa"/>
            <w:vAlign w:val="bottom"/>
            <w:gridSpan w:val="10"/>
          </w:tcPr>
          <w:p>
            <w:pPr>
              <w:ind w:left="140"/>
              <w:spacing w:after="0" w:line="183" w:lineRule="exact"/>
              <w:rPr>
                <w:sz w:val="20"/>
                <w:szCs w:val="20"/>
                <w:color w:val="auto"/>
              </w:rPr>
            </w:pPr>
            <w:r>
              <w:rPr>
                <w:rFonts w:ascii="Arial" w:cs="Arial" w:eastAsia="Arial" w:hAnsi="Arial"/>
                <w:sz w:val="19"/>
                <w:szCs w:val="19"/>
                <w:color w:val="auto"/>
              </w:rPr>
              <w:t>[Reserved]</w:t>
            </w:r>
          </w:p>
        </w:tc>
        <w:tc>
          <w:tcPr>
            <w:tcW w:w="240" w:type="dxa"/>
            <w:vAlign w:val="bottom"/>
            <w:gridSpan w:val="2"/>
          </w:tcPr>
          <w:p>
            <w:pPr>
              <w:jc w:val="right"/>
              <w:ind w:right="40"/>
              <w:spacing w:after="0" w:line="183" w:lineRule="exact"/>
              <w:rPr>
                <w:sz w:val="20"/>
                <w:szCs w:val="20"/>
                <w:color w:val="auto"/>
              </w:rPr>
            </w:pPr>
            <w:r>
              <w:rPr>
                <w:rFonts w:ascii="Arial" w:cs="Arial" w:eastAsia="Arial" w:hAnsi="Arial"/>
                <w:sz w:val="19"/>
                <w:szCs w:val="19"/>
                <w:color w:val="FF0000"/>
                <w:strike w:val="1"/>
                <w:w w:val="84"/>
              </w:rPr>
              <w:t>70</w:t>
            </w:r>
          </w:p>
        </w:tc>
        <w:tc>
          <w:tcPr>
            <w:tcW w:w="180" w:type="dxa"/>
            <w:vAlign w:val="bottom"/>
            <w:tcBorders>
              <w:bottom w:val="single" w:sz="8" w:color="0000FF"/>
            </w:tcBorders>
            <w:gridSpan w:val="2"/>
          </w:tcPr>
          <w:p>
            <w:pPr>
              <w:spacing w:after="0" w:line="183" w:lineRule="exact"/>
              <w:rPr>
                <w:sz w:val="20"/>
                <w:szCs w:val="20"/>
                <w:color w:val="auto"/>
              </w:rPr>
            </w:pPr>
            <w:r>
              <w:rPr>
                <w:rFonts w:ascii="Arial" w:cs="Arial" w:eastAsia="Arial" w:hAnsi="Arial"/>
                <w:sz w:val="17"/>
                <w:szCs w:val="17"/>
                <w:color w:val="0000FF"/>
                <w:w w:val="73"/>
              </w:rPr>
              <w:t>71</w:t>
            </w:r>
          </w:p>
        </w:tc>
        <w:tc>
          <w:tcPr>
            <w:tcW w:w="1200" w:type="dxa"/>
            <w:vAlign w:val="bottom"/>
            <w:gridSpan w:val="9"/>
          </w:tcPr>
          <w:p>
            <w:pPr>
              <w:spacing w:after="0"/>
              <w:rPr>
                <w:sz w:val="15"/>
                <w:szCs w:val="15"/>
                <w:color w:val="auto"/>
              </w:rPr>
            </w:pPr>
          </w:p>
        </w:tc>
        <w:tc>
          <w:tcPr>
            <w:tcW w:w="760" w:type="dxa"/>
            <w:vAlign w:val="bottom"/>
            <w:tcBorders>
              <w:top w:val="single" w:sz="8" w:color="auto"/>
            </w:tcBorders>
            <w:gridSpan w:val="3"/>
          </w:tcPr>
          <w:p>
            <w:pPr>
              <w:spacing w:after="0"/>
              <w:rPr>
                <w:sz w:val="15"/>
                <w:szCs w:val="15"/>
                <w:color w:val="auto"/>
              </w:rPr>
            </w:pPr>
          </w:p>
        </w:tc>
        <w:tc>
          <w:tcPr>
            <w:tcW w:w="4480" w:type="dxa"/>
            <w:vAlign w:val="bottom"/>
            <w:gridSpan w:val="34"/>
          </w:tcPr>
          <w:p>
            <w:pPr>
              <w:spacing w:after="0"/>
              <w:rPr>
                <w:sz w:val="15"/>
                <w:szCs w:val="15"/>
                <w:color w:val="auto"/>
              </w:rPr>
            </w:pPr>
          </w:p>
        </w:tc>
        <w:tc>
          <w:tcPr>
            <w:tcW w:w="480" w:type="dxa"/>
            <w:vAlign w:val="bottom"/>
            <w:tcBorders>
              <w:top w:val="single" w:sz="8" w:color="auto"/>
            </w:tcBorders>
            <w:gridSpan w:val="3"/>
          </w:tcPr>
          <w:p>
            <w:pPr>
              <w:spacing w:after="0"/>
              <w:rPr>
                <w:sz w:val="15"/>
                <w:szCs w:val="15"/>
                <w:color w:val="auto"/>
              </w:rPr>
            </w:pPr>
          </w:p>
        </w:tc>
        <w:tc>
          <w:tcPr>
            <w:tcW w:w="114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9"/>
                <w:szCs w:val="19"/>
                <w:color w:val="auto"/>
                <w:w w:val="99"/>
              </w:rPr>
              <w:t>Section 1.15.</w:t>
            </w:r>
          </w:p>
        </w:tc>
        <w:tc>
          <w:tcPr>
            <w:tcW w:w="1840" w:type="dxa"/>
            <w:vAlign w:val="bottom"/>
            <w:gridSpan w:val="14"/>
          </w:tcPr>
          <w:p>
            <w:pPr>
              <w:spacing w:after="0" w:line="196" w:lineRule="exact"/>
              <w:rPr>
                <w:sz w:val="20"/>
                <w:szCs w:val="20"/>
                <w:color w:val="auto"/>
              </w:rPr>
            </w:pPr>
            <w:r>
              <w:rPr>
                <w:rFonts w:ascii="Arial" w:cs="Arial" w:eastAsia="Arial" w:hAnsi="Arial"/>
                <w:sz w:val="19"/>
                <w:szCs w:val="19"/>
                <w:color w:val="auto"/>
                <w:w w:val="93"/>
              </w:rPr>
              <w:t>Certain Determinations</w:t>
            </w:r>
          </w:p>
        </w:tc>
        <w:tc>
          <w:tcPr>
            <w:tcW w:w="60" w:type="dxa"/>
            <w:vAlign w:val="bottom"/>
          </w:tcPr>
          <w:p>
            <w:pPr>
              <w:spacing w:after="0"/>
              <w:rPr>
                <w:sz w:val="17"/>
                <w:szCs w:val="17"/>
                <w:color w:val="auto"/>
              </w:rPr>
            </w:pPr>
          </w:p>
        </w:tc>
        <w:tc>
          <w:tcPr>
            <w:tcW w:w="200" w:type="dxa"/>
            <w:vAlign w:val="bottom"/>
            <w:gridSpan w:val="3"/>
          </w:tcPr>
          <w:p>
            <w:pPr>
              <w:spacing w:after="0" w:line="196" w:lineRule="exact"/>
              <w:rPr>
                <w:sz w:val="20"/>
                <w:szCs w:val="20"/>
                <w:color w:val="auto"/>
              </w:rPr>
            </w:pPr>
            <w:r>
              <w:rPr>
                <w:rFonts w:ascii="Arial" w:cs="Arial" w:eastAsia="Arial" w:hAnsi="Arial"/>
                <w:sz w:val="19"/>
                <w:szCs w:val="19"/>
                <w:color w:val="FF0000"/>
                <w:strike w:val="1"/>
                <w:w w:val="75"/>
              </w:rPr>
              <w:t>70</w:t>
            </w: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9"/>
                <w:szCs w:val="19"/>
                <w:color w:val="0000FF"/>
                <w:w w:val="75"/>
              </w:rPr>
              <w:t>71</w:t>
            </w:r>
          </w:p>
        </w:tc>
        <w:tc>
          <w:tcPr>
            <w:tcW w:w="100" w:type="dxa"/>
            <w:vAlign w:val="bottom"/>
            <w:tcBorders>
              <w:bottom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9"/>
                <w:szCs w:val="19"/>
                <w:color w:val="auto"/>
                <w:w w:val="99"/>
              </w:rPr>
              <w:t>Section 1.16.</w:t>
            </w:r>
          </w:p>
        </w:tc>
        <w:tc>
          <w:tcPr>
            <w:tcW w:w="760" w:type="dxa"/>
            <w:vAlign w:val="bottom"/>
            <w:gridSpan w:val="7"/>
          </w:tcPr>
          <w:p>
            <w:pPr>
              <w:spacing w:after="0" w:line="196" w:lineRule="exact"/>
              <w:rPr>
                <w:sz w:val="20"/>
                <w:szCs w:val="20"/>
                <w:color w:val="auto"/>
              </w:rPr>
            </w:pPr>
            <w:r>
              <w:rPr>
                <w:rFonts w:ascii="Arial" w:cs="Arial" w:eastAsia="Arial" w:hAnsi="Arial"/>
                <w:sz w:val="19"/>
                <w:szCs w:val="19"/>
                <w:color w:val="auto"/>
                <w:w w:val="98"/>
              </w:rPr>
              <w:t>Conflicts</w:t>
            </w:r>
          </w:p>
        </w:tc>
        <w:tc>
          <w:tcPr>
            <w:tcW w:w="240" w:type="dxa"/>
            <w:vAlign w:val="bottom"/>
            <w:gridSpan w:val="2"/>
          </w:tcPr>
          <w:p>
            <w:pPr>
              <w:jc w:val="right"/>
              <w:spacing w:after="0" w:line="196" w:lineRule="exact"/>
              <w:rPr>
                <w:sz w:val="20"/>
                <w:szCs w:val="20"/>
                <w:color w:val="auto"/>
              </w:rPr>
            </w:pPr>
            <w:r>
              <w:rPr>
                <w:rFonts w:ascii="Arial" w:cs="Arial" w:eastAsia="Arial" w:hAnsi="Arial"/>
                <w:sz w:val="19"/>
                <w:szCs w:val="19"/>
                <w:color w:val="FF0000"/>
                <w:strike w:val="1"/>
              </w:rPr>
              <w:t>71</w:t>
            </w:r>
          </w:p>
        </w:tc>
        <w:tc>
          <w:tcPr>
            <w:tcW w:w="3700" w:type="dxa"/>
            <w:vAlign w:val="bottom"/>
            <w:gridSpan w:val="27"/>
          </w:tcPr>
          <w:p>
            <w:pPr>
              <w:jc w:val="right"/>
              <w:ind w:right="160"/>
              <w:spacing w:after="0" w:line="196" w:lineRule="exact"/>
              <w:rPr>
                <w:sz w:val="20"/>
                <w:szCs w:val="20"/>
                <w:color w:val="auto"/>
              </w:rPr>
            </w:pPr>
            <w:r>
              <w:rPr>
                <w:rFonts w:ascii="Arial" w:cs="Arial" w:eastAsia="Arial" w:hAnsi="Arial"/>
                <w:sz w:val="19"/>
                <w:szCs w:val="19"/>
                <w:color w:val="0000FF"/>
                <w:w w:val="91"/>
              </w:rPr>
              <w:t xml:space="preserve">72 </w:t>
            </w:r>
            <w:r>
              <w:rPr>
                <w:rFonts w:ascii="Arial" w:cs="Arial" w:eastAsia="Arial" w:hAnsi="Arial"/>
                <w:sz w:val="19"/>
                <w:szCs w:val="19"/>
                <w:color w:val="000000"/>
                <w:w w:val="91"/>
              </w:rPr>
              <w:t>Section 1.17. Confidentiality; Privilege, Etc</w:t>
            </w:r>
          </w:p>
        </w:tc>
        <w:tc>
          <w:tcPr>
            <w:tcW w:w="220" w:type="dxa"/>
            <w:vAlign w:val="bottom"/>
          </w:tcPr>
          <w:p>
            <w:pPr>
              <w:spacing w:after="0"/>
              <w:rPr>
                <w:sz w:val="17"/>
                <w:szCs w:val="17"/>
                <w:color w:val="auto"/>
              </w:rPr>
            </w:pPr>
          </w:p>
        </w:tc>
        <w:tc>
          <w:tcPr>
            <w:tcW w:w="180" w:type="dxa"/>
            <w:vAlign w:val="bottom"/>
          </w:tcPr>
          <w:p>
            <w:pPr>
              <w:spacing w:after="0" w:line="196" w:lineRule="exact"/>
              <w:rPr>
                <w:sz w:val="20"/>
                <w:szCs w:val="20"/>
                <w:color w:val="auto"/>
              </w:rPr>
            </w:pPr>
            <w:r>
              <w:rPr>
                <w:rFonts w:ascii="Arial" w:cs="Arial" w:eastAsia="Arial" w:hAnsi="Arial"/>
                <w:sz w:val="19"/>
                <w:szCs w:val="19"/>
                <w:color w:val="FF0000"/>
                <w:strike w:val="1"/>
                <w:w w:val="75"/>
              </w:rPr>
              <w:t>71</w:t>
            </w:r>
          </w:p>
        </w:tc>
        <w:tc>
          <w:tcPr>
            <w:tcW w:w="200" w:type="dxa"/>
            <w:vAlign w:val="bottom"/>
            <w:gridSpan w:val="2"/>
          </w:tcPr>
          <w:p>
            <w:pPr>
              <w:spacing w:after="0" w:line="196" w:lineRule="exact"/>
              <w:rPr>
                <w:sz w:val="20"/>
                <w:szCs w:val="20"/>
                <w:color w:val="auto"/>
              </w:rPr>
            </w:pPr>
            <w:r>
              <w:rPr>
                <w:rFonts w:ascii="Arial" w:cs="Arial" w:eastAsia="Arial" w:hAnsi="Arial"/>
                <w:sz w:val="19"/>
                <w:szCs w:val="19"/>
                <w:color w:val="0000FF"/>
                <w:w w:val="84"/>
              </w:rPr>
              <w:t>72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Borders>
              <w:right w:val="single" w:sz="8" w:color="auto"/>
            </w:tcBorders>
            <w:gridSpan w:val="12"/>
          </w:tcPr>
          <w:p>
            <w:pPr>
              <w:spacing w:after="0" w:line="20" w:lineRule="exact"/>
              <w:rPr>
                <w:sz w:val="1"/>
                <w:szCs w:val="1"/>
                <w:color w:val="auto"/>
              </w:rPr>
            </w:pPr>
          </w:p>
        </w:tc>
        <w:tc>
          <w:tcPr>
            <w:tcW w:w="420" w:type="dxa"/>
            <w:vAlign w:val="bottom"/>
            <w:tcBorders>
              <w:left w:val="single" w:sz="8" w:color="auto"/>
              <w:right w:val="single" w:sz="8" w:color="0000FF"/>
            </w:tcBorders>
            <w:gridSpan w:val="4"/>
          </w:tcPr>
          <w:p>
            <w:pPr>
              <w:spacing w:after="0" w:line="20" w:lineRule="exact"/>
              <w:rPr>
                <w:sz w:val="1"/>
                <w:szCs w:val="1"/>
                <w:color w:val="auto"/>
              </w:rPr>
            </w:pPr>
          </w:p>
        </w:tc>
        <w:tc>
          <w:tcPr>
            <w:tcW w:w="3420" w:type="dxa"/>
            <w:vAlign w:val="bottom"/>
            <w:tcBorders>
              <w:right w:val="single" w:sz="8" w:color="auto"/>
            </w:tcBorders>
            <w:gridSpan w:val="24"/>
          </w:tcPr>
          <w:p>
            <w:pPr>
              <w:spacing w:after="0" w:line="20" w:lineRule="exact"/>
              <w:rPr>
                <w:sz w:val="1"/>
                <w:szCs w:val="1"/>
                <w:color w:val="auto"/>
              </w:rPr>
            </w:pPr>
          </w:p>
        </w:tc>
        <w:tc>
          <w:tcPr>
            <w:tcW w:w="4640" w:type="dxa"/>
            <w:vAlign w:val="bottom"/>
            <w:gridSpan w:val="30"/>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10360" w:type="dxa"/>
            <w:vAlign w:val="bottom"/>
            <w:gridSpan w:val="70"/>
          </w:tcPr>
          <w:p>
            <w:pPr>
              <w:spacing w:after="0"/>
              <w:rPr>
                <w:sz w:val="20"/>
                <w:szCs w:val="20"/>
                <w:color w:val="auto"/>
              </w:rPr>
            </w:pPr>
            <w:r>
              <w:rPr>
                <w:rFonts w:ascii="Arial" w:cs="Arial" w:eastAsia="Arial" w:hAnsi="Arial"/>
                <w:sz w:val="19"/>
                <w:szCs w:val="19"/>
                <w:color w:val="auto"/>
              </w:rPr>
              <w:t>ARTICLE 2 THE</w:t>
            </w:r>
          </w:p>
        </w:tc>
        <w:tc>
          <w:tcPr>
            <w:tcW w:w="0" w:type="dxa"/>
            <w:vAlign w:val="bottom"/>
          </w:tcPr>
          <w:p>
            <w:pPr>
              <w:spacing w:after="0"/>
              <w:rPr>
                <w:sz w:val="1"/>
                <w:szCs w:val="1"/>
                <w:color w:val="auto"/>
              </w:rPr>
            </w:pPr>
          </w:p>
        </w:tc>
      </w:tr>
      <w:tr>
        <w:trPr>
          <w:trHeight w:val="405"/>
        </w:trPr>
        <w:tc>
          <w:tcPr>
            <w:tcW w:w="10360" w:type="dxa"/>
            <w:vAlign w:val="bottom"/>
            <w:gridSpan w:val="70"/>
          </w:tcPr>
          <w:p>
            <w:pPr>
              <w:spacing w:after="0"/>
              <w:rPr>
                <w:sz w:val="20"/>
                <w:szCs w:val="20"/>
                <w:color w:val="auto"/>
              </w:rPr>
            </w:pPr>
            <w:r>
              <w:rPr>
                <w:rFonts w:ascii="Arial" w:cs="Arial" w:eastAsia="Arial" w:hAnsi="Arial"/>
                <w:sz w:val="19"/>
                <w:szCs w:val="19"/>
                <w:color w:val="auto"/>
              </w:rPr>
              <w:t>CREDITS</w:t>
            </w:r>
          </w:p>
        </w:tc>
        <w:tc>
          <w:tcPr>
            <w:tcW w:w="0" w:type="dxa"/>
            <w:vAlign w:val="bottom"/>
          </w:tcPr>
          <w:p>
            <w:pPr>
              <w:spacing w:after="0"/>
              <w:rPr>
                <w:sz w:val="1"/>
                <w:szCs w:val="1"/>
                <w:color w:val="auto"/>
              </w:rPr>
            </w:pPr>
          </w:p>
        </w:tc>
      </w:tr>
      <w:tr>
        <w:trPr>
          <w:trHeight w:val="300"/>
        </w:trPr>
        <w:tc>
          <w:tcPr>
            <w:tcW w:w="1120" w:type="dxa"/>
            <w:vAlign w:val="bottom"/>
            <w:gridSpan w:val="5"/>
          </w:tcPr>
          <w:p>
            <w:pPr>
              <w:spacing w:after="0"/>
              <w:rPr>
                <w:sz w:val="20"/>
                <w:szCs w:val="20"/>
                <w:color w:val="auto"/>
              </w:rPr>
            </w:pPr>
            <w:r>
              <w:rPr>
                <w:rFonts w:ascii="Arial" w:cs="Arial" w:eastAsia="Arial" w:hAnsi="Arial"/>
                <w:sz w:val="19"/>
                <w:szCs w:val="19"/>
                <w:color w:val="auto"/>
                <w:w w:val="99"/>
              </w:rPr>
              <w:t>Section 2.01.</w:t>
            </w:r>
          </w:p>
        </w:tc>
        <w:tc>
          <w:tcPr>
            <w:tcW w:w="1840" w:type="dxa"/>
            <w:vAlign w:val="bottom"/>
            <w:gridSpan w:val="14"/>
          </w:tcPr>
          <w:p>
            <w:pPr>
              <w:spacing w:after="0"/>
              <w:rPr>
                <w:sz w:val="20"/>
                <w:szCs w:val="20"/>
                <w:color w:val="auto"/>
              </w:rPr>
            </w:pPr>
            <w:r>
              <w:rPr>
                <w:rFonts w:ascii="Arial" w:cs="Arial" w:eastAsia="Arial" w:hAnsi="Arial"/>
                <w:sz w:val="19"/>
                <w:szCs w:val="19"/>
                <w:color w:val="auto"/>
              </w:rPr>
              <w:t>Commitments 72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960" w:type="dxa"/>
            <w:vAlign w:val="bottom"/>
            <w:gridSpan w:val="19"/>
          </w:tcPr>
          <w:p>
            <w:pPr>
              <w:spacing w:after="0" w:line="198" w:lineRule="exact"/>
              <w:rPr>
                <w:sz w:val="20"/>
                <w:szCs w:val="20"/>
                <w:color w:val="auto"/>
              </w:rPr>
            </w:pPr>
            <w:r>
              <w:rPr>
                <w:rFonts w:ascii="Arial" w:cs="Arial" w:eastAsia="Arial" w:hAnsi="Arial"/>
                <w:sz w:val="19"/>
                <w:szCs w:val="19"/>
                <w:color w:val="auto"/>
                <w:w w:val="96"/>
              </w:rPr>
              <w:t>Section 2.02. Loans and Borrowings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gridSpan w:val="2"/>
          </w:tcPr>
          <w:p>
            <w:pPr>
              <w:jc w:val="right"/>
              <w:spacing w:after="0" w:line="198" w:lineRule="exact"/>
              <w:rPr>
                <w:sz w:val="20"/>
                <w:szCs w:val="20"/>
                <w:color w:val="auto"/>
              </w:rPr>
            </w:pPr>
            <w:r>
              <w:rPr>
                <w:rFonts w:ascii="Arial" w:cs="Arial" w:eastAsia="Arial" w:hAnsi="Arial"/>
                <w:sz w:val="19"/>
                <w:szCs w:val="19"/>
                <w:color w:val="FF0000"/>
                <w:strike w:val="1"/>
                <w:w w:val="84"/>
              </w:rPr>
              <w:t>72</w:t>
            </w:r>
          </w:p>
        </w:tc>
        <w:tc>
          <w:tcPr>
            <w:tcW w:w="1460" w:type="dxa"/>
            <w:vAlign w:val="bottom"/>
            <w:gridSpan w:val="8"/>
          </w:tcPr>
          <w:p>
            <w:pPr>
              <w:spacing w:after="0" w:line="198" w:lineRule="exact"/>
              <w:rPr>
                <w:sz w:val="20"/>
                <w:szCs w:val="20"/>
                <w:color w:val="auto"/>
              </w:rPr>
            </w:pPr>
            <w:r>
              <w:rPr>
                <w:rFonts w:ascii="Arial" w:cs="Arial" w:eastAsia="Arial" w:hAnsi="Arial"/>
                <w:sz w:val="19"/>
                <w:szCs w:val="19"/>
                <w:color w:val="0000FF"/>
              </w:rPr>
              <w:t xml:space="preserve">73 </w:t>
            </w:r>
            <w:r>
              <w:rPr>
                <w:rFonts w:ascii="Arial" w:cs="Arial" w:eastAsia="Arial" w:hAnsi="Arial"/>
                <w:sz w:val="19"/>
                <w:szCs w:val="19"/>
                <w:color w:val="000000"/>
              </w:rPr>
              <w:t>Section 2.03.</w:t>
            </w:r>
          </w:p>
        </w:tc>
        <w:tc>
          <w:tcPr>
            <w:tcW w:w="2020" w:type="dxa"/>
            <w:vAlign w:val="bottom"/>
            <w:gridSpan w:val="17"/>
          </w:tcPr>
          <w:p>
            <w:pPr>
              <w:spacing w:after="0" w:line="198" w:lineRule="exact"/>
              <w:rPr>
                <w:sz w:val="20"/>
                <w:szCs w:val="20"/>
                <w:color w:val="auto"/>
              </w:rPr>
            </w:pPr>
            <w:r>
              <w:rPr>
                <w:rFonts w:ascii="Arial" w:cs="Arial" w:eastAsia="Arial" w:hAnsi="Arial"/>
                <w:sz w:val="19"/>
                <w:szCs w:val="19"/>
                <w:color w:val="auto"/>
                <w:w w:val="96"/>
              </w:rPr>
              <w:t>Requests for Borrowings</w:t>
            </w:r>
          </w:p>
        </w:tc>
        <w:tc>
          <w:tcPr>
            <w:tcW w:w="200" w:type="dxa"/>
            <w:vAlign w:val="bottom"/>
          </w:tcPr>
          <w:p>
            <w:pPr>
              <w:spacing w:after="0"/>
              <w:rPr>
                <w:sz w:val="17"/>
                <w:szCs w:val="17"/>
                <w:color w:val="auto"/>
              </w:rPr>
            </w:pPr>
          </w:p>
        </w:tc>
        <w:tc>
          <w:tcPr>
            <w:tcW w:w="200" w:type="dxa"/>
            <w:vAlign w:val="bottom"/>
          </w:tcPr>
          <w:p>
            <w:pPr>
              <w:jc w:val="right"/>
              <w:spacing w:after="0" w:line="198" w:lineRule="exact"/>
              <w:rPr>
                <w:sz w:val="20"/>
                <w:szCs w:val="20"/>
                <w:color w:val="auto"/>
              </w:rPr>
            </w:pPr>
            <w:r>
              <w:rPr>
                <w:rFonts w:ascii="Arial" w:cs="Arial" w:eastAsia="Arial" w:hAnsi="Arial"/>
                <w:sz w:val="19"/>
                <w:szCs w:val="19"/>
                <w:color w:val="FF0000"/>
                <w:strike w:val="1"/>
                <w:w w:val="84"/>
              </w:rPr>
              <w:t>73</w:t>
            </w:r>
          </w:p>
        </w:tc>
        <w:tc>
          <w:tcPr>
            <w:tcW w:w="1380" w:type="dxa"/>
            <w:vAlign w:val="bottom"/>
            <w:gridSpan w:val="11"/>
          </w:tcPr>
          <w:p>
            <w:pPr>
              <w:spacing w:after="0" w:line="198" w:lineRule="exact"/>
              <w:rPr>
                <w:sz w:val="20"/>
                <w:szCs w:val="20"/>
                <w:color w:val="auto"/>
              </w:rPr>
            </w:pPr>
            <w:r>
              <w:rPr>
                <w:rFonts w:ascii="Arial" w:cs="Arial" w:eastAsia="Arial" w:hAnsi="Arial"/>
                <w:sz w:val="19"/>
                <w:szCs w:val="19"/>
                <w:color w:val="0000FF"/>
                <w:w w:val="99"/>
              </w:rPr>
              <w:t xml:space="preserve">74 </w:t>
            </w:r>
            <w:r>
              <w:rPr>
                <w:rFonts w:ascii="Arial" w:cs="Arial" w:eastAsia="Arial" w:hAnsi="Arial"/>
                <w:sz w:val="19"/>
                <w:szCs w:val="19"/>
                <w:color w:val="000000"/>
                <w:w w:val="99"/>
              </w:rPr>
              <w:t>Section 2.04.</w:t>
            </w:r>
          </w:p>
        </w:tc>
        <w:tc>
          <w:tcPr>
            <w:tcW w:w="20" w:type="dxa"/>
            <w:vAlign w:val="bottom"/>
          </w:tcPr>
          <w:p>
            <w:pPr>
              <w:spacing w:after="0"/>
              <w:rPr>
                <w:sz w:val="17"/>
                <w:szCs w:val="17"/>
                <w:color w:val="auto"/>
              </w:rPr>
            </w:pPr>
          </w:p>
        </w:tc>
        <w:tc>
          <w:tcPr>
            <w:tcW w:w="1580" w:type="dxa"/>
            <w:vAlign w:val="bottom"/>
            <w:gridSpan w:val="6"/>
          </w:tcPr>
          <w:p>
            <w:pPr>
              <w:ind w:left="280"/>
              <w:spacing w:after="0" w:line="198" w:lineRule="exact"/>
              <w:rPr>
                <w:sz w:val="20"/>
                <w:szCs w:val="20"/>
                <w:color w:val="auto"/>
              </w:rPr>
            </w:pPr>
            <w:r>
              <w:rPr>
                <w:rFonts w:ascii="Arial" w:cs="Arial" w:eastAsia="Arial" w:hAnsi="Arial"/>
                <w:sz w:val="19"/>
                <w:szCs w:val="19"/>
                <w:color w:val="auto"/>
                <w:w w:val="92"/>
              </w:rPr>
              <w:t>Swingline Loans</w:t>
            </w:r>
          </w:p>
        </w:tc>
        <w:tc>
          <w:tcPr>
            <w:tcW w:w="0" w:type="dxa"/>
            <w:vAlign w:val="bottom"/>
          </w:tcPr>
          <w:p>
            <w:pPr>
              <w:spacing w:after="0"/>
              <w:rPr>
                <w:sz w:val="1"/>
                <w:szCs w:val="1"/>
                <w:color w:val="auto"/>
              </w:rPr>
            </w:pPr>
          </w:p>
        </w:tc>
      </w:tr>
      <w:tr>
        <w:trPr>
          <w:trHeight w:val="20"/>
        </w:trPr>
        <w:tc>
          <w:tcPr>
            <w:tcW w:w="1440" w:type="dxa"/>
            <w:vAlign w:val="bottom"/>
            <w:gridSpan w:val="8"/>
            <w:vMerge w:val="restart"/>
          </w:tcPr>
          <w:p>
            <w:pPr>
              <w:spacing w:after="0" w:line="203" w:lineRule="exact"/>
              <w:rPr>
                <w:sz w:val="20"/>
                <w:szCs w:val="20"/>
                <w:color w:val="auto"/>
              </w:rPr>
            </w:pPr>
            <w:r>
              <w:rPr>
                <w:rFonts w:ascii="Arial" w:cs="Arial" w:eastAsia="Arial" w:hAnsi="Arial"/>
                <w:sz w:val="19"/>
                <w:szCs w:val="19"/>
                <w:color w:val="auto"/>
              </w:rPr>
              <w:t>74 Section 2.05.</w:t>
            </w:r>
          </w:p>
        </w:tc>
        <w:tc>
          <w:tcPr>
            <w:tcW w:w="1380" w:type="dxa"/>
            <w:vAlign w:val="bottom"/>
            <w:gridSpan w:val="10"/>
            <w:vMerge w:val="restart"/>
          </w:tcPr>
          <w:p>
            <w:pPr>
              <w:ind w:left="60"/>
              <w:spacing w:after="0" w:line="203" w:lineRule="exact"/>
              <w:rPr>
                <w:sz w:val="20"/>
                <w:szCs w:val="20"/>
                <w:color w:val="auto"/>
              </w:rPr>
            </w:pPr>
            <w:r>
              <w:rPr>
                <w:rFonts w:ascii="Arial" w:cs="Arial" w:eastAsia="Arial" w:hAnsi="Arial"/>
                <w:sz w:val="19"/>
                <w:szCs w:val="19"/>
                <w:color w:val="auto"/>
                <w:w w:val="94"/>
              </w:rPr>
              <w:t>Letters of Credit</w:t>
            </w:r>
          </w:p>
        </w:tc>
        <w:tc>
          <w:tcPr>
            <w:tcW w:w="14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40" w:type="dxa"/>
            <w:vAlign w:val="bottom"/>
            <w:gridSpan w:val="7"/>
            <w:vMerge w:val="restart"/>
          </w:tcPr>
          <w:p>
            <w:pPr>
              <w:spacing w:after="0" w:line="203" w:lineRule="exact"/>
              <w:rPr>
                <w:sz w:val="20"/>
                <w:szCs w:val="20"/>
                <w:color w:val="auto"/>
              </w:rPr>
            </w:pPr>
            <w:r>
              <w:rPr>
                <w:rFonts w:ascii="Arial" w:cs="Arial" w:eastAsia="Arial" w:hAnsi="Arial"/>
                <w:sz w:val="19"/>
                <w:szCs w:val="19"/>
                <w:color w:val="FF0000"/>
                <w:strike w:val="1"/>
                <w:w w:val="89"/>
              </w:rPr>
              <w:t>[Reserved]</w:t>
            </w:r>
          </w:p>
        </w:tc>
        <w:tc>
          <w:tcPr>
            <w:tcW w:w="900" w:type="dxa"/>
            <w:vAlign w:val="bottom"/>
            <w:gridSpan w:val="7"/>
            <w:vMerge w:val="restart"/>
          </w:tcPr>
          <w:p>
            <w:pPr>
              <w:spacing w:after="0" w:line="203" w:lineRule="exact"/>
              <w:rPr>
                <w:sz w:val="20"/>
                <w:szCs w:val="20"/>
                <w:color w:val="auto"/>
              </w:rPr>
            </w:pPr>
            <w:r>
              <w:rPr>
                <w:rFonts w:ascii="Arial" w:cs="Arial" w:eastAsia="Arial" w:hAnsi="Arial"/>
                <w:sz w:val="19"/>
                <w:szCs w:val="19"/>
                <w:color w:val="0000FF"/>
                <w:w w:val="87"/>
              </w:rPr>
              <w:t>Conforming</w:t>
            </w:r>
          </w:p>
        </w:tc>
        <w:tc>
          <w:tcPr>
            <w:tcW w:w="80" w:type="dxa"/>
            <w:vAlign w:val="bottom"/>
            <w:tcBorders>
              <w:left w:val="single" w:sz="8" w:color="FF0000"/>
            </w:tcBorders>
            <w:shd w:val="clear" w:color="auto" w:fill="FF0000"/>
          </w:tcPr>
          <w:p>
            <w:pPr>
              <w:spacing w:after="0" w:line="20" w:lineRule="exact"/>
              <w:rPr>
                <w:sz w:val="1"/>
                <w:szCs w:val="1"/>
                <w:color w:val="auto"/>
              </w:rPr>
            </w:pPr>
          </w:p>
        </w:tc>
        <w:tc>
          <w:tcPr>
            <w:tcW w:w="380" w:type="dxa"/>
            <w:vAlign w:val="bottom"/>
            <w:gridSpan w:val="2"/>
            <w:shd w:val="clear" w:color="auto" w:fill="FF0000"/>
          </w:tcPr>
          <w:p>
            <w:pPr>
              <w:spacing w:after="0" w:line="20" w:lineRule="exact"/>
              <w:rPr>
                <w:sz w:val="1"/>
                <w:szCs w:val="1"/>
                <w:color w:val="auto"/>
              </w:rPr>
            </w:pPr>
          </w:p>
        </w:tc>
        <w:tc>
          <w:tcPr>
            <w:tcW w:w="200" w:type="dxa"/>
            <w:vAlign w:val="bottom"/>
            <w:tcBorders>
              <w:left w:val="single" w:sz="8" w:color="FF0000"/>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gridSpan w:val="2"/>
            <w:vMerge w:val="restart"/>
          </w:tcPr>
          <w:p>
            <w:pPr>
              <w:jc w:val="right"/>
              <w:spacing w:after="0" w:line="203" w:lineRule="exact"/>
              <w:rPr>
                <w:sz w:val="20"/>
                <w:szCs w:val="20"/>
                <w:color w:val="auto"/>
              </w:rPr>
            </w:pPr>
            <w:r>
              <w:rPr>
                <w:rFonts w:ascii="Arial" w:cs="Arial" w:eastAsia="Arial" w:hAnsi="Arial"/>
                <w:sz w:val="19"/>
                <w:szCs w:val="19"/>
                <w:color w:val="FF0000"/>
                <w:strike w:val="1"/>
                <w:w w:val="84"/>
              </w:rPr>
              <w:t>80</w:t>
            </w:r>
          </w:p>
        </w:tc>
        <w:tc>
          <w:tcPr>
            <w:tcW w:w="1380" w:type="dxa"/>
            <w:vAlign w:val="bottom"/>
            <w:gridSpan w:val="9"/>
            <w:vMerge w:val="restart"/>
          </w:tcPr>
          <w:p>
            <w:pPr>
              <w:jc w:val="right"/>
              <w:ind w:right="66"/>
              <w:spacing w:after="0" w:line="203" w:lineRule="exact"/>
              <w:rPr>
                <w:sz w:val="20"/>
                <w:szCs w:val="20"/>
                <w:color w:val="auto"/>
              </w:rPr>
            </w:pPr>
            <w:r>
              <w:rPr>
                <w:rFonts w:ascii="Arial" w:cs="Arial" w:eastAsia="Arial" w:hAnsi="Arial"/>
                <w:sz w:val="19"/>
                <w:szCs w:val="19"/>
                <w:color w:val="0000FF"/>
                <w:w w:val="87"/>
              </w:rPr>
              <w:t xml:space="preserve">81 </w:t>
            </w:r>
            <w:r>
              <w:rPr>
                <w:rFonts w:ascii="Arial" w:cs="Arial" w:eastAsia="Arial" w:hAnsi="Arial"/>
                <w:sz w:val="19"/>
                <w:szCs w:val="19"/>
                <w:color w:val="000000"/>
                <w:w w:val="87"/>
              </w:rPr>
              <w:t>Section 2.07.</w:t>
            </w:r>
          </w:p>
        </w:tc>
        <w:tc>
          <w:tcPr>
            <w:tcW w:w="1060" w:type="dxa"/>
            <w:vAlign w:val="bottom"/>
            <w:gridSpan w:val="4"/>
            <w:vMerge w:val="restart"/>
          </w:tcPr>
          <w:p>
            <w:pPr>
              <w:jc w:val="center"/>
              <w:spacing w:after="0" w:line="203" w:lineRule="exact"/>
              <w:rPr>
                <w:sz w:val="20"/>
                <w:szCs w:val="20"/>
                <w:color w:val="auto"/>
              </w:rPr>
            </w:pPr>
            <w:r>
              <w:rPr>
                <w:rFonts w:ascii="Arial" w:cs="Arial" w:eastAsia="Arial" w:hAnsi="Arial"/>
                <w:sz w:val="19"/>
                <w:szCs w:val="19"/>
                <w:color w:val="auto"/>
                <w:w w:val="93"/>
              </w:rPr>
              <w:t>Funding of</w:t>
            </w:r>
          </w:p>
        </w:tc>
        <w:tc>
          <w:tcPr>
            <w:tcW w:w="0" w:type="dxa"/>
            <w:vAlign w:val="bottom"/>
          </w:tcPr>
          <w:p>
            <w:pPr>
              <w:spacing w:after="0" w:line="20" w:lineRule="exact"/>
              <w:rPr>
                <w:sz w:val="1"/>
                <w:szCs w:val="1"/>
                <w:color w:val="auto"/>
              </w:rPr>
            </w:pPr>
          </w:p>
        </w:tc>
      </w:tr>
      <w:tr>
        <w:trPr>
          <w:trHeight w:val="183"/>
        </w:trPr>
        <w:tc>
          <w:tcPr>
            <w:tcW w:w="1440" w:type="dxa"/>
            <w:vAlign w:val="bottom"/>
            <w:gridSpan w:val="8"/>
            <w:vMerge w:val="continue"/>
          </w:tcPr>
          <w:p>
            <w:pPr>
              <w:spacing w:after="0"/>
              <w:rPr>
                <w:sz w:val="15"/>
                <w:szCs w:val="15"/>
                <w:color w:val="auto"/>
              </w:rPr>
            </w:pPr>
          </w:p>
        </w:tc>
        <w:tc>
          <w:tcPr>
            <w:tcW w:w="1380" w:type="dxa"/>
            <w:vAlign w:val="bottom"/>
            <w:gridSpan w:val="10"/>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8"/>
          </w:tcPr>
          <w:p>
            <w:pPr>
              <w:jc w:val="right"/>
              <w:ind w:right="126"/>
              <w:spacing w:after="0" w:line="183" w:lineRule="exact"/>
              <w:rPr>
                <w:sz w:val="20"/>
                <w:szCs w:val="20"/>
                <w:color w:val="auto"/>
              </w:rPr>
            </w:pPr>
            <w:r>
              <w:rPr>
                <w:rFonts w:ascii="Arial" w:cs="Arial" w:eastAsia="Arial" w:hAnsi="Arial"/>
                <w:sz w:val="19"/>
                <w:szCs w:val="19"/>
                <w:color w:val="auto"/>
                <w:w w:val="88"/>
              </w:rPr>
              <w:t>75 Section 2.06.</w:t>
            </w:r>
          </w:p>
        </w:tc>
        <w:tc>
          <w:tcPr>
            <w:tcW w:w="20" w:type="dxa"/>
            <w:vAlign w:val="bottom"/>
            <w:vMerge w:val="continue"/>
          </w:tcPr>
          <w:p>
            <w:pPr>
              <w:spacing w:after="0"/>
              <w:rPr>
                <w:sz w:val="15"/>
                <w:szCs w:val="15"/>
                <w:color w:val="auto"/>
              </w:rPr>
            </w:pPr>
          </w:p>
        </w:tc>
        <w:tc>
          <w:tcPr>
            <w:tcW w:w="840" w:type="dxa"/>
            <w:vAlign w:val="bottom"/>
            <w:gridSpan w:val="7"/>
            <w:vMerge w:val="continue"/>
          </w:tcPr>
          <w:p>
            <w:pPr>
              <w:spacing w:after="0"/>
              <w:rPr>
                <w:sz w:val="15"/>
                <w:szCs w:val="15"/>
                <w:color w:val="auto"/>
              </w:rPr>
            </w:pPr>
          </w:p>
        </w:tc>
        <w:tc>
          <w:tcPr>
            <w:tcW w:w="900" w:type="dxa"/>
            <w:vAlign w:val="bottom"/>
            <w:gridSpan w:val="7"/>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5"/>
          </w:tcPr>
          <w:p>
            <w:pPr>
              <w:spacing w:after="0" w:line="183" w:lineRule="exact"/>
              <w:rPr>
                <w:sz w:val="20"/>
                <w:szCs w:val="20"/>
                <w:color w:val="auto"/>
              </w:rPr>
            </w:pPr>
            <w:r>
              <w:rPr>
                <w:rFonts w:ascii="Arial" w:cs="Arial" w:eastAsia="Arial" w:hAnsi="Arial"/>
                <w:sz w:val="19"/>
                <w:szCs w:val="19"/>
                <w:color w:val="0000FF"/>
              </w:rPr>
              <w:t>Changes</w:t>
            </w:r>
          </w:p>
        </w:tc>
        <w:tc>
          <w:tcPr>
            <w:tcW w:w="6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1380" w:type="dxa"/>
            <w:vAlign w:val="bottom"/>
            <w:gridSpan w:val="9"/>
            <w:vMerge w:val="continue"/>
          </w:tcPr>
          <w:p>
            <w:pPr>
              <w:spacing w:after="0"/>
              <w:rPr>
                <w:sz w:val="15"/>
                <w:szCs w:val="15"/>
                <w:color w:val="auto"/>
              </w:rPr>
            </w:pPr>
          </w:p>
        </w:tc>
        <w:tc>
          <w:tcPr>
            <w:tcW w:w="10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9"/>
                <w:szCs w:val="19"/>
                <w:color w:val="auto"/>
              </w:rPr>
              <w:t>Borrowings</w:t>
            </w:r>
          </w:p>
        </w:tc>
        <w:tc>
          <w:tcPr>
            <w:tcW w:w="120" w:type="dxa"/>
            <w:vAlign w:val="bottom"/>
          </w:tcPr>
          <w:p>
            <w:pPr>
              <w:spacing w:after="0"/>
              <w:rPr>
                <w:sz w:val="17"/>
                <w:szCs w:val="17"/>
                <w:color w:val="auto"/>
              </w:rPr>
            </w:pPr>
          </w:p>
        </w:tc>
        <w:tc>
          <w:tcPr>
            <w:tcW w:w="200" w:type="dxa"/>
            <w:vAlign w:val="bottom"/>
            <w:gridSpan w:val="2"/>
          </w:tcPr>
          <w:p>
            <w:pPr>
              <w:jc w:val="right"/>
              <w:spacing w:after="0" w:line="196" w:lineRule="exact"/>
              <w:rPr>
                <w:sz w:val="20"/>
                <w:szCs w:val="20"/>
                <w:color w:val="auto"/>
              </w:rPr>
            </w:pPr>
            <w:r>
              <w:rPr>
                <w:rFonts w:ascii="Arial" w:cs="Arial" w:eastAsia="Arial" w:hAnsi="Arial"/>
                <w:sz w:val="19"/>
                <w:szCs w:val="19"/>
                <w:color w:val="FF0000"/>
                <w:strike w:val="1"/>
                <w:w w:val="84"/>
              </w:rPr>
              <w:t>80</w:t>
            </w:r>
          </w:p>
        </w:tc>
        <w:tc>
          <w:tcPr>
            <w:tcW w:w="1380" w:type="dxa"/>
            <w:vAlign w:val="bottom"/>
            <w:gridSpan w:val="10"/>
          </w:tcPr>
          <w:p>
            <w:pPr>
              <w:jc w:val="center"/>
              <w:ind w:right="100"/>
              <w:spacing w:after="0" w:line="196" w:lineRule="exact"/>
              <w:rPr>
                <w:sz w:val="20"/>
                <w:szCs w:val="20"/>
                <w:color w:val="auto"/>
              </w:rPr>
            </w:pPr>
            <w:r>
              <w:rPr>
                <w:rFonts w:ascii="Arial" w:cs="Arial" w:eastAsia="Arial" w:hAnsi="Arial"/>
                <w:sz w:val="19"/>
                <w:szCs w:val="19"/>
                <w:color w:val="0000FF"/>
                <w:w w:val="93"/>
              </w:rPr>
              <w:t xml:space="preserve">81 </w:t>
            </w:r>
            <w:r>
              <w:rPr>
                <w:rFonts w:ascii="Arial" w:cs="Arial" w:eastAsia="Arial" w:hAnsi="Arial"/>
                <w:sz w:val="19"/>
                <w:szCs w:val="19"/>
                <w:color w:val="000000"/>
                <w:w w:val="93"/>
              </w:rPr>
              <w:t>Section 2.08.</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40" w:type="dxa"/>
            <w:vAlign w:val="bottom"/>
            <w:gridSpan w:val="13"/>
          </w:tcPr>
          <w:p>
            <w:pPr>
              <w:spacing w:after="0" w:line="196" w:lineRule="exact"/>
              <w:rPr>
                <w:sz w:val="20"/>
                <w:szCs w:val="20"/>
                <w:color w:val="auto"/>
              </w:rPr>
            </w:pPr>
            <w:r>
              <w:rPr>
                <w:rFonts w:ascii="Arial" w:cs="Arial" w:eastAsia="Arial" w:hAnsi="Arial"/>
                <w:sz w:val="19"/>
                <w:szCs w:val="19"/>
                <w:color w:val="auto"/>
                <w:w w:val="95"/>
              </w:rPr>
              <w:t>Type; Interest Elections</w:t>
            </w:r>
          </w:p>
        </w:tc>
        <w:tc>
          <w:tcPr>
            <w:tcW w:w="120" w:type="dxa"/>
            <w:vAlign w:val="bottom"/>
            <w:gridSpan w:val="2"/>
          </w:tcPr>
          <w:p>
            <w:pPr>
              <w:jc w:val="right"/>
              <w:spacing w:after="0"/>
              <w:rPr>
                <w:sz w:val="20"/>
                <w:szCs w:val="20"/>
                <w:color w:val="auto"/>
              </w:rPr>
            </w:pPr>
            <w:r>
              <w:rPr>
                <w:rFonts w:ascii="Arial" w:cs="Arial" w:eastAsia="Arial" w:hAnsi="Arial"/>
                <w:sz w:val="12"/>
                <w:szCs w:val="12"/>
                <w:color w:val="FF0000"/>
                <w:strike w:val="1"/>
                <w:w w:val="74"/>
              </w:rPr>
              <w:t>81</w:t>
            </w:r>
          </w:p>
        </w:tc>
        <w:tc>
          <w:tcPr>
            <w:tcW w:w="1340" w:type="dxa"/>
            <w:vAlign w:val="bottom"/>
            <w:gridSpan w:val="10"/>
          </w:tcPr>
          <w:p>
            <w:pPr>
              <w:spacing w:after="0" w:line="196" w:lineRule="exact"/>
              <w:rPr>
                <w:sz w:val="20"/>
                <w:szCs w:val="20"/>
                <w:color w:val="auto"/>
              </w:rPr>
            </w:pPr>
            <w:r>
              <w:rPr>
                <w:rFonts w:ascii="Arial" w:cs="Arial" w:eastAsia="Arial" w:hAnsi="Arial"/>
                <w:sz w:val="19"/>
                <w:szCs w:val="19"/>
                <w:color w:val="0000FF"/>
                <w:w w:val="96"/>
              </w:rPr>
              <w:t xml:space="preserve">82 </w:t>
            </w:r>
            <w:r>
              <w:rPr>
                <w:rFonts w:ascii="Arial" w:cs="Arial" w:eastAsia="Arial" w:hAnsi="Arial"/>
                <w:sz w:val="19"/>
                <w:szCs w:val="19"/>
                <w:color w:val="000000"/>
                <w:w w:val="96"/>
              </w:rPr>
              <w:t>Section 2.09.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60" w:type="dxa"/>
            <w:vAlign w:val="bottom"/>
            <w:gridSpan w:val="21"/>
          </w:tcPr>
          <w:p>
            <w:pPr>
              <w:spacing w:after="0" w:line="196" w:lineRule="exact"/>
              <w:rPr>
                <w:sz w:val="20"/>
                <w:szCs w:val="20"/>
                <w:color w:val="auto"/>
              </w:rPr>
            </w:pPr>
            <w:r>
              <w:rPr>
                <w:rFonts w:ascii="Arial" w:cs="Arial" w:eastAsia="Arial" w:hAnsi="Arial"/>
                <w:sz w:val="19"/>
                <w:szCs w:val="19"/>
                <w:color w:val="auto"/>
                <w:w w:val="95"/>
              </w:rPr>
              <w:t>Termination and Reduction of Commitments</w:t>
            </w:r>
          </w:p>
        </w:tc>
        <w:tc>
          <w:tcPr>
            <w:tcW w:w="0" w:type="dxa"/>
            <w:vAlign w:val="bottom"/>
          </w:tcPr>
          <w:p>
            <w:pPr>
              <w:spacing w:after="0"/>
              <w:rPr>
                <w:sz w:val="1"/>
                <w:szCs w:val="1"/>
                <w:color w:val="auto"/>
              </w:rPr>
            </w:pPr>
          </w:p>
        </w:tc>
      </w:tr>
      <w:tr>
        <w:trPr>
          <w:trHeight w:val="182"/>
        </w:trPr>
        <w:tc>
          <w:tcPr>
            <w:tcW w:w="880" w:type="dxa"/>
            <w:vAlign w:val="bottom"/>
            <w:gridSpan w:val="4"/>
          </w:tcPr>
          <w:p>
            <w:pPr>
              <w:spacing w:after="0" w:line="183" w:lineRule="exact"/>
              <w:rPr>
                <w:sz w:val="20"/>
                <w:szCs w:val="20"/>
                <w:color w:val="auto"/>
              </w:rPr>
            </w:pPr>
            <w:r>
              <w:rPr>
                <w:rFonts w:ascii="Arial" w:cs="Arial" w:eastAsia="Arial" w:hAnsi="Arial"/>
                <w:sz w:val="19"/>
                <w:szCs w:val="19"/>
                <w:color w:val="auto"/>
                <w:w w:val="95"/>
              </w:rPr>
              <w:t>82 Section</w:t>
            </w:r>
          </w:p>
        </w:tc>
        <w:tc>
          <w:tcPr>
            <w:tcW w:w="360" w:type="dxa"/>
            <w:vAlign w:val="bottom"/>
            <w:tcBorders>
              <w:top w:val="single" w:sz="8" w:color="FF0000"/>
            </w:tcBorders>
            <w:gridSpan w:val="2"/>
          </w:tcPr>
          <w:p>
            <w:pPr>
              <w:jc w:val="right"/>
              <w:spacing w:after="0" w:line="183" w:lineRule="exact"/>
              <w:rPr>
                <w:sz w:val="20"/>
                <w:szCs w:val="20"/>
                <w:color w:val="auto"/>
              </w:rPr>
            </w:pPr>
            <w:r>
              <w:rPr>
                <w:rFonts w:ascii="Arial" w:cs="Arial" w:eastAsia="Arial" w:hAnsi="Arial"/>
                <w:sz w:val="19"/>
                <w:szCs w:val="19"/>
                <w:color w:val="auto"/>
                <w:w w:val="80"/>
              </w:rPr>
              <w:t>2.10.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3060" w:type="dxa"/>
            <w:vAlign w:val="bottom"/>
            <w:gridSpan w:val="21"/>
          </w:tcPr>
          <w:p>
            <w:pPr>
              <w:spacing w:after="0" w:line="183" w:lineRule="exact"/>
              <w:rPr>
                <w:sz w:val="20"/>
                <w:szCs w:val="20"/>
                <w:color w:val="auto"/>
              </w:rPr>
            </w:pPr>
            <w:r>
              <w:rPr>
                <w:rFonts w:ascii="Arial" w:cs="Arial" w:eastAsia="Arial" w:hAnsi="Arial"/>
                <w:sz w:val="19"/>
                <w:szCs w:val="19"/>
                <w:color w:val="auto"/>
                <w:w w:val="91"/>
              </w:rPr>
              <w:t>Repayment of Loans; Evidence of Debt</w:t>
            </w:r>
          </w:p>
        </w:tc>
        <w:tc>
          <w:tcPr>
            <w:tcW w:w="280" w:type="dxa"/>
            <w:vAlign w:val="bottom"/>
            <w:tcBorders>
              <w:top w:val="single" w:sz="8" w:color="FF0000"/>
            </w:tcBorders>
            <w:gridSpan w:val="2"/>
          </w:tcPr>
          <w:p>
            <w:pPr>
              <w:jc w:val="right"/>
              <w:spacing w:after="0" w:line="183" w:lineRule="exact"/>
              <w:rPr>
                <w:sz w:val="20"/>
                <w:szCs w:val="20"/>
                <w:color w:val="auto"/>
              </w:rPr>
            </w:pPr>
            <w:r>
              <w:rPr>
                <w:rFonts w:ascii="Arial" w:cs="Arial" w:eastAsia="Arial" w:hAnsi="Arial"/>
                <w:sz w:val="19"/>
                <w:szCs w:val="19"/>
                <w:color w:val="FF0000"/>
                <w:strike w:val="1"/>
                <w:w w:val="94"/>
              </w:rPr>
              <w:t>82</w:t>
            </w:r>
          </w:p>
        </w:tc>
        <w:tc>
          <w:tcPr>
            <w:tcW w:w="120" w:type="dxa"/>
            <w:vAlign w:val="bottom"/>
            <w:gridSpan w:val="2"/>
          </w:tcPr>
          <w:p>
            <w:pPr>
              <w:jc w:val="right"/>
              <w:spacing w:after="0"/>
              <w:rPr>
                <w:sz w:val="20"/>
                <w:szCs w:val="20"/>
                <w:color w:val="auto"/>
              </w:rPr>
            </w:pPr>
            <w:r>
              <w:rPr>
                <w:rFonts w:ascii="Arial" w:cs="Arial" w:eastAsia="Arial" w:hAnsi="Arial"/>
                <w:sz w:val="12"/>
                <w:szCs w:val="12"/>
                <w:color w:val="0000FF"/>
                <w:w w:val="74"/>
              </w:rPr>
              <w:t>83</w:t>
            </w: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080" w:type="dxa"/>
            <w:vAlign w:val="bottom"/>
            <w:gridSpan w:val="7"/>
          </w:tcPr>
          <w:p>
            <w:pPr>
              <w:spacing w:after="0" w:line="183" w:lineRule="exact"/>
              <w:rPr>
                <w:sz w:val="20"/>
                <w:szCs w:val="20"/>
                <w:color w:val="auto"/>
              </w:rPr>
            </w:pPr>
            <w:r>
              <w:rPr>
                <w:rFonts w:ascii="Arial" w:cs="Arial" w:eastAsia="Arial" w:hAnsi="Arial"/>
                <w:sz w:val="19"/>
                <w:szCs w:val="19"/>
                <w:color w:val="auto"/>
                <w:w w:val="95"/>
              </w:rPr>
              <w:t>Section 2.11.</w:t>
            </w:r>
          </w:p>
        </w:tc>
        <w:tc>
          <w:tcPr>
            <w:tcW w:w="2340" w:type="dxa"/>
            <w:vAlign w:val="bottom"/>
            <w:gridSpan w:val="18"/>
          </w:tcPr>
          <w:p>
            <w:pPr>
              <w:spacing w:after="0" w:line="183" w:lineRule="exact"/>
              <w:rPr>
                <w:sz w:val="20"/>
                <w:szCs w:val="20"/>
                <w:color w:val="auto"/>
              </w:rPr>
            </w:pPr>
            <w:r>
              <w:rPr>
                <w:rFonts w:ascii="Arial" w:cs="Arial" w:eastAsia="Arial" w:hAnsi="Arial"/>
                <w:sz w:val="19"/>
                <w:szCs w:val="19"/>
                <w:color w:val="auto"/>
              </w:rPr>
              <w:t>Prepayment of Loans</w:t>
            </w:r>
          </w:p>
        </w:tc>
        <w:tc>
          <w:tcPr>
            <w:tcW w:w="1600" w:type="dxa"/>
            <w:vAlign w:val="bottom"/>
            <w:gridSpan w:val="7"/>
          </w:tcPr>
          <w:p>
            <w:pPr>
              <w:jc w:val="center"/>
              <w:ind w:right="320"/>
              <w:spacing w:after="0" w:line="183" w:lineRule="exact"/>
              <w:rPr>
                <w:sz w:val="20"/>
                <w:szCs w:val="20"/>
                <w:color w:val="auto"/>
              </w:rPr>
            </w:pPr>
            <w:r>
              <w:rPr>
                <w:rFonts w:ascii="Arial" w:cs="Arial" w:eastAsia="Arial" w:hAnsi="Arial"/>
                <w:sz w:val="19"/>
                <w:szCs w:val="19"/>
                <w:color w:val="auto"/>
                <w:w w:val="93"/>
              </w:rPr>
              <w:t>84 Section 2.12.</w:t>
            </w:r>
          </w:p>
        </w:tc>
        <w:tc>
          <w:tcPr>
            <w:tcW w:w="0" w:type="dxa"/>
            <w:vAlign w:val="bottom"/>
          </w:tcPr>
          <w:p>
            <w:pPr>
              <w:spacing w:after="0"/>
              <w:rPr>
                <w:sz w:val="1"/>
                <w:szCs w:val="1"/>
                <w:color w:val="auto"/>
              </w:rPr>
            </w:pPr>
          </w:p>
        </w:tc>
      </w:tr>
      <w:tr>
        <w:trPr>
          <w:trHeight w:val="183"/>
        </w:trPr>
        <w:tc>
          <w:tcPr>
            <w:tcW w:w="420" w:type="dxa"/>
            <w:vAlign w:val="bottom"/>
          </w:tcPr>
          <w:p>
            <w:pPr>
              <w:spacing w:after="0" w:line="183" w:lineRule="exact"/>
              <w:rPr>
                <w:sz w:val="20"/>
                <w:szCs w:val="20"/>
                <w:color w:val="auto"/>
              </w:rPr>
            </w:pPr>
            <w:r>
              <w:rPr>
                <w:rFonts w:ascii="Arial" w:cs="Arial" w:eastAsia="Arial" w:hAnsi="Arial"/>
                <w:sz w:val="19"/>
                <w:szCs w:val="19"/>
                <w:color w:val="auto"/>
                <w:w w:val="94"/>
              </w:rPr>
              <w:t>Fees</w:t>
            </w:r>
          </w:p>
        </w:tc>
        <w:tc>
          <w:tcPr>
            <w:tcW w:w="180" w:type="dxa"/>
            <w:vAlign w:val="bottom"/>
          </w:tcPr>
          <w:p>
            <w:pPr>
              <w:jc w:val="right"/>
              <w:spacing w:after="0" w:line="183" w:lineRule="exact"/>
              <w:rPr>
                <w:sz w:val="20"/>
                <w:szCs w:val="20"/>
                <w:color w:val="auto"/>
              </w:rPr>
            </w:pPr>
            <w:r>
              <w:rPr>
                <w:rFonts w:ascii="Arial" w:cs="Arial" w:eastAsia="Arial" w:hAnsi="Arial"/>
                <w:sz w:val="19"/>
                <w:szCs w:val="19"/>
                <w:color w:val="FF0000"/>
                <w:strike w:val="1"/>
                <w:w w:val="75"/>
              </w:rPr>
              <w:t>88</w:t>
            </w:r>
          </w:p>
        </w:tc>
        <w:tc>
          <w:tcPr>
            <w:tcW w:w="20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19"/>
                <w:szCs w:val="19"/>
                <w:color w:val="0000FF"/>
                <w:w w:val="84"/>
              </w:rPr>
              <w:t>89</w:t>
            </w:r>
          </w:p>
        </w:tc>
        <w:tc>
          <w:tcPr>
            <w:tcW w:w="4160" w:type="dxa"/>
            <w:vAlign w:val="bottom"/>
            <w:gridSpan w:val="30"/>
          </w:tcPr>
          <w:p>
            <w:pPr>
              <w:spacing w:after="0"/>
              <w:rPr>
                <w:sz w:val="15"/>
                <w:szCs w:val="15"/>
                <w:color w:val="auto"/>
              </w:rPr>
            </w:pPr>
          </w:p>
        </w:tc>
        <w:tc>
          <w:tcPr>
            <w:tcW w:w="140" w:type="dxa"/>
            <w:vAlign w:val="bottom"/>
            <w:tcBorders>
              <w:top w:val="single" w:sz="8" w:color="0000FF"/>
            </w:tcBorders>
            <w:gridSpan w:val="3"/>
          </w:tcPr>
          <w:p>
            <w:pPr>
              <w:spacing w:after="0"/>
              <w:rPr>
                <w:sz w:val="15"/>
                <w:szCs w:val="15"/>
                <w:color w:val="auto"/>
              </w:rPr>
            </w:pPr>
          </w:p>
        </w:tc>
        <w:tc>
          <w:tcPr>
            <w:tcW w:w="2900" w:type="dxa"/>
            <w:vAlign w:val="bottom"/>
            <w:gridSpan w:val="22"/>
          </w:tcPr>
          <w:p>
            <w:pPr>
              <w:spacing w:after="0"/>
              <w:rPr>
                <w:sz w:val="15"/>
                <w:szCs w:val="15"/>
                <w:color w:val="auto"/>
              </w:rPr>
            </w:pPr>
          </w:p>
        </w:tc>
        <w:tc>
          <w:tcPr>
            <w:tcW w:w="760" w:type="dxa"/>
            <w:vAlign w:val="bottom"/>
            <w:tcBorders>
              <w:top w:val="single" w:sz="8" w:color="auto"/>
            </w:tcBorders>
            <w:gridSpan w:val="5"/>
          </w:tcPr>
          <w:p>
            <w:pPr>
              <w:spacing w:after="0"/>
              <w:rPr>
                <w:sz w:val="15"/>
                <w:szCs w:val="15"/>
                <w:color w:val="auto"/>
              </w:rPr>
            </w:pPr>
          </w:p>
        </w:tc>
        <w:tc>
          <w:tcPr>
            <w:tcW w:w="16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9"/>
                <w:szCs w:val="19"/>
                <w:color w:val="auto"/>
                <w:w w:val="99"/>
              </w:rPr>
              <w:t>Section 2.13.</w:t>
            </w:r>
          </w:p>
        </w:tc>
        <w:tc>
          <w:tcPr>
            <w:tcW w:w="560" w:type="dxa"/>
            <w:vAlign w:val="bottom"/>
            <w:gridSpan w:val="6"/>
          </w:tcPr>
          <w:p>
            <w:pPr>
              <w:spacing w:after="0" w:line="196" w:lineRule="exact"/>
              <w:rPr>
                <w:sz w:val="20"/>
                <w:szCs w:val="20"/>
                <w:color w:val="auto"/>
              </w:rPr>
            </w:pPr>
            <w:r>
              <w:rPr>
                <w:rFonts w:ascii="Arial" w:cs="Arial" w:eastAsia="Arial" w:hAnsi="Arial"/>
                <w:sz w:val="19"/>
                <w:szCs w:val="19"/>
                <w:color w:val="auto"/>
                <w:w w:val="81"/>
              </w:rPr>
              <w:t>Interest</w:t>
            </w:r>
          </w:p>
        </w:tc>
        <w:tc>
          <w:tcPr>
            <w:tcW w:w="200" w:type="dxa"/>
            <w:vAlign w:val="bottom"/>
            <w:tcBorders>
              <w:bottom w:val="single" w:sz="8" w:color="auto"/>
            </w:tcBorders>
          </w:tcPr>
          <w:p>
            <w:pPr>
              <w:spacing w:after="0"/>
              <w:rPr>
                <w:sz w:val="17"/>
                <w:szCs w:val="17"/>
                <w:color w:val="auto"/>
              </w:rPr>
            </w:pPr>
          </w:p>
        </w:tc>
        <w:tc>
          <w:tcPr>
            <w:tcW w:w="240" w:type="dxa"/>
            <w:vAlign w:val="bottom"/>
            <w:gridSpan w:val="2"/>
          </w:tcPr>
          <w:p>
            <w:pPr>
              <w:jc w:val="right"/>
              <w:ind w:right="40"/>
              <w:spacing w:after="0" w:line="196" w:lineRule="exact"/>
              <w:rPr>
                <w:sz w:val="20"/>
                <w:szCs w:val="20"/>
                <w:color w:val="auto"/>
              </w:rPr>
            </w:pPr>
            <w:r>
              <w:rPr>
                <w:rFonts w:ascii="Arial" w:cs="Arial" w:eastAsia="Arial" w:hAnsi="Arial"/>
                <w:sz w:val="19"/>
                <w:szCs w:val="19"/>
                <w:color w:val="FF0000"/>
                <w:strike w:val="1"/>
                <w:w w:val="84"/>
              </w:rPr>
              <w:t>89</w:t>
            </w:r>
          </w:p>
        </w:tc>
        <w:tc>
          <w:tcPr>
            <w:tcW w:w="14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w w:val="71"/>
              </w:rPr>
              <w:t>90</w:t>
            </w:r>
          </w:p>
        </w:tc>
        <w:tc>
          <w:tcPr>
            <w:tcW w:w="8100" w:type="dxa"/>
            <w:vAlign w:val="bottom"/>
            <w:gridSpan w:val="5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9"/>
                <w:szCs w:val="19"/>
                <w:color w:val="auto"/>
                <w:w w:val="99"/>
              </w:rPr>
              <w:t>Section 2.14.</w:t>
            </w:r>
          </w:p>
        </w:tc>
        <w:tc>
          <w:tcPr>
            <w:tcW w:w="1920" w:type="dxa"/>
            <w:vAlign w:val="bottom"/>
            <w:gridSpan w:val="16"/>
          </w:tcPr>
          <w:p>
            <w:pPr>
              <w:spacing w:after="0" w:line="196" w:lineRule="exact"/>
              <w:rPr>
                <w:sz w:val="20"/>
                <w:szCs w:val="20"/>
                <w:color w:val="auto"/>
              </w:rPr>
            </w:pPr>
            <w:r>
              <w:rPr>
                <w:rFonts w:ascii="Arial" w:cs="Arial" w:eastAsia="Arial" w:hAnsi="Arial"/>
                <w:sz w:val="19"/>
                <w:szCs w:val="19"/>
                <w:color w:val="FF0000"/>
                <w:strike w:val="1"/>
                <w:w w:val="89"/>
              </w:rPr>
              <w:t>Alternate Rate of Interest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gridSpan w:val="2"/>
          </w:tcPr>
          <w:p>
            <w:pPr>
              <w:spacing w:after="0" w:line="196" w:lineRule="exact"/>
              <w:rPr>
                <w:sz w:val="20"/>
                <w:szCs w:val="20"/>
                <w:color w:val="auto"/>
              </w:rPr>
            </w:pPr>
            <w:r>
              <w:rPr>
                <w:rFonts w:ascii="Arial" w:cs="Arial" w:eastAsia="Arial" w:hAnsi="Arial"/>
                <w:sz w:val="19"/>
                <w:szCs w:val="19"/>
                <w:color w:val="FF0000"/>
                <w:strike w:val="1"/>
                <w:w w:val="75"/>
              </w:rPr>
              <w:t>90</w:t>
            </w:r>
          </w:p>
        </w:tc>
        <w:tc>
          <w:tcPr>
            <w:tcW w:w="2220" w:type="dxa"/>
            <w:vAlign w:val="bottom"/>
            <w:gridSpan w:val="15"/>
          </w:tcPr>
          <w:p>
            <w:pPr>
              <w:spacing w:after="0" w:line="196" w:lineRule="exact"/>
              <w:rPr>
                <w:sz w:val="20"/>
                <w:szCs w:val="20"/>
                <w:color w:val="auto"/>
              </w:rPr>
            </w:pPr>
            <w:r>
              <w:rPr>
                <w:rFonts w:ascii="Arial" w:cs="Arial" w:eastAsia="Arial" w:hAnsi="Arial"/>
                <w:sz w:val="19"/>
                <w:szCs w:val="19"/>
                <w:color w:val="0000FF"/>
                <w:w w:val="94"/>
              </w:rPr>
              <w:t>Inability to Determine Rates</w:t>
            </w:r>
          </w:p>
        </w:tc>
        <w:tc>
          <w:tcPr>
            <w:tcW w:w="500" w:type="dxa"/>
            <w:vAlign w:val="bottom"/>
            <w:gridSpan w:val="3"/>
          </w:tcPr>
          <w:p>
            <w:pPr>
              <w:ind w:left="220"/>
              <w:spacing w:after="0" w:line="196" w:lineRule="exact"/>
              <w:rPr>
                <w:sz w:val="20"/>
                <w:szCs w:val="20"/>
                <w:color w:val="auto"/>
              </w:rPr>
            </w:pPr>
            <w:r>
              <w:rPr>
                <w:rFonts w:ascii="Arial" w:cs="Arial" w:eastAsia="Arial" w:hAnsi="Arial"/>
                <w:sz w:val="19"/>
                <w:szCs w:val="19"/>
                <w:color w:val="0000FF"/>
              </w:rPr>
              <w:t>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gridSpan w:val="5"/>
          </w:tcPr>
          <w:p>
            <w:pPr>
              <w:spacing w:after="0" w:line="20" w:lineRule="exact"/>
              <w:rPr>
                <w:sz w:val="1"/>
                <w:szCs w:val="1"/>
                <w:color w:val="auto"/>
              </w:rPr>
            </w:pPr>
          </w:p>
        </w:tc>
        <w:tc>
          <w:tcPr>
            <w:tcW w:w="1200" w:type="dxa"/>
            <w:vAlign w:val="bottom"/>
            <w:gridSpan w:val="1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shd w:val="clear" w:color="auto" w:fill="FF0000"/>
          </w:tcPr>
          <w:p>
            <w:pPr>
              <w:spacing w:after="0" w:line="20" w:lineRule="exact"/>
              <w:rPr>
                <w:sz w:val="1"/>
                <w:szCs w:val="1"/>
                <w:color w:val="auto"/>
              </w:rPr>
            </w:pPr>
          </w:p>
        </w:tc>
        <w:tc>
          <w:tcPr>
            <w:tcW w:w="200" w:type="dxa"/>
            <w:vAlign w:val="bottom"/>
            <w:tcBorders>
              <w:right w:val="single" w:sz="8" w:color="0000FF"/>
            </w:tcBorders>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gridSpan w:val="10"/>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9"/>
                <w:szCs w:val="19"/>
                <w:color w:val="auto"/>
                <w:w w:val="99"/>
              </w:rPr>
              <w:t>Section 2.15.</w:t>
            </w:r>
          </w:p>
        </w:tc>
        <w:tc>
          <w:tcPr>
            <w:tcW w:w="1200" w:type="dxa"/>
            <w:vAlign w:val="bottom"/>
            <w:gridSpan w:val="12"/>
          </w:tcPr>
          <w:p>
            <w:pPr>
              <w:spacing w:after="0" w:line="196" w:lineRule="exact"/>
              <w:rPr>
                <w:sz w:val="20"/>
                <w:szCs w:val="20"/>
                <w:color w:val="auto"/>
              </w:rPr>
            </w:pPr>
            <w:r>
              <w:rPr>
                <w:rFonts w:ascii="Arial" w:cs="Arial" w:eastAsia="Arial" w:hAnsi="Arial"/>
                <w:sz w:val="19"/>
                <w:szCs w:val="19"/>
                <w:color w:val="auto"/>
                <w:w w:val="85"/>
              </w:rPr>
              <w:t>Increased Costs</w:t>
            </w:r>
          </w:p>
        </w:tc>
        <w:tc>
          <w:tcPr>
            <w:tcW w:w="6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9"/>
          </w:tcPr>
          <w:p>
            <w:pPr>
              <w:spacing w:after="0" w:line="196" w:lineRule="exact"/>
              <w:rPr>
                <w:sz w:val="20"/>
                <w:szCs w:val="20"/>
                <w:color w:val="auto"/>
              </w:rPr>
            </w:pPr>
            <w:r>
              <w:rPr>
                <w:rFonts w:ascii="Arial" w:cs="Arial" w:eastAsia="Arial" w:hAnsi="Arial"/>
                <w:sz w:val="19"/>
                <w:szCs w:val="19"/>
                <w:color w:val="auto"/>
                <w:w w:val="93"/>
              </w:rPr>
              <w:t>91 Section 2.16.</w:t>
            </w:r>
          </w:p>
        </w:tc>
        <w:tc>
          <w:tcPr>
            <w:tcW w:w="100" w:type="dxa"/>
            <w:vAlign w:val="bottom"/>
          </w:tcPr>
          <w:p>
            <w:pPr>
              <w:spacing w:after="0"/>
              <w:rPr>
                <w:sz w:val="17"/>
                <w:szCs w:val="17"/>
                <w:color w:val="auto"/>
              </w:rPr>
            </w:pPr>
          </w:p>
        </w:tc>
        <w:tc>
          <w:tcPr>
            <w:tcW w:w="2020" w:type="dxa"/>
            <w:vAlign w:val="bottom"/>
            <w:gridSpan w:val="16"/>
          </w:tcPr>
          <w:p>
            <w:pPr>
              <w:jc w:val="right"/>
              <w:spacing w:after="0" w:line="196" w:lineRule="exact"/>
              <w:rPr>
                <w:sz w:val="20"/>
                <w:szCs w:val="20"/>
                <w:color w:val="auto"/>
              </w:rPr>
            </w:pPr>
            <w:r>
              <w:rPr>
                <w:rFonts w:ascii="Arial" w:cs="Arial" w:eastAsia="Arial" w:hAnsi="Arial"/>
                <w:sz w:val="19"/>
                <w:szCs w:val="19"/>
                <w:color w:val="auto"/>
                <w:w w:val="93"/>
              </w:rPr>
              <w:t>Break Funding Payments</w:t>
            </w:r>
          </w:p>
        </w:tc>
        <w:tc>
          <w:tcPr>
            <w:tcW w:w="2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line="196" w:lineRule="exact"/>
              <w:rPr>
                <w:sz w:val="20"/>
                <w:szCs w:val="20"/>
                <w:color w:val="auto"/>
              </w:rPr>
            </w:pPr>
            <w:r>
              <w:rPr>
                <w:rFonts w:ascii="Arial" w:cs="Arial" w:eastAsia="Arial" w:hAnsi="Arial"/>
                <w:sz w:val="19"/>
                <w:szCs w:val="19"/>
                <w:color w:val="FF0000"/>
                <w:strike w:val="1"/>
                <w:w w:val="75"/>
              </w:rPr>
              <w:t>92</w:t>
            </w:r>
          </w:p>
        </w:tc>
        <w:tc>
          <w:tcPr>
            <w:tcW w:w="1780" w:type="dxa"/>
            <w:vAlign w:val="bottom"/>
            <w:gridSpan w:val="13"/>
          </w:tcPr>
          <w:p>
            <w:pPr>
              <w:jc w:val="center"/>
              <w:ind w:right="20"/>
              <w:spacing w:after="0" w:line="196" w:lineRule="exact"/>
              <w:rPr>
                <w:sz w:val="20"/>
                <w:szCs w:val="20"/>
                <w:color w:val="auto"/>
              </w:rPr>
            </w:pPr>
            <w:r>
              <w:rPr>
                <w:rFonts w:ascii="Arial" w:cs="Arial" w:eastAsia="Arial" w:hAnsi="Arial"/>
                <w:sz w:val="19"/>
                <w:szCs w:val="19"/>
                <w:color w:val="0000FF"/>
                <w:w w:val="90"/>
              </w:rPr>
              <w:t xml:space="preserve">93 </w:t>
            </w:r>
            <w:r>
              <w:rPr>
                <w:rFonts w:ascii="Arial" w:cs="Arial" w:eastAsia="Arial" w:hAnsi="Arial"/>
                <w:sz w:val="19"/>
                <w:szCs w:val="19"/>
                <w:color w:val="000000"/>
                <w:w w:val="90"/>
              </w:rPr>
              <w:t>Section 2.17. Taxes</w:t>
            </w:r>
          </w:p>
        </w:tc>
        <w:tc>
          <w:tcPr>
            <w:tcW w:w="20" w:type="dxa"/>
            <w:vAlign w:val="bottom"/>
          </w:tcPr>
          <w:p>
            <w:pPr>
              <w:spacing w:after="0"/>
              <w:rPr>
                <w:sz w:val="17"/>
                <w:szCs w:val="17"/>
                <w:color w:val="auto"/>
              </w:rPr>
            </w:pPr>
          </w:p>
        </w:tc>
        <w:tc>
          <w:tcPr>
            <w:tcW w:w="520" w:type="dxa"/>
            <w:vAlign w:val="bottom"/>
            <w:gridSpan w:val="2"/>
          </w:tcPr>
          <w:p>
            <w:pPr>
              <w:jc w:val="right"/>
              <w:spacing w:after="0" w:line="196" w:lineRule="exact"/>
              <w:rPr>
                <w:sz w:val="20"/>
                <w:szCs w:val="20"/>
                <w:color w:val="auto"/>
              </w:rPr>
            </w:pPr>
            <w:r>
              <w:rPr>
                <w:rFonts w:ascii="Arial" w:cs="Arial" w:eastAsia="Arial" w:hAnsi="Arial"/>
                <w:sz w:val="19"/>
                <w:szCs w:val="19"/>
                <w:color w:val="FF0000"/>
                <w:strike w:val="1"/>
              </w:rPr>
              <w:t>92</w:t>
            </w:r>
          </w:p>
        </w:tc>
        <w:tc>
          <w:tcPr>
            <w:tcW w:w="180" w:type="dxa"/>
            <w:vAlign w:val="bottom"/>
          </w:tcPr>
          <w:p>
            <w:pPr>
              <w:jc w:val="center"/>
              <w:spacing w:after="0" w:line="196" w:lineRule="exact"/>
              <w:rPr>
                <w:sz w:val="20"/>
                <w:szCs w:val="20"/>
                <w:color w:val="auto"/>
              </w:rPr>
            </w:pPr>
            <w:r>
              <w:rPr>
                <w:rFonts w:ascii="Arial" w:cs="Arial" w:eastAsia="Arial" w:hAnsi="Arial"/>
                <w:sz w:val="19"/>
                <w:szCs w:val="19"/>
                <w:color w:val="0000FF"/>
                <w:w w:val="84"/>
              </w:rPr>
              <w:t>93</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gridSpan w:val="5"/>
          </w:tcPr>
          <w:p>
            <w:pPr>
              <w:spacing w:after="0" w:line="20" w:lineRule="exact"/>
              <w:rPr>
                <w:sz w:val="1"/>
                <w:szCs w:val="1"/>
                <w:color w:val="auto"/>
              </w:rPr>
            </w:pPr>
          </w:p>
        </w:tc>
        <w:tc>
          <w:tcPr>
            <w:tcW w:w="1200" w:type="dxa"/>
            <w:vAlign w:val="bottom"/>
            <w:gridSpan w:val="12"/>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940" w:type="dxa"/>
            <w:vAlign w:val="bottom"/>
            <w:gridSpan w:val="13"/>
            <w:vMerge w:val="restart"/>
          </w:tcPr>
          <w:p>
            <w:pPr>
              <w:spacing w:after="0" w:line="203" w:lineRule="exact"/>
              <w:rPr>
                <w:sz w:val="20"/>
                <w:szCs w:val="20"/>
                <w:color w:val="auto"/>
              </w:rPr>
            </w:pPr>
            <w:r>
              <w:rPr>
                <w:rFonts w:ascii="Arial" w:cs="Arial" w:eastAsia="Arial" w:hAnsi="Arial"/>
                <w:sz w:val="19"/>
                <w:szCs w:val="19"/>
                <w:color w:val="auto"/>
                <w:w w:val="97"/>
              </w:rPr>
              <w:t>Allocation of Proceeds;</w:t>
            </w:r>
          </w:p>
        </w:tc>
        <w:tc>
          <w:tcPr>
            <w:tcW w:w="620" w:type="dxa"/>
            <w:vAlign w:val="bottom"/>
            <w:gridSpan w:val="6"/>
            <w:vMerge w:val="restart"/>
          </w:tcPr>
          <w:p>
            <w:pPr>
              <w:spacing w:after="0" w:line="203" w:lineRule="exact"/>
              <w:rPr>
                <w:sz w:val="20"/>
                <w:szCs w:val="20"/>
                <w:color w:val="auto"/>
              </w:rPr>
            </w:pPr>
            <w:r>
              <w:rPr>
                <w:rFonts w:ascii="Arial" w:cs="Arial" w:eastAsia="Arial" w:hAnsi="Arial"/>
                <w:sz w:val="19"/>
                <w:szCs w:val="19"/>
                <w:color w:val="auto"/>
                <w:w w:val="91"/>
              </w:rPr>
              <w:t>Sharing</w:t>
            </w:r>
          </w:p>
        </w:tc>
        <w:tc>
          <w:tcPr>
            <w:tcW w:w="240" w:type="dxa"/>
            <w:vAlign w:val="bottom"/>
            <w:gridSpan w:val="2"/>
            <w:vMerge w:val="restart"/>
          </w:tcPr>
          <w:p>
            <w:pPr>
              <w:ind w:left="40"/>
              <w:spacing w:after="0" w:line="203" w:lineRule="exact"/>
              <w:rPr>
                <w:sz w:val="20"/>
                <w:szCs w:val="20"/>
                <w:color w:val="auto"/>
              </w:rPr>
            </w:pPr>
            <w:r>
              <w:rPr>
                <w:rFonts w:ascii="Arial" w:cs="Arial" w:eastAsia="Arial" w:hAnsi="Arial"/>
                <w:sz w:val="19"/>
                <w:szCs w:val="19"/>
                <w:color w:val="auto"/>
              </w:rPr>
              <w:t>of</w:t>
            </w:r>
          </w:p>
        </w:tc>
        <w:tc>
          <w:tcPr>
            <w:tcW w:w="620" w:type="dxa"/>
            <w:vAlign w:val="bottom"/>
            <w:gridSpan w:val="5"/>
            <w:vMerge w:val="restart"/>
          </w:tcPr>
          <w:p>
            <w:pPr>
              <w:jc w:val="right"/>
              <w:spacing w:after="0" w:line="203" w:lineRule="exact"/>
              <w:rPr>
                <w:sz w:val="20"/>
                <w:szCs w:val="20"/>
                <w:color w:val="auto"/>
              </w:rPr>
            </w:pPr>
            <w:r>
              <w:rPr>
                <w:rFonts w:ascii="Arial" w:cs="Arial" w:eastAsia="Arial" w:hAnsi="Arial"/>
                <w:sz w:val="19"/>
                <w:szCs w:val="19"/>
                <w:color w:val="auto"/>
                <w:w w:val="70"/>
              </w:rPr>
              <w:t>Payments</w:t>
            </w: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160" w:type="dxa"/>
            <w:vAlign w:val="bottom"/>
            <w:gridSpan w:val="3"/>
            <w:vMerge w:val="restart"/>
          </w:tcPr>
          <w:p>
            <w:pPr>
              <w:jc w:val="right"/>
              <w:spacing w:after="0"/>
              <w:rPr>
                <w:sz w:val="20"/>
                <w:szCs w:val="20"/>
                <w:color w:val="auto"/>
              </w:rPr>
            </w:pPr>
            <w:r>
              <w:rPr>
                <w:rFonts w:ascii="Arial" w:cs="Arial" w:eastAsia="Arial" w:hAnsi="Arial"/>
                <w:sz w:val="15"/>
                <w:szCs w:val="15"/>
                <w:color w:val="FF0000"/>
                <w:strike w:val="1"/>
                <w:w w:val="71"/>
              </w:rPr>
              <w:t>96</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0000FF"/>
                <w:w w:val="73"/>
              </w:rPr>
              <w:t>97</w:t>
            </w:r>
          </w:p>
        </w:tc>
        <w:tc>
          <w:tcPr>
            <w:tcW w:w="80" w:type="dxa"/>
            <w:vAlign w:val="bottom"/>
            <w:vMerge w:val="restart"/>
          </w:tcPr>
          <w:p>
            <w:pPr>
              <w:spacing w:after="0" w:line="20" w:lineRule="exact"/>
              <w:rPr>
                <w:sz w:val="1"/>
                <w:szCs w:val="1"/>
                <w:color w:val="auto"/>
              </w:rPr>
            </w:pPr>
          </w:p>
        </w:tc>
        <w:tc>
          <w:tcPr>
            <w:tcW w:w="1300" w:type="dxa"/>
            <w:vAlign w:val="bottom"/>
            <w:gridSpan w:val="8"/>
            <w:vMerge w:val="restart"/>
          </w:tcPr>
          <w:p>
            <w:pPr>
              <w:ind w:left="20"/>
              <w:spacing w:after="0" w:line="203" w:lineRule="exact"/>
              <w:rPr>
                <w:sz w:val="20"/>
                <w:szCs w:val="20"/>
                <w:color w:val="auto"/>
              </w:rPr>
            </w:pPr>
            <w:r>
              <w:rPr>
                <w:rFonts w:ascii="Arial" w:cs="Arial" w:eastAsia="Arial" w:hAnsi="Arial"/>
                <w:sz w:val="19"/>
                <w:szCs w:val="19"/>
                <w:color w:val="auto"/>
              </w:rPr>
              <w:t>Section 2.19.</w:t>
            </w:r>
          </w:p>
        </w:tc>
        <w:tc>
          <w:tcPr>
            <w:tcW w:w="180" w:type="dxa"/>
            <w:vAlign w:val="bottom"/>
            <w:shd w:val="clear" w:color="auto" w:fill="0000FF"/>
          </w:tcPr>
          <w:p>
            <w:pPr>
              <w:spacing w:after="0" w:line="20" w:lineRule="exact"/>
              <w:rPr>
                <w:sz w:val="1"/>
                <w:szCs w:val="1"/>
                <w:color w:val="auto"/>
              </w:rPr>
            </w:pPr>
          </w:p>
        </w:tc>
        <w:tc>
          <w:tcPr>
            <w:tcW w:w="880" w:type="dxa"/>
            <w:vAlign w:val="bottom"/>
            <w:gridSpan w:val="3"/>
            <w:vMerge w:val="restart"/>
          </w:tcPr>
          <w:p>
            <w:pPr>
              <w:jc w:val="center"/>
              <w:ind w:right="120"/>
              <w:spacing w:after="0" w:line="203" w:lineRule="exact"/>
              <w:rPr>
                <w:sz w:val="20"/>
                <w:szCs w:val="20"/>
                <w:color w:val="auto"/>
              </w:rPr>
            </w:pPr>
            <w:r>
              <w:rPr>
                <w:rFonts w:ascii="Arial" w:cs="Arial" w:eastAsia="Arial" w:hAnsi="Arial"/>
                <w:sz w:val="19"/>
                <w:szCs w:val="19"/>
                <w:color w:val="auto"/>
                <w:w w:val="93"/>
              </w:rPr>
              <w:t>Mitigation</w:t>
            </w:r>
          </w:p>
        </w:tc>
        <w:tc>
          <w:tcPr>
            <w:tcW w:w="0" w:type="dxa"/>
            <w:vAlign w:val="bottom"/>
          </w:tcPr>
          <w:p>
            <w:pPr>
              <w:spacing w:after="0" w:line="20" w:lineRule="exact"/>
              <w:rPr>
                <w:sz w:val="1"/>
                <w:szCs w:val="1"/>
                <w:color w:val="auto"/>
              </w:rPr>
            </w:pPr>
          </w:p>
        </w:tc>
      </w:tr>
      <w:tr>
        <w:trPr>
          <w:trHeight w:val="182"/>
        </w:trPr>
        <w:tc>
          <w:tcPr>
            <w:tcW w:w="3020" w:type="dxa"/>
            <w:vAlign w:val="bottom"/>
            <w:gridSpan w:val="20"/>
          </w:tcPr>
          <w:p>
            <w:pPr>
              <w:spacing w:after="0" w:line="183" w:lineRule="exact"/>
              <w:rPr>
                <w:sz w:val="20"/>
                <w:szCs w:val="20"/>
                <w:color w:val="auto"/>
              </w:rPr>
            </w:pPr>
            <w:r>
              <w:rPr>
                <w:rFonts w:ascii="Arial" w:cs="Arial" w:eastAsia="Arial" w:hAnsi="Arial"/>
                <w:sz w:val="19"/>
                <w:szCs w:val="19"/>
                <w:color w:val="auto"/>
              </w:rPr>
              <w:t>Section 2.18. Payments Generally;</w:t>
            </w:r>
          </w:p>
        </w:tc>
        <w:tc>
          <w:tcPr>
            <w:tcW w:w="1940" w:type="dxa"/>
            <w:vAlign w:val="bottom"/>
            <w:gridSpan w:val="13"/>
            <w:vMerge w:val="continue"/>
          </w:tcPr>
          <w:p>
            <w:pPr>
              <w:spacing w:after="0"/>
              <w:rPr>
                <w:sz w:val="15"/>
                <w:szCs w:val="15"/>
                <w:color w:val="auto"/>
              </w:rPr>
            </w:pPr>
          </w:p>
        </w:tc>
        <w:tc>
          <w:tcPr>
            <w:tcW w:w="620" w:type="dxa"/>
            <w:vAlign w:val="bottom"/>
            <w:gridSpan w:val="6"/>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62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FF0000"/>
            </w:tcBorders>
          </w:tcPr>
          <w:p>
            <w:pPr>
              <w:spacing w:after="0"/>
              <w:rPr>
                <w:sz w:val="15"/>
                <w:szCs w:val="15"/>
                <w:color w:val="auto"/>
              </w:rPr>
            </w:pPr>
          </w:p>
        </w:tc>
        <w:tc>
          <w:tcPr>
            <w:tcW w:w="180" w:type="dxa"/>
            <w:vAlign w:val="bottom"/>
            <w:tcBorders>
              <w:bottom w:val="single" w:sz="8" w:color="FF0000"/>
            </w:tcBorders>
          </w:tcPr>
          <w:p>
            <w:pPr>
              <w:spacing w:after="0"/>
              <w:rPr>
                <w:sz w:val="15"/>
                <w:szCs w:val="15"/>
                <w:color w:val="auto"/>
              </w:rPr>
            </w:pPr>
          </w:p>
        </w:tc>
        <w:tc>
          <w:tcPr>
            <w:tcW w:w="200" w:type="dxa"/>
            <w:vAlign w:val="bottom"/>
            <w:tcBorders>
              <w:bottom w:val="single" w:sz="8" w:color="FF0000"/>
            </w:tcBorders>
          </w:tcPr>
          <w:p>
            <w:pPr>
              <w:spacing w:after="0"/>
              <w:rPr>
                <w:sz w:val="15"/>
                <w:szCs w:val="15"/>
                <w:color w:val="auto"/>
              </w:rPr>
            </w:pPr>
          </w:p>
        </w:tc>
        <w:tc>
          <w:tcPr>
            <w:tcW w:w="400" w:type="dxa"/>
            <w:vAlign w:val="bottom"/>
            <w:tcBorders>
              <w:bottom w:val="single" w:sz="8" w:color="FF0000"/>
            </w:tcBorders>
            <w:gridSpan w:val="2"/>
            <w:vMerge w:val="continue"/>
          </w:tcPr>
          <w:p>
            <w:pPr>
              <w:spacing w:after="0"/>
              <w:rPr>
                <w:sz w:val="15"/>
                <w:szCs w:val="15"/>
                <w:color w:val="auto"/>
              </w:rPr>
            </w:pPr>
          </w:p>
        </w:tc>
        <w:tc>
          <w:tcPr>
            <w:tcW w:w="160" w:type="dxa"/>
            <w:vAlign w:val="bottom"/>
            <w:gridSpan w:val="3"/>
            <w:vMerge w:val="continue"/>
          </w:tcPr>
          <w:p>
            <w:pPr>
              <w:spacing w:after="0"/>
              <w:rPr>
                <w:sz w:val="15"/>
                <w:szCs w:val="15"/>
                <w:color w:val="auto"/>
              </w:rPr>
            </w:pPr>
          </w:p>
        </w:tc>
        <w:tc>
          <w:tcPr>
            <w:tcW w:w="180" w:type="dxa"/>
            <w:vAlign w:val="bottom"/>
            <w:tcBorders>
              <w:bottom w:val="single" w:sz="8" w:color="0000FF"/>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300" w:type="dxa"/>
            <w:vAlign w:val="bottom"/>
            <w:gridSpan w:val="8"/>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960" w:type="dxa"/>
            <w:vAlign w:val="bottom"/>
            <w:gridSpan w:val="19"/>
          </w:tcPr>
          <w:p>
            <w:pPr>
              <w:spacing w:after="0" w:line="196" w:lineRule="exact"/>
              <w:rPr>
                <w:sz w:val="20"/>
                <w:szCs w:val="20"/>
                <w:color w:val="auto"/>
              </w:rPr>
            </w:pPr>
            <w:r>
              <w:rPr>
                <w:rFonts w:ascii="Arial" w:cs="Arial" w:eastAsia="Arial" w:hAnsi="Arial"/>
                <w:sz w:val="19"/>
                <w:szCs w:val="19"/>
                <w:color w:val="auto"/>
                <w:w w:val="94"/>
              </w:rPr>
              <w:t>Obligations; Replacement of Lenders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10"/>
          </w:tcPr>
          <w:p>
            <w:pPr>
              <w:spacing w:after="0" w:line="196" w:lineRule="exact"/>
              <w:rPr>
                <w:sz w:val="20"/>
                <w:szCs w:val="20"/>
                <w:color w:val="auto"/>
              </w:rPr>
            </w:pPr>
            <w:r>
              <w:rPr>
                <w:rFonts w:ascii="Arial" w:cs="Arial" w:eastAsia="Arial" w:hAnsi="Arial"/>
                <w:sz w:val="19"/>
                <w:szCs w:val="19"/>
                <w:color w:val="auto"/>
                <w:w w:val="99"/>
              </w:rPr>
              <w:t>98 Section 2.20.</w:t>
            </w:r>
          </w:p>
        </w:tc>
        <w:tc>
          <w:tcPr>
            <w:tcW w:w="160" w:type="dxa"/>
            <w:vAlign w:val="bottom"/>
          </w:tcPr>
          <w:p>
            <w:pPr>
              <w:spacing w:after="0"/>
              <w:rPr>
                <w:sz w:val="17"/>
                <w:szCs w:val="17"/>
                <w:color w:val="auto"/>
              </w:rPr>
            </w:pPr>
          </w:p>
        </w:tc>
        <w:tc>
          <w:tcPr>
            <w:tcW w:w="700" w:type="dxa"/>
            <w:vAlign w:val="bottom"/>
            <w:gridSpan w:val="4"/>
          </w:tcPr>
          <w:p>
            <w:pPr>
              <w:spacing w:after="0" w:line="196" w:lineRule="exact"/>
              <w:rPr>
                <w:sz w:val="20"/>
                <w:szCs w:val="20"/>
                <w:color w:val="auto"/>
              </w:rPr>
            </w:pPr>
            <w:r>
              <w:rPr>
                <w:rFonts w:ascii="Arial" w:cs="Arial" w:eastAsia="Arial" w:hAnsi="Arial"/>
                <w:sz w:val="19"/>
                <w:szCs w:val="19"/>
                <w:color w:val="auto"/>
                <w:w w:val="99"/>
              </w:rPr>
              <w:t>Illegality</w:t>
            </w:r>
          </w:p>
        </w:tc>
        <w:tc>
          <w:tcPr>
            <w:tcW w:w="180" w:type="dxa"/>
            <w:vAlign w:val="bottom"/>
          </w:tcPr>
          <w:p>
            <w:pPr>
              <w:spacing w:after="0" w:line="196" w:lineRule="exact"/>
              <w:rPr>
                <w:sz w:val="20"/>
                <w:szCs w:val="20"/>
                <w:color w:val="auto"/>
              </w:rPr>
            </w:pPr>
            <w:r>
              <w:rPr>
                <w:rFonts w:ascii="Arial" w:cs="Arial" w:eastAsia="Arial" w:hAnsi="Arial"/>
                <w:sz w:val="19"/>
                <w:szCs w:val="19"/>
                <w:color w:val="FF0000"/>
                <w:strike w:val="1"/>
                <w:w w:val="75"/>
              </w:rPr>
              <w:t>99</w:t>
            </w:r>
          </w:p>
        </w:tc>
        <w:tc>
          <w:tcPr>
            <w:tcW w:w="500" w:type="dxa"/>
            <w:vAlign w:val="bottom"/>
            <w:gridSpan w:val="5"/>
          </w:tcPr>
          <w:p>
            <w:pPr>
              <w:spacing w:after="0" w:line="196" w:lineRule="exact"/>
              <w:rPr>
                <w:sz w:val="20"/>
                <w:szCs w:val="20"/>
                <w:color w:val="auto"/>
              </w:rPr>
            </w:pPr>
            <w:r>
              <w:rPr>
                <w:rFonts w:ascii="Arial" w:cs="Arial" w:eastAsia="Arial" w:hAnsi="Arial"/>
                <w:sz w:val="19"/>
                <w:szCs w:val="19"/>
                <w:color w:val="0000FF"/>
              </w:rPr>
              <w:t>100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tcBorders>
              <w:right w:val="single" w:sz="8" w:color="auto"/>
            </w:tcBorders>
            <w:gridSpan w:val="23"/>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760" w:type="dxa"/>
            <w:vAlign w:val="bottom"/>
            <w:gridSpan w:val="44"/>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3041650</wp:posOffset>
            </wp:positionH>
            <wp:positionV relativeFrom="paragraph">
              <wp:posOffset>-814070</wp:posOffset>
            </wp:positionV>
            <wp:extent cx="2603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40" w:top="1173" w:right="1099" w:bottom="1440" w:gutter="0" w:footer="0" w:header="0"/>
        </w:sectPr>
      </w:pPr>
    </w:p>
    <w:bookmarkStart w:id="63" w:name="page64"/>
    <w:bookmarkEnd w:id="63"/>
    <w:tbl>
      <w:tblPr>
        <w:tblLayout w:type="fixed"/>
        <w:tblInd w:w="100" w:type="dxa"/>
        <w:tblCellMar>
          <w:top w:w="0" w:type="dxa"/>
          <w:left w:w="0" w:type="dxa"/>
          <w:bottom w:w="0" w:type="dxa"/>
          <w:right w:w="0" w:type="dxa"/>
        </w:tblCellMar>
      </w:tblPr>
      <w:tr>
        <w:trPr>
          <w:trHeight w:val="218"/>
        </w:trPr>
        <w:tc>
          <w:tcPr>
            <w:tcW w:w="1120" w:type="dxa"/>
            <w:vAlign w:val="bottom"/>
            <w:gridSpan w:val="4"/>
          </w:tcPr>
          <w:p>
            <w:pPr>
              <w:spacing w:after="0"/>
              <w:rPr>
                <w:sz w:val="20"/>
                <w:szCs w:val="20"/>
                <w:color w:val="auto"/>
              </w:rPr>
            </w:pPr>
            <w:r>
              <w:rPr>
                <w:rFonts w:ascii="Arial" w:cs="Arial" w:eastAsia="Arial" w:hAnsi="Arial"/>
                <w:sz w:val="19"/>
                <w:szCs w:val="19"/>
                <w:color w:val="auto"/>
                <w:w w:val="97"/>
              </w:rPr>
              <w:t>Section 2.21.</w:t>
            </w:r>
          </w:p>
        </w:tc>
        <w:tc>
          <w:tcPr>
            <w:tcW w:w="1520" w:type="dxa"/>
            <w:vAlign w:val="bottom"/>
            <w:gridSpan w:val="12"/>
          </w:tcPr>
          <w:p>
            <w:pPr>
              <w:spacing w:after="0"/>
              <w:rPr>
                <w:sz w:val="20"/>
                <w:szCs w:val="20"/>
                <w:color w:val="auto"/>
              </w:rPr>
            </w:pPr>
            <w:r>
              <w:rPr>
                <w:rFonts w:ascii="Arial" w:cs="Arial" w:eastAsia="Arial" w:hAnsi="Arial"/>
                <w:sz w:val="19"/>
                <w:szCs w:val="19"/>
                <w:color w:val="auto"/>
                <w:w w:val="92"/>
              </w:rPr>
              <w:t>Defaulting Lenders</w:t>
            </w:r>
          </w:p>
        </w:tc>
        <w:tc>
          <w:tcPr>
            <w:tcW w:w="1500" w:type="dxa"/>
            <w:vAlign w:val="bottom"/>
            <w:gridSpan w:val="10"/>
          </w:tcPr>
          <w:p>
            <w:pPr>
              <w:ind w:left="40"/>
              <w:spacing w:after="0"/>
              <w:rPr>
                <w:sz w:val="20"/>
                <w:szCs w:val="20"/>
                <w:color w:val="auto"/>
              </w:rPr>
            </w:pPr>
            <w:r>
              <w:rPr>
                <w:rFonts w:ascii="Arial" w:cs="Arial" w:eastAsia="Arial" w:hAnsi="Arial"/>
                <w:sz w:val="19"/>
                <w:szCs w:val="19"/>
                <w:color w:val="auto"/>
                <w:w w:val="97"/>
              </w:rPr>
              <w:t>100 Section 2.22.</w:t>
            </w:r>
          </w:p>
        </w:tc>
        <w:tc>
          <w:tcPr>
            <w:tcW w:w="2640" w:type="dxa"/>
            <w:vAlign w:val="bottom"/>
            <w:gridSpan w:val="22"/>
          </w:tcPr>
          <w:p>
            <w:pPr>
              <w:ind w:left="20"/>
              <w:spacing w:after="0"/>
              <w:rPr>
                <w:sz w:val="20"/>
                <w:szCs w:val="20"/>
                <w:color w:val="auto"/>
              </w:rPr>
            </w:pPr>
            <w:r>
              <w:rPr>
                <w:rFonts w:ascii="Arial" w:cs="Arial" w:eastAsia="Arial" w:hAnsi="Arial"/>
                <w:sz w:val="19"/>
                <w:szCs w:val="19"/>
                <w:color w:val="auto"/>
              </w:rPr>
              <w:t>Incremental Credit Extensions</w:t>
            </w:r>
          </w:p>
        </w:tc>
        <w:tc>
          <w:tcPr>
            <w:tcW w:w="420" w:type="dxa"/>
            <w:vAlign w:val="bottom"/>
            <w:gridSpan w:val="4"/>
          </w:tcPr>
          <w:p>
            <w:pPr>
              <w:ind w:left="20"/>
              <w:spacing w:after="0"/>
              <w:rPr>
                <w:sz w:val="20"/>
                <w:szCs w:val="20"/>
                <w:color w:val="auto"/>
              </w:rPr>
            </w:pPr>
            <w:r>
              <w:rPr>
                <w:rFonts w:ascii="Arial" w:cs="Arial" w:eastAsia="Arial" w:hAnsi="Arial"/>
                <w:sz w:val="19"/>
                <w:szCs w:val="19"/>
                <w:color w:val="auto"/>
              </w:rPr>
              <w:t>102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Borders>
              <w:right w:val="single" w:sz="8" w:color="auto"/>
            </w:tcBorders>
            <w:gridSpan w:val="16"/>
          </w:tcPr>
          <w:p>
            <w:pPr>
              <w:spacing w:after="0" w:line="20" w:lineRule="exact"/>
              <w:rPr>
                <w:sz w:val="1"/>
                <w:szCs w:val="1"/>
                <w:color w:val="auto"/>
              </w:rPr>
            </w:pPr>
          </w:p>
        </w:tc>
        <w:tc>
          <w:tcPr>
            <w:tcW w:w="3880" w:type="dxa"/>
            <w:vAlign w:val="bottom"/>
            <w:tcBorders>
              <w:left w:val="single" w:sz="8" w:color="auto"/>
              <w:right w:val="single" w:sz="8" w:color="auto"/>
            </w:tcBorders>
            <w:gridSpan w:val="30"/>
          </w:tcPr>
          <w:p>
            <w:pPr>
              <w:spacing w:after="0" w:line="20" w:lineRule="exact"/>
              <w:rPr>
                <w:sz w:val="1"/>
                <w:szCs w:val="1"/>
                <w:color w:val="auto"/>
              </w:rPr>
            </w:pPr>
          </w:p>
        </w:tc>
        <w:tc>
          <w:tcPr>
            <w:tcW w:w="3520" w:type="dxa"/>
            <w:vAlign w:val="bottom"/>
            <w:gridSpan w:val="34"/>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10"/>
          </w:tcPr>
          <w:p>
            <w:pPr>
              <w:ind w:left="140"/>
              <w:spacing w:after="0"/>
              <w:rPr>
                <w:sz w:val="20"/>
                <w:szCs w:val="20"/>
                <w:color w:val="auto"/>
              </w:rPr>
            </w:pPr>
            <w:r>
              <w:rPr>
                <w:rFonts w:ascii="Arial" w:cs="Arial" w:eastAsia="Arial" w:hAnsi="Arial"/>
                <w:sz w:val="19"/>
                <w:szCs w:val="19"/>
                <w:color w:val="auto"/>
                <w:w w:val="95"/>
              </w:rPr>
              <w:t>Section 2.23.</w:t>
            </w:r>
          </w:p>
        </w:tc>
        <w:tc>
          <w:tcPr>
            <w:tcW w:w="6100" w:type="dxa"/>
            <w:vAlign w:val="bottom"/>
            <w:gridSpan w:val="50"/>
          </w:tcPr>
          <w:p>
            <w:pPr>
              <w:ind w:left="40"/>
              <w:spacing w:after="0"/>
              <w:rPr>
                <w:sz w:val="20"/>
                <w:szCs w:val="20"/>
                <w:color w:val="auto"/>
              </w:rPr>
            </w:pPr>
            <w:r>
              <w:rPr>
                <w:rFonts w:ascii="Arial" w:cs="Arial" w:eastAsia="Arial" w:hAnsi="Arial"/>
                <w:sz w:val="19"/>
                <w:szCs w:val="19"/>
                <w:color w:val="auto"/>
                <w:w w:val="97"/>
              </w:rPr>
              <w:t>Extensions of Loans and Revolving Credit Commitments  106 ARTICLE 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gridSpan w:val="28"/>
          </w:tcPr>
          <w:p>
            <w:pPr>
              <w:jc w:val="right"/>
              <w:ind w:right="40"/>
              <w:spacing w:after="0"/>
              <w:rPr>
                <w:sz w:val="20"/>
                <w:szCs w:val="20"/>
                <w:color w:val="auto"/>
              </w:rPr>
            </w:pPr>
            <w:r>
              <w:rPr>
                <w:rFonts w:ascii="Arial" w:cs="Arial" w:eastAsia="Arial" w:hAnsi="Arial"/>
                <w:sz w:val="19"/>
                <w:szCs w:val="19"/>
                <w:color w:val="auto"/>
                <w:w w:val="99"/>
              </w:rPr>
              <w:t>REPRESENTATIONS AND WARRANTIES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560" w:type="dxa"/>
            <w:vAlign w:val="bottom"/>
            <w:gridSpan w:val="2"/>
          </w:tcPr>
          <w:p>
            <w:pPr>
              <w:spacing w:after="0"/>
              <w:rPr>
                <w:sz w:val="20"/>
                <w:szCs w:val="20"/>
                <w:color w:val="auto"/>
              </w:rPr>
            </w:pPr>
            <w:r>
              <w:rPr>
                <w:rFonts w:ascii="Arial" w:cs="Arial" w:eastAsia="Arial" w:hAnsi="Arial"/>
                <w:sz w:val="19"/>
                <w:szCs w:val="19"/>
                <w:color w:val="auto"/>
                <w:w w:val="85"/>
              </w:rPr>
              <w:t>Section</w:t>
            </w:r>
          </w:p>
        </w:tc>
        <w:tc>
          <w:tcPr>
            <w:tcW w:w="1700" w:type="dxa"/>
            <w:vAlign w:val="bottom"/>
            <w:gridSpan w:val="12"/>
          </w:tcPr>
          <w:p>
            <w:pPr>
              <w:ind w:left="140"/>
              <w:spacing w:after="0"/>
              <w:rPr>
                <w:sz w:val="20"/>
                <w:szCs w:val="20"/>
                <w:color w:val="auto"/>
              </w:rPr>
            </w:pPr>
            <w:r>
              <w:rPr>
                <w:rFonts w:ascii="Arial" w:cs="Arial" w:eastAsia="Arial" w:hAnsi="Arial"/>
                <w:sz w:val="19"/>
                <w:szCs w:val="19"/>
                <w:color w:val="auto"/>
                <w:w w:val="95"/>
              </w:rPr>
              <w:t>3.01. Organization;</w:t>
            </w:r>
          </w:p>
        </w:tc>
        <w:tc>
          <w:tcPr>
            <w:tcW w:w="760" w:type="dxa"/>
            <w:vAlign w:val="bottom"/>
            <w:gridSpan w:val="5"/>
          </w:tcPr>
          <w:p>
            <w:pPr>
              <w:ind w:left="40"/>
              <w:spacing w:after="0"/>
              <w:rPr>
                <w:sz w:val="20"/>
                <w:szCs w:val="20"/>
                <w:color w:val="auto"/>
              </w:rPr>
            </w:pPr>
            <w:r>
              <w:rPr>
                <w:rFonts w:ascii="Arial" w:cs="Arial" w:eastAsia="Arial" w:hAnsi="Arial"/>
                <w:sz w:val="19"/>
                <w:szCs w:val="19"/>
                <w:color w:val="auto"/>
              </w:rPr>
              <w:t>Powers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5"/>
          </w:tcPr>
          <w:p>
            <w:pPr>
              <w:ind w:left="480"/>
              <w:spacing w:after="0"/>
              <w:rPr>
                <w:sz w:val="20"/>
                <w:szCs w:val="20"/>
                <w:color w:val="auto"/>
              </w:rPr>
            </w:pPr>
            <w:r>
              <w:rPr>
                <w:rFonts w:ascii="Arial" w:cs="Arial" w:eastAsia="Arial" w:hAnsi="Arial"/>
                <w:sz w:val="19"/>
                <w:szCs w:val="19"/>
                <w:color w:val="auto"/>
                <w:w w:val="81"/>
              </w:rPr>
              <w:t>109</w:t>
            </w:r>
          </w:p>
        </w:tc>
        <w:tc>
          <w:tcPr>
            <w:tcW w:w="740" w:type="dxa"/>
            <w:vAlign w:val="bottom"/>
            <w:gridSpan w:val="5"/>
          </w:tcPr>
          <w:p>
            <w:pPr>
              <w:ind w:left="140"/>
              <w:spacing w:after="0"/>
              <w:rPr>
                <w:sz w:val="20"/>
                <w:szCs w:val="20"/>
                <w:color w:val="auto"/>
              </w:rPr>
            </w:pPr>
            <w:r>
              <w:rPr>
                <w:rFonts w:ascii="Arial" w:cs="Arial" w:eastAsia="Arial" w:hAnsi="Arial"/>
                <w:sz w:val="19"/>
                <w:szCs w:val="19"/>
                <w:color w:val="auto"/>
                <w:w w:val="91"/>
              </w:rPr>
              <w:t>Section</w:t>
            </w:r>
          </w:p>
        </w:tc>
        <w:tc>
          <w:tcPr>
            <w:tcW w:w="500" w:type="dxa"/>
            <w:vAlign w:val="bottom"/>
            <w:gridSpan w:val="3"/>
          </w:tcPr>
          <w:p>
            <w:pPr>
              <w:jc w:val="right"/>
              <w:spacing w:after="0"/>
              <w:rPr>
                <w:sz w:val="20"/>
                <w:szCs w:val="20"/>
                <w:color w:val="auto"/>
              </w:rPr>
            </w:pPr>
            <w:r>
              <w:rPr>
                <w:rFonts w:ascii="Arial" w:cs="Arial" w:eastAsia="Arial" w:hAnsi="Arial"/>
                <w:sz w:val="19"/>
                <w:szCs w:val="19"/>
                <w:color w:val="auto"/>
              </w:rPr>
              <w:t>3.02.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12"/>
          </w:tcPr>
          <w:p>
            <w:pPr>
              <w:jc w:val="center"/>
              <w:spacing w:after="0"/>
              <w:rPr>
                <w:sz w:val="20"/>
                <w:szCs w:val="20"/>
                <w:color w:val="auto"/>
              </w:rPr>
            </w:pPr>
            <w:r>
              <w:rPr>
                <w:rFonts w:ascii="Arial" w:cs="Arial" w:eastAsia="Arial" w:hAnsi="Arial"/>
                <w:sz w:val="19"/>
                <w:szCs w:val="19"/>
                <w:color w:val="auto"/>
                <w:w w:val="94"/>
              </w:rPr>
              <w:t>Authorization;</w:t>
            </w:r>
          </w:p>
        </w:tc>
        <w:tc>
          <w:tcPr>
            <w:tcW w:w="20" w:type="dxa"/>
            <w:vAlign w:val="bottom"/>
          </w:tcPr>
          <w:p>
            <w:pPr>
              <w:spacing w:after="0"/>
              <w:rPr>
                <w:sz w:val="24"/>
                <w:szCs w:val="24"/>
                <w:color w:val="auto"/>
              </w:rPr>
            </w:pPr>
          </w:p>
        </w:tc>
        <w:tc>
          <w:tcPr>
            <w:tcW w:w="1440" w:type="dxa"/>
            <w:vAlign w:val="bottom"/>
            <w:gridSpan w:val="11"/>
          </w:tcPr>
          <w:p>
            <w:pPr>
              <w:ind w:left="100"/>
              <w:spacing w:after="0"/>
              <w:rPr>
                <w:sz w:val="20"/>
                <w:szCs w:val="20"/>
                <w:color w:val="auto"/>
              </w:rPr>
            </w:pPr>
            <w:r>
              <w:rPr>
                <w:rFonts w:ascii="Arial" w:cs="Arial" w:eastAsia="Arial" w:hAnsi="Arial"/>
                <w:sz w:val="19"/>
                <w:szCs w:val="19"/>
                <w:color w:val="auto"/>
              </w:rPr>
              <w:t>Enforceability</w:t>
            </w:r>
          </w:p>
        </w:tc>
        <w:tc>
          <w:tcPr>
            <w:tcW w:w="360" w:type="dxa"/>
            <w:vAlign w:val="bottom"/>
            <w:gridSpan w:val="4"/>
          </w:tcPr>
          <w:p>
            <w:pPr>
              <w:jc w:val="right"/>
              <w:ind w:right="60"/>
              <w:spacing w:after="0"/>
              <w:rPr>
                <w:sz w:val="20"/>
                <w:szCs w:val="20"/>
                <w:color w:val="auto"/>
              </w:rPr>
            </w:pPr>
            <w:r>
              <w:rPr>
                <w:rFonts w:ascii="Arial" w:cs="Arial" w:eastAsia="Arial" w:hAnsi="Arial"/>
                <w:sz w:val="19"/>
                <w:szCs w:val="19"/>
                <w:color w:val="FF0000"/>
                <w:strike w:val="1"/>
                <w:w w:val="88"/>
              </w:rPr>
              <w:t>109</w:t>
            </w:r>
          </w:p>
        </w:tc>
        <w:tc>
          <w:tcPr>
            <w:tcW w:w="240" w:type="dxa"/>
            <w:vAlign w:val="bottom"/>
            <w:gridSpan w:val="3"/>
          </w:tcPr>
          <w:p>
            <w:pPr>
              <w:jc w:val="right"/>
              <w:spacing w:after="0"/>
              <w:rPr>
                <w:sz w:val="20"/>
                <w:szCs w:val="20"/>
                <w:color w:val="auto"/>
              </w:rPr>
            </w:pPr>
            <w:r>
              <w:rPr>
                <w:rFonts w:ascii="Arial" w:cs="Arial" w:eastAsia="Arial" w:hAnsi="Arial"/>
                <w:sz w:val="15"/>
                <w:szCs w:val="15"/>
                <w:color w:val="0000FF"/>
                <w:w w:val="71"/>
              </w:rPr>
              <w:t>110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10"/>
          </w:tcPr>
          <w:p>
            <w:pPr>
              <w:jc w:val="right"/>
              <w:spacing w:after="0"/>
              <w:rPr>
                <w:sz w:val="20"/>
                <w:szCs w:val="20"/>
                <w:color w:val="auto"/>
              </w:rPr>
            </w:pPr>
            <w:r>
              <w:rPr>
                <w:rFonts w:ascii="Arial" w:cs="Arial" w:eastAsia="Arial" w:hAnsi="Arial"/>
                <w:sz w:val="19"/>
                <w:szCs w:val="19"/>
                <w:color w:val="auto"/>
                <w:w w:val="92"/>
              </w:rPr>
              <w:t>Section  3.03.</w:t>
            </w:r>
          </w:p>
        </w:tc>
        <w:tc>
          <w:tcPr>
            <w:tcW w:w="0" w:type="dxa"/>
            <w:vAlign w:val="bottom"/>
          </w:tcPr>
          <w:p>
            <w:pPr>
              <w:spacing w:after="0"/>
              <w:rPr>
                <w:sz w:val="1"/>
                <w:szCs w:val="1"/>
                <w:color w:val="auto"/>
              </w:rPr>
            </w:pPr>
          </w:p>
        </w:tc>
      </w:tr>
      <w:tr>
        <w:trPr>
          <w:trHeight w:val="20"/>
        </w:trPr>
        <w:tc>
          <w:tcPr>
            <w:tcW w:w="3020" w:type="dxa"/>
            <w:vAlign w:val="bottom"/>
            <w:gridSpan w:val="19"/>
            <w:vMerge w:val="restart"/>
          </w:tcPr>
          <w:p>
            <w:pPr>
              <w:spacing w:after="0" w:line="203" w:lineRule="exact"/>
              <w:rPr>
                <w:sz w:val="20"/>
                <w:szCs w:val="20"/>
                <w:color w:val="auto"/>
              </w:rPr>
            </w:pPr>
            <w:r>
              <w:rPr>
                <w:rFonts w:ascii="Arial" w:cs="Arial" w:eastAsia="Arial" w:hAnsi="Arial"/>
                <w:sz w:val="19"/>
                <w:szCs w:val="19"/>
                <w:color w:val="auto"/>
                <w:w w:val="93"/>
              </w:rPr>
              <w:t>Governmental Approvals; No Conflicts</w:t>
            </w:r>
          </w:p>
        </w:tc>
        <w:tc>
          <w:tcPr>
            <w:tcW w:w="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20" w:type="dxa"/>
            <w:vAlign w:val="bottom"/>
            <w:gridSpan w:val="7"/>
            <w:vMerge w:val="restart"/>
          </w:tcPr>
          <w:p>
            <w:pPr>
              <w:spacing w:after="0" w:line="203" w:lineRule="exact"/>
              <w:rPr>
                <w:sz w:val="20"/>
                <w:szCs w:val="20"/>
                <w:color w:val="auto"/>
              </w:rPr>
            </w:pPr>
            <w:r>
              <w:rPr>
                <w:rFonts w:ascii="Arial" w:cs="Arial" w:eastAsia="Arial" w:hAnsi="Arial"/>
                <w:sz w:val="19"/>
                <w:szCs w:val="19"/>
                <w:color w:val="auto"/>
                <w:w w:val="90"/>
              </w:rPr>
              <w:t>Section 3.04.</w:t>
            </w: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20" w:type="dxa"/>
            <w:vAlign w:val="bottom"/>
            <w:gridSpan w:val="19"/>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jc w:val="right"/>
              <w:spacing w:after="0" w:line="183" w:lineRule="exact"/>
              <w:rPr>
                <w:sz w:val="20"/>
                <w:szCs w:val="20"/>
                <w:color w:val="auto"/>
              </w:rPr>
            </w:pPr>
            <w:r>
              <w:rPr>
                <w:rFonts w:ascii="Arial" w:cs="Arial" w:eastAsia="Arial" w:hAnsi="Arial"/>
                <w:sz w:val="19"/>
                <w:szCs w:val="19"/>
                <w:color w:val="FF0000"/>
                <w:strike w:val="1"/>
                <w:w w:val="81"/>
              </w:rPr>
              <w:t>109</w:t>
            </w:r>
          </w:p>
        </w:tc>
        <w:tc>
          <w:tcPr>
            <w:tcW w:w="440" w:type="dxa"/>
            <w:vAlign w:val="bottom"/>
            <w:gridSpan w:val="2"/>
          </w:tcPr>
          <w:p>
            <w:pPr>
              <w:spacing w:after="0" w:line="183" w:lineRule="exact"/>
              <w:rPr>
                <w:sz w:val="20"/>
                <w:szCs w:val="20"/>
                <w:color w:val="auto"/>
              </w:rPr>
            </w:pPr>
            <w:r>
              <w:rPr>
                <w:rFonts w:ascii="Arial" w:cs="Arial" w:eastAsia="Arial" w:hAnsi="Arial"/>
                <w:sz w:val="19"/>
                <w:szCs w:val="19"/>
                <w:color w:val="0000FF"/>
              </w:rPr>
              <w:t>110</w:t>
            </w:r>
          </w:p>
        </w:tc>
        <w:tc>
          <w:tcPr>
            <w:tcW w:w="40" w:type="dxa"/>
            <w:vAlign w:val="bottom"/>
          </w:tcPr>
          <w:p>
            <w:pPr>
              <w:spacing w:after="0"/>
              <w:rPr>
                <w:sz w:val="15"/>
                <w:szCs w:val="15"/>
                <w:color w:val="auto"/>
              </w:rPr>
            </w:pPr>
          </w:p>
        </w:tc>
        <w:tc>
          <w:tcPr>
            <w:tcW w:w="1020" w:type="dxa"/>
            <w:vAlign w:val="bottom"/>
            <w:gridSpan w:val="7"/>
            <w:vMerge w:val="continue"/>
          </w:tcPr>
          <w:p>
            <w:pPr>
              <w:spacing w:after="0"/>
              <w:rPr>
                <w:sz w:val="15"/>
                <w:szCs w:val="15"/>
                <w:color w:val="auto"/>
              </w:rPr>
            </w:pPr>
          </w:p>
        </w:tc>
        <w:tc>
          <w:tcPr>
            <w:tcW w:w="20" w:type="dxa"/>
            <w:vAlign w:val="bottom"/>
          </w:tcPr>
          <w:p>
            <w:pPr>
              <w:spacing w:after="0"/>
              <w:rPr>
                <w:sz w:val="15"/>
                <w:szCs w:val="15"/>
                <w:color w:val="auto"/>
              </w:rPr>
            </w:pPr>
          </w:p>
        </w:tc>
        <w:tc>
          <w:tcPr>
            <w:tcW w:w="3340" w:type="dxa"/>
            <w:vAlign w:val="bottom"/>
            <w:gridSpan w:val="28"/>
          </w:tcPr>
          <w:p>
            <w:pPr>
              <w:spacing w:after="0" w:line="183" w:lineRule="exact"/>
              <w:rPr>
                <w:sz w:val="20"/>
                <w:szCs w:val="20"/>
                <w:color w:val="auto"/>
              </w:rPr>
            </w:pPr>
            <w:r>
              <w:rPr>
                <w:rFonts w:ascii="Arial" w:cs="Arial" w:eastAsia="Arial" w:hAnsi="Arial"/>
                <w:sz w:val="19"/>
                <w:szCs w:val="19"/>
                <w:color w:val="auto"/>
                <w:w w:val="96"/>
              </w:rPr>
              <w:t>Financial Condition; No Material Adverse</w:t>
            </w:r>
          </w:p>
        </w:tc>
        <w:tc>
          <w:tcPr>
            <w:tcW w:w="500" w:type="dxa"/>
            <w:vAlign w:val="bottom"/>
            <w:gridSpan w:val="6"/>
          </w:tcPr>
          <w:p>
            <w:pPr>
              <w:jc w:val="right"/>
              <w:spacing w:after="0" w:line="183" w:lineRule="exact"/>
              <w:rPr>
                <w:sz w:val="20"/>
                <w:szCs w:val="20"/>
                <w:color w:val="auto"/>
              </w:rPr>
            </w:pPr>
            <w:r>
              <w:rPr>
                <w:rFonts w:ascii="Arial" w:cs="Arial" w:eastAsia="Arial" w:hAnsi="Arial"/>
                <w:sz w:val="19"/>
                <w:szCs w:val="19"/>
                <w:color w:val="auto"/>
                <w:w w:val="86"/>
              </w:rPr>
              <w:t>Effect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5"/>
          </w:tcPr>
          <w:p>
            <w:pPr>
              <w:spacing w:after="0" w:line="183" w:lineRule="exact"/>
              <w:rPr>
                <w:sz w:val="20"/>
                <w:szCs w:val="20"/>
                <w:color w:val="auto"/>
              </w:rPr>
            </w:pPr>
            <w:r>
              <w:rPr>
                <w:rFonts w:ascii="Arial" w:cs="Arial" w:eastAsia="Arial" w:hAnsi="Arial"/>
                <w:sz w:val="19"/>
                <w:szCs w:val="19"/>
                <w:color w:val="FF0000"/>
                <w:strike w:val="1"/>
                <w:w w:val="81"/>
              </w:rPr>
              <w:t>109</w:t>
            </w:r>
          </w:p>
        </w:tc>
        <w:tc>
          <w:tcPr>
            <w:tcW w:w="900" w:type="dxa"/>
            <w:vAlign w:val="bottom"/>
            <w:gridSpan w:val="7"/>
          </w:tcPr>
          <w:p>
            <w:pPr>
              <w:jc w:val="right"/>
              <w:spacing w:after="0" w:line="183" w:lineRule="exact"/>
              <w:rPr>
                <w:sz w:val="20"/>
                <w:szCs w:val="20"/>
                <w:color w:val="auto"/>
              </w:rPr>
            </w:pPr>
            <w:r>
              <w:rPr>
                <w:rFonts w:ascii="Arial" w:cs="Arial" w:eastAsia="Arial" w:hAnsi="Arial"/>
                <w:sz w:val="19"/>
                <w:szCs w:val="19"/>
                <w:color w:val="0000FF"/>
                <w:w w:val="87"/>
              </w:rPr>
              <w:t xml:space="preserve">110 </w:t>
            </w:r>
            <w:r>
              <w:rPr>
                <w:rFonts w:ascii="Arial" w:cs="Arial" w:eastAsia="Arial" w:hAnsi="Arial"/>
                <w:sz w:val="19"/>
                <w:szCs w:val="19"/>
                <w:color w:val="000000"/>
                <w:w w:val="87"/>
              </w:rPr>
              <w:t>Section</w:t>
            </w:r>
          </w:p>
        </w:tc>
        <w:tc>
          <w:tcPr>
            <w:tcW w:w="0" w:type="dxa"/>
            <w:vAlign w:val="bottom"/>
          </w:tcPr>
          <w:p>
            <w:pPr>
              <w:spacing w:after="0"/>
              <w:rPr>
                <w:sz w:val="1"/>
                <w:szCs w:val="1"/>
                <w:color w:val="auto"/>
              </w:rPr>
            </w:pPr>
          </w:p>
        </w:tc>
      </w:tr>
      <w:tr>
        <w:trPr>
          <w:trHeight w:val="201"/>
        </w:trPr>
        <w:tc>
          <w:tcPr>
            <w:tcW w:w="560" w:type="dxa"/>
            <w:vAlign w:val="bottom"/>
            <w:gridSpan w:val="2"/>
          </w:tcPr>
          <w:p>
            <w:pPr>
              <w:spacing w:after="0" w:line="201" w:lineRule="exact"/>
              <w:rPr>
                <w:sz w:val="20"/>
                <w:szCs w:val="20"/>
                <w:color w:val="auto"/>
              </w:rPr>
            </w:pPr>
            <w:r>
              <w:rPr>
                <w:rFonts w:ascii="Arial" w:cs="Arial" w:eastAsia="Arial" w:hAnsi="Arial"/>
                <w:sz w:val="19"/>
                <w:szCs w:val="19"/>
                <w:color w:val="auto"/>
              </w:rPr>
              <w:t>3.05.</w:t>
            </w:r>
          </w:p>
        </w:tc>
        <w:tc>
          <w:tcPr>
            <w:tcW w:w="1700" w:type="dxa"/>
            <w:vAlign w:val="bottom"/>
            <w:gridSpan w:val="12"/>
          </w:tcPr>
          <w:p>
            <w:pPr>
              <w:ind w:left="180"/>
              <w:spacing w:after="0" w:line="201" w:lineRule="exact"/>
              <w:rPr>
                <w:sz w:val="20"/>
                <w:szCs w:val="20"/>
                <w:color w:val="auto"/>
              </w:rPr>
            </w:pPr>
            <w:r>
              <w:rPr>
                <w:rFonts w:ascii="Arial" w:cs="Arial" w:eastAsia="Arial" w:hAnsi="Arial"/>
                <w:sz w:val="19"/>
                <w:szCs w:val="19"/>
                <w:color w:val="auto"/>
              </w:rPr>
              <w:t>Properties</w:t>
            </w:r>
          </w:p>
        </w:tc>
        <w:tc>
          <w:tcPr>
            <w:tcW w:w="740" w:type="dxa"/>
            <w:vAlign w:val="bottom"/>
            <w:gridSpan w:val="4"/>
          </w:tcPr>
          <w:p>
            <w:pPr>
              <w:ind w:left="40"/>
              <w:spacing w:after="0" w:line="201" w:lineRule="exact"/>
              <w:rPr>
                <w:sz w:val="20"/>
                <w:szCs w:val="20"/>
                <w:color w:val="auto"/>
              </w:rPr>
            </w:pPr>
            <w:r>
              <w:rPr>
                <w:rFonts w:ascii="Arial" w:cs="Arial" w:eastAsia="Arial" w:hAnsi="Arial"/>
                <w:sz w:val="19"/>
                <w:szCs w:val="19"/>
                <w:color w:val="auto"/>
                <w:w w:val="94"/>
              </w:rPr>
              <w:t>110</w:t>
            </w:r>
          </w:p>
        </w:tc>
        <w:tc>
          <w:tcPr>
            <w:tcW w:w="100" w:type="dxa"/>
            <w:vAlign w:val="bottom"/>
            <w:tcBorders>
              <w:top w:val="single" w:sz="8" w:color="auto"/>
            </w:tcBorders>
            <w:gridSpan w:val="2"/>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5080" w:type="dxa"/>
            <w:vAlign w:val="bottom"/>
            <w:gridSpan w:val="44"/>
          </w:tcPr>
          <w:p>
            <w:pPr>
              <w:spacing w:after="0"/>
              <w:rPr>
                <w:sz w:val="17"/>
                <w:szCs w:val="17"/>
                <w:color w:val="auto"/>
              </w:rPr>
            </w:pPr>
          </w:p>
        </w:tc>
        <w:tc>
          <w:tcPr>
            <w:tcW w:w="120" w:type="dxa"/>
            <w:vAlign w:val="bottom"/>
            <w:tcBorders>
              <w:top w:val="single" w:sz="8" w:color="auto"/>
            </w:tcBorders>
            <w:gridSpan w:val="2"/>
          </w:tcPr>
          <w:p>
            <w:pPr>
              <w:spacing w:after="0"/>
              <w:rPr>
                <w:sz w:val="17"/>
                <w:szCs w:val="17"/>
                <w:color w:val="auto"/>
              </w:rPr>
            </w:pPr>
          </w:p>
        </w:tc>
        <w:tc>
          <w:tcPr>
            <w:tcW w:w="280" w:type="dxa"/>
            <w:vAlign w:val="bottom"/>
            <w:gridSpan w:val="5"/>
          </w:tcPr>
          <w:p>
            <w:pPr>
              <w:spacing w:after="0"/>
              <w:rPr>
                <w:sz w:val="17"/>
                <w:szCs w:val="17"/>
                <w:color w:val="auto"/>
              </w:rPr>
            </w:pPr>
          </w:p>
        </w:tc>
        <w:tc>
          <w:tcPr>
            <w:tcW w:w="320" w:type="dxa"/>
            <w:vAlign w:val="bottom"/>
            <w:tcBorders>
              <w:top w:val="single" w:sz="8" w:color="0000FF"/>
            </w:tcBorders>
            <w:gridSpan w:val="3"/>
          </w:tcPr>
          <w:p>
            <w:pPr>
              <w:spacing w:after="0"/>
              <w:rPr>
                <w:sz w:val="17"/>
                <w:szCs w:val="17"/>
                <w:color w:val="auto"/>
              </w:rPr>
            </w:pPr>
          </w:p>
        </w:tc>
        <w:tc>
          <w:tcPr>
            <w:tcW w:w="5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40" w:type="dxa"/>
            <w:vAlign w:val="bottom"/>
            <w:gridSpan w:val="26"/>
          </w:tcPr>
          <w:p>
            <w:pPr>
              <w:spacing w:after="0" w:line="198" w:lineRule="exact"/>
              <w:rPr>
                <w:sz w:val="20"/>
                <w:szCs w:val="20"/>
                <w:color w:val="auto"/>
              </w:rPr>
            </w:pPr>
            <w:r>
              <w:rPr>
                <w:rFonts w:ascii="Arial" w:cs="Arial" w:eastAsia="Arial" w:hAnsi="Arial"/>
                <w:sz w:val="19"/>
                <w:szCs w:val="19"/>
                <w:color w:val="auto"/>
                <w:w w:val="97"/>
              </w:rPr>
              <w:t>Section 3.06. Litigation and Environmental Matters</w:t>
            </w:r>
          </w:p>
        </w:tc>
        <w:tc>
          <w:tcPr>
            <w:tcW w:w="180" w:type="dxa"/>
            <w:vAlign w:val="bottom"/>
          </w:tcPr>
          <w:p>
            <w:pPr>
              <w:spacing w:after="0"/>
              <w:rPr>
                <w:sz w:val="17"/>
                <w:szCs w:val="17"/>
                <w:color w:val="auto"/>
              </w:rPr>
            </w:pPr>
          </w:p>
        </w:tc>
        <w:tc>
          <w:tcPr>
            <w:tcW w:w="300" w:type="dxa"/>
            <w:vAlign w:val="bottom"/>
            <w:gridSpan w:val="3"/>
          </w:tcPr>
          <w:p>
            <w:pPr>
              <w:spacing w:after="0" w:line="198" w:lineRule="exact"/>
              <w:rPr>
                <w:sz w:val="20"/>
                <w:szCs w:val="20"/>
                <w:color w:val="auto"/>
              </w:rPr>
            </w:pPr>
            <w:r>
              <w:rPr>
                <w:rFonts w:ascii="Arial" w:cs="Arial" w:eastAsia="Arial" w:hAnsi="Arial"/>
                <w:sz w:val="19"/>
                <w:szCs w:val="19"/>
                <w:color w:val="FF0000"/>
                <w:strike w:val="1"/>
                <w:w w:val="81"/>
              </w:rPr>
              <w:t>110</w:t>
            </w:r>
          </w:p>
        </w:tc>
        <w:tc>
          <w:tcPr>
            <w:tcW w:w="3280" w:type="dxa"/>
            <w:vAlign w:val="bottom"/>
            <w:gridSpan w:val="26"/>
          </w:tcPr>
          <w:p>
            <w:pPr>
              <w:jc w:val="center"/>
              <w:spacing w:after="0" w:line="198" w:lineRule="exact"/>
              <w:rPr>
                <w:sz w:val="20"/>
                <w:szCs w:val="20"/>
                <w:color w:val="auto"/>
              </w:rPr>
            </w:pPr>
            <w:r>
              <w:rPr>
                <w:rFonts w:ascii="Arial" w:cs="Arial" w:eastAsia="Arial" w:hAnsi="Arial"/>
                <w:sz w:val="19"/>
                <w:szCs w:val="19"/>
                <w:color w:val="0000FF"/>
                <w:w w:val="94"/>
              </w:rPr>
              <w:t xml:space="preserve">111 </w:t>
            </w:r>
            <w:r>
              <w:rPr>
                <w:rFonts w:ascii="Arial" w:cs="Arial" w:eastAsia="Arial" w:hAnsi="Arial"/>
                <w:sz w:val="19"/>
                <w:szCs w:val="19"/>
                <w:color w:val="000000"/>
                <w:w w:val="94"/>
              </w:rPr>
              <w:t>Section 3.07. Compliance with Laws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4"/>
          </w:tcPr>
          <w:p>
            <w:pPr>
              <w:jc w:val="right"/>
              <w:spacing w:after="0" w:line="198" w:lineRule="exact"/>
              <w:rPr>
                <w:sz w:val="20"/>
                <w:szCs w:val="20"/>
                <w:color w:val="auto"/>
              </w:rPr>
            </w:pPr>
            <w:r>
              <w:rPr>
                <w:rFonts w:ascii="Arial" w:cs="Arial" w:eastAsia="Arial" w:hAnsi="Arial"/>
                <w:sz w:val="19"/>
                <w:szCs w:val="19"/>
                <w:color w:val="FF0000"/>
                <w:strike w:val="1"/>
                <w:w w:val="88"/>
              </w:rPr>
              <w:t>110</w:t>
            </w:r>
          </w:p>
        </w:tc>
        <w:tc>
          <w:tcPr>
            <w:tcW w:w="1300" w:type="dxa"/>
            <w:vAlign w:val="bottom"/>
            <w:gridSpan w:val="14"/>
          </w:tcPr>
          <w:p>
            <w:pPr>
              <w:jc w:val="right"/>
              <w:spacing w:after="0" w:line="198" w:lineRule="exact"/>
              <w:rPr>
                <w:sz w:val="20"/>
                <w:szCs w:val="20"/>
                <w:color w:val="auto"/>
              </w:rPr>
            </w:pPr>
            <w:r>
              <w:rPr>
                <w:rFonts w:ascii="Arial" w:cs="Arial" w:eastAsia="Arial" w:hAnsi="Arial"/>
                <w:sz w:val="19"/>
                <w:szCs w:val="19"/>
                <w:color w:val="0000FF"/>
                <w:w w:val="86"/>
              </w:rPr>
              <w:t xml:space="preserve">111 </w:t>
            </w:r>
            <w:r>
              <w:rPr>
                <w:rFonts w:ascii="Arial" w:cs="Arial" w:eastAsia="Arial" w:hAnsi="Arial"/>
                <w:sz w:val="19"/>
                <w:szCs w:val="19"/>
                <w:color w:val="000000"/>
                <w:w w:val="86"/>
              </w:rPr>
              <w:t>Section 3.08.</w:t>
            </w:r>
          </w:p>
        </w:tc>
        <w:tc>
          <w:tcPr>
            <w:tcW w:w="0" w:type="dxa"/>
            <w:vAlign w:val="bottom"/>
          </w:tcPr>
          <w:p>
            <w:pPr>
              <w:spacing w:after="0"/>
              <w:rPr>
                <w:sz w:val="1"/>
                <w:szCs w:val="1"/>
                <w:color w:val="auto"/>
              </w:rPr>
            </w:pPr>
          </w:p>
        </w:tc>
      </w:tr>
      <w:tr>
        <w:trPr>
          <w:trHeight w:val="20"/>
        </w:trPr>
        <w:tc>
          <w:tcPr>
            <w:tcW w:w="2260" w:type="dxa"/>
            <w:vAlign w:val="bottom"/>
            <w:gridSpan w:val="14"/>
            <w:vMerge w:val="restart"/>
          </w:tcPr>
          <w:p>
            <w:pPr>
              <w:spacing w:after="0" w:line="203" w:lineRule="exact"/>
              <w:rPr>
                <w:sz w:val="20"/>
                <w:szCs w:val="20"/>
                <w:color w:val="auto"/>
              </w:rPr>
            </w:pPr>
            <w:r>
              <w:rPr>
                <w:rFonts w:ascii="Arial" w:cs="Arial" w:eastAsia="Arial" w:hAnsi="Arial"/>
                <w:sz w:val="19"/>
                <w:szCs w:val="19"/>
                <w:color w:val="auto"/>
                <w:w w:val="93"/>
              </w:rPr>
              <w:t>Investment Company Status</w:t>
            </w: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10"/>
            <w:vMerge w:val="restart"/>
          </w:tcPr>
          <w:p>
            <w:pPr>
              <w:spacing w:after="0" w:line="203" w:lineRule="exact"/>
              <w:rPr>
                <w:sz w:val="20"/>
                <w:szCs w:val="20"/>
                <w:color w:val="auto"/>
              </w:rPr>
            </w:pPr>
            <w:r>
              <w:rPr>
                <w:rFonts w:ascii="Arial" w:cs="Arial" w:eastAsia="Arial" w:hAnsi="Arial"/>
                <w:sz w:val="19"/>
                <w:szCs w:val="19"/>
                <w:color w:val="auto"/>
              </w:rPr>
              <w:t>111 Section 3.09.</w:t>
            </w:r>
          </w:p>
        </w:tc>
        <w:tc>
          <w:tcPr>
            <w:tcW w:w="180" w:type="dxa"/>
            <w:vAlign w:val="bottom"/>
            <w:shd w:val="clear" w:color="auto" w:fill="FF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gridSpan w:val="5"/>
            <w:vMerge w:val="restart"/>
          </w:tcPr>
          <w:p>
            <w:pPr>
              <w:jc w:val="right"/>
              <w:ind w:right="20"/>
              <w:spacing w:after="0" w:line="203" w:lineRule="exact"/>
              <w:rPr>
                <w:sz w:val="20"/>
                <w:szCs w:val="20"/>
                <w:color w:val="auto"/>
              </w:rPr>
            </w:pPr>
            <w:r>
              <w:rPr>
                <w:rFonts w:ascii="Arial" w:cs="Arial" w:eastAsia="Arial" w:hAnsi="Arial"/>
                <w:sz w:val="19"/>
                <w:szCs w:val="19"/>
                <w:color w:val="auto"/>
              </w:rPr>
              <w:t>111</w:t>
            </w: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60" w:type="dxa"/>
            <w:vAlign w:val="bottom"/>
            <w:gridSpan w:val="14"/>
            <w:vMerge w:val="continue"/>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10"/>
            <w:vMerge w:val="continue"/>
          </w:tcPr>
          <w:p>
            <w:pPr>
              <w:spacing w:after="0"/>
              <w:rPr>
                <w:sz w:val="15"/>
                <w:szCs w:val="15"/>
                <w:color w:val="auto"/>
              </w:rPr>
            </w:pPr>
          </w:p>
        </w:tc>
        <w:tc>
          <w:tcPr>
            <w:tcW w:w="740" w:type="dxa"/>
            <w:vAlign w:val="bottom"/>
            <w:gridSpan w:val="5"/>
          </w:tcPr>
          <w:p>
            <w:pPr>
              <w:ind w:left="20"/>
              <w:spacing w:after="0" w:line="183" w:lineRule="exact"/>
              <w:rPr>
                <w:sz w:val="20"/>
                <w:szCs w:val="20"/>
                <w:color w:val="auto"/>
              </w:rPr>
            </w:pPr>
            <w:r>
              <w:rPr>
                <w:rFonts w:ascii="Arial" w:cs="Arial" w:eastAsia="Arial" w:hAnsi="Arial"/>
                <w:sz w:val="19"/>
                <w:szCs w:val="19"/>
                <w:color w:val="auto"/>
              </w:rPr>
              <w:t>Taxes</w:t>
            </w:r>
          </w:p>
        </w:tc>
        <w:tc>
          <w:tcPr>
            <w:tcW w:w="74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gridSpan w:val="4"/>
            <w:vMerge w:val="restart"/>
          </w:tcPr>
          <w:p>
            <w:pPr>
              <w:spacing w:after="0"/>
              <w:rPr>
                <w:sz w:val="20"/>
                <w:szCs w:val="20"/>
                <w:color w:val="auto"/>
              </w:rPr>
            </w:pPr>
            <w:r>
              <w:rPr>
                <w:rFonts w:ascii="Arial" w:cs="Arial" w:eastAsia="Arial" w:hAnsi="Arial"/>
                <w:sz w:val="19"/>
                <w:szCs w:val="19"/>
                <w:color w:val="auto"/>
                <w:w w:val="97"/>
              </w:rPr>
              <w:t>Section 3.10.</w:t>
            </w:r>
          </w:p>
        </w:tc>
        <w:tc>
          <w:tcPr>
            <w:tcW w:w="760" w:type="dxa"/>
            <w:vAlign w:val="bottom"/>
            <w:gridSpan w:val="6"/>
            <w:vMerge w:val="restart"/>
          </w:tcPr>
          <w:p>
            <w:pPr>
              <w:spacing w:after="0"/>
              <w:rPr>
                <w:sz w:val="20"/>
                <w:szCs w:val="20"/>
                <w:color w:val="auto"/>
              </w:rPr>
            </w:pPr>
            <w:r>
              <w:rPr>
                <w:rFonts w:ascii="Arial" w:cs="Arial" w:eastAsia="Arial" w:hAnsi="Arial"/>
                <w:sz w:val="19"/>
                <w:szCs w:val="19"/>
                <w:color w:val="auto"/>
              </w:rPr>
              <w:t>ERISA</w:t>
            </w:r>
          </w:p>
        </w:tc>
        <w:tc>
          <w:tcPr>
            <w:tcW w:w="300" w:type="dxa"/>
            <w:vAlign w:val="bottom"/>
            <w:tcBorders>
              <w:right w:val="single" w:sz="8" w:color="auto"/>
            </w:tcBorders>
            <w:gridSpan w:val="3"/>
          </w:tcPr>
          <w:p>
            <w:pPr>
              <w:spacing w:after="0" w:line="20" w:lineRule="exact"/>
              <w:rPr>
                <w:sz w:val="1"/>
                <w:szCs w:val="1"/>
                <w:color w:val="auto"/>
              </w:rPr>
            </w:pPr>
          </w:p>
        </w:tc>
        <w:tc>
          <w:tcPr>
            <w:tcW w:w="4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7400" w:type="dxa"/>
            <w:vAlign w:val="bottom"/>
            <w:gridSpan w:val="6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120" w:type="dxa"/>
            <w:vAlign w:val="bottom"/>
            <w:gridSpan w:val="4"/>
            <w:vMerge w:val="continue"/>
          </w:tcPr>
          <w:p>
            <w:pPr>
              <w:spacing w:after="0"/>
              <w:rPr>
                <w:sz w:val="17"/>
                <w:szCs w:val="17"/>
                <w:color w:val="auto"/>
              </w:rPr>
            </w:pPr>
          </w:p>
        </w:tc>
        <w:tc>
          <w:tcPr>
            <w:tcW w:w="760" w:type="dxa"/>
            <w:vAlign w:val="bottom"/>
            <w:gridSpan w:val="6"/>
            <w:vMerge w:val="continue"/>
          </w:tcPr>
          <w:p>
            <w:pPr>
              <w:spacing w:after="0"/>
              <w:rPr>
                <w:sz w:val="17"/>
                <w:szCs w:val="17"/>
                <w:color w:val="auto"/>
              </w:rPr>
            </w:pPr>
          </w:p>
        </w:tc>
        <w:tc>
          <w:tcPr>
            <w:tcW w:w="8160" w:type="dxa"/>
            <w:vAlign w:val="bottom"/>
            <w:gridSpan w:val="70"/>
          </w:tcPr>
          <w:p>
            <w:pPr>
              <w:spacing w:after="0" w:line="201" w:lineRule="exact"/>
              <w:rPr>
                <w:sz w:val="20"/>
                <w:szCs w:val="20"/>
                <w:color w:val="auto"/>
              </w:rPr>
            </w:pPr>
            <w:r>
              <w:rPr>
                <w:rFonts w:ascii="Arial" w:cs="Arial" w:eastAsia="Arial" w:hAnsi="Arial"/>
                <w:sz w:val="19"/>
                <w:szCs w:val="19"/>
                <w:color w:val="auto"/>
                <w:w w:val="81"/>
              </w:rPr>
              <w:t>111</w:t>
            </w:r>
          </w:p>
        </w:tc>
        <w:tc>
          <w:tcPr>
            <w:tcW w:w="0" w:type="dxa"/>
            <w:vAlign w:val="bottom"/>
          </w:tcPr>
          <w:p>
            <w:pPr>
              <w:spacing w:after="0"/>
              <w:rPr>
                <w:sz w:val="1"/>
                <w:szCs w:val="1"/>
                <w:color w:val="auto"/>
              </w:rPr>
            </w:pPr>
          </w:p>
        </w:tc>
      </w:tr>
      <w:tr>
        <w:trPr>
          <w:trHeight w:val="198"/>
        </w:trPr>
        <w:tc>
          <w:tcPr>
            <w:tcW w:w="1120" w:type="dxa"/>
            <w:vAlign w:val="bottom"/>
            <w:gridSpan w:val="4"/>
          </w:tcPr>
          <w:p>
            <w:pPr>
              <w:spacing w:after="0" w:line="198" w:lineRule="exact"/>
              <w:rPr>
                <w:sz w:val="20"/>
                <w:szCs w:val="20"/>
                <w:color w:val="auto"/>
              </w:rPr>
            </w:pPr>
            <w:r>
              <w:rPr>
                <w:rFonts w:ascii="Arial" w:cs="Arial" w:eastAsia="Arial" w:hAnsi="Arial"/>
                <w:sz w:val="19"/>
                <w:szCs w:val="19"/>
                <w:color w:val="auto"/>
                <w:w w:val="97"/>
              </w:rPr>
              <w:t>Section 3.11.</w:t>
            </w:r>
          </w:p>
        </w:tc>
        <w:tc>
          <w:tcPr>
            <w:tcW w:w="1140" w:type="dxa"/>
            <w:vAlign w:val="bottom"/>
            <w:gridSpan w:val="10"/>
          </w:tcPr>
          <w:p>
            <w:pPr>
              <w:spacing w:after="0" w:line="198" w:lineRule="exact"/>
              <w:rPr>
                <w:sz w:val="20"/>
                <w:szCs w:val="20"/>
                <w:color w:val="auto"/>
              </w:rPr>
            </w:pPr>
            <w:r>
              <w:rPr>
                <w:rFonts w:ascii="Arial" w:cs="Arial" w:eastAsia="Arial" w:hAnsi="Arial"/>
                <w:sz w:val="19"/>
                <w:szCs w:val="19"/>
                <w:color w:val="auto"/>
                <w:w w:val="90"/>
              </w:rPr>
              <w:t>Disclosure</w:t>
            </w:r>
          </w:p>
        </w:tc>
        <w:tc>
          <w:tcPr>
            <w:tcW w:w="380" w:type="dxa"/>
            <w:vAlign w:val="bottom"/>
            <w:gridSpan w:val="2"/>
          </w:tcPr>
          <w:p>
            <w:pPr>
              <w:spacing w:after="0" w:line="198" w:lineRule="exact"/>
              <w:rPr>
                <w:sz w:val="20"/>
                <w:szCs w:val="20"/>
                <w:color w:val="auto"/>
              </w:rPr>
            </w:pPr>
            <w:r>
              <w:rPr>
                <w:rFonts w:ascii="Arial" w:cs="Arial" w:eastAsia="Arial" w:hAnsi="Arial"/>
                <w:sz w:val="19"/>
                <w:szCs w:val="19"/>
                <w:color w:val="FF0000"/>
                <w:strike w:val="1"/>
              </w:rPr>
              <w:t>111</w:t>
            </w:r>
          </w:p>
        </w:tc>
        <w:tc>
          <w:tcPr>
            <w:tcW w:w="7400" w:type="dxa"/>
            <w:vAlign w:val="bottom"/>
            <w:gridSpan w:val="64"/>
          </w:tcPr>
          <w:p>
            <w:pPr>
              <w:spacing w:after="0"/>
              <w:rPr>
                <w:sz w:val="20"/>
                <w:szCs w:val="20"/>
                <w:color w:val="auto"/>
              </w:rPr>
            </w:pPr>
            <w:r>
              <w:rPr>
                <w:rFonts w:ascii="Arial" w:cs="Arial" w:eastAsia="Arial" w:hAnsi="Arial"/>
                <w:sz w:val="10"/>
                <w:szCs w:val="10"/>
                <w:color w:val="0000FF"/>
                <w:w w:val="71"/>
              </w:rPr>
              <w:t>112</w:t>
            </w:r>
          </w:p>
        </w:tc>
        <w:tc>
          <w:tcPr>
            <w:tcW w:w="0" w:type="dxa"/>
            <w:vAlign w:val="bottom"/>
          </w:tcPr>
          <w:p>
            <w:pPr>
              <w:spacing w:after="0"/>
              <w:rPr>
                <w:sz w:val="1"/>
                <w:szCs w:val="1"/>
                <w:color w:val="auto"/>
              </w:rPr>
            </w:pPr>
          </w:p>
        </w:tc>
      </w:tr>
      <w:tr>
        <w:trPr>
          <w:trHeight w:val="20"/>
        </w:trPr>
        <w:tc>
          <w:tcPr>
            <w:tcW w:w="2180" w:type="dxa"/>
            <w:vAlign w:val="bottom"/>
            <w:tcBorders>
              <w:right w:val="single" w:sz="8" w:color="FF0000"/>
            </w:tcBorders>
            <w:gridSpan w:val="13"/>
          </w:tcPr>
          <w:p>
            <w:pPr>
              <w:spacing w:after="0" w:line="20" w:lineRule="exact"/>
              <w:rPr>
                <w:sz w:val="1"/>
                <w:szCs w:val="1"/>
                <w:color w:val="auto"/>
              </w:rPr>
            </w:pPr>
          </w:p>
        </w:tc>
        <w:tc>
          <w:tcPr>
            <w:tcW w:w="460" w:type="dxa"/>
            <w:vAlign w:val="bottom"/>
            <w:tcBorders>
              <w:left w:val="single" w:sz="8" w:color="FF0000"/>
              <w:right w:val="single" w:sz="8" w:color="0000FF"/>
            </w:tcBorders>
            <w:gridSpan w:val="3"/>
            <w:shd w:val="clear" w:color="auto" w:fill="FF0000"/>
          </w:tcPr>
          <w:p>
            <w:pPr>
              <w:spacing w:after="0" w:line="20" w:lineRule="exact"/>
              <w:rPr>
                <w:sz w:val="1"/>
                <w:szCs w:val="1"/>
                <w:color w:val="auto"/>
              </w:rPr>
            </w:pPr>
          </w:p>
        </w:tc>
        <w:tc>
          <w:tcPr>
            <w:tcW w:w="7400" w:type="dxa"/>
            <w:vAlign w:val="bottom"/>
            <w:tcBorders>
              <w:left w:val="single" w:sz="8" w:color="0000FF"/>
            </w:tcBorders>
            <w:gridSpan w:val="64"/>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9"/>
                <w:szCs w:val="19"/>
                <w:color w:val="auto"/>
                <w:w w:val="97"/>
              </w:rPr>
              <w:t>Section 3.12.</w:t>
            </w:r>
          </w:p>
        </w:tc>
        <w:tc>
          <w:tcPr>
            <w:tcW w:w="760" w:type="dxa"/>
            <w:vAlign w:val="bottom"/>
            <w:gridSpan w:val="6"/>
          </w:tcPr>
          <w:p>
            <w:pPr>
              <w:spacing w:after="0" w:line="196" w:lineRule="exact"/>
              <w:rPr>
                <w:sz w:val="20"/>
                <w:szCs w:val="20"/>
                <w:color w:val="auto"/>
              </w:rPr>
            </w:pPr>
            <w:r>
              <w:rPr>
                <w:rFonts w:ascii="Arial" w:cs="Arial" w:eastAsia="Arial" w:hAnsi="Arial"/>
                <w:sz w:val="19"/>
                <w:szCs w:val="19"/>
                <w:color w:val="auto"/>
                <w:w w:val="93"/>
              </w:rPr>
              <w:t>Solvency</w:t>
            </w:r>
          </w:p>
        </w:tc>
        <w:tc>
          <w:tcPr>
            <w:tcW w:w="300" w:type="dxa"/>
            <w:vAlign w:val="bottom"/>
            <w:gridSpan w:val="3"/>
          </w:tcPr>
          <w:p>
            <w:pPr>
              <w:spacing w:after="0" w:line="196" w:lineRule="exact"/>
              <w:rPr>
                <w:sz w:val="20"/>
                <w:szCs w:val="20"/>
                <w:color w:val="auto"/>
              </w:rPr>
            </w:pPr>
            <w:r>
              <w:rPr>
                <w:rFonts w:ascii="Arial" w:cs="Arial" w:eastAsia="Arial" w:hAnsi="Arial"/>
                <w:sz w:val="19"/>
                <w:szCs w:val="19"/>
                <w:color w:val="FF0000"/>
                <w:strike w:val="1"/>
                <w:w w:val="81"/>
              </w:rPr>
              <w:t>111</w:t>
            </w:r>
          </w:p>
        </w:tc>
        <w:tc>
          <w:tcPr>
            <w:tcW w:w="7860" w:type="dxa"/>
            <w:vAlign w:val="bottom"/>
            <w:gridSpan w:val="67"/>
          </w:tcPr>
          <w:p>
            <w:pPr>
              <w:jc w:val="right"/>
              <w:ind w:right="7620"/>
              <w:spacing w:after="0" w:line="196" w:lineRule="exact"/>
              <w:rPr>
                <w:sz w:val="20"/>
                <w:szCs w:val="20"/>
                <w:color w:val="auto"/>
              </w:rPr>
            </w:pPr>
            <w:r>
              <w:rPr>
                <w:rFonts w:ascii="Arial" w:cs="Arial" w:eastAsia="Arial" w:hAnsi="Arial"/>
                <w:sz w:val="18"/>
                <w:szCs w:val="18"/>
                <w:color w:val="0000FF"/>
                <w:w w:val="73"/>
              </w:rPr>
              <w:t>112</w:t>
            </w:r>
          </w:p>
        </w:tc>
        <w:tc>
          <w:tcPr>
            <w:tcW w:w="0" w:type="dxa"/>
            <w:vAlign w:val="bottom"/>
          </w:tcPr>
          <w:p>
            <w:pPr>
              <w:spacing w:after="0"/>
              <w:rPr>
                <w:sz w:val="1"/>
                <w:szCs w:val="1"/>
                <w:color w:val="auto"/>
              </w:rPr>
            </w:pPr>
          </w:p>
        </w:tc>
      </w:tr>
      <w:tr>
        <w:trPr>
          <w:trHeight w:val="20"/>
        </w:trPr>
        <w:tc>
          <w:tcPr>
            <w:tcW w:w="1120" w:type="dxa"/>
            <w:vAlign w:val="bottom"/>
            <w:gridSpan w:val="4"/>
            <w:vMerge w:val="restart"/>
          </w:tcPr>
          <w:p>
            <w:pPr>
              <w:spacing w:after="0"/>
              <w:rPr>
                <w:sz w:val="20"/>
                <w:szCs w:val="20"/>
                <w:color w:val="auto"/>
              </w:rPr>
            </w:pPr>
            <w:r>
              <w:rPr>
                <w:rFonts w:ascii="Arial" w:cs="Arial" w:eastAsia="Arial" w:hAnsi="Arial"/>
                <w:sz w:val="19"/>
                <w:szCs w:val="19"/>
                <w:color w:val="auto"/>
                <w:w w:val="97"/>
              </w:rPr>
              <w:t>Section 3.13.</w:t>
            </w:r>
          </w:p>
        </w:tc>
        <w:tc>
          <w:tcPr>
            <w:tcW w:w="1060" w:type="dxa"/>
            <w:vAlign w:val="bottom"/>
            <w:tcBorders>
              <w:right w:val="single" w:sz="8" w:color="0000FF"/>
            </w:tcBorders>
            <w:gridSpan w:val="9"/>
          </w:tcPr>
          <w:p>
            <w:pPr>
              <w:spacing w:after="0" w:line="20" w:lineRule="exact"/>
              <w:rPr>
                <w:sz w:val="1"/>
                <w:szCs w:val="1"/>
                <w:color w:val="auto"/>
              </w:rPr>
            </w:pPr>
          </w:p>
        </w:tc>
        <w:tc>
          <w:tcPr>
            <w:tcW w:w="7860" w:type="dxa"/>
            <w:vAlign w:val="bottom"/>
            <w:tcBorders>
              <w:left w:val="single" w:sz="8" w:color="0000FF"/>
            </w:tcBorders>
            <w:gridSpan w:val="67"/>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120" w:type="dxa"/>
            <w:vAlign w:val="bottom"/>
            <w:gridSpan w:val="4"/>
            <w:vMerge w:val="continue"/>
          </w:tcPr>
          <w:p>
            <w:pPr>
              <w:spacing w:after="0"/>
              <w:rPr>
                <w:sz w:val="18"/>
                <w:szCs w:val="18"/>
                <w:color w:val="auto"/>
              </w:rPr>
            </w:pPr>
          </w:p>
        </w:tc>
        <w:tc>
          <w:tcPr>
            <w:tcW w:w="1140" w:type="dxa"/>
            <w:vAlign w:val="bottom"/>
            <w:gridSpan w:val="10"/>
          </w:tcPr>
          <w:p>
            <w:pPr>
              <w:spacing w:after="0" w:line="214" w:lineRule="exact"/>
              <w:rPr>
                <w:sz w:val="20"/>
                <w:szCs w:val="20"/>
                <w:color w:val="auto"/>
              </w:rPr>
            </w:pPr>
            <w:r>
              <w:rPr>
                <w:rFonts w:ascii="Arial" w:cs="Arial" w:eastAsia="Arial" w:hAnsi="Arial"/>
                <w:sz w:val="19"/>
                <w:szCs w:val="19"/>
                <w:color w:val="auto"/>
                <w:w w:val="98"/>
              </w:rPr>
              <w:t>Subsidiaries</w:t>
            </w:r>
          </w:p>
        </w:tc>
        <w:tc>
          <w:tcPr>
            <w:tcW w:w="7780" w:type="dxa"/>
            <w:vAlign w:val="bottom"/>
            <w:gridSpan w:val="66"/>
          </w:tcPr>
          <w:p>
            <w:pPr>
              <w:spacing w:after="0" w:line="214" w:lineRule="exact"/>
              <w:rPr>
                <w:sz w:val="20"/>
                <w:szCs w:val="20"/>
                <w:color w:val="auto"/>
              </w:rPr>
            </w:pPr>
            <w:r>
              <w:rPr>
                <w:rFonts w:ascii="Arial" w:cs="Arial" w:eastAsia="Arial" w:hAnsi="Arial"/>
                <w:sz w:val="19"/>
                <w:szCs w:val="19"/>
                <w:color w:val="auto"/>
              </w:rPr>
              <w:t>112</w:t>
            </w:r>
          </w:p>
        </w:tc>
        <w:tc>
          <w:tcPr>
            <w:tcW w:w="0" w:type="dxa"/>
            <w:vAlign w:val="bottom"/>
          </w:tcPr>
          <w:p>
            <w:pPr>
              <w:spacing w:after="0"/>
              <w:rPr>
                <w:sz w:val="1"/>
                <w:szCs w:val="1"/>
                <w:color w:val="auto"/>
              </w:rPr>
            </w:pPr>
          </w:p>
        </w:tc>
      </w:tr>
      <w:tr>
        <w:trPr>
          <w:trHeight w:val="198"/>
        </w:trPr>
        <w:tc>
          <w:tcPr>
            <w:tcW w:w="1120" w:type="dxa"/>
            <w:vAlign w:val="bottom"/>
            <w:gridSpan w:val="4"/>
          </w:tcPr>
          <w:p>
            <w:pPr>
              <w:spacing w:after="0" w:line="198" w:lineRule="exact"/>
              <w:rPr>
                <w:sz w:val="20"/>
                <w:szCs w:val="20"/>
                <w:color w:val="auto"/>
              </w:rPr>
            </w:pPr>
            <w:r>
              <w:rPr>
                <w:rFonts w:ascii="Arial" w:cs="Arial" w:eastAsia="Arial" w:hAnsi="Arial"/>
                <w:sz w:val="19"/>
                <w:szCs w:val="19"/>
                <w:color w:val="auto"/>
                <w:w w:val="97"/>
              </w:rPr>
              <w:t>Section 3.14.</w:t>
            </w:r>
          </w:p>
        </w:tc>
        <w:tc>
          <w:tcPr>
            <w:tcW w:w="2260" w:type="dxa"/>
            <w:vAlign w:val="bottom"/>
            <w:gridSpan w:val="17"/>
          </w:tcPr>
          <w:p>
            <w:pPr>
              <w:spacing w:after="0" w:line="198" w:lineRule="exact"/>
              <w:rPr>
                <w:sz w:val="20"/>
                <w:szCs w:val="20"/>
                <w:color w:val="auto"/>
              </w:rPr>
            </w:pPr>
            <w:r>
              <w:rPr>
                <w:rFonts w:ascii="Arial" w:cs="Arial" w:eastAsia="Arial" w:hAnsi="Arial"/>
                <w:sz w:val="19"/>
                <w:szCs w:val="19"/>
                <w:color w:val="auto"/>
                <w:w w:val="92"/>
              </w:rPr>
              <w:t>Security Interest in Collateral</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00" w:type="dxa"/>
            <w:vAlign w:val="bottom"/>
            <w:gridSpan w:val="23"/>
          </w:tcPr>
          <w:p>
            <w:pPr>
              <w:spacing w:after="0" w:line="198" w:lineRule="exact"/>
              <w:rPr>
                <w:sz w:val="20"/>
                <w:szCs w:val="20"/>
                <w:color w:val="auto"/>
              </w:rPr>
            </w:pPr>
            <w:r>
              <w:rPr>
                <w:rFonts w:ascii="Arial" w:cs="Arial" w:eastAsia="Arial" w:hAnsi="Arial"/>
                <w:sz w:val="19"/>
                <w:szCs w:val="19"/>
                <w:color w:val="auto"/>
                <w:w w:val="92"/>
              </w:rPr>
              <w:t>112 Section 3.15.  Labor Disputes</w:t>
            </w:r>
          </w:p>
        </w:tc>
        <w:tc>
          <w:tcPr>
            <w:tcW w:w="2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gridSpan w:val="2"/>
          </w:tcPr>
          <w:p>
            <w:pPr>
              <w:spacing w:after="0" w:line="198" w:lineRule="exact"/>
              <w:rPr>
                <w:sz w:val="20"/>
                <w:szCs w:val="20"/>
                <w:color w:val="auto"/>
              </w:rPr>
            </w:pPr>
            <w:r>
              <w:rPr>
                <w:rFonts w:ascii="Arial" w:cs="Arial" w:eastAsia="Arial" w:hAnsi="Arial"/>
                <w:sz w:val="19"/>
                <w:szCs w:val="19"/>
                <w:color w:val="FF0000"/>
                <w:strike w:val="1"/>
                <w:w w:val="81"/>
              </w:rPr>
              <w:t>112</w:t>
            </w:r>
          </w:p>
        </w:tc>
        <w:tc>
          <w:tcPr>
            <w:tcW w:w="1540" w:type="dxa"/>
            <w:vAlign w:val="bottom"/>
            <w:gridSpan w:val="14"/>
          </w:tcPr>
          <w:p>
            <w:pPr>
              <w:jc w:val="right"/>
              <w:ind w:right="106"/>
              <w:spacing w:after="0" w:line="198" w:lineRule="exact"/>
              <w:rPr>
                <w:sz w:val="20"/>
                <w:szCs w:val="20"/>
                <w:color w:val="auto"/>
              </w:rPr>
            </w:pPr>
            <w:r>
              <w:rPr>
                <w:rFonts w:ascii="Arial" w:cs="Arial" w:eastAsia="Arial" w:hAnsi="Arial"/>
                <w:sz w:val="19"/>
                <w:szCs w:val="19"/>
                <w:color w:val="0000FF"/>
                <w:w w:val="89"/>
              </w:rPr>
              <w:t xml:space="preserve">113 </w:t>
            </w:r>
            <w:r>
              <w:rPr>
                <w:rFonts w:ascii="Arial" w:cs="Arial" w:eastAsia="Arial" w:hAnsi="Arial"/>
                <w:sz w:val="19"/>
                <w:szCs w:val="19"/>
                <w:color w:val="000000"/>
                <w:w w:val="89"/>
              </w:rPr>
              <w:t>Section 3.16.</w:t>
            </w:r>
          </w:p>
        </w:tc>
        <w:tc>
          <w:tcPr>
            <w:tcW w:w="1300" w:type="dxa"/>
            <w:vAlign w:val="bottom"/>
            <w:gridSpan w:val="14"/>
          </w:tcPr>
          <w:p>
            <w:pPr>
              <w:jc w:val="right"/>
              <w:ind w:right="120"/>
              <w:spacing w:after="0" w:line="198" w:lineRule="exact"/>
              <w:rPr>
                <w:sz w:val="20"/>
                <w:szCs w:val="20"/>
                <w:color w:val="auto"/>
              </w:rPr>
            </w:pPr>
            <w:r>
              <w:rPr>
                <w:rFonts w:ascii="Arial" w:cs="Arial" w:eastAsia="Arial" w:hAnsi="Arial"/>
                <w:sz w:val="19"/>
                <w:szCs w:val="19"/>
                <w:color w:val="auto"/>
                <w:w w:val="82"/>
              </w:rPr>
              <w:t>Federal Reserve</w:t>
            </w:r>
          </w:p>
        </w:tc>
        <w:tc>
          <w:tcPr>
            <w:tcW w:w="0" w:type="dxa"/>
            <w:vAlign w:val="bottom"/>
          </w:tcPr>
          <w:p>
            <w:pPr>
              <w:spacing w:after="0"/>
              <w:rPr>
                <w:sz w:val="1"/>
                <w:szCs w:val="1"/>
                <w:color w:val="auto"/>
              </w:rPr>
            </w:pPr>
          </w:p>
        </w:tc>
      </w:tr>
      <w:tr>
        <w:trPr>
          <w:trHeight w:val="20"/>
        </w:trPr>
        <w:tc>
          <w:tcPr>
            <w:tcW w:w="1120" w:type="dxa"/>
            <w:vAlign w:val="bottom"/>
            <w:gridSpan w:val="4"/>
            <w:vMerge w:val="restart"/>
          </w:tcPr>
          <w:p>
            <w:pPr>
              <w:spacing w:after="0" w:line="203" w:lineRule="exact"/>
              <w:rPr>
                <w:sz w:val="20"/>
                <w:szCs w:val="20"/>
                <w:color w:val="auto"/>
              </w:rPr>
            </w:pPr>
            <w:r>
              <w:rPr>
                <w:rFonts w:ascii="Arial" w:cs="Arial" w:eastAsia="Arial" w:hAnsi="Arial"/>
                <w:sz w:val="19"/>
                <w:szCs w:val="19"/>
                <w:color w:val="auto"/>
              </w:rPr>
              <w:t>Regulations</w:t>
            </w:r>
          </w:p>
        </w:tc>
        <w:tc>
          <w:tcPr>
            <w:tcW w:w="280" w:type="dxa"/>
            <w:vAlign w:val="bottom"/>
            <w:gridSpan w:val="2"/>
            <w:vMerge w:val="restart"/>
          </w:tcPr>
          <w:p>
            <w:pPr>
              <w:spacing w:after="0" w:line="203" w:lineRule="exact"/>
              <w:rPr>
                <w:sz w:val="20"/>
                <w:szCs w:val="20"/>
                <w:color w:val="auto"/>
              </w:rPr>
            </w:pPr>
            <w:r>
              <w:rPr>
                <w:rFonts w:ascii="Arial" w:cs="Arial" w:eastAsia="Arial" w:hAnsi="Arial"/>
                <w:sz w:val="19"/>
                <w:szCs w:val="19"/>
                <w:color w:val="FF0000"/>
                <w:strike w:val="1"/>
                <w:w w:val="81"/>
              </w:rPr>
              <w:t>112</w:t>
            </w:r>
          </w:p>
        </w:tc>
        <w:tc>
          <w:tcPr>
            <w:tcW w:w="1620" w:type="dxa"/>
            <w:vAlign w:val="bottom"/>
            <w:gridSpan w:val="13"/>
            <w:vMerge w:val="restart"/>
          </w:tcPr>
          <w:p>
            <w:pPr>
              <w:spacing w:after="0" w:line="203" w:lineRule="exact"/>
              <w:rPr>
                <w:sz w:val="20"/>
                <w:szCs w:val="20"/>
                <w:color w:val="auto"/>
              </w:rPr>
            </w:pPr>
            <w:r>
              <w:rPr>
                <w:rFonts w:ascii="Arial" w:cs="Arial" w:eastAsia="Arial" w:hAnsi="Arial"/>
                <w:sz w:val="19"/>
                <w:szCs w:val="19"/>
                <w:color w:val="0000FF"/>
              </w:rPr>
              <w:t xml:space="preserve">113 </w:t>
            </w:r>
            <w:r>
              <w:rPr>
                <w:rFonts w:ascii="Arial" w:cs="Arial" w:eastAsia="Arial" w:hAnsi="Arial"/>
                <w:sz w:val="19"/>
                <w:szCs w:val="19"/>
                <w:color w:val="000000"/>
              </w:rPr>
              <w:t>Section 3.17.</w:t>
            </w:r>
          </w:p>
        </w:tc>
        <w:tc>
          <w:tcPr>
            <w:tcW w:w="360" w:type="dxa"/>
            <w:vAlign w:val="bottom"/>
            <w:gridSpan w:val="2"/>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160" w:type="dxa"/>
            <w:vAlign w:val="bottom"/>
            <w:gridSpan w:val="16"/>
            <w:vMerge w:val="restart"/>
          </w:tcPr>
          <w:p>
            <w:pPr>
              <w:ind w:left="40"/>
              <w:spacing w:after="0" w:line="203" w:lineRule="exact"/>
              <w:rPr>
                <w:sz w:val="20"/>
                <w:szCs w:val="20"/>
                <w:color w:val="auto"/>
              </w:rPr>
            </w:pPr>
            <w:r>
              <w:rPr>
                <w:rFonts w:ascii="Arial" w:cs="Arial" w:eastAsia="Arial" w:hAnsi="Arial"/>
                <w:sz w:val="19"/>
                <w:szCs w:val="19"/>
                <w:color w:val="auto"/>
                <w:w w:val="96"/>
              </w:rPr>
              <w:t>PATRIOT ACT and FCPA</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FF0000"/>
          </w:tcPr>
          <w:p>
            <w:pPr>
              <w:spacing w:after="0" w:line="20" w:lineRule="exact"/>
              <w:rPr>
                <w:sz w:val="1"/>
                <w:szCs w:val="1"/>
                <w:color w:val="auto"/>
              </w:rPr>
            </w:pPr>
          </w:p>
        </w:tc>
        <w:tc>
          <w:tcPr>
            <w:tcW w:w="280" w:type="dxa"/>
            <w:vAlign w:val="bottom"/>
            <w:gridSpan w:val="3"/>
            <w:shd w:val="clear" w:color="auto" w:fill="FF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14"/>
            <w:vMerge w:val="restart"/>
          </w:tcPr>
          <w:p>
            <w:pPr>
              <w:ind w:left="40"/>
              <w:spacing w:after="0" w:line="203" w:lineRule="exact"/>
              <w:rPr>
                <w:sz w:val="20"/>
                <w:szCs w:val="20"/>
                <w:color w:val="auto"/>
              </w:rPr>
            </w:pPr>
            <w:r>
              <w:rPr>
                <w:rFonts w:ascii="Arial" w:cs="Arial" w:eastAsia="Arial" w:hAnsi="Arial"/>
                <w:sz w:val="19"/>
                <w:szCs w:val="19"/>
                <w:color w:val="auto"/>
                <w:w w:val="89"/>
              </w:rPr>
              <w:t>Data Privacy</w:t>
            </w:r>
          </w:p>
        </w:tc>
        <w:tc>
          <w:tcPr>
            <w:tcW w:w="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gridSpan w:val="3"/>
            <w:vMerge w:val="restart"/>
          </w:tcPr>
          <w:p>
            <w:pPr>
              <w:ind w:left="20"/>
              <w:spacing w:after="0" w:line="203" w:lineRule="exact"/>
              <w:rPr>
                <w:sz w:val="20"/>
                <w:szCs w:val="20"/>
                <w:color w:val="auto"/>
              </w:rPr>
            </w:pPr>
            <w:r>
              <w:rPr>
                <w:rFonts w:ascii="Arial" w:cs="Arial" w:eastAsia="Arial" w:hAnsi="Arial"/>
                <w:sz w:val="19"/>
                <w:szCs w:val="19"/>
                <w:color w:val="FF0000"/>
                <w:strike w:val="1"/>
                <w:w w:val="75"/>
              </w:rPr>
              <w:t>113</w:t>
            </w:r>
          </w:p>
        </w:tc>
        <w:tc>
          <w:tcPr>
            <w:tcW w:w="360" w:type="dxa"/>
            <w:vAlign w:val="bottom"/>
            <w:gridSpan w:val="3"/>
            <w:vMerge w:val="restart"/>
          </w:tcPr>
          <w:p>
            <w:pPr>
              <w:jc w:val="right"/>
              <w:ind w:right="80"/>
              <w:spacing w:after="0" w:line="203" w:lineRule="exact"/>
              <w:rPr>
                <w:sz w:val="20"/>
                <w:szCs w:val="20"/>
                <w:color w:val="auto"/>
              </w:rPr>
            </w:pPr>
            <w:r>
              <w:rPr>
                <w:rFonts w:ascii="Arial" w:cs="Arial" w:eastAsia="Arial" w:hAnsi="Arial"/>
                <w:sz w:val="19"/>
                <w:szCs w:val="19"/>
                <w:color w:val="0000FF"/>
                <w:w w:val="81"/>
              </w:rPr>
              <w:t>114</w:t>
            </w: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gridSpan w:val="4"/>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1620" w:type="dxa"/>
            <w:vAlign w:val="bottom"/>
            <w:gridSpan w:val="13"/>
            <w:vMerge w:val="continue"/>
          </w:tcPr>
          <w:p>
            <w:pPr>
              <w:spacing w:after="0"/>
              <w:rPr>
                <w:sz w:val="15"/>
                <w:szCs w:val="15"/>
                <w:color w:val="auto"/>
              </w:rPr>
            </w:pPr>
          </w:p>
        </w:tc>
        <w:tc>
          <w:tcPr>
            <w:tcW w:w="800" w:type="dxa"/>
            <w:vAlign w:val="bottom"/>
            <w:gridSpan w:val="4"/>
          </w:tcPr>
          <w:p>
            <w:pPr>
              <w:spacing w:after="0" w:line="183" w:lineRule="exact"/>
              <w:rPr>
                <w:sz w:val="20"/>
                <w:szCs w:val="20"/>
                <w:color w:val="auto"/>
              </w:rPr>
            </w:pPr>
            <w:r>
              <w:rPr>
                <w:rFonts w:ascii="Arial" w:cs="Arial" w:eastAsia="Arial" w:hAnsi="Arial"/>
                <w:sz w:val="19"/>
                <w:szCs w:val="19"/>
                <w:color w:val="auto"/>
                <w:w w:val="87"/>
              </w:rPr>
              <w:t>Sanctions;</w:t>
            </w:r>
          </w:p>
        </w:tc>
        <w:tc>
          <w:tcPr>
            <w:tcW w:w="2160" w:type="dxa"/>
            <w:vAlign w:val="bottom"/>
            <w:gridSpan w:val="16"/>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gridSpan w:val="4"/>
          </w:tcPr>
          <w:p>
            <w:pPr>
              <w:jc w:val="center"/>
              <w:spacing w:after="0" w:line="183" w:lineRule="exact"/>
              <w:rPr>
                <w:sz w:val="20"/>
                <w:szCs w:val="20"/>
                <w:color w:val="auto"/>
              </w:rPr>
            </w:pPr>
            <w:r>
              <w:rPr>
                <w:rFonts w:ascii="Arial" w:cs="Arial" w:eastAsia="Arial" w:hAnsi="Arial"/>
                <w:sz w:val="19"/>
                <w:szCs w:val="19"/>
                <w:color w:val="FF0000"/>
                <w:strike w:val="1"/>
                <w:w w:val="88"/>
              </w:rPr>
              <w:t>112</w:t>
            </w:r>
          </w:p>
        </w:tc>
        <w:tc>
          <w:tcPr>
            <w:tcW w:w="1540" w:type="dxa"/>
            <w:vAlign w:val="bottom"/>
            <w:gridSpan w:val="12"/>
          </w:tcPr>
          <w:p>
            <w:pPr>
              <w:spacing w:after="0" w:line="183" w:lineRule="exact"/>
              <w:rPr>
                <w:sz w:val="20"/>
                <w:szCs w:val="20"/>
                <w:color w:val="auto"/>
              </w:rPr>
            </w:pPr>
            <w:r>
              <w:rPr>
                <w:rFonts w:ascii="Arial" w:cs="Arial" w:eastAsia="Arial" w:hAnsi="Arial"/>
                <w:sz w:val="19"/>
                <w:szCs w:val="19"/>
                <w:color w:val="0000FF"/>
              </w:rPr>
              <w:t xml:space="preserve">113 </w:t>
            </w:r>
            <w:r>
              <w:rPr>
                <w:rFonts w:ascii="Arial" w:cs="Arial" w:eastAsia="Arial" w:hAnsi="Arial"/>
                <w:sz w:val="19"/>
                <w:szCs w:val="19"/>
                <w:color w:val="000000"/>
              </w:rPr>
              <w:t>Section 3.18.</w:t>
            </w:r>
          </w:p>
        </w:tc>
        <w:tc>
          <w:tcPr>
            <w:tcW w:w="1040" w:type="dxa"/>
            <w:vAlign w:val="bottom"/>
            <w:gridSpan w:val="14"/>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6"/>
        </w:trPr>
        <w:tc>
          <w:tcPr>
            <w:tcW w:w="900" w:type="dxa"/>
            <w:vAlign w:val="bottom"/>
            <w:gridSpan w:val="3"/>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80" w:type="dxa"/>
            <w:vAlign w:val="bottom"/>
            <w:gridSpan w:val="2"/>
          </w:tcPr>
          <w:p>
            <w:pPr>
              <w:spacing w:after="0"/>
              <w:rPr>
                <w:sz w:val="24"/>
                <w:szCs w:val="24"/>
                <w:color w:val="auto"/>
              </w:rPr>
            </w:pPr>
          </w:p>
        </w:tc>
        <w:tc>
          <w:tcPr>
            <w:tcW w:w="280" w:type="dxa"/>
            <w:vAlign w:val="bottom"/>
            <w:tcBorders>
              <w:top w:val="single" w:sz="8" w:color="0000FF"/>
            </w:tcBorders>
            <w:gridSpan w:val="3"/>
          </w:tcPr>
          <w:p>
            <w:pPr>
              <w:spacing w:after="0"/>
              <w:rPr>
                <w:sz w:val="24"/>
                <w:szCs w:val="24"/>
                <w:color w:val="auto"/>
              </w:rPr>
            </w:pPr>
          </w:p>
        </w:tc>
        <w:tc>
          <w:tcPr>
            <w:tcW w:w="4220" w:type="dxa"/>
            <w:vAlign w:val="bottom"/>
            <w:gridSpan w:val="29"/>
          </w:tcPr>
          <w:p>
            <w:pPr>
              <w:spacing w:after="0"/>
              <w:rPr>
                <w:sz w:val="20"/>
                <w:szCs w:val="20"/>
                <w:color w:val="auto"/>
              </w:rPr>
            </w:pPr>
            <w:r>
              <w:rPr>
                <w:rFonts w:ascii="Arial" w:cs="Arial" w:eastAsia="Arial" w:hAnsi="Arial"/>
                <w:sz w:val="19"/>
                <w:szCs w:val="19"/>
                <w:color w:val="auto"/>
              </w:rPr>
              <w:t>ARTICLE 4</w:t>
            </w:r>
          </w:p>
        </w:tc>
        <w:tc>
          <w:tcPr>
            <w:tcW w:w="180" w:type="dxa"/>
            <w:vAlign w:val="bottom"/>
            <w:tcBorders>
              <w:top w:val="single" w:sz="8" w:color="auto"/>
            </w:tcBorders>
            <w:gridSpan w:val="2"/>
          </w:tcPr>
          <w:p>
            <w:pPr>
              <w:spacing w:after="0"/>
              <w:rPr>
                <w:sz w:val="24"/>
                <w:szCs w:val="24"/>
                <w:color w:val="auto"/>
              </w:rPr>
            </w:pPr>
          </w:p>
        </w:tc>
        <w:tc>
          <w:tcPr>
            <w:tcW w:w="280" w:type="dxa"/>
            <w:vAlign w:val="bottom"/>
            <w:gridSpan w:val="4"/>
          </w:tcPr>
          <w:p>
            <w:pPr>
              <w:spacing w:after="0"/>
              <w:rPr>
                <w:sz w:val="24"/>
                <w:szCs w:val="24"/>
                <w:color w:val="auto"/>
              </w:rPr>
            </w:pPr>
          </w:p>
        </w:tc>
        <w:tc>
          <w:tcPr>
            <w:tcW w:w="280" w:type="dxa"/>
            <w:vAlign w:val="bottom"/>
            <w:tcBorders>
              <w:top w:val="single" w:sz="8" w:color="0000FF"/>
            </w:tcBorders>
            <w:gridSpan w:val="3"/>
          </w:tcPr>
          <w:p>
            <w:pPr>
              <w:spacing w:after="0"/>
              <w:rPr>
                <w:sz w:val="24"/>
                <w:szCs w:val="24"/>
                <w:color w:val="auto"/>
              </w:rPr>
            </w:pPr>
          </w:p>
        </w:tc>
        <w:tc>
          <w:tcPr>
            <w:tcW w:w="2280" w:type="dxa"/>
            <w:vAlign w:val="bottom"/>
            <w:gridSpan w:val="22"/>
          </w:tcPr>
          <w:p>
            <w:pPr>
              <w:spacing w:after="0"/>
              <w:rPr>
                <w:sz w:val="24"/>
                <w:szCs w:val="24"/>
                <w:color w:val="auto"/>
              </w:rPr>
            </w:pPr>
          </w:p>
        </w:tc>
        <w:tc>
          <w:tcPr>
            <w:tcW w:w="180" w:type="dxa"/>
            <w:vAlign w:val="bottom"/>
            <w:tcBorders>
              <w:top w:val="single" w:sz="8" w:color="auto"/>
            </w:tcBorders>
            <w:gridSpan w:val="3"/>
          </w:tcPr>
          <w:p>
            <w:pPr>
              <w:spacing w:after="0"/>
              <w:rPr>
                <w:sz w:val="24"/>
                <w:szCs w:val="24"/>
                <w:color w:val="auto"/>
              </w:rPr>
            </w:pPr>
          </w:p>
        </w:tc>
        <w:tc>
          <w:tcPr>
            <w:tcW w:w="280" w:type="dxa"/>
            <w:vAlign w:val="bottom"/>
            <w:gridSpan w:val="3"/>
          </w:tcPr>
          <w:p>
            <w:pPr>
              <w:spacing w:after="0"/>
              <w:rPr>
                <w:sz w:val="24"/>
                <w:szCs w:val="24"/>
                <w:color w:val="auto"/>
              </w:rPr>
            </w:pPr>
          </w:p>
        </w:tc>
        <w:tc>
          <w:tcPr>
            <w:tcW w:w="280" w:type="dxa"/>
            <w:vAlign w:val="bottom"/>
            <w:tcBorders>
              <w:top w:val="single" w:sz="8" w:color="0000FF"/>
            </w:tcBorders>
            <w:gridSpan w:val="2"/>
          </w:tcPr>
          <w:p>
            <w:pPr>
              <w:spacing w:after="0"/>
              <w:rPr>
                <w:sz w:val="24"/>
                <w:szCs w:val="24"/>
                <w:color w:val="auto"/>
              </w:rPr>
            </w:pPr>
          </w:p>
        </w:tc>
        <w:tc>
          <w:tcPr>
            <w:tcW w:w="3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040" w:type="dxa"/>
            <w:vAlign w:val="bottom"/>
            <w:gridSpan w:val="80"/>
          </w:tcPr>
          <w:p>
            <w:pPr>
              <w:spacing w:after="0"/>
              <w:rPr>
                <w:sz w:val="20"/>
                <w:szCs w:val="20"/>
                <w:color w:val="auto"/>
              </w:rPr>
            </w:pPr>
            <w:r>
              <w:rPr>
                <w:rFonts w:ascii="Arial" w:cs="Arial" w:eastAsia="Arial" w:hAnsi="Arial"/>
                <w:sz w:val="19"/>
                <w:szCs w:val="19"/>
                <w:color w:val="auto"/>
              </w:rPr>
              <w:t>CONDITIONS</w:t>
            </w:r>
          </w:p>
        </w:tc>
        <w:tc>
          <w:tcPr>
            <w:tcW w:w="0" w:type="dxa"/>
            <w:vAlign w:val="bottom"/>
          </w:tcPr>
          <w:p>
            <w:pPr>
              <w:spacing w:after="0"/>
              <w:rPr>
                <w:sz w:val="1"/>
                <w:szCs w:val="1"/>
                <w:color w:val="auto"/>
              </w:rPr>
            </w:pPr>
          </w:p>
        </w:tc>
      </w:tr>
      <w:tr>
        <w:trPr>
          <w:trHeight w:val="281"/>
        </w:trPr>
        <w:tc>
          <w:tcPr>
            <w:tcW w:w="1120" w:type="dxa"/>
            <w:vAlign w:val="bottom"/>
            <w:gridSpan w:val="4"/>
          </w:tcPr>
          <w:p>
            <w:pPr>
              <w:spacing w:after="0"/>
              <w:rPr>
                <w:sz w:val="20"/>
                <w:szCs w:val="20"/>
                <w:color w:val="auto"/>
              </w:rPr>
            </w:pPr>
            <w:r>
              <w:rPr>
                <w:rFonts w:ascii="Arial" w:cs="Arial" w:eastAsia="Arial" w:hAnsi="Arial"/>
                <w:sz w:val="19"/>
                <w:szCs w:val="19"/>
                <w:color w:val="auto"/>
                <w:w w:val="97"/>
              </w:rPr>
              <w:t>Section 4.01.</w:t>
            </w:r>
          </w:p>
        </w:tc>
        <w:tc>
          <w:tcPr>
            <w:tcW w:w="1000" w:type="dxa"/>
            <w:vAlign w:val="bottom"/>
            <w:gridSpan w:val="8"/>
          </w:tcPr>
          <w:p>
            <w:pPr>
              <w:spacing w:after="0"/>
              <w:rPr>
                <w:sz w:val="20"/>
                <w:szCs w:val="20"/>
                <w:color w:val="auto"/>
              </w:rPr>
            </w:pPr>
            <w:r>
              <w:rPr>
                <w:rFonts w:ascii="Arial" w:cs="Arial" w:eastAsia="Arial" w:hAnsi="Arial"/>
                <w:sz w:val="19"/>
                <w:szCs w:val="19"/>
                <w:color w:val="auto"/>
                <w:w w:val="90"/>
              </w:rPr>
              <w:t>Closing Date</w:t>
            </w:r>
          </w:p>
        </w:tc>
        <w:tc>
          <w:tcPr>
            <w:tcW w:w="140" w:type="dxa"/>
            <w:vAlign w:val="bottom"/>
            <w:gridSpan w:val="2"/>
          </w:tcPr>
          <w:p>
            <w:pPr>
              <w:spacing w:after="0"/>
              <w:rPr>
                <w:sz w:val="24"/>
                <w:szCs w:val="24"/>
                <w:color w:val="auto"/>
              </w:rPr>
            </w:pPr>
          </w:p>
        </w:tc>
        <w:tc>
          <w:tcPr>
            <w:tcW w:w="380" w:type="dxa"/>
            <w:vAlign w:val="bottom"/>
            <w:gridSpan w:val="2"/>
          </w:tcPr>
          <w:p>
            <w:pPr>
              <w:spacing w:after="0"/>
              <w:rPr>
                <w:sz w:val="20"/>
                <w:szCs w:val="20"/>
                <w:color w:val="auto"/>
              </w:rPr>
            </w:pPr>
            <w:r>
              <w:rPr>
                <w:rFonts w:ascii="Arial" w:cs="Arial" w:eastAsia="Arial" w:hAnsi="Arial"/>
                <w:sz w:val="19"/>
                <w:szCs w:val="19"/>
                <w:color w:val="FF0000"/>
                <w:strike w:val="1"/>
              </w:rPr>
              <w:t>113</w:t>
            </w:r>
          </w:p>
        </w:tc>
        <w:tc>
          <w:tcPr>
            <w:tcW w:w="1500" w:type="dxa"/>
            <w:vAlign w:val="bottom"/>
            <w:gridSpan w:val="10"/>
          </w:tcPr>
          <w:p>
            <w:pPr>
              <w:spacing w:after="0"/>
              <w:rPr>
                <w:sz w:val="20"/>
                <w:szCs w:val="20"/>
                <w:color w:val="auto"/>
              </w:rPr>
            </w:pPr>
            <w:r>
              <w:rPr>
                <w:rFonts w:ascii="Arial" w:cs="Arial" w:eastAsia="Arial" w:hAnsi="Arial"/>
                <w:sz w:val="19"/>
                <w:szCs w:val="19"/>
                <w:color w:val="0000FF"/>
              </w:rPr>
              <w:t xml:space="preserve">114 </w:t>
            </w:r>
            <w:r>
              <w:rPr>
                <w:rFonts w:ascii="Arial" w:cs="Arial" w:eastAsia="Arial" w:hAnsi="Arial"/>
                <w:sz w:val="19"/>
                <w:szCs w:val="19"/>
                <w:color w:val="000000"/>
              </w:rPr>
              <w:t>Section 4.02.</w:t>
            </w:r>
          </w:p>
        </w:tc>
        <w:tc>
          <w:tcPr>
            <w:tcW w:w="1840" w:type="dxa"/>
            <w:vAlign w:val="bottom"/>
            <w:gridSpan w:val="13"/>
          </w:tcPr>
          <w:p>
            <w:pPr>
              <w:ind w:left="20"/>
              <w:spacing w:after="0"/>
              <w:rPr>
                <w:sz w:val="20"/>
                <w:szCs w:val="20"/>
                <w:color w:val="auto"/>
              </w:rPr>
            </w:pPr>
            <w:r>
              <w:rPr>
                <w:rFonts w:ascii="Arial" w:cs="Arial" w:eastAsia="Arial" w:hAnsi="Arial"/>
                <w:sz w:val="19"/>
                <w:szCs w:val="19"/>
                <w:color w:val="auto"/>
                <w:w w:val="95"/>
              </w:rPr>
              <w:t>Each Credit Extension</w:t>
            </w:r>
          </w:p>
        </w:tc>
        <w:tc>
          <w:tcPr>
            <w:tcW w:w="800" w:type="dxa"/>
            <w:vAlign w:val="bottom"/>
            <w:gridSpan w:val="9"/>
          </w:tcPr>
          <w:p>
            <w:pPr>
              <w:jc w:val="right"/>
              <w:ind w:right="80"/>
              <w:spacing w:after="0"/>
              <w:rPr>
                <w:sz w:val="20"/>
                <w:szCs w:val="20"/>
                <w:color w:val="auto"/>
              </w:rPr>
            </w:pPr>
            <w:r>
              <w:rPr>
                <w:rFonts w:ascii="Arial" w:cs="Arial" w:eastAsia="Arial" w:hAnsi="Arial"/>
                <w:sz w:val="19"/>
                <w:szCs w:val="19"/>
                <w:color w:val="auto"/>
              </w:rPr>
              <w:t>116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80" w:type="dxa"/>
            <w:vAlign w:val="bottom"/>
            <w:tcBorders>
              <w:right w:val="single" w:sz="8" w:color="FF0000"/>
            </w:tcBorders>
            <w:gridSpan w:val="13"/>
          </w:tcPr>
          <w:p>
            <w:pPr>
              <w:spacing w:after="0" w:line="20" w:lineRule="exact"/>
              <w:rPr>
                <w:sz w:val="1"/>
                <w:szCs w:val="1"/>
                <w:color w:val="auto"/>
              </w:rPr>
            </w:pPr>
          </w:p>
        </w:tc>
        <w:tc>
          <w:tcPr>
            <w:tcW w:w="460" w:type="dxa"/>
            <w:vAlign w:val="bottom"/>
            <w:tcBorders>
              <w:left w:val="single" w:sz="8" w:color="FF0000"/>
              <w:right w:val="single" w:sz="8" w:color="0000FF"/>
            </w:tcBorders>
            <w:gridSpan w:val="3"/>
            <w:shd w:val="clear" w:color="auto" w:fill="FF0000"/>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100" w:type="dxa"/>
            <w:vAlign w:val="bottom"/>
            <w:tcBorders>
              <w:left w:val="single" w:sz="8" w:color="0000FF"/>
              <w:right w:val="single" w:sz="8" w:color="auto"/>
            </w:tcBorders>
            <w:gridSpan w:val="21"/>
          </w:tcPr>
          <w:p>
            <w:pPr>
              <w:spacing w:after="0" w:line="20" w:lineRule="exact"/>
              <w:rPr>
                <w:sz w:val="1"/>
                <w:szCs w:val="1"/>
                <w:color w:val="auto"/>
              </w:rPr>
            </w:pPr>
          </w:p>
        </w:tc>
        <w:tc>
          <w:tcPr>
            <w:tcW w:w="4140" w:type="dxa"/>
            <w:vAlign w:val="bottom"/>
            <w:gridSpan w:val="4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10040" w:type="dxa"/>
            <w:vAlign w:val="bottom"/>
            <w:gridSpan w:val="80"/>
          </w:tcPr>
          <w:p>
            <w:pPr>
              <w:spacing w:after="0"/>
              <w:rPr>
                <w:sz w:val="20"/>
                <w:szCs w:val="20"/>
                <w:color w:val="auto"/>
              </w:rPr>
            </w:pPr>
            <w:r>
              <w:rPr>
                <w:rFonts w:ascii="Arial" w:cs="Arial" w:eastAsia="Arial" w:hAnsi="Arial"/>
                <w:sz w:val="19"/>
                <w:szCs w:val="19"/>
                <w:color w:val="auto"/>
              </w:rPr>
              <w:t>ARTICLE 5 AFFIRMATIVE</w:t>
            </w:r>
          </w:p>
        </w:tc>
        <w:tc>
          <w:tcPr>
            <w:tcW w:w="0" w:type="dxa"/>
            <w:vAlign w:val="bottom"/>
          </w:tcPr>
          <w:p>
            <w:pPr>
              <w:spacing w:after="0"/>
              <w:rPr>
                <w:sz w:val="1"/>
                <w:szCs w:val="1"/>
                <w:color w:val="auto"/>
              </w:rPr>
            </w:pPr>
          </w:p>
        </w:tc>
      </w:tr>
      <w:tr>
        <w:trPr>
          <w:trHeight w:val="418"/>
        </w:trPr>
        <w:tc>
          <w:tcPr>
            <w:tcW w:w="10040" w:type="dxa"/>
            <w:vAlign w:val="bottom"/>
            <w:gridSpan w:val="80"/>
          </w:tcPr>
          <w:p>
            <w:pPr>
              <w:spacing w:after="0"/>
              <w:rPr>
                <w:sz w:val="20"/>
                <w:szCs w:val="20"/>
                <w:color w:val="auto"/>
              </w:rPr>
            </w:pPr>
            <w:r>
              <w:rPr>
                <w:rFonts w:ascii="Arial" w:cs="Arial" w:eastAsia="Arial" w:hAnsi="Arial"/>
                <w:sz w:val="19"/>
                <w:szCs w:val="19"/>
                <w:color w:val="auto"/>
              </w:rPr>
              <w:t>COVENANTS</w:t>
            </w:r>
          </w:p>
        </w:tc>
        <w:tc>
          <w:tcPr>
            <w:tcW w:w="0" w:type="dxa"/>
            <w:vAlign w:val="bottom"/>
          </w:tcPr>
          <w:p>
            <w:pPr>
              <w:spacing w:after="0"/>
              <w:rPr>
                <w:sz w:val="1"/>
                <w:szCs w:val="1"/>
                <w:color w:val="auto"/>
              </w:rPr>
            </w:pPr>
          </w:p>
        </w:tc>
      </w:tr>
      <w:tr>
        <w:trPr>
          <w:trHeight w:val="282"/>
        </w:trPr>
        <w:tc>
          <w:tcPr>
            <w:tcW w:w="4480" w:type="dxa"/>
            <w:vAlign w:val="bottom"/>
            <w:gridSpan w:val="29"/>
          </w:tcPr>
          <w:p>
            <w:pPr>
              <w:spacing w:after="0"/>
              <w:rPr>
                <w:sz w:val="20"/>
                <w:szCs w:val="20"/>
                <w:color w:val="auto"/>
              </w:rPr>
            </w:pPr>
            <w:r>
              <w:rPr>
                <w:rFonts w:ascii="Arial" w:cs="Arial" w:eastAsia="Arial" w:hAnsi="Arial"/>
                <w:sz w:val="19"/>
                <w:szCs w:val="19"/>
                <w:color w:val="auto"/>
                <w:w w:val="97"/>
              </w:rPr>
              <w:t>Section 5.01. Financial Statements and Other Reports</w:t>
            </w:r>
          </w:p>
        </w:tc>
        <w:tc>
          <w:tcPr>
            <w:tcW w:w="4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9"/>
                <w:szCs w:val="19"/>
                <w:color w:val="FF0000"/>
                <w:strike w:val="1"/>
                <w:w w:val="81"/>
              </w:rPr>
              <w:t>116</w:t>
            </w:r>
          </w:p>
        </w:tc>
        <w:tc>
          <w:tcPr>
            <w:tcW w:w="1580" w:type="dxa"/>
            <w:vAlign w:val="bottom"/>
            <w:gridSpan w:val="15"/>
          </w:tcPr>
          <w:p>
            <w:pPr>
              <w:jc w:val="right"/>
              <w:ind w:right="160"/>
              <w:spacing w:after="0"/>
              <w:rPr>
                <w:sz w:val="20"/>
                <w:szCs w:val="20"/>
                <w:color w:val="auto"/>
              </w:rPr>
            </w:pPr>
            <w:r>
              <w:rPr>
                <w:rFonts w:ascii="Arial" w:cs="Arial" w:eastAsia="Arial" w:hAnsi="Arial"/>
                <w:sz w:val="19"/>
                <w:szCs w:val="19"/>
                <w:color w:val="0000FF"/>
                <w:w w:val="94"/>
              </w:rPr>
              <w:t xml:space="preserve">117 </w:t>
            </w:r>
            <w:r>
              <w:rPr>
                <w:rFonts w:ascii="Arial" w:cs="Arial" w:eastAsia="Arial" w:hAnsi="Arial"/>
                <w:sz w:val="19"/>
                <w:szCs w:val="19"/>
                <w:color w:val="000000"/>
                <w:w w:val="94"/>
              </w:rPr>
              <w:t>Section 5.02.</w:t>
            </w:r>
          </w:p>
        </w:tc>
        <w:tc>
          <w:tcPr>
            <w:tcW w:w="20" w:type="dxa"/>
            <w:vAlign w:val="bottom"/>
          </w:tcPr>
          <w:p>
            <w:pPr>
              <w:spacing w:after="0"/>
              <w:rPr>
                <w:sz w:val="24"/>
                <w:szCs w:val="24"/>
                <w:color w:val="auto"/>
              </w:rPr>
            </w:pPr>
          </w:p>
        </w:tc>
        <w:tc>
          <w:tcPr>
            <w:tcW w:w="1100" w:type="dxa"/>
            <w:vAlign w:val="bottom"/>
            <w:gridSpan w:val="7"/>
          </w:tcPr>
          <w:p>
            <w:pPr>
              <w:spacing w:after="0"/>
              <w:rPr>
                <w:sz w:val="20"/>
                <w:szCs w:val="20"/>
                <w:color w:val="auto"/>
              </w:rPr>
            </w:pPr>
            <w:r>
              <w:rPr>
                <w:rFonts w:ascii="Arial" w:cs="Arial" w:eastAsia="Arial" w:hAnsi="Arial"/>
                <w:sz w:val="19"/>
                <w:szCs w:val="19"/>
                <w:color w:val="auto"/>
              </w:rPr>
              <w:t>Existence</w:t>
            </w:r>
          </w:p>
        </w:tc>
        <w:tc>
          <w:tcPr>
            <w:tcW w:w="1020" w:type="dxa"/>
            <w:vAlign w:val="bottom"/>
            <w:gridSpan w:val="13"/>
          </w:tcPr>
          <w:p>
            <w:pPr>
              <w:jc w:val="right"/>
              <w:spacing w:after="0"/>
              <w:rPr>
                <w:sz w:val="20"/>
                <w:szCs w:val="20"/>
                <w:color w:val="auto"/>
              </w:rPr>
            </w:pPr>
            <w:r>
              <w:rPr>
                <w:rFonts w:ascii="Arial" w:cs="Arial" w:eastAsia="Arial" w:hAnsi="Arial"/>
                <w:sz w:val="19"/>
                <w:szCs w:val="19"/>
                <w:color w:val="auto"/>
              </w:rPr>
              <w:t>119</w:t>
            </w:r>
          </w:p>
        </w:tc>
        <w:tc>
          <w:tcPr>
            <w:tcW w:w="20" w:type="dxa"/>
            <w:vAlign w:val="bottom"/>
          </w:tcPr>
          <w:p>
            <w:pPr>
              <w:spacing w:after="0"/>
              <w:rPr>
                <w:sz w:val="24"/>
                <w:szCs w:val="24"/>
                <w:color w:val="auto"/>
              </w:rPr>
            </w:pPr>
          </w:p>
        </w:tc>
        <w:tc>
          <w:tcPr>
            <w:tcW w:w="1100" w:type="dxa"/>
            <w:vAlign w:val="bottom"/>
            <w:gridSpan w:val="10"/>
          </w:tcPr>
          <w:p>
            <w:pPr>
              <w:jc w:val="right"/>
              <w:spacing w:after="0"/>
              <w:rPr>
                <w:sz w:val="20"/>
                <w:szCs w:val="20"/>
                <w:color w:val="auto"/>
              </w:rPr>
            </w:pPr>
            <w:r>
              <w:rPr>
                <w:rFonts w:ascii="Arial" w:cs="Arial" w:eastAsia="Arial" w:hAnsi="Arial"/>
                <w:sz w:val="19"/>
                <w:szCs w:val="19"/>
                <w:color w:val="auto"/>
                <w:w w:val="97"/>
              </w:rPr>
              <w:t>Section 5.03.</w:t>
            </w:r>
          </w:p>
        </w:tc>
        <w:tc>
          <w:tcPr>
            <w:tcW w:w="0" w:type="dxa"/>
            <w:vAlign w:val="bottom"/>
          </w:tcPr>
          <w:p>
            <w:pPr>
              <w:spacing w:after="0"/>
              <w:rPr>
                <w:sz w:val="1"/>
                <w:szCs w:val="1"/>
                <w:color w:val="auto"/>
              </w:rPr>
            </w:pPr>
          </w:p>
        </w:tc>
      </w:tr>
      <w:tr>
        <w:trPr>
          <w:trHeight w:val="20"/>
        </w:trPr>
        <w:tc>
          <w:tcPr>
            <w:tcW w:w="1560" w:type="dxa"/>
            <w:vAlign w:val="bottom"/>
            <w:gridSpan w:val="7"/>
            <w:vMerge w:val="restart"/>
          </w:tcPr>
          <w:p>
            <w:pPr>
              <w:spacing w:after="0" w:line="203" w:lineRule="exact"/>
              <w:rPr>
                <w:sz w:val="20"/>
                <w:szCs w:val="20"/>
                <w:color w:val="auto"/>
              </w:rPr>
            </w:pPr>
            <w:r>
              <w:rPr>
                <w:rFonts w:ascii="Arial" w:cs="Arial" w:eastAsia="Arial" w:hAnsi="Arial"/>
                <w:sz w:val="19"/>
                <w:szCs w:val="19"/>
                <w:color w:val="auto"/>
              </w:rPr>
              <w:t>Payment of Taxes</w:t>
            </w:r>
          </w:p>
        </w:tc>
        <w:tc>
          <w:tcPr>
            <w:tcW w:w="320" w:type="dxa"/>
            <w:vAlign w:val="bottom"/>
            <w:gridSpan w:val="3"/>
            <w:vMerge w:val="restart"/>
          </w:tcPr>
          <w:p>
            <w:pPr>
              <w:spacing w:after="0" w:line="203" w:lineRule="exact"/>
              <w:rPr>
                <w:sz w:val="20"/>
                <w:szCs w:val="20"/>
                <w:color w:val="auto"/>
              </w:rPr>
            </w:pPr>
            <w:r>
              <w:rPr>
                <w:rFonts w:ascii="Arial" w:cs="Arial" w:eastAsia="Arial" w:hAnsi="Arial"/>
                <w:sz w:val="19"/>
                <w:szCs w:val="19"/>
                <w:color w:val="FF0000"/>
                <w:strike w:val="1"/>
                <w:w w:val="88"/>
              </w:rPr>
              <w:t>119</w:t>
            </w:r>
          </w:p>
        </w:tc>
        <w:tc>
          <w:tcPr>
            <w:tcW w:w="1500" w:type="dxa"/>
            <w:vAlign w:val="bottom"/>
            <w:gridSpan w:val="11"/>
            <w:vMerge w:val="restart"/>
          </w:tcPr>
          <w:p>
            <w:pPr>
              <w:spacing w:after="0" w:line="203" w:lineRule="exact"/>
              <w:rPr>
                <w:sz w:val="20"/>
                <w:szCs w:val="20"/>
                <w:color w:val="auto"/>
              </w:rPr>
            </w:pPr>
            <w:r>
              <w:rPr>
                <w:rFonts w:ascii="Arial" w:cs="Arial" w:eastAsia="Arial" w:hAnsi="Arial"/>
                <w:sz w:val="19"/>
                <w:szCs w:val="19"/>
                <w:color w:val="0000FF"/>
              </w:rPr>
              <w:t xml:space="preserve">120 </w:t>
            </w:r>
            <w:r>
              <w:rPr>
                <w:rFonts w:ascii="Arial" w:cs="Arial" w:eastAsia="Arial" w:hAnsi="Arial"/>
                <w:sz w:val="19"/>
                <w:szCs w:val="19"/>
                <w:color w:val="000000"/>
              </w:rPr>
              <w:t>Section 5.04.</w:t>
            </w:r>
          </w:p>
        </w:tc>
        <w:tc>
          <w:tcPr>
            <w:tcW w:w="60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gridSpan w:val="2"/>
            <w:vMerge w:val="restart"/>
          </w:tcPr>
          <w:p>
            <w:pPr>
              <w:jc w:val="right"/>
              <w:spacing w:after="0" w:line="203" w:lineRule="exact"/>
              <w:rPr>
                <w:sz w:val="20"/>
                <w:szCs w:val="20"/>
                <w:color w:val="auto"/>
              </w:rPr>
            </w:pPr>
            <w:r>
              <w:rPr>
                <w:rFonts w:ascii="Arial" w:cs="Arial" w:eastAsia="Arial" w:hAnsi="Arial"/>
                <w:sz w:val="19"/>
                <w:szCs w:val="19"/>
                <w:color w:val="FF0000"/>
                <w:strike w:val="1"/>
                <w:w w:val="81"/>
              </w:rPr>
              <w:t>119</w:t>
            </w:r>
          </w:p>
        </w:tc>
        <w:tc>
          <w:tcPr>
            <w:tcW w:w="1720" w:type="dxa"/>
            <w:vAlign w:val="bottom"/>
            <w:gridSpan w:val="16"/>
            <w:vMerge w:val="restart"/>
          </w:tcPr>
          <w:p>
            <w:pPr>
              <w:spacing w:after="0" w:line="203" w:lineRule="exact"/>
              <w:rPr>
                <w:sz w:val="20"/>
                <w:szCs w:val="20"/>
                <w:color w:val="auto"/>
              </w:rPr>
            </w:pPr>
            <w:r>
              <w:rPr>
                <w:rFonts w:ascii="Arial" w:cs="Arial" w:eastAsia="Arial" w:hAnsi="Arial"/>
                <w:sz w:val="19"/>
                <w:szCs w:val="19"/>
                <w:color w:val="0000FF"/>
              </w:rPr>
              <w:t xml:space="preserve">120 </w:t>
            </w:r>
            <w:r>
              <w:rPr>
                <w:rFonts w:ascii="Arial" w:cs="Arial" w:eastAsia="Arial" w:hAnsi="Arial"/>
                <w:sz w:val="19"/>
                <w:szCs w:val="19"/>
                <w:color w:val="000000"/>
              </w:rPr>
              <w:t>Section 5.05.</w:t>
            </w:r>
          </w:p>
        </w:tc>
        <w:tc>
          <w:tcPr>
            <w:tcW w:w="420" w:type="dxa"/>
            <w:vAlign w:val="bottom"/>
            <w:gridSpan w:val="3"/>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5"/>
            <w:vMerge w:val="restart"/>
          </w:tcPr>
          <w:p>
            <w:pPr>
              <w:jc w:val="right"/>
              <w:spacing w:after="0" w:line="203" w:lineRule="exact"/>
              <w:rPr>
                <w:sz w:val="20"/>
                <w:szCs w:val="20"/>
                <w:color w:val="auto"/>
              </w:rPr>
            </w:pPr>
            <w:r>
              <w:rPr>
                <w:rFonts w:ascii="Arial" w:cs="Arial" w:eastAsia="Arial" w:hAnsi="Arial"/>
                <w:sz w:val="19"/>
                <w:szCs w:val="19"/>
                <w:color w:val="FF0000"/>
                <w:strike w:val="1"/>
                <w:w w:val="75"/>
              </w:rPr>
              <w:t>119</w:t>
            </w:r>
          </w:p>
        </w:tc>
        <w:tc>
          <w:tcPr>
            <w:tcW w:w="300" w:type="dxa"/>
            <w:vAlign w:val="bottom"/>
            <w:gridSpan w:val="3"/>
            <w:vMerge w:val="restart"/>
          </w:tcPr>
          <w:p>
            <w:pPr>
              <w:jc w:val="right"/>
              <w:spacing w:after="0" w:line="203" w:lineRule="exact"/>
              <w:rPr>
                <w:sz w:val="20"/>
                <w:szCs w:val="20"/>
                <w:color w:val="auto"/>
              </w:rPr>
            </w:pPr>
            <w:r>
              <w:rPr>
                <w:rFonts w:ascii="Arial" w:cs="Arial" w:eastAsia="Arial" w:hAnsi="Arial"/>
                <w:sz w:val="19"/>
                <w:szCs w:val="19"/>
                <w:color w:val="0000FF"/>
                <w:w w:val="88"/>
              </w:rPr>
              <w:t>120</w:t>
            </w: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60" w:type="dxa"/>
            <w:vAlign w:val="bottom"/>
            <w:gridSpan w:val="7"/>
            <w:vMerge w:val="continue"/>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1500" w:type="dxa"/>
            <w:vAlign w:val="bottom"/>
            <w:gridSpan w:val="11"/>
            <w:vMerge w:val="continue"/>
          </w:tcPr>
          <w:p>
            <w:pPr>
              <w:spacing w:after="0"/>
              <w:rPr>
                <w:sz w:val="15"/>
                <w:szCs w:val="15"/>
                <w:color w:val="auto"/>
              </w:rPr>
            </w:pPr>
          </w:p>
        </w:tc>
        <w:tc>
          <w:tcPr>
            <w:tcW w:w="2240" w:type="dxa"/>
            <w:vAlign w:val="bottom"/>
            <w:gridSpan w:val="15"/>
          </w:tcPr>
          <w:p>
            <w:pPr>
              <w:ind w:left="20"/>
              <w:spacing w:after="0" w:line="183" w:lineRule="exact"/>
              <w:rPr>
                <w:sz w:val="20"/>
                <w:szCs w:val="20"/>
                <w:color w:val="auto"/>
              </w:rPr>
            </w:pPr>
            <w:r>
              <w:rPr>
                <w:rFonts w:ascii="Arial" w:cs="Arial" w:eastAsia="Arial" w:hAnsi="Arial"/>
                <w:sz w:val="19"/>
                <w:szCs w:val="19"/>
                <w:color w:val="auto"/>
                <w:w w:val="99"/>
              </w:rPr>
              <w:t>Maintenance of Properties</w:t>
            </w:r>
          </w:p>
        </w:tc>
        <w:tc>
          <w:tcPr>
            <w:tcW w:w="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1720" w:type="dxa"/>
            <w:vAlign w:val="bottom"/>
            <w:gridSpan w:val="16"/>
            <w:vMerge w:val="continue"/>
          </w:tcPr>
          <w:p>
            <w:pPr>
              <w:spacing w:after="0"/>
              <w:rPr>
                <w:sz w:val="15"/>
                <w:szCs w:val="15"/>
                <w:color w:val="auto"/>
              </w:rPr>
            </w:pPr>
          </w:p>
        </w:tc>
        <w:tc>
          <w:tcPr>
            <w:tcW w:w="900" w:type="dxa"/>
            <w:vAlign w:val="bottom"/>
            <w:gridSpan w:val="9"/>
          </w:tcPr>
          <w:p>
            <w:pPr>
              <w:jc w:val="right"/>
              <w:ind w:right="320"/>
              <w:spacing w:after="0" w:line="182" w:lineRule="exact"/>
              <w:rPr>
                <w:sz w:val="20"/>
                <w:szCs w:val="20"/>
                <w:color w:val="auto"/>
              </w:rPr>
            </w:pPr>
            <w:r>
              <w:rPr>
                <w:rFonts w:ascii="Arial" w:cs="Arial" w:eastAsia="Arial" w:hAnsi="Arial"/>
                <w:sz w:val="18"/>
                <w:szCs w:val="18"/>
                <w:color w:val="auto"/>
                <w:w w:val="70"/>
              </w:rPr>
              <w:t>Insurance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gridSpan w:val="5"/>
            <w:vMerge w:val="continue"/>
          </w:tcPr>
          <w:p>
            <w:pPr>
              <w:spacing w:after="0"/>
              <w:rPr>
                <w:sz w:val="15"/>
                <w:szCs w:val="15"/>
                <w:color w:val="auto"/>
              </w:rPr>
            </w:pPr>
          </w:p>
        </w:tc>
        <w:tc>
          <w:tcPr>
            <w:tcW w:w="300" w:type="dxa"/>
            <w:vAlign w:val="bottom"/>
            <w:gridSpan w:val="3"/>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gridSpan w:val="4"/>
            <w:vMerge w:val="restart"/>
          </w:tcPr>
          <w:p>
            <w:pPr>
              <w:spacing w:after="0"/>
              <w:rPr>
                <w:sz w:val="20"/>
                <w:szCs w:val="20"/>
                <w:color w:val="auto"/>
              </w:rPr>
            </w:pPr>
            <w:r>
              <w:rPr>
                <w:rFonts w:ascii="Arial" w:cs="Arial" w:eastAsia="Arial" w:hAnsi="Arial"/>
                <w:sz w:val="19"/>
                <w:szCs w:val="19"/>
                <w:color w:val="auto"/>
                <w:w w:val="97"/>
              </w:rPr>
              <w:t>Section 5.06.</w:t>
            </w:r>
          </w:p>
        </w:tc>
        <w:tc>
          <w:tcPr>
            <w:tcW w:w="760" w:type="dxa"/>
            <w:vAlign w:val="bottom"/>
            <w:tcBorders>
              <w:right w:val="single" w:sz="8" w:color="0000FF"/>
            </w:tcBorders>
            <w:gridSpan w:val="6"/>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80" w:type="dxa"/>
            <w:vAlign w:val="bottom"/>
            <w:gridSpan w:val="2"/>
            <w:vMerge w:val="restart"/>
          </w:tcPr>
          <w:p>
            <w:pPr>
              <w:spacing w:after="0"/>
              <w:rPr>
                <w:sz w:val="20"/>
                <w:szCs w:val="20"/>
                <w:color w:val="auto"/>
              </w:rPr>
            </w:pPr>
            <w:r>
              <w:rPr>
                <w:rFonts w:ascii="Arial" w:cs="Arial" w:eastAsia="Arial" w:hAnsi="Arial"/>
                <w:sz w:val="19"/>
                <w:szCs w:val="19"/>
                <w:color w:val="auto"/>
              </w:rPr>
              <w:t>120</w:t>
            </w:r>
          </w:p>
        </w:tc>
        <w:tc>
          <w:tcPr>
            <w:tcW w:w="5720" w:type="dxa"/>
            <w:vAlign w:val="bottom"/>
            <w:gridSpan w:val="46"/>
          </w:tcPr>
          <w:p>
            <w:pPr>
              <w:spacing w:after="0" w:line="20" w:lineRule="exact"/>
              <w:rPr>
                <w:sz w:val="1"/>
                <w:szCs w:val="1"/>
                <w:color w:val="auto"/>
              </w:rPr>
            </w:pPr>
          </w:p>
        </w:tc>
        <w:tc>
          <w:tcPr>
            <w:tcW w:w="240" w:type="dxa"/>
            <w:vAlign w:val="bottom"/>
            <w:tcBorders>
              <w:left w:val="single" w:sz="8" w:color="FF0000"/>
              <w:right w:val="single" w:sz="8" w:color="FF0000"/>
            </w:tcBorders>
            <w:gridSpan w:val="2"/>
            <w:shd w:val="clear" w:color="auto" w:fill="FF0000"/>
          </w:tcPr>
          <w:p>
            <w:pPr>
              <w:spacing w:after="0" w:line="20" w:lineRule="exact"/>
              <w:rPr>
                <w:sz w:val="1"/>
                <w:szCs w:val="1"/>
                <w:color w:val="auto"/>
              </w:rPr>
            </w:pPr>
          </w:p>
        </w:tc>
        <w:tc>
          <w:tcPr>
            <w:tcW w:w="140" w:type="dxa"/>
            <w:vAlign w:val="bottom"/>
            <w:tcBorders>
              <w:right w:val="single" w:sz="8" w:color="FF0000"/>
            </w:tcBorders>
            <w:gridSpan w:val="2"/>
            <w:shd w:val="clear" w:color="auto" w:fill="FF0000"/>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940" w:type="dxa"/>
            <w:vAlign w:val="bottom"/>
            <w:tcBorders>
              <w:left w:val="single" w:sz="8" w:color="0000FF"/>
            </w:tcBorders>
            <w:gridSpan w:val="8"/>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120" w:type="dxa"/>
            <w:vAlign w:val="bottom"/>
            <w:gridSpan w:val="4"/>
            <w:vMerge w:val="continue"/>
          </w:tcPr>
          <w:p>
            <w:pPr>
              <w:spacing w:after="0"/>
              <w:rPr>
                <w:sz w:val="17"/>
                <w:szCs w:val="17"/>
                <w:color w:val="auto"/>
              </w:rPr>
            </w:pPr>
          </w:p>
        </w:tc>
        <w:tc>
          <w:tcPr>
            <w:tcW w:w="1140" w:type="dxa"/>
            <w:vAlign w:val="bottom"/>
            <w:gridSpan w:val="10"/>
          </w:tcPr>
          <w:p>
            <w:pPr>
              <w:spacing w:after="0" w:line="201" w:lineRule="exact"/>
              <w:rPr>
                <w:sz w:val="20"/>
                <w:szCs w:val="20"/>
                <w:color w:val="auto"/>
              </w:rPr>
            </w:pPr>
            <w:r>
              <w:rPr>
                <w:rFonts w:ascii="Arial" w:cs="Arial" w:eastAsia="Arial" w:hAnsi="Arial"/>
                <w:sz w:val="19"/>
                <w:szCs w:val="19"/>
                <w:color w:val="auto"/>
              </w:rPr>
              <w:t>Inspections</w:t>
            </w:r>
          </w:p>
        </w:tc>
        <w:tc>
          <w:tcPr>
            <w:tcW w:w="380" w:type="dxa"/>
            <w:vAlign w:val="bottom"/>
            <w:gridSpan w:val="2"/>
            <w:vMerge w:val="continue"/>
          </w:tcPr>
          <w:p>
            <w:pPr>
              <w:spacing w:after="0"/>
              <w:rPr>
                <w:sz w:val="17"/>
                <w:szCs w:val="17"/>
                <w:color w:val="auto"/>
              </w:rPr>
            </w:pPr>
          </w:p>
        </w:tc>
        <w:tc>
          <w:tcPr>
            <w:tcW w:w="7400" w:type="dxa"/>
            <w:vAlign w:val="bottom"/>
            <w:gridSpan w:val="64"/>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20" w:type="dxa"/>
            <w:vAlign w:val="bottom"/>
            <w:gridSpan w:val="4"/>
          </w:tcPr>
          <w:p>
            <w:pPr>
              <w:spacing w:after="0" w:line="198" w:lineRule="exact"/>
              <w:rPr>
                <w:sz w:val="20"/>
                <w:szCs w:val="20"/>
                <w:color w:val="auto"/>
              </w:rPr>
            </w:pPr>
            <w:r>
              <w:rPr>
                <w:rFonts w:ascii="Arial" w:cs="Arial" w:eastAsia="Arial" w:hAnsi="Arial"/>
                <w:sz w:val="19"/>
                <w:szCs w:val="19"/>
                <w:color w:val="auto"/>
                <w:w w:val="97"/>
              </w:rPr>
              <w:t>Section 5.07.</w:t>
            </w:r>
          </w:p>
        </w:tc>
        <w:tc>
          <w:tcPr>
            <w:tcW w:w="2860" w:type="dxa"/>
            <w:vAlign w:val="bottom"/>
            <w:gridSpan w:val="21"/>
          </w:tcPr>
          <w:p>
            <w:pPr>
              <w:spacing w:after="0" w:line="198" w:lineRule="exact"/>
              <w:rPr>
                <w:sz w:val="20"/>
                <w:szCs w:val="20"/>
                <w:color w:val="auto"/>
              </w:rPr>
            </w:pPr>
            <w:r>
              <w:rPr>
                <w:rFonts w:ascii="Arial" w:cs="Arial" w:eastAsia="Arial" w:hAnsi="Arial"/>
                <w:sz w:val="19"/>
                <w:szCs w:val="19"/>
                <w:color w:val="auto"/>
                <w:w w:val="94"/>
              </w:rPr>
              <w:t>Maintenance of Books and Records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gridSpan w:val="2"/>
          </w:tcPr>
          <w:p>
            <w:pPr>
              <w:spacing w:after="0" w:line="198" w:lineRule="exact"/>
              <w:rPr>
                <w:sz w:val="20"/>
                <w:szCs w:val="20"/>
                <w:color w:val="auto"/>
              </w:rPr>
            </w:pPr>
            <w:r>
              <w:rPr>
                <w:rFonts w:ascii="Arial" w:cs="Arial" w:eastAsia="Arial" w:hAnsi="Arial"/>
                <w:sz w:val="19"/>
                <w:szCs w:val="19"/>
                <w:color w:val="FF0000"/>
                <w:strike w:val="1"/>
                <w:w w:val="75"/>
              </w:rPr>
              <w:t>120</w:t>
            </w:r>
          </w:p>
        </w:tc>
        <w:tc>
          <w:tcPr>
            <w:tcW w:w="3280" w:type="dxa"/>
            <w:vAlign w:val="bottom"/>
            <w:gridSpan w:val="26"/>
          </w:tcPr>
          <w:p>
            <w:pPr>
              <w:jc w:val="center"/>
              <w:spacing w:after="0" w:line="198" w:lineRule="exact"/>
              <w:rPr>
                <w:sz w:val="20"/>
                <w:szCs w:val="20"/>
                <w:color w:val="auto"/>
              </w:rPr>
            </w:pPr>
            <w:r>
              <w:rPr>
                <w:rFonts w:ascii="Arial" w:cs="Arial" w:eastAsia="Arial" w:hAnsi="Arial"/>
                <w:sz w:val="19"/>
                <w:szCs w:val="19"/>
                <w:color w:val="0000FF"/>
                <w:w w:val="94"/>
              </w:rPr>
              <w:t xml:space="preserve">121 </w:t>
            </w:r>
            <w:r>
              <w:rPr>
                <w:rFonts w:ascii="Arial" w:cs="Arial" w:eastAsia="Arial" w:hAnsi="Arial"/>
                <w:sz w:val="19"/>
                <w:szCs w:val="19"/>
                <w:color w:val="000000"/>
                <w:w w:val="94"/>
              </w:rPr>
              <w:t>Section 5.08. Compliance with Laws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3"/>
          </w:tcPr>
          <w:p>
            <w:pPr>
              <w:jc w:val="right"/>
              <w:spacing w:after="0" w:line="198" w:lineRule="exact"/>
              <w:rPr>
                <w:sz w:val="20"/>
                <w:szCs w:val="20"/>
                <w:color w:val="auto"/>
              </w:rPr>
            </w:pPr>
            <w:r>
              <w:rPr>
                <w:rFonts w:ascii="Arial" w:cs="Arial" w:eastAsia="Arial" w:hAnsi="Arial"/>
                <w:sz w:val="19"/>
                <w:szCs w:val="19"/>
                <w:color w:val="FF0000"/>
                <w:strike w:val="1"/>
                <w:w w:val="81"/>
              </w:rPr>
              <w:t>120</w:t>
            </w:r>
          </w:p>
        </w:tc>
        <w:tc>
          <w:tcPr>
            <w:tcW w:w="1400" w:type="dxa"/>
            <w:vAlign w:val="bottom"/>
            <w:gridSpan w:val="15"/>
          </w:tcPr>
          <w:p>
            <w:pPr>
              <w:jc w:val="right"/>
              <w:ind w:right="20"/>
              <w:spacing w:after="0" w:line="198" w:lineRule="exact"/>
              <w:rPr>
                <w:sz w:val="20"/>
                <w:szCs w:val="20"/>
                <w:color w:val="auto"/>
              </w:rPr>
            </w:pPr>
            <w:r>
              <w:rPr>
                <w:rFonts w:ascii="Arial" w:cs="Arial" w:eastAsia="Arial" w:hAnsi="Arial"/>
                <w:sz w:val="19"/>
                <w:szCs w:val="19"/>
                <w:color w:val="0000FF"/>
                <w:w w:val="91"/>
              </w:rPr>
              <w:t xml:space="preserve">121 </w:t>
            </w:r>
            <w:r>
              <w:rPr>
                <w:rFonts w:ascii="Arial" w:cs="Arial" w:eastAsia="Arial" w:hAnsi="Arial"/>
                <w:sz w:val="19"/>
                <w:szCs w:val="19"/>
                <w:color w:val="000000"/>
                <w:w w:val="91"/>
              </w:rPr>
              <w:t>Section 5.09.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340" w:type="dxa"/>
            <w:vAlign w:val="bottom"/>
            <w:gridSpan w:val="9"/>
          </w:tcPr>
          <w:p>
            <w:pPr>
              <w:spacing w:after="0" w:line="20" w:lineRule="exact"/>
              <w:rPr>
                <w:sz w:val="1"/>
                <w:szCs w:val="1"/>
                <w:color w:val="auto"/>
              </w:rPr>
            </w:pPr>
          </w:p>
        </w:tc>
        <w:tc>
          <w:tcPr>
            <w:tcW w:w="360" w:type="dxa"/>
            <w:vAlign w:val="bottom"/>
            <w:gridSpan w:val="3"/>
            <w:shd w:val="clear" w:color="auto" w:fill="FF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380" w:type="dxa"/>
            <w:vAlign w:val="bottom"/>
            <w:gridSpan w:val="1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9"/>
                <w:szCs w:val="19"/>
                <w:color w:val="auto"/>
                <w:w w:val="88"/>
              </w:rPr>
              <w:t>Environmental</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Arial" w:cs="Arial" w:eastAsia="Arial" w:hAnsi="Arial"/>
                <w:sz w:val="19"/>
                <w:szCs w:val="19"/>
                <w:color w:val="FF0000"/>
                <w:strike w:val="1"/>
                <w:w w:val="81"/>
              </w:rPr>
              <w:t>120</w:t>
            </w:r>
          </w:p>
        </w:tc>
        <w:tc>
          <w:tcPr>
            <w:tcW w:w="3740" w:type="dxa"/>
            <w:vAlign w:val="bottom"/>
            <w:gridSpan w:val="26"/>
          </w:tcPr>
          <w:p>
            <w:pPr>
              <w:spacing w:after="0" w:line="196" w:lineRule="exact"/>
              <w:rPr>
                <w:sz w:val="20"/>
                <w:szCs w:val="20"/>
                <w:color w:val="auto"/>
              </w:rPr>
            </w:pPr>
            <w:r>
              <w:rPr>
                <w:rFonts w:ascii="Arial" w:cs="Arial" w:eastAsia="Arial" w:hAnsi="Arial"/>
                <w:sz w:val="19"/>
                <w:szCs w:val="19"/>
                <w:color w:val="0000FF"/>
                <w:w w:val="95"/>
              </w:rPr>
              <w:t xml:space="preserve">121 </w:t>
            </w:r>
            <w:r>
              <w:rPr>
                <w:rFonts w:ascii="Arial" w:cs="Arial" w:eastAsia="Arial" w:hAnsi="Arial"/>
                <w:sz w:val="19"/>
                <w:szCs w:val="19"/>
                <w:color w:val="000000"/>
                <w:w w:val="95"/>
              </w:rPr>
              <w:t>Section 5.10.  Designation of Subsidiaries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gridSpan w:val="13"/>
          </w:tcPr>
          <w:p>
            <w:pPr>
              <w:ind w:left="20"/>
              <w:spacing w:after="0" w:line="196" w:lineRule="exact"/>
              <w:rPr>
                <w:sz w:val="20"/>
                <w:szCs w:val="20"/>
                <w:color w:val="auto"/>
              </w:rPr>
            </w:pPr>
            <w:r>
              <w:rPr>
                <w:rFonts w:ascii="Arial" w:cs="Arial" w:eastAsia="Arial" w:hAnsi="Arial"/>
                <w:sz w:val="19"/>
                <w:szCs w:val="19"/>
                <w:color w:val="auto"/>
              </w:rPr>
              <w:t>121 Section 5.11.</w:t>
            </w:r>
          </w:p>
        </w:tc>
        <w:tc>
          <w:tcPr>
            <w:tcW w:w="1560" w:type="dxa"/>
            <w:vAlign w:val="bottom"/>
            <w:gridSpan w:val="20"/>
          </w:tcPr>
          <w:p>
            <w:pPr>
              <w:ind w:left="40"/>
              <w:spacing w:after="0" w:line="196" w:lineRule="exact"/>
              <w:rPr>
                <w:sz w:val="20"/>
                <w:szCs w:val="20"/>
                <w:color w:val="auto"/>
              </w:rPr>
            </w:pPr>
            <w:r>
              <w:rPr>
                <w:rFonts w:ascii="Arial" w:cs="Arial" w:eastAsia="Arial" w:hAnsi="Arial"/>
                <w:sz w:val="19"/>
                <w:szCs w:val="19"/>
                <w:color w:val="auto"/>
              </w:rPr>
              <w:t>Use of Proceeds</w:t>
            </w:r>
          </w:p>
        </w:tc>
        <w:tc>
          <w:tcPr>
            <w:tcW w:w="280" w:type="dxa"/>
            <w:vAlign w:val="bottom"/>
            <w:gridSpan w:val="2"/>
          </w:tcPr>
          <w:p>
            <w:pPr>
              <w:jc w:val="right"/>
              <w:spacing w:after="0" w:line="196" w:lineRule="exact"/>
              <w:rPr>
                <w:sz w:val="20"/>
                <w:szCs w:val="20"/>
                <w:color w:val="auto"/>
              </w:rPr>
            </w:pPr>
            <w:r>
              <w:rPr>
                <w:rFonts w:ascii="Arial" w:cs="Arial" w:eastAsia="Arial" w:hAnsi="Arial"/>
                <w:sz w:val="19"/>
                <w:szCs w:val="19"/>
                <w:color w:val="FF0000"/>
                <w:strike w:val="1"/>
                <w:w w:val="81"/>
              </w:rPr>
              <w:t>121</w:t>
            </w:r>
          </w:p>
        </w:tc>
        <w:tc>
          <w:tcPr>
            <w:tcW w:w="280" w:type="dxa"/>
            <w:vAlign w:val="bottom"/>
          </w:tcPr>
          <w:p>
            <w:pPr>
              <w:jc w:val="right"/>
              <w:spacing w:after="0" w:line="196" w:lineRule="exact"/>
              <w:rPr>
                <w:sz w:val="20"/>
                <w:szCs w:val="20"/>
                <w:color w:val="auto"/>
              </w:rPr>
            </w:pPr>
            <w:r>
              <w:rPr>
                <w:rFonts w:ascii="Arial" w:cs="Arial" w:eastAsia="Arial" w:hAnsi="Arial"/>
                <w:sz w:val="19"/>
                <w:szCs w:val="19"/>
                <w:color w:val="0000FF"/>
                <w:w w:val="81"/>
              </w:rPr>
              <w:t>122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gridSpan w:val="4"/>
            <w:vMerge w:val="restart"/>
          </w:tcPr>
          <w:p>
            <w:pPr>
              <w:spacing w:after="0" w:line="203" w:lineRule="exact"/>
              <w:rPr>
                <w:sz w:val="20"/>
                <w:szCs w:val="20"/>
                <w:color w:val="auto"/>
              </w:rPr>
            </w:pPr>
            <w:r>
              <w:rPr>
                <w:rFonts w:ascii="Arial" w:cs="Arial" w:eastAsia="Arial" w:hAnsi="Arial"/>
                <w:sz w:val="19"/>
                <w:szCs w:val="19"/>
                <w:color w:val="auto"/>
                <w:w w:val="97"/>
              </w:rPr>
              <w:t>Section 5.12.</w:t>
            </w:r>
          </w:p>
        </w:tc>
        <w:tc>
          <w:tcPr>
            <w:tcW w:w="480" w:type="dxa"/>
            <w:vAlign w:val="bottom"/>
            <w:tcBorders>
              <w:left w:val="single" w:sz="8" w:color="FF0000"/>
            </w:tcBorders>
            <w:gridSpan w:val="4"/>
            <w:shd w:val="clear" w:color="auto" w:fill="FF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840" w:type="dxa"/>
            <w:vAlign w:val="bottom"/>
            <w:gridSpan w:val="1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960" w:type="dxa"/>
            <w:vAlign w:val="bottom"/>
            <w:gridSpan w:val="17"/>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gridSpan w:val="5"/>
            <w:vMerge w:val="restart"/>
          </w:tcPr>
          <w:p>
            <w:pPr>
              <w:spacing w:after="0" w:line="202" w:lineRule="exact"/>
              <w:rPr>
                <w:sz w:val="20"/>
                <w:szCs w:val="20"/>
                <w:color w:val="auto"/>
              </w:rPr>
            </w:pPr>
            <w:r>
              <w:rPr>
                <w:rFonts w:ascii="Arial" w:cs="Arial" w:eastAsia="Arial" w:hAnsi="Arial"/>
                <w:sz w:val="18"/>
                <w:szCs w:val="18"/>
                <w:color w:val="FF0000"/>
                <w:strike w:val="1"/>
                <w:w w:val="73"/>
              </w:rPr>
              <w:t>124</w:t>
            </w:r>
          </w:p>
        </w:tc>
        <w:tc>
          <w:tcPr>
            <w:tcW w:w="360" w:type="dxa"/>
            <w:vAlign w:val="bottom"/>
            <w:tcBorders>
              <w:left w:val="single" w:sz="8" w:color="FF0000"/>
              <w:right w:val="single" w:sz="8" w:color="FF0000"/>
            </w:tcBorders>
            <w:gridSpan w:val="4"/>
            <w:shd w:val="clear" w:color="auto" w:fill="FF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gridSpan w:val="4"/>
            <w:vMerge w:val="continue"/>
          </w:tcPr>
          <w:p>
            <w:pPr>
              <w:spacing w:after="0"/>
              <w:rPr>
                <w:sz w:val="15"/>
                <w:szCs w:val="15"/>
                <w:color w:val="auto"/>
              </w:rPr>
            </w:pPr>
          </w:p>
        </w:tc>
        <w:tc>
          <w:tcPr>
            <w:tcW w:w="4360" w:type="dxa"/>
            <w:vAlign w:val="bottom"/>
            <w:gridSpan w:val="31"/>
          </w:tcPr>
          <w:p>
            <w:pPr>
              <w:spacing w:after="0" w:line="183" w:lineRule="exact"/>
              <w:rPr>
                <w:sz w:val="20"/>
                <w:szCs w:val="20"/>
                <w:color w:val="auto"/>
              </w:rPr>
            </w:pPr>
            <w:r>
              <w:rPr>
                <w:rFonts w:ascii="Arial" w:cs="Arial" w:eastAsia="Arial" w:hAnsi="Arial"/>
                <w:sz w:val="19"/>
                <w:szCs w:val="19"/>
                <w:color w:val="auto"/>
                <w:w w:val="90"/>
              </w:rPr>
              <w:t>Covenant to Guarantee Obligations and Provide Security</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380" w:type="dxa"/>
            <w:vAlign w:val="bottom"/>
            <w:gridSpan w:val="22"/>
          </w:tcPr>
          <w:p>
            <w:pPr>
              <w:spacing w:after="0" w:line="183" w:lineRule="exact"/>
              <w:rPr>
                <w:sz w:val="20"/>
                <w:szCs w:val="20"/>
                <w:color w:val="auto"/>
              </w:rPr>
            </w:pPr>
            <w:r>
              <w:rPr>
                <w:rFonts w:ascii="Arial" w:cs="Arial" w:eastAsia="Arial" w:hAnsi="Arial"/>
                <w:sz w:val="19"/>
                <w:szCs w:val="19"/>
                <w:color w:val="auto"/>
                <w:w w:val="96"/>
              </w:rPr>
              <w:t>122 Section 5.13. [Reserved]</w:t>
            </w:r>
          </w:p>
        </w:tc>
        <w:tc>
          <w:tcPr>
            <w:tcW w:w="260" w:type="dxa"/>
            <w:vAlign w:val="bottom"/>
            <w:tcBorders>
              <w:bottom w:val="single" w:sz="8" w:color="auto"/>
            </w:tcBorders>
            <w:gridSpan w:val="3"/>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260" w:type="dxa"/>
            <w:vAlign w:val="bottom"/>
            <w:gridSpan w:val="5"/>
            <w:vMerge w:val="continue"/>
          </w:tcPr>
          <w:p>
            <w:pPr>
              <w:spacing w:after="0"/>
              <w:rPr>
                <w:sz w:val="15"/>
                <w:szCs w:val="15"/>
                <w:color w:val="auto"/>
              </w:rPr>
            </w:pPr>
          </w:p>
        </w:tc>
        <w:tc>
          <w:tcPr>
            <w:tcW w:w="360" w:type="dxa"/>
            <w:vAlign w:val="bottom"/>
            <w:tcBorders>
              <w:bottom w:val="single" w:sz="8" w:color="0000FF"/>
            </w:tcBorders>
            <w:gridSpan w:val="4"/>
          </w:tcPr>
          <w:p>
            <w:pPr>
              <w:ind w:left="20"/>
              <w:spacing w:after="0" w:line="183" w:lineRule="exact"/>
              <w:rPr>
                <w:sz w:val="20"/>
                <w:szCs w:val="20"/>
                <w:color w:val="auto"/>
              </w:rPr>
            </w:pPr>
            <w:r>
              <w:rPr>
                <w:rFonts w:ascii="Arial" w:cs="Arial" w:eastAsia="Arial" w:hAnsi="Arial"/>
                <w:sz w:val="19"/>
                <w:szCs w:val="19"/>
                <w:color w:val="0000FF"/>
                <w:w w:val="94"/>
              </w:rPr>
              <w:t>125</w:t>
            </w:r>
          </w:p>
        </w:tc>
        <w:tc>
          <w:tcPr>
            <w:tcW w:w="560" w:type="dxa"/>
            <w:vAlign w:val="bottom"/>
            <w:gridSpan w:val="3"/>
          </w:tcPr>
          <w:p>
            <w:pPr>
              <w:jc w:val="right"/>
              <w:spacing w:after="0" w:line="183" w:lineRule="exact"/>
              <w:rPr>
                <w:sz w:val="20"/>
                <w:szCs w:val="20"/>
                <w:color w:val="auto"/>
              </w:rPr>
            </w:pPr>
            <w:r>
              <w:rPr>
                <w:rFonts w:ascii="Arial" w:cs="Arial" w:eastAsia="Arial" w:hAnsi="Arial"/>
                <w:sz w:val="19"/>
                <w:szCs w:val="19"/>
                <w:color w:val="auto"/>
                <w:w w:val="85"/>
              </w:rPr>
              <w:t>Section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0" w:type="dxa"/>
            <w:vAlign w:val="bottom"/>
            <w:gridSpan w:val="2"/>
          </w:tcPr>
          <w:p>
            <w:pPr>
              <w:spacing w:after="0" w:line="183" w:lineRule="exact"/>
              <w:rPr>
                <w:sz w:val="20"/>
                <w:szCs w:val="20"/>
                <w:color w:val="auto"/>
              </w:rPr>
            </w:pPr>
            <w:r>
              <w:rPr>
                <w:rFonts w:ascii="Arial" w:cs="Arial" w:eastAsia="Arial" w:hAnsi="Arial"/>
                <w:sz w:val="19"/>
                <w:szCs w:val="19"/>
                <w:color w:val="auto"/>
              </w:rPr>
              <w:t>5.14.</w:t>
            </w:r>
          </w:p>
        </w:tc>
        <w:tc>
          <w:tcPr>
            <w:tcW w:w="1620" w:type="dxa"/>
            <w:vAlign w:val="bottom"/>
            <w:gridSpan w:val="11"/>
          </w:tcPr>
          <w:p>
            <w:pPr>
              <w:ind w:left="180"/>
              <w:spacing w:after="0" w:line="183" w:lineRule="exact"/>
              <w:rPr>
                <w:sz w:val="20"/>
                <w:szCs w:val="20"/>
                <w:color w:val="auto"/>
              </w:rPr>
            </w:pPr>
            <w:r>
              <w:rPr>
                <w:rFonts w:ascii="Arial" w:cs="Arial" w:eastAsia="Arial" w:hAnsi="Arial"/>
                <w:sz w:val="19"/>
                <w:szCs w:val="19"/>
                <w:color w:val="auto"/>
                <w:w w:val="84"/>
              </w:rPr>
              <w:t>Further Assurances</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gridSpan w:val="10"/>
          </w:tcPr>
          <w:p>
            <w:pPr>
              <w:ind w:left="40"/>
              <w:spacing w:after="0" w:line="183" w:lineRule="exact"/>
              <w:rPr>
                <w:sz w:val="20"/>
                <w:szCs w:val="20"/>
                <w:color w:val="auto"/>
              </w:rPr>
            </w:pPr>
            <w:r>
              <w:rPr>
                <w:rFonts w:ascii="Arial" w:cs="Arial" w:eastAsia="Arial" w:hAnsi="Arial"/>
                <w:sz w:val="19"/>
                <w:szCs w:val="19"/>
                <w:color w:val="auto"/>
                <w:w w:val="97"/>
              </w:rPr>
              <w:t>125 Section 5.15.</w:t>
            </w:r>
          </w:p>
        </w:tc>
        <w:tc>
          <w:tcPr>
            <w:tcW w:w="1760" w:type="dxa"/>
            <w:vAlign w:val="bottom"/>
            <w:gridSpan w:val="12"/>
          </w:tcPr>
          <w:p>
            <w:pPr>
              <w:ind w:left="20"/>
              <w:spacing w:after="0" w:line="183" w:lineRule="exact"/>
              <w:rPr>
                <w:sz w:val="20"/>
                <w:szCs w:val="20"/>
                <w:color w:val="auto"/>
              </w:rPr>
            </w:pPr>
            <w:r>
              <w:rPr>
                <w:rFonts w:ascii="Arial" w:cs="Arial" w:eastAsia="Arial" w:hAnsi="Arial"/>
                <w:sz w:val="19"/>
                <w:szCs w:val="19"/>
                <w:color w:val="auto"/>
                <w:w w:val="87"/>
              </w:rPr>
              <w:t>Post-Closing Covenant</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gridSpan w:val="10"/>
          </w:tcPr>
          <w:p>
            <w:pPr>
              <w:spacing w:after="0" w:line="183" w:lineRule="exact"/>
              <w:rPr>
                <w:sz w:val="20"/>
                <w:szCs w:val="20"/>
                <w:color w:val="auto"/>
              </w:rPr>
            </w:pPr>
            <w:r>
              <w:rPr>
                <w:rFonts w:ascii="Arial" w:cs="Arial" w:eastAsia="Arial" w:hAnsi="Arial"/>
                <w:sz w:val="19"/>
                <w:szCs w:val="19"/>
                <w:color w:val="auto"/>
                <w:w w:val="91"/>
              </w:rPr>
              <w:t>125 Section 5.16.</w:t>
            </w:r>
          </w:p>
        </w:tc>
        <w:tc>
          <w:tcPr>
            <w:tcW w:w="940" w:type="dxa"/>
            <w:vAlign w:val="bottom"/>
            <w:gridSpan w:val="11"/>
          </w:tcPr>
          <w:p>
            <w:pPr>
              <w:ind w:left="40"/>
              <w:spacing w:after="0" w:line="183" w:lineRule="exact"/>
              <w:rPr>
                <w:sz w:val="20"/>
                <w:szCs w:val="20"/>
                <w:color w:val="auto"/>
              </w:rPr>
            </w:pPr>
            <w:r>
              <w:rPr>
                <w:rFonts w:ascii="Arial" w:cs="Arial" w:eastAsia="Arial" w:hAnsi="Arial"/>
                <w:sz w:val="19"/>
                <w:szCs w:val="19"/>
                <w:color w:val="auto"/>
                <w:w w:val="80"/>
              </w:rPr>
              <w:t>Transactions</w:t>
            </w:r>
          </w:p>
        </w:tc>
        <w:tc>
          <w:tcPr>
            <w:tcW w:w="620" w:type="dxa"/>
            <w:vAlign w:val="bottom"/>
            <w:gridSpan w:val="9"/>
          </w:tcPr>
          <w:p>
            <w:pPr>
              <w:ind w:left="100"/>
              <w:spacing w:after="0" w:line="183" w:lineRule="exact"/>
              <w:rPr>
                <w:sz w:val="20"/>
                <w:szCs w:val="20"/>
                <w:color w:val="auto"/>
              </w:rPr>
            </w:pPr>
            <w:r>
              <w:rPr>
                <w:rFonts w:ascii="Arial" w:cs="Arial" w:eastAsia="Arial" w:hAnsi="Arial"/>
                <w:sz w:val="19"/>
                <w:szCs w:val="19"/>
                <w:color w:val="auto"/>
              </w:rPr>
              <w:t>with</w:t>
            </w:r>
          </w:p>
        </w:tc>
        <w:tc>
          <w:tcPr>
            <w:tcW w:w="580" w:type="dxa"/>
            <w:vAlign w:val="bottom"/>
            <w:gridSpan w:val="4"/>
          </w:tcPr>
          <w:p>
            <w:pPr>
              <w:jc w:val="right"/>
              <w:spacing w:after="0" w:line="183" w:lineRule="exact"/>
              <w:rPr>
                <w:sz w:val="20"/>
                <w:szCs w:val="20"/>
                <w:color w:val="auto"/>
              </w:rPr>
            </w:pPr>
            <w:r>
              <w:rPr>
                <w:rFonts w:ascii="Arial" w:cs="Arial" w:eastAsia="Arial" w:hAnsi="Arial"/>
                <w:sz w:val="19"/>
                <w:szCs w:val="19"/>
                <w:color w:val="auto"/>
                <w:w w:val="77"/>
              </w:rPr>
              <w:t>Affiliates</w:t>
            </w:r>
          </w:p>
        </w:tc>
        <w:tc>
          <w:tcPr>
            <w:tcW w:w="0" w:type="dxa"/>
            <w:vAlign w:val="bottom"/>
          </w:tcPr>
          <w:p>
            <w:pPr>
              <w:spacing w:after="0"/>
              <w:rPr>
                <w:sz w:val="1"/>
                <w:szCs w:val="1"/>
                <w:color w:val="auto"/>
              </w:rPr>
            </w:pPr>
          </w:p>
        </w:tc>
      </w:tr>
      <w:tr>
        <w:trPr>
          <w:trHeight w:val="196"/>
        </w:trPr>
        <w:tc>
          <w:tcPr>
            <w:tcW w:w="280" w:type="dxa"/>
            <w:vAlign w:val="bottom"/>
          </w:tcPr>
          <w:p>
            <w:pPr>
              <w:spacing w:after="0" w:line="196" w:lineRule="exact"/>
              <w:rPr>
                <w:sz w:val="20"/>
                <w:szCs w:val="20"/>
                <w:color w:val="auto"/>
              </w:rPr>
            </w:pPr>
            <w:r>
              <w:rPr>
                <w:rFonts w:ascii="Arial" w:cs="Arial" w:eastAsia="Arial" w:hAnsi="Arial"/>
                <w:sz w:val="19"/>
                <w:szCs w:val="19"/>
                <w:color w:val="FF0000"/>
                <w:strike w:val="1"/>
                <w:w w:val="81"/>
              </w:rPr>
              <w:t>125</w:t>
            </w:r>
          </w:p>
        </w:tc>
        <w:tc>
          <w:tcPr>
            <w:tcW w:w="1600" w:type="dxa"/>
            <w:vAlign w:val="bottom"/>
            <w:gridSpan w:val="9"/>
          </w:tcPr>
          <w:p>
            <w:pPr>
              <w:jc w:val="right"/>
              <w:ind w:right="186"/>
              <w:spacing w:after="0" w:line="196" w:lineRule="exact"/>
              <w:rPr>
                <w:sz w:val="20"/>
                <w:szCs w:val="20"/>
                <w:color w:val="auto"/>
              </w:rPr>
            </w:pPr>
            <w:r>
              <w:rPr>
                <w:rFonts w:ascii="Arial" w:cs="Arial" w:eastAsia="Arial" w:hAnsi="Arial"/>
                <w:sz w:val="19"/>
                <w:szCs w:val="19"/>
                <w:color w:val="0000FF"/>
                <w:w w:val="87"/>
              </w:rPr>
              <w:t xml:space="preserve">126 </w:t>
            </w:r>
            <w:r>
              <w:rPr>
                <w:rFonts w:ascii="Arial" w:cs="Arial" w:eastAsia="Arial" w:hAnsi="Arial"/>
                <w:sz w:val="19"/>
                <w:szCs w:val="19"/>
                <w:color w:val="000000"/>
                <w:w w:val="87"/>
              </w:rPr>
              <w:t>Section 5.17.</w:t>
            </w:r>
          </w:p>
        </w:tc>
        <w:tc>
          <w:tcPr>
            <w:tcW w:w="1500" w:type="dxa"/>
            <w:vAlign w:val="bottom"/>
            <w:gridSpan w:val="11"/>
          </w:tcPr>
          <w:p>
            <w:pPr>
              <w:spacing w:after="0" w:line="196" w:lineRule="exact"/>
              <w:rPr>
                <w:sz w:val="20"/>
                <w:szCs w:val="20"/>
                <w:color w:val="auto"/>
              </w:rPr>
            </w:pPr>
            <w:r>
              <w:rPr>
                <w:rFonts w:ascii="Arial" w:cs="Arial" w:eastAsia="Arial" w:hAnsi="Arial"/>
                <w:sz w:val="19"/>
                <w:szCs w:val="19"/>
                <w:color w:val="auto"/>
              </w:rPr>
              <w:t>Fiscal Year</w:t>
            </w:r>
          </w:p>
        </w:tc>
        <w:tc>
          <w:tcPr>
            <w:tcW w:w="6660" w:type="dxa"/>
            <w:vAlign w:val="bottom"/>
            <w:gridSpan w:val="59"/>
          </w:tcPr>
          <w:p>
            <w:pPr>
              <w:ind w:left="60"/>
              <w:spacing w:after="0" w:line="196" w:lineRule="exact"/>
              <w:rPr>
                <w:sz w:val="20"/>
                <w:szCs w:val="20"/>
                <w:color w:val="auto"/>
              </w:rPr>
            </w:pPr>
            <w:r>
              <w:rPr>
                <w:rFonts w:ascii="Arial" w:cs="Arial" w:eastAsia="Arial" w:hAnsi="Arial"/>
                <w:sz w:val="19"/>
                <w:szCs w:val="19"/>
                <w:color w:val="auto"/>
              </w:rPr>
              <w:t>128</w:t>
            </w:r>
          </w:p>
        </w:tc>
        <w:tc>
          <w:tcPr>
            <w:tcW w:w="0" w:type="dxa"/>
            <w:vAlign w:val="bottom"/>
          </w:tcPr>
          <w:p>
            <w:pPr>
              <w:spacing w:after="0"/>
              <w:rPr>
                <w:sz w:val="1"/>
                <w:szCs w:val="1"/>
                <w:color w:val="auto"/>
              </w:rPr>
            </w:pPr>
          </w:p>
        </w:tc>
      </w:tr>
      <w:tr>
        <w:trPr>
          <w:trHeight w:val="20"/>
        </w:trPr>
        <w:tc>
          <w:tcPr>
            <w:tcW w:w="10040" w:type="dxa"/>
            <w:vAlign w:val="bottom"/>
            <w:gridSpan w:val="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40" w:top="97" w:right="1419" w:bottom="1440" w:gutter="0" w:footer="0" w:header="0"/>
        </w:sectPr>
      </w:pPr>
    </w:p>
    <w:bookmarkStart w:id="64" w:name="page65"/>
    <w:bookmarkEnd w:id="64"/>
    <w:tbl>
      <w:tblPr>
        <w:tblLayout w:type="fixed"/>
        <w:tblInd w:w="100" w:type="dxa"/>
        <w:tblCellMar>
          <w:top w:w="0" w:type="dxa"/>
          <w:left w:w="0" w:type="dxa"/>
          <w:bottom w:w="0" w:type="dxa"/>
          <w:right w:w="0" w:type="dxa"/>
        </w:tblCellMar>
      </w:tblPr>
      <w:tr>
        <w:trPr>
          <w:trHeight w:val="218"/>
        </w:trPr>
        <w:tc>
          <w:tcPr>
            <w:tcW w:w="1180" w:type="dxa"/>
            <w:vAlign w:val="bottom"/>
            <w:gridSpan w:val="7"/>
          </w:tcPr>
          <w:p>
            <w:pPr>
              <w:spacing w:after="0"/>
              <w:rPr>
                <w:sz w:val="20"/>
                <w:szCs w:val="20"/>
                <w:color w:val="auto"/>
              </w:rPr>
            </w:pPr>
            <w:r>
              <w:rPr>
                <w:rFonts w:ascii="Arial" w:cs="Arial" w:eastAsia="Arial" w:hAnsi="Arial"/>
                <w:sz w:val="19"/>
                <w:szCs w:val="19"/>
                <w:color w:val="auto"/>
              </w:rPr>
              <w:t>Section 5.18.</w:t>
            </w:r>
          </w:p>
        </w:tc>
        <w:tc>
          <w:tcPr>
            <w:tcW w:w="1420" w:type="dxa"/>
            <w:vAlign w:val="bottom"/>
            <w:gridSpan w:val="17"/>
          </w:tcPr>
          <w:p>
            <w:pPr>
              <w:spacing w:after="0"/>
              <w:rPr>
                <w:sz w:val="20"/>
                <w:szCs w:val="20"/>
                <w:color w:val="auto"/>
              </w:rPr>
            </w:pPr>
            <w:r>
              <w:rPr>
                <w:rFonts w:ascii="Arial" w:cs="Arial" w:eastAsia="Arial" w:hAnsi="Arial"/>
                <w:sz w:val="19"/>
                <w:szCs w:val="19"/>
                <w:color w:val="auto"/>
                <w:w w:val="85"/>
              </w:rPr>
              <w:t>Nature of Business</w:t>
            </w:r>
          </w:p>
        </w:tc>
        <w:tc>
          <w:tcPr>
            <w:tcW w:w="1560" w:type="dxa"/>
            <w:vAlign w:val="bottom"/>
            <w:gridSpan w:val="19"/>
          </w:tcPr>
          <w:p>
            <w:pPr>
              <w:ind w:left="80"/>
              <w:spacing w:after="0"/>
              <w:rPr>
                <w:sz w:val="20"/>
                <w:szCs w:val="20"/>
                <w:color w:val="auto"/>
              </w:rPr>
            </w:pPr>
            <w:r>
              <w:rPr>
                <w:rFonts w:ascii="Arial" w:cs="Arial" w:eastAsia="Arial" w:hAnsi="Arial"/>
                <w:sz w:val="19"/>
                <w:szCs w:val="19"/>
                <w:color w:val="auto"/>
                <w:w w:val="97"/>
              </w:rPr>
              <w:t>128 Section 5.19.</w:t>
            </w:r>
          </w:p>
        </w:tc>
        <w:tc>
          <w:tcPr>
            <w:tcW w:w="4540" w:type="dxa"/>
            <w:vAlign w:val="bottom"/>
            <w:gridSpan w:val="27"/>
          </w:tcPr>
          <w:p>
            <w:pPr>
              <w:spacing w:after="0"/>
              <w:rPr>
                <w:sz w:val="20"/>
                <w:szCs w:val="20"/>
                <w:color w:val="auto"/>
              </w:rPr>
            </w:pPr>
            <w:r>
              <w:rPr>
                <w:rFonts w:ascii="Arial" w:cs="Arial" w:eastAsia="Arial" w:hAnsi="Arial"/>
                <w:sz w:val="19"/>
                <w:szCs w:val="19"/>
                <w:color w:val="auto"/>
                <w:w w:val="98"/>
              </w:rPr>
              <w:t>Amendments or Waivers of Organizational Documents</w:t>
            </w:r>
          </w:p>
        </w:tc>
        <w:tc>
          <w:tcPr>
            <w:tcW w:w="440" w:type="dxa"/>
            <w:vAlign w:val="bottom"/>
            <w:gridSpan w:val="4"/>
          </w:tcPr>
          <w:p>
            <w:pPr>
              <w:jc w:val="right"/>
              <w:ind w:right="86"/>
              <w:spacing w:after="0"/>
              <w:rPr>
                <w:sz w:val="20"/>
                <w:szCs w:val="20"/>
                <w:color w:val="auto"/>
              </w:rPr>
            </w:pPr>
            <w:r>
              <w:rPr>
                <w:rFonts w:ascii="Arial" w:cs="Arial" w:eastAsia="Arial" w:hAnsi="Arial"/>
                <w:sz w:val="19"/>
                <w:szCs w:val="19"/>
                <w:color w:val="auto"/>
                <w:w w:val="75"/>
              </w:rPr>
              <w:t>128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9"/>
        </w:trPr>
        <w:tc>
          <w:tcPr>
            <w:tcW w:w="2560" w:type="dxa"/>
            <w:vAlign w:val="bottom"/>
            <w:gridSpan w:val="23"/>
          </w:tcPr>
          <w:p>
            <w:pPr>
              <w:spacing w:after="0"/>
              <w:rPr>
                <w:sz w:val="24"/>
                <w:szCs w:val="24"/>
                <w:color w:val="auto"/>
              </w:rPr>
            </w:pPr>
          </w:p>
        </w:tc>
        <w:tc>
          <w:tcPr>
            <w:tcW w:w="120" w:type="dxa"/>
            <w:vAlign w:val="bottom"/>
            <w:tcBorders>
              <w:top w:val="single" w:sz="8" w:color="auto"/>
            </w:tcBorders>
            <w:gridSpan w:val="2"/>
          </w:tcPr>
          <w:p>
            <w:pPr>
              <w:spacing w:after="0"/>
              <w:rPr>
                <w:sz w:val="24"/>
                <w:szCs w:val="24"/>
                <w:color w:val="auto"/>
              </w:rPr>
            </w:pPr>
          </w:p>
        </w:tc>
        <w:tc>
          <w:tcPr>
            <w:tcW w:w="5620" w:type="dxa"/>
            <w:vAlign w:val="bottom"/>
            <w:gridSpan w:val="42"/>
          </w:tcPr>
          <w:p>
            <w:pPr>
              <w:spacing w:after="0"/>
              <w:rPr>
                <w:sz w:val="20"/>
                <w:szCs w:val="20"/>
                <w:color w:val="auto"/>
              </w:rPr>
            </w:pPr>
            <w:r>
              <w:rPr>
                <w:rFonts w:ascii="Arial" w:cs="Arial" w:eastAsia="Arial" w:hAnsi="Arial"/>
                <w:sz w:val="19"/>
                <w:szCs w:val="19"/>
                <w:color w:val="auto"/>
              </w:rPr>
              <w:t>ARTICLE 6 NEGATIVE</w:t>
            </w:r>
          </w:p>
        </w:tc>
        <w:tc>
          <w:tcPr>
            <w:tcW w:w="400" w:type="dxa"/>
            <w:vAlign w:val="bottom"/>
            <w:tcBorders>
              <w:top w:val="single" w:sz="8" w:color="auto"/>
            </w:tcBorders>
            <w:gridSpan w:val="3"/>
          </w:tcPr>
          <w:p>
            <w:pPr>
              <w:spacing w:after="0"/>
              <w:rPr>
                <w:sz w:val="24"/>
                <w:szCs w:val="24"/>
                <w:color w:val="auto"/>
              </w:rPr>
            </w:pPr>
          </w:p>
        </w:tc>
        <w:tc>
          <w:tcPr>
            <w:tcW w:w="15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200" w:type="dxa"/>
            <w:vAlign w:val="bottom"/>
            <w:gridSpan w:val="78"/>
          </w:tcPr>
          <w:p>
            <w:pPr>
              <w:spacing w:after="0"/>
              <w:rPr>
                <w:sz w:val="20"/>
                <w:szCs w:val="20"/>
                <w:color w:val="auto"/>
              </w:rPr>
            </w:pPr>
            <w:r>
              <w:rPr>
                <w:rFonts w:ascii="Arial" w:cs="Arial" w:eastAsia="Arial" w:hAnsi="Arial"/>
                <w:sz w:val="19"/>
                <w:szCs w:val="19"/>
                <w:color w:val="auto"/>
              </w:rPr>
              <w:t>COVENANTS</w:t>
            </w:r>
          </w:p>
        </w:tc>
        <w:tc>
          <w:tcPr>
            <w:tcW w:w="0" w:type="dxa"/>
            <w:vAlign w:val="bottom"/>
          </w:tcPr>
          <w:p>
            <w:pPr>
              <w:spacing w:after="0"/>
              <w:rPr>
                <w:sz w:val="1"/>
                <w:szCs w:val="1"/>
                <w:color w:val="auto"/>
              </w:rPr>
            </w:pPr>
          </w:p>
        </w:tc>
      </w:tr>
      <w:tr>
        <w:trPr>
          <w:trHeight w:val="282"/>
        </w:trPr>
        <w:tc>
          <w:tcPr>
            <w:tcW w:w="1180" w:type="dxa"/>
            <w:vAlign w:val="bottom"/>
            <w:gridSpan w:val="7"/>
          </w:tcPr>
          <w:p>
            <w:pPr>
              <w:spacing w:after="0"/>
              <w:rPr>
                <w:sz w:val="20"/>
                <w:szCs w:val="20"/>
                <w:color w:val="auto"/>
              </w:rPr>
            </w:pPr>
            <w:r>
              <w:rPr>
                <w:rFonts w:ascii="Arial" w:cs="Arial" w:eastAsia="Arial" w:hAnsi="Arial"/>
                <w:sz w:val="19"/>
                <w:szCs w:val="19"/>
                <w:color w:val="auto"/>
              </w:rPr>
              <w:t>Section 6.01.</w:t>
            </w:r>
          </w:p>
        </w:tc>
        <w:tc>
          <w:tcPr>
            <w:tcW w:w="940" w:type="dxa"/>
            <w:vAlign w:val="bottom"/>
            <w:gridSpan w:val="7"/>
          </w:tcPr>
          <w:p>
            <w:pPr>
              <w:spacing w:after="0"/>
              <w:rPr>
                <w:sz w:val="20"/>
                <w:szCs w:val="20"/>
                <w:color w:val="auto"/>
              </w:rPr>
            </w:pPr>
            <w:r>
              <w:rPr>
                <w:rFonts w:ascii="Arial" w:cs="Arial" w:eastAsia="Arial" w:hAnsi="Arial"/>
                <w:sz w:val="19"/>
                <w:szCs w:val="19"/>
                <w:color w:val="auto"/>
                <w:w w:val="80"/>
              </w:rPr>
              <w:t>Indebtedness</w:t>
            </w:r>
          </w:p>
        </w:tc>
        <w:tc>
          <w:tcPr>
            <w:tcW w:w="140" w:type="dxa"/>
            <w:vAlign w:val="bottom"/>
            <w:tcBorders>
              <w:bottom w:val="single" w:sz="8" w:color="auto"/>
            </w:tcBorders>
            <w:gridSpan w:val="3"/>
          </w:tcPr>
          <w:p>
            <w:pPr>
              <w:spacing w:after="0"/>
              <w:rPr>
                <w:sz w:val="24"/>
                <w:szCs w:val="24"/>
                <w:color w:val="auto"/>
              </w:rPr>
            </w:pPr>
          </w:p>
        </w:tc>
        <w:tc>
          <w:tcPr>
            <w:tcW w:w="280" w:type="dxa"/>
            <w:vAlign w:val="bottom"/>
            <w:gridSpan w:val="5"/>
          </w:tcPr>
          <w:p>
            <w:pPr>
              <w:spacing w:after="0"/>
              <w:rPr>
                <w:sz w:val="20"/>
                <w:szCs w:val="20"/>
                <w:color w:val="auto"/>
              </w:rPr>
            </w:pPr>
            <w:r>
              <w:rPr>
                <w:rFonts w:ascii="Arial" w:cs="Arial" w:eastAsia="Arial" w:hAnsi="Arial"/>
                <w:sz w:val="19"/>
                <w:szCs w:val="19"/>
                <w:color w:val="FF0000"/>
                <w:strike w:val="1"/>
                <w:w w:val="81"/>
              </w:rPr>
              <w:t>128</w:t>
            </w:r>
          </w:p>
        </w:tc>
        <w:tc>
          <w:tcPr>
            <w:tcW w:w="280" w:type="dxa"/>
            <w:vAlign w:val="bottom"/>
            <w:tcBorders>
              <w:bottom w:val="single" w:sz="8" w:color="0000FF"/>
            </w:tcBorders>
            <w:gridSpan w:val="5"/>
          </w:tcPr>
          <w:p>
            <w:pPr>
              <w:jc w:val="right"/>
              <w:spacing w:after="0"/>
              <w:rPr>
                <w:sz w:val="20"/>
                <w:szCs w:val="20"/>
                <w:color w:val="auto"/>
              </w:rPr>
            </w:pPr>
            <w:r>
              <w:rPr>
                <w:rFonts w:ascii="Arial" w:cs="Arial" w:eastAsia="Arial" w:hAnsi="Arial"/>
                <w:sz w:val="19"/>
                <w:szCs w:val="19"/>
                <w:color w:val="0000FF"/>
                <w:w w:val="81"/>
              </w:rPr>
              <w:t>129</w:t>
            </w:r>
          </w:p>
        </w:tc>
        <w:tc>
          <w:tcPr>
            <w:tcW w:w="7380" w:type="dxa"/>
            <w:vAlign w:val="bottom"/>
            <w:gridSpan w:val="51"/>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80" w:type="dxa"/>
            <w:vAlign w:val="bottom"/>
            <w:gridSpan w:val="7"/>
          </w:tcPr>
          <w:p>
            <w:pPr>
              <w:spacing w:after="0" w:line="183" w:lineRule="exact"/>
              <w:rPr>
                <w:sz w:val="20"/>
                <w:szCs w:val="20"/>
                <w:color w:val="auto"/>
              </w:rPr>
            </w:pPr>
            <w:r>
              <w:rPr>
                <w:rFonts w:ascii="Arial" w:cs="Arial" w:eastAsia="Arial" w:hAnsi="Arial"/>
                <w:sz w:val="19"/>
                <w:szCs w:val="19"/>
                <w:color w:val="auto"/>
              </w:rPr>
              <w:t>Section 6.02.</w:t>
            </w:r>
          </w:p>
        </w:tc>
        <w:tc>
          <w:tcPr>
            <w:tcW w:w="700" w:type="dxa"/>
            <w:vAlign w:val="bottom"/>
            <w:gridSpan w:val="4"/>
          </w:tcPr>
          <w:p>
            <w:pPr>
              <w:spacing w:after="0" w:line="183" w:lineRule="exact"/>
              <w:rPr>
                <w:sz w:val="20"/>
                <w:szCs w:val="20"/>
                <w:color w:val="auto"/>
              </w:rPr>
            </w:pPr>
            <w:r>
              <w:rPr>
                <w:rFonts w:ascii="Arial" w:cs="Arial" w:eastAsia="Arial" w:hAnsi="Arial"/>
                <w:sz w:val="19"/>
                <w:szCs w:val="19"/>
                <w:color w:val="auto"/>
              </w:rPr>
              <w:t>Liens</w:t>
            </w:r>
          </w:p>
        </w:tc>
        <w:tc>
          <w:tcPr>
            <w:tcW w:w="280" w:type="dxa"/>
            <w:vAlign w:val="bottom"/>
            <w:gridSpan w:val="4"/>
          </w:tcPr>
          <w:p>
            <w:pPr>
              <w:spacing w:after="0" w:line="182" w:lineRule="exact"/>
              <w:rPr>
                <w:sz w:val="20"/>
                <w:szCs w:val="20"/>
                <w:color w:val="auto"/>
              </w:rPr>
            </w:pPr>
            <w:r>
              <w:rPr>
                <w:rFonts w:ascii="Arial" w:cs="Arial" w:eastAsia="Arial" w:hAnsi="Arial"/>
                <w:sz w:val="18"/>
                <w:szCs w:val="18"/>
                <w:color w:val="FF0000"/>
                <w:strike w:val="1"/>
                <w:w w:val="73"/>
              </w:rPr>
              <w:t>133</w:t>
            </w:r>
          </w:p>
        </w:tc>
        <w:tc>
          <w:tcPr>
            <w:tcW w:w="280" w:type="dxa"/>
            <w:vAlign w:val="bottom"/>
            <w:tcBorders>
              <w:bottom w:val="single" w:sz="8" w:color="0000FF"/>
            </w:tcBorders>
            <w:gridSpan w:val="5"/>
          </w:tcPr>
          <w:p>
            <w:pPr>
              <w:jc w:val="center"/>
              <w:spacing w:after="0" w:line="183" w:lineRule="exact"/>
              <w:rPr>
                <w:sz w:val="20"/>
                <w:szCs w:val="20"/>
                <w:color w:val="auto"/>
              </w:rPr>
            </w:pPr>
            <w:r>
              <w:rPr>
                <w:rFonts w:ascii="Arial" w:cs="Arial" w:eastAsia="Arial" w:hAnsi="Arial"/>
                <w:sz w:val="19"/>
                <w:szCs w:val="19"/>
                <w:color w:val="0000FF"/>
                <w:w w:val="88"/>
              </w:rPr>
              <w:t>134</w:t>
            </w:r>
          </w:p>
        </w:tc>
        <w:tc>
          <w:tcPr>
            <w:tcW w:w="7760" w:type="dxa"/>
            <w:vAlign w:val="bottom"/>
            <w:gridSpan w:val="58"/>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0" w:type="dxa"/>
            <w:vAlign w:val="bottom"/>
            <w:gridSpan w:val="13"/>
          </w:tcPr>
          <w:p>
            <w:pPr>
              <w:spacing w:after="0" w:line="196" w:lineRule="exact"/>
              <w:rPr>
                <w:sz w:val="20"/>
                <w:szCs w:val="20"/>
                <w:color w:val="auto"/>
              </w:rPr>
            </w:pPr>
            <w:r>
              <w:rPr>
                <w:rFonts w:ascii="Arial" w:cs="Arial" w:eastAsia="Arial" w:hAnsi="Arial"/>
                <w:sz w:val="19"/>
                <w:szCs w:val="19"/>
                <w:color w:val="auto"/>
                <w:w w:val="94"/>
              </w:rPr>
              <w:t>Section 6.03. [Reserved]</w:t>
            </w:r>
          </w:p>
        </w:tc>
        <w:tc>
          <w:tcPr>
            <w:tcW w:w="22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gridSpan w:val="7"/>
          </w:tcPr>
          <w:p>
            <w:pPr>
              <w:jc w:val="right"/>
              <w:spacing w:after="0" w:line="196" w:lineRule="exact"/>
              <w:rPr>
                <w:sz w:val="20"/>
                <w:szCs w:val="20"/>
                <w:color w:val="auto"/>
              </w:rPr>
            </w:pPr>
            <w:r>
              <w:rPr>
                <w:rFonts w:ascii="Arial" w:cs="Arial" w:eastAsia="Arial" w:hAnsi="Arial"/>
                <w:sz w:val="19"/>
                <w:szCs w:val="19"/>
                <w:color w:val="FF0000"/>
                <w:strike w:val="1"/>
                <w:w w:val="81"/>
              </w:rPr>
              <w:t>138</w:t>
            </w:r>
          </w:p>
        </w:tc>
        <w:tc>
          <w:tcPr>
            <w:tcW w:w="5380" w:type="dxa"/>
            <w:vAlign w:val="bottom"/>
            <w:gridSpan w:val="40"/>
          </w:tcPr>
          <w:p>
            <w:pPr>
              <w:jc w:val="center"/>
              <w:ind w:right="200"/>
              <w:spacing w:after="0" w:line="196" w:lineRule="exact"/>
              <w:rPr>
                <w:sz w:val="20"/>
                <w:szCs w:val="20"/>
                <w:color w:val="auto"/>
              </w:rPr>
            </w:pPr>
            <w:r>
              <w:rPr>
                <w:rFonts w:ascii="Arial" w:cs="Arial" w:eastAsia="Arial" w:hAnsi="Arial"/>
                <w:sz w:val="19"/>
                <w:szCs w:val="19"/>
                <w:color w:val="0000FF"/>
                <w:w w:val="92"/>
              </w:rPr>
              <w:t xml:space="preserve">139 </w:t>
            </w:r>
            <w:r>
              <w:rPr>
                <w:rFonts w:ascii="Arial" w:cs="Arial" w:eastAsia="Arial" w:hAnsi="Arial"/>
                <w:sz w:val="19"/>
                <w:szCs w:val="19"/>
                <w:color w:val="000000"/>
                <w:w w:val="92"/>
              </w:rPr>
              <w:t>Section 6.04. Restricted Payments; Restricted Debt Payments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ind w:left="40"/>
              <w:spacing w:after="0" w:line="196" w:lineRule="exact"/>
              <w:rPr>
                <w:sz w:val="20"/>
                <w:szCs w:val="20"/>
                <w:color w:val="auto"/>
              </w:rPr>
            </w:pPr>
            <w:r>
              <w:rPr>
                <w:rFonts w:ascii="Arial" w:cs="Arial" w:eastAsia="Arial" w:hAnsi="Arial"/>
                <w:sz w:val="19"/>
                <w:szCs w:val="19"/>
                <w:color w:val="FF0000"/>
                <w:strike w:val="1"/>
                <w:w w:val="94"/>
              </w:rPr>
              <w:t>138</w:t>
            </w:r>
          </w:p>
        </w:tc>
        <w:tc>
          <w:tcPr>
            <w:tcW w:w="1500" w:type="dxa"/>
            <w:vAlign w:val="bottom"/>
            <w:gridSpan w:val="8"/>
          </w:tcPr>
          <w:p>
            <w:pPr>
              <w:jc w:val="right"/>
              <w:ind w:right="86"/>
              <w:spacing w:after="0" w:line="196" w:lineRule="exact"/>
              <w:rPr>
                <w:sz w:val="20"/>
                <w:szCs w:val="20"/>
                <w:color w:val="auto"/>
              </w:rPr>
            </w:pPr>
            <w:r>
              <w:rPr>
                <w:rFonts w:ascii="Arial" w:cs="Arial" w:eastAsia="Arial" w:hAnsi="Arial"/>
                <w:sz w:val="19"/>
                <w:szCs w:val="19"/>
                <w:color w:val="0000FF"/>
                <w:w w:val="87"/>
              </w:rPr>
              <w:t xml:space="preserve">139 </w:t>
            </w:r>
            <w:r>
              <w:rPr>
                <w:rFonts w:ascii="Arial" w:cs="Arial" w:eastAsia="Arial" w:hAnsi="Arial"/>
                <w:sz w:val="19"/>
                <w:szCs w:val="19"/>
                <w:color w:val="000000"/>
                <w:w w:val="87"/>
              </w:rPr>
              <w:t>Section 6.05.</w:t>
            </w:r>
          </w:p>
        </w:tc>
        <w:tc>
          <w:tcPr>
            <w:tcW w:w="0" w:type="dxa"/>
            <w:vAlign w:val="bottom"/>
          </w:tcPr>
          <w:p>
            <w:pPr>
              <w:spacing w:after="0"/>
              <w:rPr>
                <w:sz w:val="1"/>
                <w:szCs w:val="1"/>
                <w:color w:val="auto"/>
              </w:rPr>
            </w:pPr>
          </w:p>
        </w:tc>
      </w:tr>
      <w:tr>
        <w:trPr>
          <w:trHeight w:val="20"/>
        </w:trPr>
        <w:tc>
          <w:tcPr>
            <w:tcW w:w="2000" w:type="dxa"/>
            <w:vAlign w:val="bottom"/>
            <w:gridSpan w:val="13"/>
            <w:vMerge w:val="restart"/>
          </w:tcPr>
          <w:p>
            <w:pPr>
              <w:spacing w:after="0" w:line="203" w:lineRule="exact"/>
              <w:rPr>
                <w:sz w:val="20"/>
                <w:szCs w:val="20"/>
                <w:color w:val="auto"/>
              </w:rPr>
            </w:pPr>
            <w:r>
              <w:rPr>
                <w:rFonts w:ascii="Arial" w:cs="Arial" w:eastAsia="Arial" w:hAnsi="Arial"/>
                <w:sz w:val="19"/>
                <w:szCs w:val="19"/>
                <w:color w:val="auto"/>
                <w:w w:val="90"/>
              </w:rPr>
              <w:t>Burdensome Agreements</w:t>
            </w: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13"/>
            <w:vMerge w:val="restart"/>
          </w:tcPr>
          <w:p>
            <w:pPr>
              <w:spacing w:after="0" w:line="203" w:lineRule="exact"/>
              <w:rPr>
                <w:sz w:val="20"/>
                <w:szCs w:val="20"/>
                <w:color w:val="auto"/>
              </w:rPr>
            </w:pPr>
            <w:r>
              <w:rPr>
                <w:rFonts w:ascii="Arial" w:cs="Arial" w:eastAsia="Arial" w:hAnsi="Arial"/>
                <w:sz w:val="19"/>
                <w:szCs w:val="19"/>
                <w:color w:val="auto"/>
              </w:rPr>
              <w:t>Section 6.06.</w:t>
            </w:r>
          </w:p>
        </w:tc>
        <w:tc>
          <w:tcPr>
            <w:tcW w:w="1180" w:type="dxa"/>
            <w:vAlign w:val="bottom"/>
            <w:gridSpan w:val="9"/>
            <w:vMerge w:val="restart"/>
          </w:tcPr>
          <w:p>
            <w:pPr>
              <w:spacing w:after="0" w:line="203" w:lineRule="exact"/>
              <w:rPr>
                <w:sz w:val="20"/>
                <w:szCs w:val="20"/>
                <w:color w:val="auto"/>
              </w:rPr>
            </w:pPr>
            <w:r>
              <w:rPr>
                <w:rFonts w:ascii="Arial" w:cs="Arial" w:eastAsia="Arial" w:hAnsi="Arial"/>
                <w:sz w:val="19"/>
                <w:szCs w:val="19"/>
                <w:color w:val="auto"/>
              </w:rPr>
              <w:t>Investments</w:t>
            </w:r>
          </w:p>
        </w:tc>
        <w:tc>
          <w:tcPr>
            <w:tcW w:w="280" w:type="dxa"/>
            <w:vAlign w:val="bottom"/>
            <w:gridSpan w:val="3"/>
            <w:vMerge w:val="restart"/>
          </w:tcPr>
          <w:p>
            <w:pPr>
              <w:jc w:val="right"/>
              <w:spacing w:after="0" w:line="203" w:lineRule="exact"/>
              <w:rPr>
                <w:sz w:val="20"/>
                <w:szCs w:val="20"/>
                <w:color w:val="auto"/>
              </w:rPr>
            </w:pPr>
            <w:r>
              <w:rPr>
                <w:rFonts w:ascii="Arial" w:cs="Arial" w:eastAsia="Arial" w:hAnsi="Arial"/>
                <w:sz w:val="19"/>
                <w:szCs w:val="19"/>
                <w:color w:val="FF0000"/>
                <w:strike w:val="1"/>
                <w:w w:val="81"/>
              </w:rPr>
              <w:t>144</w:t>
            </w:r>
          </w:p>
        </w:tc>
        <w:tc>
          <w:tcPr>
            <w:tcW w:w="1380" w:type="dxa"/>
            <w:vAlign w:val="bottom"/>
            <w:gridSpan w:val="6"/>
            <w:vMerge w:val="restart"/>
          </w:tcPr>
          <w:p>
            <w:pPr>
              <w:spacing w:after="0" w:line="203" w:lineRule="exact"/>
              <w:rPr>
                <w:sz w:val="20"/>
                <w:szCs w:val="20"/>
                <w:color w:val="auto"/>
              </w:rPr>
            </w:pPr>
            <w:r>
              <w:rPr>
                <w:rFonts w:ascii="Arial" w:cs="Arial" w:eastAsia="Arial" w:hAnsi="Arial"/>
                <w:sz w:val="19"/>
                <w:szCs w:val="19"/>
                <w:color w:val="0000FF"/>
                <w:w w:val="91"/>
              </w:rPr>
              <w:t xml:space="preserve">145 </w:t>
            </w:r>
            <w:r>
              <w:rPr>
                <w:rFonts w:ascii="Arial" w:cs="Arial" w:eastAsia="Arial" w:hAnsi="Arial"/>
                <w:sz w:val="19"/>
                <w:szCs w:val="19"/>
                <w:color w:val="000000"/>
                <w:w w:val="91"/>
              </w:rPr>
              <w:t>Section 6.07.</w:t>
            </w:r>
          </w:p>
        </w:tc>
        <w:tc>
          <w:tcPr>
            <w:tcW w:w="1080" w:type="dxa"/>
            <w:vAlign w:val="bottom"/>
            <w:gridSpan w:val="5"/>
            <w:vMerge w:val="restart"/>
          </w:tcPr>
          <w:p>
            <w:pPr>
              <w:ind w:left="180"/>
              <w:spacing w:after="0" w:line="203" w:lineRule="exact"/>
              <w:rPr>
                <w:sz w:val="20"/>
                <w:szCs w:val="20"/>
                <w:color w:val="auto"/>
              </w:rPr>
            </w:pPr>
            <w:r>
              <w:rPr>
                <w:rFonts w:ascii="Arial" w:cs="Arial" w:eastAsia="Arial" w:hAnsi="Arial"/>
                <w:sz w:val="19"/>
                <w:szCs w:val="19"/>
                <w:color w:val="auto"/>
                <w:w w:val="79"/>
              </w:rPr>
              <w:t>Fundamental</w:t>
            </w:r>
          </w:p>
        </w:tc>
        <w:tc>
          <w:tcPr>
            <w:tcW w:w="220" w:type="dxa"/>
            <w:vAlign w:val="bottom"/>
            <w:shd w:val="clear" w:color="auto" w:fill="FF0000"/>
          </w:tcPr>
          <w:p>
            <w:pPr>
              <w:spacing w:after="0" w:line="20" w:lineRule="exact"/>
              <w:rPr>
                <w:sz w:val="1"/>
                <w:szCs w:val="1"/>
                <w:color w:val="auto"/>
              </w:rPr>
            </w:pPr>
          </w:p>
        </w:tc>
        <w:tc>
          <w:tcPr>
            <w:tcW w:w="20" w:type="dxa"/>
            <w:vAlign w:val="bottom"/>
            <w:shd w:val="clear" w:color="auto" w:fill="FF0000"/>
          </w:tcPr>
          <w:p>
            <w:pPr>
              <w:spacing w:after="0" w:line="20" w:lineRule="exact"/>
              <w:rPr>
                <w:sz w:val="1"/>
                <w:szCs w:val="1"/>
                <w:color w:val="auto"/>
              </w:rPr>
            </w:pPr>
          </w:p>
        </w:tc>
        <w:tc>
          <w:tcPr>
            <w:tcW w:w="260" w:type="dxa"/>
            <w:vAlign w:val="bottom"/>
            <w:tcBorders>
              <w:left w:val="single" w:sz="8" w:color="FF0000"/>
            </w:tcBorders>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5"/>
            <w:vMerge w:val="restart"/>
          </w:tcPr>
          <w:p>
            <w:pPr>
              <w:jc w:val="right"/>
              <w:ind w:right="66"/>
              <w:spacing w:after="0" w:line="203" w:lineRule="exact"/>
              <w:rPr>
                <w:sz w:val="20"/>
                <w:szCs w:val="20"/>
                <w:color w:val="auto"/>
              </w:rPr>
            </w:pPr>
            <w:r>
              <w:rPr>
                <w:rFonts w:ascii="Arial" w:cs="Arial" w:eastAsia="Arial" w:hAnsi="Arial"/>
                <w:sz w:val="19"/>
                <w:szCs w:val="19"/>
                <w:color w:val="auto"/>
                <w:w w:val="96"/>
              </w:rPr>
              <w:t>Disposition of</w:t>
            </w:r>
          </w:p>
        </w:tc>
        <w:tc>
          <w:tcPr>
            <w:tcW w:w="0" w:type="dxa"/>
            <w:vAlign w:val="bottom"/>
          </w:tcPr>
          <w:p>
            <w:pPr>
              <w:spacing w:after="0" w:line="20" w:lineRule="exact"/>
              <w:rPr>
                <w:sz w:val="1"/>
                <w:szCs w:val="1"/>
                <w:color w:val="auto"/>
              </w:rPr>
            </w:pPr>
          </w:p>
        </w:tc>
      </w:tr>
      <w:tr>
        <w:trPr>
          <w:trHeight w:val="183"/>
        </w:trPr>
        <w:tc>
          <w:tcPr>
            <w:tcW w:w="2000" w:type="dxa"/>
            <w:vAlign w:val="bottom"/>
            <w:gridSpan w:val="13"/>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4"/>
          </w:tcPr>
          <w:p>
            <w:pPr>
              <w:jc w:val="right"/>
              <w:spacing w:after="0" w:line="183" w:lineRule="exact"/>
              <w:rPr>
                <w:sz w:val="20"/>
                <w:szCs w:val="20"/>
                <w:color w:val="auto"/>
              </w:rPr>
            </w:pPr>
            <w:r>
              <w:rPr>
                <w:rFonts w:ascii="Arial" w:cs="Arial" w:eastAsia="Arial" w:hAnsi="Arial"/>
                <w:sz w:val="17"/>
                <w:szCs w:val="17"/>
                <w:color w:val="auto"/>
                <w:w w:val="70"/>
              </w:rPr>
              <w:t>143</w:t>
            </w:r>
          </w:p>
        </w:tc>
        <w:tc>
          <w:tcPr>
            <w:tcW w:w="1180" w:type="dxa"/>
            <w:vAlign w:val="bottom"/>
            <w:gridSpan w:val="13"/>
            <w:vMerge w:val="continue"/>
          </w:tcPr>
          <w:p>
            <w:pPr>
              <w:spacing w:after="0"/>
              <w:rPr>
                <w:sz w:val="15"/>
                <w:szCs w:val="15"/>
                <w:color w:val="auto"/>
              </w:rPr>
            </w:pPr>
          </w:p>
        </w:tc>
        <w:tc>
          <w:tcPr>
            <w:tcW w:w="1180" w:type="dxa"/>
            <w:vAlign w:val="bottom"/>
            <w:gridSpan w:val="9"/>
            <w:vMerge w:val="continue"/>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1380" w:type="dxa"/>
            <w:vAlign w:val="bottom"/>
            <w:gridSpan w:val="6"/>
            <w:vMerge w:val="continue"/>
          </w:tcPr>
          <w:p>
            <w:pPr>
              <w:spacing w:after="0"/>
              <w:rPr>
                <w:sz w:val="15"/>
                <w:szCs w:val="15"/>
                <w:color w:val="auto"/>
              </w:rPr>
            </w:pPr>
          </w:p>
        </w:tc>
        <w:tc>
          <w:tcPr>
            <w:tcW w:w="1080" w:type="dxa"/>
            <w:vAlign w:val="bottom"/>
            <w:gridSpan w:val="5"/>
            <w:vMerge w:val="continue"/>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5"/>
          </w:tcPr>
          <w:p>
            <w:pPr>
              <w:ind w:left="40"/>
              <w:spacing w:after="0" w:line="182" w:lineRule="exact"/>
              <w:rPr>
                <w:sz w:val="20"/>
                <w:szCs w:val="20"/>
                <w:color w:val="auto"/>
              </w:rPr>
            </w:pPr>
            <w:r>
              <w:rPr>
                <w:rFonts w:ascii="Arial" w:cs="Arial" w:eastAsia="Arial" w:hAnsi="Arial"/>
                <w:sz w:val="18"/>
                <w:szCs w:val="18"/>
                <w:color w:val="auto"/>
                <w:w w:val="70"/>
              </w:rPr>
              <w:t>Changes;</w:t>
            </w:r>
          </w:p>
        </w:tc>
        <w:tc>
          <w:tcPr>
            <w:tcW w:w="128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spacing w:after="0" w:line="203" w:lineRule="exact"/>
              <w:rPr>
                <w:sz w:val="20"/>
                <w:szCs w:val="20"/>
                <w:color w:val="auto"/>
              </w:rPr>
            </w:pPr>
            <w:r>
              <w:rPr>
                <w:rFonts w:ascii="Arial" w:cs="Arial" w:eastAsia="Arial" w:hAnsi="Arial"/>
                <w:sz w:val="19"/>
                <w:szCs w:val="19"/>
                <w:color w:val="auto"/>
              </w:rPr>
              <w:t>Assets</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13"/>
            <w:vMerge w:val="restart"/>
          </w:tcPr>
          <w:p>
            <w:pPr>
              <w:jc w:val="right"/>
              <w:ind w:right="140"/>
              <w:spacing w:after="0" w:line="203" w:lineRule="exact"/>
              <w:rPr>
                <w:sz w:val="20"/>
                <w:szCs w:val="20"/>
                <w:color w:val="auto"/>
              </w:rPr>
            </w:pPr>
            <w:r>
              <w:rPr>
                <w:rFonts w:ascii="Arial" w:cs="Arial" w:eastAsia="Arial" w:hAnsi="Arial"/>
                <w:sz w:val="19"/>
                <w:szCs w:val="19"/>
                <w:color w:val="auto"/>
                <w:w w:val="91"/>
              </w:rPr>
              <w:t>Amendments</w:t>
            </w: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line="183" w:lineRule="exact"/>
              <w:rPr>
                <w:sz w:val="20"/>
                <w:szCs w:val="20"/>
                <w:color w:val="auto"/>
              </w:rPr>
            </w:pPr>
            <w:r>
              <w:rPr>
                <w:rFonts w:ascii="Arial" w:cs="Arial" w:eastAsia="Arial" w:hAnsi="Arial"/>
                <w:sz w:val="19"/>
                <w:szCs w:val="19"/>
                <w:color w:val="FF0000"/>
                <w:strike w:val="1"/>
                <w:w w:val="81"/>
              </w:rPr>
              <w:t>148</w:t>
            </w:r>
          </w:p>
        </w:tc>
        <w:tc>
          <w:tcPr>
            <w:tcW w:w="1040" w:type="dxa"/>
            <w:vAlign w:val="bottom"/>
            <w:gridSpan w:val="9"/>
          </w:tcPr>
          <w:p>
            <w:pPr>
              <w:spacing w:after="0" w:line="183" w:lineRule="exact"/>
              <w:rPr>
                <w:sz w:val="20"/>
                <w:szCs w:val="20"/>
                <w:color w:val="auto"/>
              </w:rPr>
            </w:pPr>
            <w:r>
              <w:rPr>
                <w:rFonts w:ascii="Arial" w:cs="Arial" w:eastAsia="Arial" w:hAnsi="Arial"/>
                <w:sz w:val="19"/>
                <w:szCs w:val="19"/>
                <w:color w:val="0000FF"/>
              </w:rPr>
              <w:t xml:space="preserve">149 </w:t>
            </w:r>
            <w:r>
              <w:rPr>
                <w:rFonts w:ascii="Arial" w:cs="Arial" w:eastAsia="Arial" w:hAnsi="Arial"/>
                <w:sz w:val="19"/>
                <w:szCs w:val="19"/>
                <w:color w:val="000000"/>
              </w:rPr>
              <w:t>Section</w:t>
            </w:r>
          </w:p>
        </w:tc>
        <w:tc>
          <w:tcPr>
            <w:tcW w:w="380" w:type="dxa"/>
            <w:vAlign w:val="bottom"/>
            <w:gridSpan w:val="8"/>
          </w:tcPr>
          <w:p>
            <w:pPr>
              <w:ind w:left="20"/>
              <w:spacing w:after="0" w:line="183" w:lineRule="exact"/>
              <w:rPr>
                <w:sz w:val="20"/>
                <w:szCs w:val="20"/>
                <w:color w:val="auto"/>
              </w:rPr>
            </w:pPr>
            <w:r>
              <w:rPr>
                <w:rFonts w:ascii="Arial" w:cs="Arial" w:eastAsia="Arial" w:hAnsi="Arial"/>
                <w:sz w:val="19"/>
                <w:szCs w:val="19"/>
                <w:color w:val="auto"/>
                <w:w w:val="75"/>
              </w:rPr>
              <w:t>6.08.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13"/>
            <w:vMerge w:val="continue"/>
          </w:tcPr>
          <w:p>
            <w:pPr>
              <w:spacing w:after="0"/>
              <w:rPr>
                <w:sz w:val="15"/>
                <w:szCs w:val="15"/>
                <w:color w:val="auto"/>
              </w:rPr>
            </w:pPr>
          </w:p>
        </w:tc>
        <w:tc>
          <w:tcPr>
            <w:tcW w:w="1180" w:type="dxa"/>
            <w:vAlign w:val="bottom"/>
            <w:gridSpan w:val="9"/>
          </w:tcPr>
          <w:p>
            <w:pPr>
              <w:spacing w:after="0" w:line="183" w:lineRule="exact"/>
              <w:rPr>
                <w:sz w:val="20"/>
                <w:szCs w:val="20"/>
                <w:color w:val="auto"/>
              </w:rPr>
            </w:pPr>
            <w:r>
              <w:rPr>
                <w:rFonts w:ascii="Arial" w:cs="Arial" w:eastAsia="Arial" w:hAnsi="Arial"/>
                <w:sz w:val="19"/>
                <w:szCs w:val="19"/>
                <w:color w:val="auto"/>
              </w:rPr>
              <w:t>of or Waivers</w:t>
            </w:r>
          </w:p>
        </w:tc>
        <w:tc>
          <w:tcPr>
            <w:tcW w:w="2740" w:type="dxa"/>
            <w:vAlign w:val="bottom"/>
            <w:gridSpan w:val="14"/>
          </w:tcPr>
          <w:p>
            <w:pPr>
              <w:ind w:left="20"/>
              <w:spacing w:after="0" w:line="183" w:lineRule="exact"/>
              <w:rPr>
                <w:sz w:val="20"/>
                <w:szCs w:val="20"/>
                <w:color w:val="auto"/>
              </w:rPr>
            </w:pPr>
            <w:r>
              <w:rPr>
                <w:rFonts w:ascii="Arial" w:cs="Arial" w:eastAsia="Arial" w:hAnsi="Arial"/>
                <w:sz w:val="19"/>
                <w:szCs w:val="19"/>
                <w:color w:val="auto"/>
              </w:rPr>
              <w:t>with Respect to Restricted Debt</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gridSpan w:val="2"/>
          </w:tcPr>
          <w:p>
            <w:pPr>
              <w:jc w:val="right"/>
              <w:ind w:right="6"/>
              <w:spacing w:after="0" w:line="183" w:lineRule="exact"/>
              <w:rPr>
                <w:sz w:val="20"/>
                <w:szCs w:val="20"/>
                <w:color w:val="auto"/>
              </w:rPr>
            </w:pPr>
            <w:r>
              <w:rPr>
                <w:rFonts w:ascii="Arial" w:cs="Arial" w:eastAsia="Arial" w:hAnsi="Arial"/>
                <w:sz w:val="19"/>
                <w:szCs w:val="19"/>
                <w:color w:val="FF0000"/>
                <w:strike w:val="1"/>
                <w:w w:val="81"/>
              </w:rPr>
              <w:t>152</w:t>
            </w:r>
          </w:p>
        </w:tc>
        <w:tc>
          <w:tcPr>
            <w:tcW w:w="900" w:type="dxa"/>
            <w:vAlign w:val="bottom"/>
            <w:gridSpan w:val="6"/>
          </w:tcPr>
          <w:p>
            <w:pPr>
              <w:spacing w:after="0" w:line="183" w:lineRule="exact"/>
              <w:rPr>
                <w:sz w:val="20"/>
                <w:szCs w:val="20"/>
                <w:color w:val="auto"/>
              </w:rPr>
            </w:pPr>
            <w:r>
              <w:rPr>
                <w:rFonts w:ascii="Arial" w:cs="Arial" w:eastAsia="Arial" w:hAnsi="Arial"/>
                <w:sz w:val="19"/>
                <w:szCs w:val="19"/>
                <w:color w:val="0000FF"/>
                <w:w w:val="87"/>
              </w:rPr>
              <w:t xml:space="preserve">153 </w:t>
            </w:r>
            <w:r>
              <w:rPr>
                <w:rFonts w:ascii="Arial" w:cs="Arial" w:eastAsia="Arial" w:hAnsi="Arial"/>
                <w:sz w:val="19"/>
                <w:szCs w:val="19"/>
                <w:color w:val="000000"/>
                <w:w w:val="87"/>
              </w:rPr>
              <w:t>Section</w:t>
            </w:r>
          </w:p>
        </w:tc>
        <w:tc>
          <w:tcPr>
            <w:tcW w:w="600" w:type="dxa"/>
            <w:vAlign w:val="bottom"/>
            <w:gridSpan w:val="2"/>
          </w:tcPr>
          <w:p>
            <w:pPr>
              <w:jc w:val="right"/>
              <w:ind w:right="66"/>
              <w:spacing w:after="0" w:line="183" w:lineRule="exact"/>
              <w:rPr>
                <w:sz w:val="20"/>
                <w:szCs w:val="20"/>
                <w:color w:val="auto"/>
              </w:rPr>
            </w:pPr>
            <w:r>
              <w:rPr>
                <w:rFonts w:ascii="Arial" w:cs="Arial" w:eastAsia="Arial" w:hAnsi="Arial"/>
                <w:sz w:val="19"/>
                <w:szCs w:val="19"/>
                <w:color w:val="auto"/>
                <w:w w:val="99"/>
              </w:rPr>
              <w:t>6.09.</w:t>
            </w:r>
          </w:p>
        </w:tc>
        <w:tc>
          <w:tcPr>
            <w:tcW w:w="0" w:type="dxa"/>
            <w:vAlign w:val="bottom"/>
          </w:tcPr>
          <w:p>
            <w:pPr>
              <w:spacing w:after="0"/>
              <w:rPr>
                <w:sz w:val="1"/>
                <w:szCs w:val="1"/>
                <w:color w:val="auto"/>
              </w:rPr>
            </w:pPr>
          </w:p>
        </w:tc>
      </w:tr>
      <w:tr>
        <w:trPr>
          <w:trHeight w:val="20"/>
        </w:trPr>
        <w:tc>
          <w:tcPr>
            <w:tcW w:w="720" w:type="dxa"/>
            <w:vAlign w:val="bottom"/>
            <w:tcBorders>
              <w:right w:val="single" w:sz="8" w:color="auto"/>
            </w:tcBorders>
            <w:gridSpan w:val="4"/>
          </w:tcPr>
          <w:p>
            <w:pPr>
              <w:spacing w:after="0" w:line="20" w:lineRule="exact"/>
              <w:rPr>
                <w:sz w:val="1"/>
                <w:szCs w:val="1"/>
                <w:color w:val="auto"/>
              </w:rPr>
            </w:pPr>
          </w:p>
        </w:tc>
        <w:tc>
          <w:tcPr>
            <w:tcW w:w="7980" w:type="dxa"/>
            <w:vAlign w:val="bottom"/>
            <w:tcBorders>
              <w:right w:val="single" w:sz="8" w:color="0000FF"/>
            </w:tcBorders>
            <w:gridSpan w:val="66"/>
            <w:shd w:val="clear" w:color="auto" w:fill="000000"/>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340" w:type="dxa"/>
            <w:vAlign w:val="bottom"/>
            <w:tcBorders>
              <w:left w:val="single" w:sz="8" w:color="0000FF"/>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4"/>
          </w:tcPr>
          <w:p>
            <w:pPr>
              <w:spacing w:after="0" w:line="196" w:lineRule="exact"/>
              <w:rPr>
                <w:sz w:val="20"/>
                <w:szCs w:val="20"/>
                <w:color w:val="auto"/>
              </w:rPr>
            </w:pPr>
            <w:r>
              <w:rPr>
                <w:rFonts w:ascii="Arial" w:cs="Arial" w:eastAsia="Arial" w:hAnsi="Arial"/>
                <w:sz w:val="19"/>
                <w:szCs w:val="19"/>
                <w:color w:val="auto"/>
                <w:w w:val="91"/>
              </w:rPr>
              <w:t>Holdings</w:t>
            </w:r>
          </w:p>
        </w:tc>
        <w:tc>
          <w:tcPr>
            <w:tcW w:w="80" w:type="dxa"/>
            <w:vAlign w:val="bottom"/>
          </w:tcPr>
          <w:p>
            <w:pPr>
              <w:spacing w:after="0"/>
              <w:rPr>
                <w:sz w:val="17"/>
                <w:szCs w:val="17"/>
                <w:color w:val="auto"/>
              </w:rPr>
            </w:pPr>
          </w:p>
        </w:tc>
        <w:tc>
          <w:tcPr>
            <w:tcW w:w="380" w:type="dxa"/>
            <w:vAlign w:val="bottom"/>
            <w:gridSpan w:val="2"/>
          </w:tcPr>
          <w:p>
            <w:pPr>
              <w:jc w:val="center"/>
              <w:ind w:right="6"/>
              <w:spacing w:after="0" w:line="196" w:lineRule="exact"/>
              <w:rPr>
                <w:sz w:val="20"/>
                <w:szCs w:val="20"/>
                <w:color w:val="auto"/>
              </w:rPr>
            </w:pPr>
            <w:r>
              <w:rPr>
                <w:rFonts w:ascii="Arial" w:cs="Arial" w:eastAsia="Arial" w:hAnsi="Arial"/>
                <w:sz w:val="19"/>
                <w:szCs w:val="19"/>
                <w:color w:val="FF0000"/>
                <w:strike w:val="1"/>
                <w:w w:val="88"/>
              </w:rPr>
              <w:t>152</w:t>
            </w:r>
          </w:p>
        </w:tc>
        <w:tc>
          <w:tcPr>
            <w:tcW w:w="1420" w:type="dxa"/>
            <w:vAlign w:val="bottom"/>
            <w:gridSpan w:val="17"/>
          </w:tcPr>
          <w:p>
            <w:pPr>
              <w:spacing w:after="0" w:line="196" w:lineRule="exact"/>
              <w:rPr>
                <w:sz w:val="20"/>
                <w:szCs w:val="20"/>
                <w:color w:val="auto"/>
              </w:rPr>
            </w:pPr>
            <w:r>
              <w:rPr>
                <w:rFonts w:ascii="Arial" w:cs="Arial" w:eastAsia="Arial" w:hAnsi="Arial"/>
                <w:sz w:val="19"/>
                <w:szCs w:val="19"/>
                <w:color w:val="0000FF"/>
                <w:w w:val="93"/>
              </w:rPr>
              <w:t xml:space="preserve">153 </w:t>
            </w:r>
            <w:r>
              <w:rPr>
                <w:rFonts w:ascii="Arial" w:cs="Arial" w:eastAsia="Arial" w:hAnsi="Arial"/>
                <w:sz w:val="19"/>
                <w:szCs w:val="19"/>
                <w:color w:val="000000"/>
                <w:w w:val="93"/>
              </w:rPr>
              <w:t>Section 6.10.</w:t>
            </w:r>
          </w:p>
        </w:tc>
        <w:tc>
          <w:tcPr>
            <w:tcW w:w="1560" w:type="dxa"/>
            <w:vAlign w:val="bottom"/>
            <w:gridSpan w:val="19"/>
          </w:tcPr>
          <w:p>
            <w:pPr>
              <w:ind w:left="40"/>
              <w:spacing w:after="0" w:line="196" w:lineRule="exact"/>
              <w:rPr>
                <w:sz w:val="20"/>
                <w:szCs w:val="20"/>
                <w:color w:val="auto"/>
              </w:rPr>
            </w:pPr>
            <w:r>
              <w:rPr>
                <w:rFonts w:ascii="Arial" w:cs="Arial" w:eastAsia="Arial" w:hAnsi="Arial"/>
                <w:sz w:val="19"/>
                <w:szCs w:val="19"/>
                <w:color w:val="auto"/>
                <w:w w:val="90"/>
              </w:rPr>
              <w:t>Financial Covenant</w:t>
            </w:r>
          </w:p>
        </w:tc>
        <w:tc>
          <w:tcPr>
            <w:tcW w:w="380" w:type="dxa"/>
            <w:vAlign w:val="bottom"/>
            <w:gridSpan w:val="2"/>
          </w:tcPr>
          <w:p>
            <w:pPr>
              <w:jc w:val="right"/>
              <w:ind w:right="60"/>
              <w:spacing w:after="0" w:line="196" w:lineRule="exact"/>
              <w:rPr>
                <w:sz w:val="20"/>
                <w:szCs w:val="20"/>
                <w:color w:val="auto"/>
              </w:rPr>
            </w:pPr>
            <w:r>
              <w:rPr>
                <w:rFonts w:ascii="Arial" w:cs="Arial" w:eastAsia="Arial" w:hAnsi="Arial"/>
                <w:sz w:val="19"/>
                <w:szCs w:val="19"/>
                <w:color w:val="FF0000"/>
                <w:strike w:val="1"/>
                <w:w w:val="94"/>
              </w:rPr>
              <w:t>153</w:t>
            </w:r>
          </w:p>
        </w:tc>
        <w:tc>
          <w:tcPr>
            <w:tcW w:w="220" w:type="dxa"/>
            <w:vAlign w:val="bottom"/>
            <w:gridSpan w:val="2"/>
          </w:tcPr>
          <w:p>
            <w:pPr>
              <w:jc w:val="right"/>
              <w:spacing w:after="0"/>
              <w:rPr>
                <w:sz w:val="20"/>
                <w:szCs w:val="20"/>
                <w:color w:val="auto"/>
              </w:rPr>
            </w:pPr>
            <w:r>
              <w:rPr>
                <w:rFonts w:ascii="Arial" w:cs="Arial" w:eastAsia="Arial" w:hAnsi="Arial"/>
                <w:sz w:val="17"/>
                <w:szCs w:val="17"/>
                <w:color w:val="0000FF"/>
                <w:w w:val="70"/>
              </w:rPr>
              <w:t>154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Borders>
              <w:right w:val="single" w:sz="8" w:color="auto"/>
            </w:tcBorders>
            <w:gridSpan w:val="4"/>
          </w:tcPr>
          <w:p>
            <w:pPr>
              <w:spacing w:after="0" w:line="20" w:lineRule="exact"/>
              <w:rPr>
                <w:sz w:val="1"/>
                <w:szCs w:val="1"/>
                <w:color w:val="auto"/>
              </w:rPr>
            </w:pPr>
          </w:p>
        </w:tc>
        <w:tc>
          <w:tcPr>
            <w:tcW w:w="460" w:type="dxa"/>
            <w:vAlign w:val="bottom"/>
            <w:tcBorders>
              <w:right w:val="single" w:sz="8" w:color="0000FF"/>
            </w:tcBorders>
            <w:gridSpan w:val="3"/>
            <w:shd w:val="clear" w:color="auto" w:fill="000000"/>
          </w:tcPr>
          <w:p>
            <w:pPr>
              <w:spacing w:after="0" w:line="20" w:lineRule="exact"/>
              <w:rPr>
                <w:sz w:val="1"/>
                <w:szCs w:val="1"/>
                <w:color w:val="auto"/>
              </w:rPr>
            </w:pPr>
          </w:p>
        </w:tc>
        <w:tc>
          <w:tcPr>
            <w:tcW w:w="2980" w:type="dxa"/>
            <w:vAlign w:val="bottom"/>
            <w:tcBorders>
              <w:right w:val="single" w:sz="8" w:color="FF0000"/>
            </w:tcBorders>
            <w:gridSpan w:val="36"/>
            <w:shd w:val="clear" w:color="auto" w:fill="0000FF"/>
          </w:tcPr>
          <w:p>
            <w:pPr>
              <w:spacing w:after="0" w:line="20" w:lineRule="exact"/>
              <w:rPr>
                <w:sz w:val="1"/>
                <w:szCs w:val="1"/>
                <w:color w:val="auto"/>
              </w:rPr>
            </w:pPr>
          </w:p>
        </w:tc>
        <w:tc>
          <w:tcPr>
            <w:tcW w:w="380" w:type="dxa"/>
            <w:vAlign w:val="bottom"/>
            <w:tcBorders>
              <w:left w:val="single" w:sz="8" w:color="FF0000"/>
              <w:right w:val="single" w:sz="8" w:color="0000FF"/>
            </w:tcBorders>
            <w:gridSpan w:val="2"/>
          </w:tcPr>
          <w:p>
            <w:pPr>
              <w:spacing w:after="0" w:line="20" w:lineRule="exact"/>
              <w:rPr>
                <w:sz w:val="1"/>
                <w:szCs w:val="1"/>
                <w:color w:val="auto"/>
              </w:rPr>
            </w:pPr>
          </w:p>
        </w:tc>
        <w:tc>
          <w:tcPr>
            <w:tcW w:w="5660" w:type="dxa"/>
            <w:vAlign w:val="bottom"/>
            <w:tcBorders>
              <w:left w:val="single" w:sz="8" w:color="0000FF"/>
            </w:tcBorders>
            <w:gridSpan w:val="3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7"/>
        </w:trPr>
        <w:tc>
          <w:tcPr>
            <w:tcW w:w="10200" w:type="dxa"/>
            <w:vAlign w:val="bottom"/>
            <w:gridSpan w:val="78"/>
          </w:tcPr>
          <w:p>
            <w:pPr>
              <w:spacing w:after="0"/>
              <w:rPr>
                <w:sz w:val="20"/>
                <w:szCs w:val="20"/>
                <w:color w:val="auto"/>
              </w:rPr>
            </w:pPr>
            <w:r>
              <w:rPr>
                <w:rFonts w:ascii="Arial" w:cs="Arial" w:eastAsia="Arial" w:hAnsi="Arial"/>
                <w:sz w:val="19"/>
                <w:szCs w:val="19"/>
                <w:color w:val="auto"/>
              </w:rPr>
              <w:t>ARTICLE 7 EVENTS OF</w:t>
            </w:r>
          </w:p>
        </w:tc>
        <w:tc>
          <w:tcPr>
            <w:tcW w:w="0" w:type="dxa"/>
            <w:vAlign w:val="bottom"/>
          </w:tcPr>
          <w:p>
            <w:pPr>
              <w:spacing w:after="0"/>
              <w:rPr>
                <w:sz w:val="1"/>
                <w:szCs w:val="1"/>
                <w:color w:val="auto"/>
              </w:rPr>
            </w:pPr>
          </w:p>
        </w:tc>
      </w:tr>
      <w:tr>
        <w:trPr>
          <w:trHeight w:val="405"/>
        </w:trPr>
        <w:tc>
          <w:tcPr>
            <w:tcW w:w="10200" w:type="dxa"/>
            <w:vAlign w:val="bottom"/>
            <w:gridSpan w:val="78"/>
          </w:tcPr>
          <w:p>
            <w:pPr>
              <w:spacing w:after="0"/>
              <w:rPr>
                <w:sz w:val="20"/>
                <w:szCs w:val="20"/>
                <w:color w:val="auto"/>
              </w:rPr>
            </w:pPr>
            <w:r>
              <w:rPr>
                <w:rFonts w:ascii="Arial" w:cs="Arial" w:eastAsia="Arial" w:hAnsi="Arial"/>
                <w:sz w:val="19"/>
                <w:szCs w:val="19"/>
                <w:color w:val="auto"/>
              </w:rPr>
              <w:t>DEFAULT</w:t>
            </w:r>
          </w:p>
        </w:tc>
        <w:tc>
          <w:tcPr>
            <w:tcW w:w="0" w:type="dxa"/>
            <w:vAlign w:val="bottom"/>
          </w:tcPr>
          <w:p>
            <w:pPr>
              <w:spacing w:after="0"/>
              <w:rPr>
                <w:sz w:val="1"/>
                <w:szCs w:val="1"/>
                <w:color w:val="auto"/>
              </w:rPr>
            </w:pPr>
          </w:p>
        </w:tc>
      </w:tr>
      <w:tr>
        <w:trPr>
          <w:trHeight w:val="282"/>
        </w:trPr>
        <w:tc>
          <w:tcPr>
            <w:tcW w:w="1180" w:type="dxa"/>
            <w:vAlign w:val="bottom"/>
            <w:gridSpan w:val="7"/>
          </w:tcPr>
          <w:p>
            <w:pPr>
              <w:spacing w:after="0"/>
              <w:rPr>
                <w:sz w:val="20"/>
                <w:szCs w:val="20"/>
                <w:color w:val="auto"/>
              </w:rPr>
            </w:pPr>
            <w:r>
              <w:rPr>
                <w:rFonts w:ascii="Arial" w:cs="Arial" w:eastAsia="Arial" w:hAnsi="Arial"/>
                <w:sz w:val="19"/>
                <w:szCs w:val="19"/>
                <w:color w:val="auto"/>
              </w:rPr>
              <w:t>Section 7.01.</w:t>
            </w:r>
          </w:p>
        </w:tc>
        <w:tc>
          <w:tcPr>
            <w:tcW w:w="1420" w:type="dxa"/>
            <w:vAlign w:val="bottom"/>
            <w:gridSpan w:val="17"/>
          </w:tcPr>
          <w:p>
            <w:pPr>
              <w:spacing w:after="0"/>
              <w:rPr>
                <w:sz w:val="20"/>
                <w:szCs w:val="20"/>
                <w:color w:val="auto"/>
              </w:rPr>
            </w:pPr>
            <w:r>
              <w:rPr>
                <w:rFonts w:ascii="Arial" w:cs="Arial" w:eastAsia="Arial" w:hAnsi="Arial"/>
                <w:sz w:val="19"/>
                <w:szCs w:val="19"/>
                <w:color w:val="auto"/>
                <w:w w:val="95"/>
              </w:rPr>
              <w:t>Events of Default</w:t>
            </w:r>
          </w:p>
        </w:tc>
        <w:tc>
          <w:tcPr>
            <w:tcW w:w="380" w:type="dxa"/>
            <w:vAlign w:val="bottom"/>
            <w:gridSpan w:val="6"/>
          </w:tcPr>
          <w:p>
            <w:pPr>
              <w:jc w:val="right"/>
              <w:spacing w:after="0"/>
              <w:rPr>
                <w:sz w:val="20"/>
                <w:szCs w:val="20"/>
                <w:color w:val="auto"/>
              </w:rPr>
            </w:pPr>
            <w:r>
              <w:rPr>
                <w:rFonts w:ascii="Arial" w:cs="Arial" w:eastAsia="Arial" w:hAnsi="Arial"/>
                <w:sz w:val="19"/>
                <w:szCs w:val="19"/>
                <w:color w:val="FF0000"/>
                <w:strike w:val="1"/>
                <w:w w:val="94"/>
              </w:rPr>
              <w:t>154</w:t>
            </w:r>
          </w:p>
        </w:tc>
        <w:tc>
          <w:tcPr>
            <w:tcW w:w="220" w:type="dxa"/>
            <w:vAlign w:val="bottom"/>
            <w:gridSpan w:val="3"/>
          </w:tcPr>
          <w:p>
            <w:pPr>
              <w:spacing w:after="0"/>
              <w:rPr>
                <w:sz w:val="20"/>
                <w:szCs w:val="20"/>
                <w:color w:val="auto"/>
              </w:rPr>
            </w:pPr>
            <w:r>
              <w:rPr>
                <w:rFonts w:ascii="Arial" w:cs="Arial" w:eastAsia="Arial" w:hAnsi="Arial"/>
                <w:sz w:val="17"/>
                <w:szCs w:val="17"/>
                <w:color w:val="0000FF"/>
                <w:w w:val="70"/>
              </w:rPr>
              <w:t>155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11"/>
            <w:vMerge w:val="restart"/>
          </w:tcPr>
          <w:p>
            <w:pPr>
              <w:jc w:val="center"/>
              <w:ind w:right="246"/>
              <w:spacing w:after="0"/>
              <w:rPr>
                <w:sz w:val="20"/>
                <w:szCs w:val="20"/>
                <w:color w:val="auto"/>
              </w:rPr>
            </w:pPr>
            <w:r>
              <w:rPr>
                <w:rFonts w:ascii="Arial" w:cs="Arial" w:eastAsia="Arial" w:hAnsi="Arial"/>
                <w:sz w:val="19"/>
                <w:szCs w:val="19"/>
                <w:color w:val="auto"/>
                <w:w w:val="95"/>
              </w:rPr>
              <w:t>ARTICLE 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2460" w:type="dxa"/>
            <w:vAlign w:val="bottom"/>
            <w:gridSpan w:val="21"/>
          </w:tcPr>
          <w:p>
            <w:pPr>
              <w:spacing w:after="0"/>
              <w:rPr>
                <w:sz w:val="24"/>
                <w:szCs w:val="24"/>
                <w:color w:val="auto"/>
              </w:rPr>
            </w:pPr>
          </w:p>
        </w:tc>
        <w:tc>
          <w:tcPr>
            <w:tcW w:w="140" w:type="dxa"/>
            <w:vAlign w:val="bottom"/>
            <w:tcBorders>
              <w:top w:val="single" w:sz="8" w:color="auto"/>
            </w:tcBorders>
            <w:gridSpan w:val="3"/>
          </w:tcPr>
          <w:p>
            <w:pPr>
              <w:spacing w:after="0"/>
              <w:rPr>
                <w:sz w:val="24"/>
                <w:szCs w:val="24"/>
                <w:color w:val="auto"/>
              </w:rPr>
            </w:pPr>
          </w:p>
        </w:tc>
        <w:tc>
          <w:tcPr>
            <w:tcW w:w="380" w:type="dxa"/>
            <w:vAlign w:val="bottom"/>
            <w:gridSpan w:val="6"/>
          </w:tcPr>
          <w:p>
            <w:pPr>
              <w:spacing w:after="0"/>
              <w:rPr>
                <w:sz w:val="24"/>
                <w:szCs w:val="24"/>
                <w:color w:val="auto"/>
              </w:rPr>
            </w:pPr>
          </w:p>
        </w:tc>
        <w:tc>
          <w:tcPr>
            <w:tcW w:w="220" w:type="dxa"/>
            <w:vAlign w:val="bottom"/>
            <w:tcBorders>
              <w:top w:val="single" w:sz="8" w:color="0000FF"/>
            </w:tcBorders>
            <w:gridSpan w:val="3"/>
          </w:tcPr>
          <w:p>
            <w:pPr>
              <w:spacing w:after="0"/>
              <w:rPr>
                <w:sz w:val="24"/>
                <w:szCs w:val="24"/>
                <w:color w:val="auto"/>
              </w:rPr>
            </w:pPr>
          </w:p>
        </w:tc>
        <w:tc>
          <w:tcPr>
            <w:tcW w:w="1340" w:type="dxa"/>
            <w:vAlign w:val="bottom"/>
            <w:gridSpan w:val="12"/>
          </w:tcPr>
          <w:p>
            <w:pPr>
              <w:spacing w:after="0"/>
              <w:rPr>
                <w:sz w:val="24"/>
                <w:szCs w:val="24"/>
                <w:color w:val="auto"/>
              </w:rPr>
            </w:pPr>
          </w:p>
        </w:tc>
        <w:tc>
          <w:tcPr>
            <w:tcW w:w="1300" w:type="dxa"/>
            <w:vAlign w:val="bottom"/>
            <w:gridSpan w:val="11"/>
            <w:vMerge w:val="continue"/>
          </w:tcPr>
          <w:p>
            <w:pPr>
              <w:spacing w:after="0"/>
              <w:rPr>
                <w:sz w:val="24"/>
                <w:szCs w:val="24"/>
                <w:color w:val="auto"/>
              </w:rPr>
            </w:pPr>
          </w:p>
        </w:tc>
        <w:tc>
          <w:tcPr>
            <w:tcW w:w="436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200" w:type="dxa"/>
            <w:vAlign w:val="bottom"/>
            <w:gridSpan w:val="78"/>
          </w:tcPr>
          <w:p>
            <w:pPr>
              <w:spacing w:after="0"/>
              <w:rPr>
                <w:sz w:val="20"/>
                <w:szCs w:val="20"/>
                <w:color w:val="auto"/>
              </w:rPr>
            </w:pPr>
            <w:r>
              <w:rPr>
                <w:rFonts w:ascii="Arial" w:cs="Arial" w:eastAsia="Arial" w:hAnsi="Arial"/>
                <w:sz w:val="19"/>
                <w:szCs w:val="19"/>
                <w:color w:val="auto"/>
              </w:rPr>
              <w:t>THE ADMINISTRATIVE AGENT</w:t>
            </w:r>
          </w:p>
        </w:tc>
        <w:tc>
          <w:tcPr>
            <w:tcW w:w="0" w:type="dxa"/>
            <w:vAlign w:val="bottom"/>
          </w:tcPr>
          <w:p>
            <w:pPr>
              <w:spacing w:after="0"/>
              <w:rPr>
                <w:sz w:val="1"/>
                <w:szCs w:val="1"/>
                <w:color w:val="auto"/>
              </w:rPr>
            </w:pPr>
          </w:p>
        </w:tc>
      </w:tr>
      <w:tr>
        <w:trPr>
          <w:trHeight w:val="376"/>
        </w:trPr>
        <w:tc>
          <w:tcPr>
            <w:tcW w:w="1180" w:type="dxa"/>
            <w:vAlign w:val="bottom"/>
            <w:gridSpan w:val="7"/>
          </w:tcPr>
          <w:p>
            <w:pPr>
              <w:spacing w:after="0"/>
              <w:rPr>
                <w:sz w:val="20"/>
                <w:szCs w:val="20"/>
                <w:color w:val="auto"/>
              </w:rPr>
            </w:pPr>
            <w:r>
              <w:rPr>
                <w:rFonts w:ascii="Arial" w:cs="Arial" w:eastAsia="Arial" w:hAnsi="Arial"/>
                <w:sz w:val="19"/>
                <w:szCs w:val="19"/>
                <w:color w:val="auto"/>
              </w:rPr>
              <w:t>Section 8.01.</w:t>
            </w:r>
          </w:p>
        </w:tc>
        <w:tc>
          <w:tcPr>
            <w:tcW w:w="4360" w:type="dxa"/>
            <w:vAlign w:val="bottom"/>
            <w:gridSpan w:val="47"/>
          </w:tcPr>
          <w:p>
            <w:pPr>
              <w:spacing w:after="0"/>
              <w:rPr>
                <w:sz w:val="20"/>
                <w:szCs w:val="20"/>
                <w:color w:val="auto"/>
              </w:rPr>
            </w:pPr>
            <w:r>
              <w:rPr>
                <w:rFonts w:ascii="Arial" w:cs="Arial" w:eastAsia="Arial" w:hAnsi="Arial"/>
                <w:sz w:val="19"/>
                <w:szCs w:val="19"/>
                <w:color w:val="auto"/>
                <w:w w:val="94"/>
              </w:rPr>
              <w:t>Appointment and Authorization of Administrative Agent</w:t>
            </w:r>
          </w:p>
        </w:tc>
        <w:tc>
          <w:tcPr>
            <w:tcW w:w="300" w:type="dxa"/>
            <w:vAlign w:val="bottom"/>
            <w:tcBorders>
              <w:bottom w:val="single" w:sz="8" w:color="auto"/>
            </w:tcBorders>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80" w:type="dxa"/>
            <w:vAlign w:val="bottom"/>
            <w:gridSpan w:val="16"/>
          </w:tcPr>
          <w:p>
            <w:pPr>
              <w:jc w:val="right"/>
              <w:ind w:right="26"/>
              <w:spacing w:after="0"/>
              <w:rPr>
                <w:sz w:val="20"/>
                <w:szCs w:val="20"/>
                <w:color w:val="auto"/>
              </w:rPr>
            </w:pPr>
            <w:r>
              <w:rPr>
                <w:rFonts w:ascii="Arial" w:cs="Arial" w:eastAsia="Arial" w:hAnsi="Arial"/>
                <w:sz w:val="19"/>
                <w:szCs w:val="19"/>
                <w:color w:val="auto"/>
                <w:w w:val="90"/>
              </w:rPr>
              <w:t>158 Section 8.02. Rights as a Lender</w:t>
            </w: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Pr>
          <w:p>
            <w:pPr>
              <w:jc w:val="right"/>
              <w:ind w:right="86"/>
              <w:spacing w:after="0"/>
              <w:rPr>
                <w:sz w:val="20"/>
                <w:szCs w:val="20"/>
                <w:color w:val="auto"/>
              </w:rPr>
            </w:pPr>
            <w:r>
              <w:rPr>
                <w:rFonts w:ascii="Arial" w:cs="Arial" w:eastAsia="Arial" w:hAnsi="Arial"/>
                <w:sz w:val="19"/>
                <w:szCs w:val="19"/>
                <w:color w:val="auto"/>
                <w:w w:val="81"/>
              </w:rPr>
              <w:t>158</w:t>
            </w:r>
          </w:p>
        </w:tc>
        <w:tc>
          <w:tcPr>
            <w:tcW w:w="0" w:type="dxa"/>
            <w:vAlign w:val="bottom"/>
          </w:tcPr>
          <w:p>
            <w:pPr>
              <w:spacing w:after="0"/>
              <w:rPr>
                <w:sz w:val="1"/>
                <w:szCs w:val="1"/>
                <w:color w:val="auto"/>
              </w:rPr>
            </w:pPr>
          </w:p>
        </w:tc>
      </w:tr>
      <w:tr>
        <w:trPr>
          <w:trHeight w:val="196"/>
        </w:trPr>
        <w:tc>
          <w:tcPr>
            <w:tcW w:w="1180" w:type="dxa"/>
            <w:vAlign w:val="bottom"/>
            <w:gridSpan w:val="7"/>
          </w:tcPr>
          <w:p>
            <w:pPr>
              <w:spacing w:after="0" w:line="196" w:lineRule="exact"/>
              <w:rPr>
                <w:sz w:val="20"/>
                <w:szCs w:val="20"/>
                <w:color w:val="auto"/>
              </w:rPr>
            </w:pPr>
            <w:r>
              <w:rPr>
                <w:rFonts w:ascii="Arial" w:cs="Arial" w:eastAsia="Arial" w:hAnsi="Arial"/>
                <w:sz w:val="19"/>
                <w:szCs w:val="19"/>
                <w:color w:val="auto"/>
              </w:rPr>
              <w:t>Section 8.03.</w:t>
            </w:r>
          </w:p>
        </w:tc>
        <w:tc>
          <w:tcPr>
            <w:tcW w:w="1800" w:type="dxa"/>
            <w:vAlign w:val="bottom"/>
            <w:gridSpan w:val="23"/>
          </w:tcPr>
          <w:p>
            <w:pPr>
              <w:spacing w:after="0" w:line="196" w:lineRule="exact"/>
              <w:rPr>
                <w:sz w:val="20"/>
                <w:szCs w:val="20"/>
                <w:color w:val="auto"/>
              </w:rPr>
            </w:pPr>
            <w:r>
              <w:rPr>
                <w:rFonts w:ascii="Arial" w:cs="Arial" w:eastAsia="Arial" w:hAnsi="Arial"/>
                <w:sz w:val="19"/>
                <w:szCs w:val="19"/>
                <w:color w:val="auto"/>
                <w:w w:val="91"/>
              </w:rPr>
              <w:t>Exculpatory Provisions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3"/>
          </w:tcPr>
          <w:p>
            <w:pPr>
              <w:spacing w:after="0" w:line="196" w:lineRule="exact"/>
              <w:rPr>
                <w:sz w:val="20"/>
                <w:szCs w:val="20"/>
                <w:color w:val="auto"/>
              </w:rPr>
            </w:pPr>
            <w:r>
              <w:rPr>
                <w:rFonts w:ascii="Arial" w:cs="Arial" w:eastAsia="Arial" w:hAnsi="Arial"/>
                <w:sz w:val="19"/>
                <w:szCs w:val="19"/>
                <w:color w:val="FF0000"/>
                <w:strike w:val="1"/>
                <w:w w:val="81"/>
              </w:rPr>
              <w:t>158</w:t>
            </w:r>
          </w:p>
        </w:tc>
        <w:tc>
          <w:tcPr>
            <w:tcW w:w="1500" w:type="dxa"/>
            <w:vAlign w:val="bottom"/>
            <w:gridSpan w:val="14"/>
          </w:tcPr>
          <w:p>
            <w:pPr>
              <w:spacing w:after="0" w:line="196" w:lineRule="exact"/>
              <w:rPr>
                <w:sz w:val="20"/>
                <w:szCs w:val="20"/>
                <w:color w:val="auto"/>
              </w:rPr>
            </w:pPr>
            <w:r>
              <w:rPr>
                <w:rFonts w:ascii="Arial" w:cs="Arial" w:eastAsia="Arial" w:hAnsi="Arial"/>
                <w:sz w:val="19"/>
                <w:szCs w:val="19"/>
                <w:color w:val="0000FF"/>
                <w:w w:val="98"/>
              </w:rPr>
              <w:t xml:space="preserve">159 </w:t>
            </w:r>
            <w:r>
              <w:rPr>
                <w:rFonts w:ascii="Arial" w:cs="Arial" w:eastAsia="Arial" w:hAnsi="Arial"/>
                <w:sz w:val="19"/>
                <w:szCs w:val="19"/>
                <w:color w:val="000000"/>
                <w:w w:val="98"/>
              </w:rPr>
              <w:t>Section 8.04.</w:t>
            </w:r>
          </w:p>
        </w:tc>
        <w:tc>
          <w:tcPr>
            <w:tcW w:w="3800" w:type="dxa"/>
            <w:vAlign w:val="bottom"/>
            <w:gridSpan w:val="21"/>
          </w:tcPr>
          <w:p>
            <w:pPr>
              <w:spacing w:after="0" w:line="196" w:lineRule="exact"/>
              <w:rPr>
                <w:sz w:val="20"/>
                <w:szCs w:val="20"/>
                <w:color w:val="auto"/>
              </w:rPr>
            </w:pPr>
            <w:r>
              <w:rPr>
                <w:rFonts w:ascii="Arial" w:cs="Arial" w:eastAsia="Arial" w:hAnsi="Arial"/>
                <w:sz w:val="19"/>
                <w:szCs w:val="19"/>
                <w:color w:val="auto"/>
                <w:w w:val="91"/>
              </w:rPr>
              <w:t>Exclusive Right to Enforce Rights and Remedies</w:t>
            </w:r>
          </w:p>
        </w:tc>
        <w:tc>
          <w:tcPr>
            <w:tcW w:w="140" w:type="dxa"/>
            <w:vAlign w:val="bottom"/>
          </w:tcPr>
          <w:p>
            <w:pPr>
              <w:spacing w:after="0"/>
              <w:rPr>
                <w:sz w:val="17"/>
                <w:szCs w:val="17"/>
                <w:color w:val="auto"/>
              </w:rPr>
            </w:pPr>
          </w:p>
        </w:tc>
        <w:tc>
          <w:tcPr>
            <w:tcW w:w="300" w:type="dxa"/>
            <w:vAlign w:val="bottom"/>
            <w:gridSpan w:val="3"/>
          </w:tcPr>
          <w:p>
            <w:pPr>
              <w:jc w:val="right"/>
              <w:spacing w:after="0" w:line="196" w:lineRule="exact"/>
              <w:rPr>
                <w:sz w:val="20"/>
                <w:szCs w:val="20"/>
                <w:color w:val="auto"/>
              </w:rPr>
            </w:pPr>
            <w:r>
              <w:rPr>
                <w:rFonts w:ascii="Arial" w:cs="Arial" w:eastAsia="Arial" w:hAnsi="Arial"/>
                <w:sz w:val="19"/>
                <w:szCs w:val="19"/>
                <w:color w:val="FF0000"/>
                <w:strike w:val="1"/>
                <w:w w:val="81"/>
              </w:rPr>
              <w:t>159</w:t>
            </w:r>
          </w:p>
        </w:tc>
        <w:tc>
          <w:tcPr>
            <w:tcW w:w="1060" w:type="dxa"/>
            <w:vAlign w:val="bottom"/>
            <w:gridSpan w:val="4"/>
          </w:tcPr>
          <w:p>
            <w:pPr>
              <w:jc w:val="right"/>
              <w:ind w:right="66"/>
              <w:spacing w:after="0" w:line="196" w:lineRule="exact"/>
              <w:rPr>
                <w:sz w:val="20"/>
                <w:szCs w:val="20"/>
                <w:color w:val="auto"/>
              </w:rPr>
            </w:pPr>
            <w:r>
              <w:rPr>
                <w:rFonts w:ascii="Arial" w:cs="Arial" w:eastAsia="Arial" w:hAnsi="Arial"/>
                <w:sz w:val="19"/>
                <w:szCs w:val="19"/>
                <w:color w:val="0000FF"/>
                <w:w w:val="87"/>
              </w:rPr>
              <w:t xml:space="preserve">160 </w:t>
            </w:r>
            <w:r>
              <w:rPr>
                <w:rFonts w:ascii="Arial" w:cs="Arial" w:eastAsia="Arial" w:hAnsi="Arial"/>
                <w:sz w:val="19"/>
                <w:szCs w:val="19"/>
                <w:color w:val="000000"/>
                <w:w w:val="87"/>
              </w:rPr>
              <w:t>Section</w:t>
            </w:r>
          </w:p>
        </w:tc>
        <w:tc>
          <w:tcPr>
            <w:tcW w:w="0" w:type="dxa"/>
            <w:vAlign w:val="bottom"/>
          </w:tcPr>
          <w:p>
            <w:pPr>
              <w:spacing w:after="0"/>
              <w:rPr>
                <w:sz w:val="1"/>
                <w:szCs w:val="1"/>
                <w:color w:val="auto"/>
              </w:rPr>
            </w:pPr>
          </w:p>
        </w:tc>
      </w:tr>
      <w:tr>
        <w:trPr>
          <w:trHeight w:val="20"/>
        </w:trPr>
        <w:tc>
          <w:tcPr>
            <w:tcW w:w="480" w:type="dxa"/>
            <w:vAlign w:val="bottom"/>
            <w:gridSpan w:val="2"/>
            <w:vMerge w:val="restart"/>
          </w:tcPr>
          <w:p>
            <w:pPr>
              <w:spacing w:after="0" w:line="203" w:lineRule="exact"/>
              <w:rPr>
                <w:sz w:val="20"/>
                <w:szCs w:val="20"/>
                <w:color w:val="auto"/>
              </w:rPr>
            </w:pPr>
            <w:r>
              <w:rPr>
                <w:rFonts w:ascii="Arial" w:cs="Arial" w:eastAsia="Arial" w:hAnsi="Arial"/>
                <w:sz w:val="19"/>
                <w:szCs w:val="19"/>
                <w:color w:val="auto"/>
              </w:rPr>
              <w:t>8.05.</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gridSpan w:val="25"/>
            <w:vMerge w:val="restart"/>
          </w:tcPr>
          <w:p>
            <w:pPr>
              <w:ind w:left="20"/>
              <w:spacing w:after="0" w:line="203" w:lineRule="exact"/>
              <w:rPr>
                <w:sz w:val="20"/>
                <w:szCs w:val="20"/>
                <w:color w:val="auto"/>
              </w:rPr>
            </w:pPr>
            <w:r>
              <w:rPr>
                <w:rFonts w:ascii="Arial" w:cs="Arial" w:eastAsia="Arial" w:hAnsi="Arial"/>
                <w:sz w:val="19"/>
                <w:szCs w:val="19"/>
                <w:color w:val="auto"/>
                <w:w w:val="95"/>
              </w:rPr>
              <w:t>Reliance by Administrative</w:t>
            </w:r>
          </w:p>
        </w:tc>
        <w:tc>
          <w:tcPr>
            <w:tcW w:w="120" w:type="dxa"/>
            <w:vAlign w:val="bottom"/>
            <w:gridSpan w:val="2"/>
            <w:shd w:val="clear" w:color="auto" w:fill="FF0000"/>
          </w:tcPr>
          <w:p>
            <w:pPr>
              <w:spacing w:after="0" w:line="20" w:lineRule="exact"/>
              <w:rPr>
                <w:sz w:val="1"/>
                <w:szCs w:val="1"/>
                <w:color w:val="auto"/>
              </w:rPr>
            </w:pPr>
          </w:p>
        </w:tc>
        <w:tc>
          <w:tcPr>
            <w:tcW w:w="80" w:type="dxa"/>
            <w:vAlign w:val="bottom"/>
            <w:shd w:val="clear" w:color="auto" w:fill="FF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120" w:type="dxa"/>
            <w:vAlign w:val="bottom"/>
            <w:gridSpan w:val="21"/>
            <w:vMerge w:val="restart"/>
          </w:tcPr>
          <w:p>
            <w:pPr>
              <w:spacing w:after="0" w:line="203" w:lineRule="exact"/>
              <w:rPr>
                <w:sz w:val="20"/>
                <w:szCs w:val="20"/>
                <w:color w:val="auto"/>
              </w:rPr>
            </w:pPr>
            <w:r>
              <w:rPr>
                <w:rFonts w:ascii="Arial" w:cs="Arial" w:eastAsia="Arial" w:hAnsi="Arial"/>
                <w:sz w:val="19"/>
                <w:szCs w:val="19"/>
                <w:color w:val="auto"/>
                <w:w w:val="95"/>
              </w:rPr>
              <w:t>160 Section 8.06. Delegation of Duties</w:t>
            </w:r>
          </w:p>
        </w:tc>
        <w:tc>
          <w:tcPr>
            <w:tcW w:w="26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920" w:type="dxa"/>
            <w:vAlign w:val="bottom"/>
            <w:gridSpan w:val="7"/>
            <w:vMerge w:val="restart"/>
          </w:tcPr>
          <w:p>
            <w:pPr>
              <w:jc w:val="right"/>
              <w:spacing w:after="0" w:line="203" w:lineRule="exact"/>
              <w:rPr>
                <w:sz w:val="20"/>
                <w:szCs w:val="20"/>
                <w:color w:val="auto"/>
              </w:rPr>
            </w:pPr>
            <w:r>
              <w:rPr>
                <w:rFonts w:ascii="Arial" w:cs="Arial" w:eastAsia="Arial" w:hAnsi="Arial"/>
                <w:sz w:val="19"/>
                <w:szCs w:val="19"/>
                <w:color w:val="auto"/>
                <w:w w:val="87"/>
              </w:rPr>
              <w:t>160 Section</w:t>
            </w:r>
          </w:p>
        </w:tc>
        <w:tc>
          <w:tcPr>
            <w:tcW w:w="140" w:type="dxa"/>
            <w:vAlign w:val="bottom"/>
            <w:shd w:val="clear" w:color="auto" w:fill="FF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FF"/>
            </w:tcBorders>
            <w:gridSpan w:val="2"/>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gridSpan w:val="3"/>
            <w:vMerge w:val="restart"/>
          </w:tcPr>
          <w:p>
            <w:pPr>
              <w:jc w:val="right"/>
              <w:spacing w:after="0" w:line="203" w:lineRule="exact"/>
              <w:rPr>
                <w:sz w:val="20"/>
                <w:szCs w:val="20"/>
                <w:color w:val="auto"/>
              </w:rPr>
            </w:pPr>
            <w:r>
              <w:rPr>
                <w:rFonts w:ascii="Arial" w:cs="Arial" w:eastAsia="Arial" w:hAnsi="Arial"/>
                <w:sz w:val="19"/>
                <w:szCs w:val="19"/>
                <w:color w:val="auto"/>
                <w:w w:val="87"/>
              </w:rPr>
              <w:t>Successor</w:t>
            </w:r>
          </w:p>
        </w:tc>
        <w:tc>
          <w:tcPr>
            <w:tcW w:w="0" w:type="dxa"/>
            <w:vAlign w:val="bottom"/>
          </w:tcPr>
          <w:p>
            <w:pPr>
              <w:spacing w:after="0" w:line="20" w:lineRule="exact"/>
              <w:rPr>
                <w:sz w:val="1"/>
                <w:szCs w:val="1"/>
                <w:color w:val="auto"/>
              </w:rPr>
            </w:pPr>
          </w:p>
        </w:tc>
      </w:tr>
      <w:tr>
        <w:trPr>
          <w:trHeight w:val="183"/>
        </w:trPr>
        <w:tc>
          <w:tcPr>
            <w:tcW w:w="4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80" w:type="dxa"/>
            <w:vAlign w:val="bottom"/>
            <w:gridSpan w:val="25"/>
            <w:vMerge w:val="continue"/>
          </w:tcPr>
          <w:p>
            <w:pPr>
              <w:spacing w:after="0"/>
              <w:rPr>
                <w:sz w:val="15"/>
                <w:szCs w:val="15"/>
                <w:color w:val="auto"/>
              </w:rPr>
            </w:pPr>
          </w:p>
        </w:tc>
        <w:tc>
          <w:tcPr>
            <w:tcW w:w="500" w:type="dxa"/>
            <w:vAlign w:val="bottom"/>
            <w:gridSpan w:val="6"/>
          </w:tcPr>
          <w:p>
            <w:pPr>
              <w:spacing w:after="0" w:line="183" w:lineRule="exact"/>
              <w:rPr>
                <w:sz w:val="20"/>
                <w:szCs w:val="20"/>
                <w:color w:val="auto"/>
              </w:rPr>
            </w:pPr>
            <w:r>
              <w:rPr>
                <w:rFonts w:ascii="Arial" w:cs="Arial" w:eastAsia="Arial" w:hAnsi="Arial"/>
                <w:sz w:val="19"/>
                <w:szCs w:val="19"/>
                <w:color w:val="auto"/>
                <w:w w:val="92"/>
              </w:rPr>
              <w:t>Agent</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3120" w:type="dxa"/>
            <w:vAlign w:val="bottom"/>
            <w:gridSpan w:val="21"/>
            <w:vMerge w:val="continue"/>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920" w:type="dxa"/>
            <w:vAlign w:val="bottom"/>
            <w:gridSpan w:val="7"/>
            <w:vMerge w:val="continue"/>
          </w:tcPr>
          <w:p>
            <w:pPr>
              <w:spacing w:after="0"/>
              <w:rPr>
                <w:sz w:val="15"/>
                <w:szCs w:val="15"/>
                <w:color w:val="auto"/>
              </w:rPr>
            </w:pPr>
          </w:p>
        </w:tc>
        <w:tc>
          <w:tcPr>
            <w:tcW w:w="440" w:type="dxa"/>
            <w:vAlign w:val="bottom"/>
            <w:gridSpan w:val="4"/>
          </w:tcPr>
          <w:p>
            <w:pPr>
              <w:jc w:val="right"/>
              <w:spacing w:after="0" w:line="183" w:lineRule="exact"/>
              <w:rPr>
                <w:sz w:val="20"/>
                <w:szCs w:val="20"/>
                <w:color w:val="auto"/>
              </w:rPr>
            </w:pPr>
            <w:r>
              <w:rPr>
                <w:rFonts w:ascii="Arial" w:cs="Arial" w:eastAsia="Arial" w:hAnsi="Arial"/>
                <w:sz w:val="19"/>
                <w:szCs w:val="19"/>
                <w:color w:val="auto"/>
                <w:w w:val="94"/>
              </w:rPr>
              <w:t>8.07.</w:t>
            </w:r>
          </w:p>
        </w:tc>
        <w:tc>
          <w:tcPr>
            <w:tcW w:w="26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80" w:type="dxa"/>
            <w:vAlign w:val="bottom"/>
            <w:gridSpan w:val="11"/>
          </w:tcPr>
          <w:p>
            <w:pPr>
              <w:spacing w:after="0" w:line="183" w:lineRule="exact"/>
              <w:rPr>
                <w:sz w:val="20"/>
                <w:szCs w:val="20"/>
                <w:color w:val="auto"/>
              </w:rPr>
            </w:pPr>
            <w:r>
              <w:rPr>
                <w:rFonts w:ascii="Arial" w:cs="Arial" w:eastAsia="Arial" w:hAnsi="Arial"/>
                <w:sz w:val="19"/>
                <w:szCs w:val="19"/>
                <w:color w:val="auto"/>
              </w:rPr>
              <w:t>Administrative Agent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gridSpan w:val="5"/>
          </w:tcPr>
          <w:p>
            <w:pPr>
              <w:jc w:val="right"/>
              <w:spacing w:after="0" w:line="183" w:lineRule="exact"/>
              <w:rPr>
                <w:sz w:val="20"/>
                <w:szCs w:val="20"/>
                <w:color w:val="auto"/>
              </w:rPr>
            </w:pPr>
            <w:r>
              <w:rPr>
                <w:rFonts w:ascii="Arial" w:cs="Arial" w:eastAsia="Arial" w:hAnsi="Arial"/>
                <w:sz w:val="19"/>
                <w:szCs w:val="19"/>
                <w:color w:val="FF0000"/>
                <w:strike w:val="1"/>
                <w:w w:val="88"/>
              </w:rPr>
              <w:t>160</w:t>
            </w:r>
          </w:p>
        </w:tc>
        <w:tc>
          <w:tcPr>
            <w:tcW w:w="1100" w:type="dxa"/>
            <w:vAlign w:val="bottom"/>
            <w:gridSpan w:val="17"/>
          </w:tcPr>
          <w:p>
            <w:pPr>
              <w:spacing w:after="0" w:line="183" w:lineRule="exact"/>
              <w:rPr>
                <w:sz w:val="20"/>
                <w:szCs w:val="20"/>
                <w:color w:val="auto"/>
              </w:rPr>
            </w:pPr>
            <w:r>
              <w:rPr>
                <w:rFonts w:ascii="Arial" w:cs="Arial" w:eastAsia="Arial" w:hAnsi="Arial"/>
                <w:sz w:val="19"/>
                <w:szCs w:val="19"/>
                <w:color w:val="0000FF"/>
              </w:rPr>
              <w:t xml:space="preserve">161 </w:t>
            </w:r>
            <w:r>
              <w:rPr>
                <w:rFonts w:ascii="Arial" w:cs="Arial" w:eastAsia="Arial" w:hAnsi="Arial"/>
                <w:sz w:val="19"/>
                <w:szCs w:val="19"/>
                <w:color w:val="000000"/>
              </w:rPr>
              <w:t>Section</w:t>
            </w:r>
          </w:p>
        </w:tc>
        <w:tc>
          <w:tcPr>
            <w:tcW w:w="6800" w:type="dxa"/>
            <w:vAlign w:val="bottom"/>
            <w:gridSpan w:val="43"/>
          </w:tcPr>
          <w:p>
            <w:pPr>
              <w:spacing w:after="0" w:line="183" w:lineRule="exact"/>
              <w:rPr>
                <w:sz w:val="20"/>
                <w:szCs w:val="20"/>
                <w:color w:val="auto"/>
              </w:rPr>
            </w:pPr>
            <w:r>
              <w:rPr>
                <w:rFonts w:ascii="Arial" w:cs="Arial" w:eastAsia="Arial" w:hAnsi="Arial"/>
                <w:sz w:val="19"/>
                <w:szCs w:val="19"/>
                <w:color w:val="auto"/>
              </w:rPr>
              <w:t>8.08. Non-Reliance on Administrative Agent, the Arrangers or the Other Lenders</w:t>
            </w: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line="203" w:lineRule="exact"/>
              <w:rPr>
                <w:sz w:val="20"/>
                <w:szCs w:val="20"/>
                <w:color w:val="auto"/>
              </w:rPr>
            </w:pPr>
            <w:r>
              <w:rPr>
                <w:rFonts w:ascii="Arial" w:cs="Arial" w:eastAsia="Arial" w:hAnsi="Arial"/>
                <w:sz w:val="19"/>
                <w:szCs w:val="19"/>
                <w:color w:val="FF0000"/>
                <w:strike w:val="1"/>
                <w:w w:val="81"/>
              </w:rPr>
              <w:t>161</w:t>
            </w:r>
          </w:p>
        </w:tc>
        <w:tc>
          <w:tcPr>
            <w:tcW w:w="1380" w:type="dxa"/>
            <w:vAlign w:val="bottom"/>
            <w:gridSpan w:val="9"/>
            <w:vMerge w:val="restart"/>
          </w:tcPr>
          <w:p>
            <w:pPr>
              <w:jc w:val="center"/>
              <w:ind w:right="60"/>
              <w:spacing w:after="0" w:line="203" w:lineRule="exact"/>
              <w:rPr>
                <w:sz w:val="20"/>
                <w:szCs w:val="20"/>
                <w:color w:val="auto"/>
              </w:rPr>
            </w:pPr>
            <w:r>
              <w:rPr>
                <w:rFonts w:ascii="Arial" w:cs="Arial" w:eastAsia="Arial" w:hAnsi="Arial"/>
                <w:sz w:val="19"/>
                <w:szCs w:val="19"/>
                <w:color w:val="0000FF"/>
                <w:w w:val="89"/>
              </w:rPr>
              <w:t xml:space="preserve">162 </w:t>
            </w:r>
            <w:r>
              <w:rPr>
                <w:rFonts w:ascii="Arial" w:cs="Arial" w:eastAsia="Arial" w:hAnsi="Arial"/>
                <w:sz w:val="19"/>
                <w:szCs w:val="19"/>
                <w:color w:val="000000"/>
                <w:w w:val="89"/>
              </w:rPr>
              <w:t>Section 8.09.</w:t>
            </w:r>
          </w:p>
        </w:tc>
        <w:tc>
          <w:tcPr>
            <w:tcW w:w="220" w:type="dxa"/>
            <w:vAlign w:val="bottom"/>
            <w:shd w:val="clear" w:color="auto" w:fill="FF0000"/>
          </w:tcPr>
          <w:p>
            <w:pPr>
              <w:spacing w:after="0" w:line="20" w:lineRule="exact"/>
              <w:rPr>
                <w:sz w:val="1"/>
                <w:szCs w:val="1"/>
                <w:color w:val="auto"/>
              </w:rPr>
            </w:pPr>
          </w:p>
        </w:tc>
        <w:tc>
          <w:tcPr>
            <w:tcW w:w="120" w:type="dxa"/>
            <w:vAlign w:val="bottom"/>
            <w:gridSpan w:val="2"/>
            <w:shd w:val="clear" w:color="auto" w:fill="FF0000"/>
          </w:tcPr>
          <w:p>
            <w:pPr>
              <w:spacing w:after="0" w:line="20" w:lineRule="exact"/>
              <w:rPr>
                <w:sz w:val="1"/>
                <w:szCs w:val="1"/>
                <w:color w:val="auto"/>
              </w:rPr>
            </w:pPr>
          </w:p>
        </w:tc>
        <w:tc>
          <w:tcPr>
            <w:tcW w:w="160" w:type="dxa"/>
            <w:vAlign w:val="bottom"/>
            <w:tcBorders>
              <w:left w:val="single" w:sz="8" w:color="FF0000"/>
            </w:tcBorders>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00" w:type="dxa"/>
            <w:vAlign w:val="bottom"/>
            <w:gridSpan w:val="6"/>
            <w:shd w:val="clear" w:color="auto" w:fill="0000FF"/>
          </w:tcPr>
          <w:p>
            <w:pPr>
              <w:spacing w:after="0" w:line="20" w:lineRule="exact"/>
              <w:rPr>
                <w:sz w:val="1"/>
                <w:szCs w:val="1"/>
                <w:color w:val="auto"/>
              </w:rPr>
            </w:pPr>
          </w:p>
        </w:tc>
        <w:tc>
          <w:tcPr>
            <w:tcW w:w="1940" w:type="dxa"/>
            <w:vAlign w:val="bottom"/>
            <w:gridSpan w:val="21"/>
            <w:vMerge w:val="restart"/>
          </w:tcPr>
          <w:p>
            <w:pPr>
              <w:ind w:left="80"/>
              <w:spacing w:after="0" w:line="203" w:lineRule="exact"/>
              <w:rPr>
                <w:sz w:val="20"/>
                <w:szCs w:val="20"/>
                <w:color w:val="auto"/>
              </w:rPr>
            </w:pPr>
            <w:r>
              <w:rPr>
                <w:rFonts w:ascii="Arial" w:cs="Arial" w:eastAsia="Arial" w:hAnsi="Arial"/>
                <w:sz w:val="19"/>
                <w:szCs w:val="19"/>
                <w:color w:val="auto"/>
                <w:w w:val="99"/>
              </w:rPr>
              <w:t>and Guaranty Matters</w:t>
            </w:r>
          </w:p>
        </w:tc>
        <w:tc>
          <w:tcPr>
            <w:tcW w:w="360" w:type="dxa"/>
            <w:vAlign w:val="bottom"/>
            <w:gridSpan w:val="4"/>
            <w:vMerge w:val="restart"/>
          </w:tcPr>
          <w:p>
            <w:pPr>
              <w:jc w:val="right"/>
              <w:spacing w:after="0" w:line="203" w:lineRule="exact"/>
              <w:rPr>
                <w:sz w:val="20"/>
                <w:szCs w:val="20"/>
                <w:color w:val="auto"/>
              </w:rPr>
            </w:pPr>
            <w:r>
              <w:rPr>
                <w:rFonts w:ascii="Arial" w:cs="Arial" w:eastAsia="Arial" w:hAnsi="Arial"/>
                <w:sz w:val="19"/>
                <w:szCs w:val="19"/>
                <w:color w:val="FF0000"/>
                <w:strike w:val="1"/>
                <w:w w:val="94"/>
              </w:rPr>
              <w:t>162</w:t>
            </w:r>
          </w:p>
        </w:tc>
        <w:tc>
          <w:tcPr>
            <w:tcW w:w="1500" w:type="dxa"/>
            <w:vAlign w:val="bottom"/>
            <w:gridSpan w:val="10"/>
            <w:vMerge w:val="restart"/>
          </w:tcPr>
          <w:p>
            <w:pPr>
              <w:spacing w:after="0" w:line="203" w:lineRule="exact"/>
              <w:rPr>
                <w:sz w:val="20"/>
                <w:szCs w:val="20"/>
                <w:color w:val="auto"/>
              </w:rPr>
            </w:pPr>
            <w:r>
              <w:rPr>
                <w:rFonts w:ascii="Arial" w:cs="Arial" w:eastAsia="Arial" w:hAnsi="Arial"/>
                <w:sz w:val="19"/>
                <w:szCs w:val="19"/>
                <w:color w:val="0000FF"/>
              </w:rPr>
              <w:t xml:space="preserve">163 </w:t>
            </w:r>
            <w:r>
              <w:rPr>
                <w:rFonts w:ascii="Arial" w:cs="Arial" w:eastAsia="Arial" w:hAnsi="Arial"/>
                <w:sz w:val="19"/>
                <w:szCs w:val="19"/>
                <w:color w:val="000000"/>
              </w:rPr>
              <w:t>Section 8.10.</w:t>
            </w:r>
          </w:p>
        </w:tc>
        <w:tc>
          <w:tcPr>
            <w:tcW w:w="2300" w:type="dxa"/>
            <w:vAlign w:val="bottom"/>
            <w:gridSpan w:val="11"/>
            <w:vMerge w:val="restart"/>
          </w:tcPr>
          <w:p>
            <w:pPr>
              <w:ind w:left="20"/>
              <w:spacing w:after="0" w:line="203" w:lineRule="exact"/>
              <w:rPr>
                <w:sz w:val="20"/>
                <w:szCs w:val="20"/>
                <w:color w:val="auto"/>
              </w:rPr>
            </w:pPr>
            <w:r>
              <w:rPr>
                <w:rFonts w:ascii="Arial" w:cs="Arial" w:eastAsia="Arial" w:hAnsi="Arial"/>
                <w:sz w:val="19"/>
                <w:szCs w:val="19"/>
                <w:color w:val="auto"/>
              </w:rPr>
              <w:t>Intercreditor Agreements</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4"/>
            <w:vMerge w:val="restart"/>
          </w:tcPr>
          <w:p>
            <w:pPr>
              <w:jc w:val="right"/>
              <w:ind w:right="66"/>
              <w:spacing w:after="0" w:line="203" w:lineRule="exact"/>
              <w:rPr>
                <w:sz w:val="20"/>
                <w:szCs w:val="20"/>
                <w:color w:val="auto"/>
              </w:rPr>
            </w:pPr>
            <w:r>
              <w:rPr>
                <w:rFonts w:ascii="Arial" w:cs="Arial" w:eastAsia="Arial" w:hAnsi="Arial"/>
                <w:sz w:val="19"/>
                <w:szCs w:val="19"/>
                <w:color w:val="auto"/>
                <w:w w:val="87"/>
              </w:rPr>
              <w:t>164 Section</w:t>
            </w:r>
          </w:p>
        </w:tc>
        <w:tc>
          <w:tcPr>
            <w:tcW w:w="0" w:type="dxa"/>
            <w:vAlign w:val="bottom"/>
          </w:tcPr>
          <w:p>
            <w:pPr>
              <w:spacing w:after="0" w:line="20" w:lineRule="exact"/>
              <w:rPr>
                <w:sz w:val="1"/>
                <w:szCs w:val="1"/>
                <w:color w:val="auto"/>
              </w:rPr>
            </w:pPr>
          </w:p>
        </w:tc>
      </w:tr>
      <w:tr>
        <w:trPr>
          <w:trHeight w:val="183"/>
        </w:trPr>
        <w:tc>
          <w:tcPr>
            <w:tcW w:w="280" w:type="dxa"/>
            <w:vAlign w:val="bottom"/>
            <w:vMerge w:val="continue"/>
          </w:tcPr>
          <w:p>
            <w:pPr>
              <w:spacing w:after="0"/>
              <w:rPr>
                <w:sz w:val="15"/>
                <w:szCs w:val="15"/>
                <w:color w:val="auto"/>
              </w:rPr>
            </w:pPr>
          </w:p>
        </w:tc>
        <w:tc>
          <w:tcPr>
            <w:tcW w:w="1380" w:type="dxa"/>
            <w:vAlign w:val="bottom"/>
            <w:gridSpan w:val="9"/>
            <w:vMerge w:val="continue"/>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11"/>
          </w:tcPr>
          <w:p>
            <w:pPr>
              <w:jc w:val="center"/>
              <w:spacing w:after="0" w:line="183" w:lineRule="exact"/>
              <w:rPr>
                <w:sz w:val="20"/>
                <w:szCs w:val="20"/>
                <w:color w:val="auto"/>
              </w:rPr>
            </w:pPr>
            <w:r>
              <w:rPr>
                <w:rFonts w:ascii="Arial" w:cs="Arial" w:eastAsia="Arial" w:hAnsi="Arial"/>
                <w:sz w:val="19"/>
                <w:szCs w:val="19"/>
                <w:color w:val="auto"/>
                <w:w w:val="72"/>
              </w:rPr>
              <w:t>Collateral</w:t>
            </w:r>
          </w:p>
        </w:tc>
        <w:tc>
          <w:tcPr>
            <w:tcW w:w="1940" w:type="dxa"/>
            <w:vAlign w:val="bottom"/>
            <w:gridSpan w:val="21"/>
            <w:vMerge w:val="continue"/>
          </w:tcPr>
          <w:p>
            <w:pPr>
              <w:spacing w:after="0"/>
              <w:rPr>
                <w:sz w:val="15"/>
                <w:szCs w:val="15"/>
                <w:color w:val="auto"/>
              </w:rPr>
            </w:pPr>
          </w:p>
        </w:tc>
        <w:tc>
          <w:tcPr>
            <w:tcW w:w="360" w:type="dxa"/>
            <w:vAlign w:val="bottom"/>
            <w:gridSpan w:val="4"/>
            <w:vMerge w:val="continue"/>
          </w:tcPr>
          <w:p>
            <w:pPr>
              <w:spacing w:after="0"/>
              <w:rPr>
                <w:sz w:val="15"/>
                <w:szCs w:val="15"/>
                <w:color w:val="auto"/>
              </w:rPr>
            </w:pPr>
          </w:p>
        </w:tc>
        <w:tc>
          <w:tcPr>
            <w:tcW w:w="1500" w:type="dxa"/>
            <w:vAlign w:val="bottom"/>
            <w:gridSpan w:val="10"/>
            <w:vMerge w:val="continue"/>
          </w:tcPr>
          <w:p>
            <w:pPr>
              <w:spacing w:after="0"/>
              <w:rPr>
                <w:sz w:val="15"/>
                <w:szCs w:val="15"/>
                <w:color w:val="auto"/>
              </w:rPr>
            </w:pPr>
          </w:p>
        </w:tc>
        <w:tc>
          <w:tcPr>
            <w:tcW w:w="2300" w:type="dxa"/>
            <w:vAlign w:val="bottom"/>
            <w:gridSpan w:val="11"/>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1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FF0000"/>
            </w:tcBorders>
            <w:shd w:val="clear" w:color="auto" w:fill="FF0000"/>
          </w:tcPr>
          <w:p>
            <w:pPr>
              <w:spacing w:after="0" w:line="20" w:lineRule="exact"/>
              <w:rPr>
                <w:sz w:val="1"/>
                <w:szCs w:val="1"/>
                <w:color w:val="auto"/>
              </w:rPr>
            </w:pPr>
          </w:p>
        </w:tc>
        <w:tc>
          <w:tcPr>
            <w:tcW w:w="80" w:type="dxa"/>
            <w:vAlign w:val="bottom"/>
            <w:tcBorders>
              <w:left w:val="single" w:sz="8" w:color="FF0000"/>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gridSpan w:val="2"/>
          </w:tcPr>
          <w:p>
            <w:pPr>
              <w:spacing w:after="0" w:line="196" w:lineRule="exact"/>
              <w:rPr>
                <w:sz w:val="20"/>
                <w:szCs w:val="20"/>
                <w:color w:val="auto"/>
              </w:rPr>
            </w:pPr>
            <w:r>
              <w:rPr>
                <w:rFonts w:ascii="Arial" w:cs="Arial" w:eastAsia="Arial" w:hAnsi="Arial"/>
                <w:sz w:val="19"/>
                <w:szCs w:val="19"/>
                <w:color w:val="auto"/>
              </w:rPr>
              <w:t>8.11.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12"/>
          </w:tcPr>
          <w:p>
            <w:pPr>
              <w:ind w:left="20"/>
              <w:spacing w:after="0" w:line="196" w:lineRule="exact"/>
              <w:rPr>
                <w:sz w:val="20"/>
                <w:szCs w:val="20"/>
                <w:color w:val="auto"/>
              </w:rPr>
            </w:pPr>
            <w:r>
              <w:rPr>
                <w:rFonts w:ascii="Arial" w:cs="Arial" w:eastAsia="Arial" w:hAnsi="Arial"/>
                <w:sz w:val="19"/>
                <w:szCs w:val="19"/>
                <w:color w:val="auto"/>
                <w:w w:val="98"/>
              </w:rPr>
              <w:t>Indemnification of</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gridSpan w:val="18"/>
          </w:tcPr>
          <w:p>
            <w:pPr>
              <w:ind w:left="20"/>
              <w:spacing w:after="0" w:line="196" w:lineRule="exact"/>
              <w:rPr>
                <w:sz w:val="20"/>
                <w:szCs w:val="20"/>
                <w:color w:val="auto"/>
              </w:rPr>
            </w:pPr>
            <w:r>
              <w:rPr>
                <w:rFonts w:ascii="Arial" w:cs="Arial" w:eastAsia="Arial" w:hAnsi="Arial"/>
                <w:sz w:val="19"/>
                <w:szCs w:val="19"/>
                <w:color w:val="auto"/>
                <w:w w:val="97"/>
              </w:rPr>
              <w:t>Administrative</w:t>
            </w:r>
          </w:p>
        </w:tc>
        <w:tc>
          <w:tcPr>
            <w:tcW w:w="580" w:type="dxa"/>
            <w:vAlign w:val="bottom"/>
            <w:gridSpan w:val="6"/>
          </w:tcPr>
          <w:p>
            <w:pPr>
              <w:jc w:val="right"/>
              <w:spacing w:after="0" w:line="196" w:lineRule="exact"/>
              <w:rPr>
                <w:sz w:val="20"/>
                <w:szCs w:val="20"/>
                <w:color w:val="auto"/>
              </w:rPr>
            </w:pPr>
            <w:r>
              <w:rPr>
                <w:rFonts w:ascii="Arial" w:cs="Arial" w:eastAsia="Arial" w:hAnsi="Arial"/>
                <w:sz w:val="19"/>
                <w:szCs w:val="19"/>
                <w:color w:val="auto"/>
              </w:rPr>
              <w:t>Agent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gridSpan w:val="3"/>
          </w:tcPr>
          <w:p>
            <w:pPr>
              <w:jc w:val="right"/>
              <w:spacing w:after="0" w:line="196" w:lineRule="exact"/>
              <w:rPr>
                <w:sz w:val="20"/>
                <w:szCs w:val="20"/>
                <w:color w:val="auto"/>
              </w:rPr>
            </w:pPr>
            <w:r>
              <w:rPr>
                <w:rFonts w:ascii="Arial" w:cs="Arial" w:eastAsia="Arial" w:hAnsi="Arial"/>
                <w:sz w:val="19"/>
                <w:szCs w:val="19"/>
                <w:color w:val="FF0000"/>
                <w:strike w:val="1"/>
                <w:w w:val="81"/>
              </w:rPr>
              <w:t>164</w:t>
            </w:r>
          </w:p>
        </w:tc>
        <w:tc>
          <w:tcPr>
            <w:tcW w:w="1020" w:type="dxa"/>
            <w:vAlign w:val="bottom"/>
            <w:gridSpan w:val="8"/>
          </w:tcPr>
          <w:p>
            <w:pPr>
              <w:jc w:val="center"/>
              <w:spacing w:after="0" w:line="196" w:lineRule="exact"/>
              <w:rPr>
                <w:sz w:val="20"/>
                <w:szCs w:val="20"/>
                <w:color w:val="auto"/>
              </w:rPr>
            </w:pPr>
            <w:r>
              <w:rPr>
                <w:rFonts w:ascii="Arial" w:cs="Arial" w:eastAsia="Arial" w:hAnsi="Arial"/>
                <w:sz w:val="19"/>
                <w:szCs w:val="19"/>
                <w:color w:val="0000FF"/>
                <w:w w:val="95"/>
              </w:rPr>
              <w:t xml:space="preserve">165 </w:t>
            </w:r>
            <w:r>
              <w:rPr>
                <w:rFonts w:ascii="Arial" w:cs="Arial" w:eastAsia="Arial" w:hAnsi="Arial"/>
                <w:sz w:val="19"/>
                <w:szCs w:val="19"/>
                <w:color w:val="000000"/>
                <w:w w:val="95"/>
              </w:rPr>
              <w:t>Section</w:t>
            </w:r>
          </w:p>
        </w:tc>
        <w:tc>
          <w:tcPr>
            <w:tcW w:w="560" w:type="dxa"/>
            <w:vAlign w:val="bottom"/>
            <w:gridSpan w:val="3"/>
          </w:tcPr>
          <w:p>
            <w:pPr>
              <w:jc w:val="right"/>
              <w:ind w:right="46"/>
              <w:spacing w:after="0" w:line="196" w:lineRule="exact"/>
              <w:rPr>
                <w:sz w:val="20"/>
                <w:szCs w:val="20"/>
                <w:color w:val="auto"/>
              </w:rPr>
            </w:pPr>
            <w:r>
              <w:rPr>
                <w:rFonts w:ascii="Arial" w:cs="Arial" w:eastAsia="Arial" w:hAnsi="Arial"/>
                <w:sz w:val="19"/>
                <w:szCs w:val="19"/>
                <w:color w:val="auto"/>
                <w:w w:val="94"/>
              </w:rPr>
              <w:t>8.12.</w:t>
            </w:r>
          </w:p>
        </w:tc>
        <w:tc>
          <w:tcPr>
            <w:tcW w:w="1680" w:type="dxa"/>
            <w:vAlign w:val="bottom"/>
            <w:gridSpan w:val="7"/>
          </w:tcPr>
          <w:p>
            <w:pPr>
              <w:ind w:left="20"/>
              <w:spacing w:after="0" w:line="196" w:lineRule="exact"/>
              <w:rPr>
                <w:sz w:val="20"/>
                <w:szCs w:val="20"/>
                <w:color w:val="auto"/>
              </w:rPr>
            </w:pPr>
            <w:r>
              <w:rPr>
                <w:rFonts w:ascii="Arial" w:cs="Arial" w:eastAsia="Arial" w:hAnsi="Arial"/>
                <w:sz w:val="19"/>
                <w:szCs w:val="19"/>
                <w:color w:val="auto"/>
              </w:rPr>
              <w:t>Withholding Taxes</w:t>
            </w:r>
          </w:p>
        </w:tc>
        <w:tc>
          <w:tcPr>
            <w:tcW w:w="22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Arial" w:cs="Arial" w:eastAsia="Arial" w:hAnsi="Arial"/>
                <w:sz w:val="19"/>
                <w:szCs w:val="19"/>
                <w:color w:val="FF0000"/>
                <w:strike w:val="1"/>
                <w:w w:val="81"/>
              </w:rPr>
              <w:t>164</w:t>
            </w:r>
          </w:p>
        </w:tc>
        <w:tc>
          <w:tcPr>
            <w:tcW w:w="1020" w:type="dxa"/>
            <w:vAlign w:val="bottom"/>
            <w:gridSpan w:val="7"/>
          </w:tcPr>
          <w:p>
            <w:pPr>
              <w:spacing w:after="0" w:line="196" w:lineRule="exact"/>
              <w:rPr>
                <w:sz w:val="20"/>
                <w:szCs w:val="20"/>
                <w:color w:val="auto"/>
              </w:rPr>
            </w:pPr>
            <w:r>
              <w:rPr>
                <w:rFonts w:ascii="Arial" w:cs="Arial" w:eastAsia="Arial" w:hAnsi="Arial"/>
                <w:sz w:val="19"/>
                <w:szCs w:val="19"/>
                <w:color w:val="0000FF"/>
                <w:w w:val="99"/>
              </w:rPr>
              <w:t xml:space="preserve">165 </w:t>
            </w:r>
            <w:r>
              <w:rPr>
                <w:rFonts w:ascii="Arial" w:cs="Arial" w:eastAsia="Arial" w:hAnsi="Arial"/>
                <w:sz w:val="19"/>
                <w:szCs w:val="19"/>
                <w:color w:val="000000"/>
                <w:w w:val="99"/>
              </w:rPr>
              <w:t>Section</w:t>
            </w:r>
          </w:p>
        </w:tc>
        <w:tc>
          <w:tcPr>
            <w:tcW w:w="600" w:type="dxa"/>
            <w:vAlign w:val="bottom"/>
            <w:gridSpan w:val="2"/>
          </w:tcPr>
          <w:p>
            <w:pPr>
              <w:jc w:val="right"/>
              <w:ind w:right="86"/>
              <w:spacing w:after="0" w:line="196" w:lineRule="exact"/>
              <w:rPr>
                <w:sz w:val="20"/>
                <w:szCs w:val="20"/>
                <w:color w:val="auto"/>
              </w:rPr>
            </w:pPr>
            <w:r>
              <w:rPr>
                <w:rFonts w:ascii="Arial" w:cs="Arial" w:eastAsia="Arial" w:hAnsi="Arial"/>
                <w:sz w:val="19"/>
                <w:szCs w:val="19"/>
                <w:color w:val="auto"/>
                <w:w w:val="94"/>
              </w:rPr>
              <w:t>8.13.</w:t>
            </w:r>
          </w:p>
        </w:tc>
        <w:tc>
          <w:tcPr>
            <w:tcW w:w="0" w:type="dxa"/>
            <w:vAlign w:val="bottom"/>
          </w:tcPr>
          <w:p>
            <w:pPr>
              <w:spacing w:after="0"/>
              <w:rPr>
                <w:sz w:val="1"/>
                <w:szCs w:val="1"/>
                <w:color w:val="auto"/>
              </w:rPr>
            </w:pPr>
          </w:p>
        </w:tc>
      </w:tr>
      <w:tr>
        <w:trPr>
          <w:trHeight w:val="20"/>
        </w:trPr>
        <w:tc>
          <w:tcPr>
            <w:tcW w:w="1180" w:type="dxa"/>
            <w:vAlign w:val="bottom"/>
            <w:gridSpan w:val="7"/>
            <w:vMerge w:val="restart"/>
          </w:tcPr>
          <w:p>
            <w:pPr>
              <w:spacing w:after="0" w:line="203" w:lineRule="exact"/>
              <w:rPr>
                <w:sz w:val="20"/>
                <w:szCs w:val="20"/>
                <w:color w:val="auto"/>
              </w:rPr>
            </w:pPr>
            <w:r>
              <w:rPr>
                <w:rFonts w:ascii="Arial" w:cs="Arial" w:eastAsia="Arial" w:hAnsi="Arial"/>
                <w:sz w:val="19"/>
                <w:szCs w:val="19"/>
                <w:color w:val="auto"/>
                <w:w w:val="95"/>
              </w:rPr>
              <w:t>Administrative</w:t>
            </w:r>
          </w:p>
        </w:tc>
        <w:tc>
          <w:tcPr>
            <w:tcW w:w="2900" w:type="dxa"/>
            <w:vAlign w:val="bottom"/>
            <w:gridSpan w:val="35"/>
            <w:vMerge w:val="restart"/>
          </w:tcPr>
          <w:p>
            <w:pPr>
              <w:jc w:val="center"/>
              <w:ind w:right="46"/>
              <w:spacing w:after="0" w:line="203" w:lineRule="exact"/>
              <w:rPr>
                <w:sz w:val="20"/>
                <w:szCs w:val="20"/>
                <w:color w:val="auto"/>
              </w:rPr>
            </w:pPr>
            <w:r>
              <w:rPr>
                <w:rFonts w:ascii="Arial" w:cs="Arial" w:eastAsia="Arial" w:hAnsi="Arial"/>
                <w:sz w:val="19"/>
                <w:szCs w:val="19"/>
                <w:color w:val="auto"/>
              </w:rPr>
              <w:t>Agent May File Proofs of Claim</w:t>
            </w: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gridSpan w:val="9"/>
            <w:vMerge w:val="restart"/>
          </w:tcPr>
          <w:p>
            <w:pPr>
              <w:jc w:val="right"/>
              <w:ind w:right="266"/>
              <w:spacing w:after="0" w:line="203" w:lineRule="exact"/>
              <w:rPr>
                <w:sz w:val="20"/>
                <w:szCs w:val="20"/>
                <w:color w:val="auto"/>
              </w:rPr>
            </w:pPr>
            <w:r>
              <w:rPr>
                <w:rFonts w:ascii="Arial" w:cs="Arial" w:eastAsia="Arial" w:hAnsi="Arial"/>
                <w:sz w:val="19"/>
                <w:szCs w:val="19"/>
                <w:color w:val="auto"/>
                <w:w w:val="82"/>
              </w:rPr>
              <w:t>Section 8.14.</w:t>
            </w:r>
          </w:p>
        </w:tc>
        <w:tc>
          <w:tcPr>
            <w:tcW w:w="1660" w:type="dxa"/>
            <w:vAlign w:val="bottom"/>
            <w:gridSpan w:val="6"/>
            <w:vMerge w:val="restart"/>
          </w:tcPr>
          <w:p>
            <w:pPr>
              <w:ind w:left="20"/>
              <w:spacing w:after="0" w:line="203" w:lineRule="exact"/>
              <w:rPr>
                <w:sz w:val="20"/>
                <w:szCs w:val="20"/>
                <w:color w:val="auto"/>
              </w:rPr>
            </w:pPr>
            <w:r>
              <w:rPr>
                <w:rFonts w:ascii="Arial" w:cs="Arial" w:eastAsia="Arial" w:hAnsi="Arial"/>
                <w:sz w:val="19"/>
                <w:szCs w:val="19"/>
                <w:color w:val="auto"/>
                <w:w w:val="91"/>
              </w:rPr>
              <w:t>Erroneous Payments</w:t>
            </w:r>
          </w:p>
        </w:tc>
        <w:tc>
          <w:tcPr>
            <w:tcW w:w="20" w:type="dxa"/>
            <w:vAlign w:val="bottom"/>
            <w:shd w:val="clear" w:color="auto" w:fill="FF0000"/>
          </w:tcPr>
          <w:p>
            <w:pPr>
              <w:spacing w:after="0" w:line="20" w:lineRule="exact"/>
              <w:rPr>
                <w:sz w:val="1"/>
                <w:szCs w:val="1"/>
                <w:color w:val="auto"/>
              </w:rPr>
            </w:pPr>
          </w:p>
        </w:tc>
        <w:tc>
          <w:tcPr>
            <w:tcW w:w="220" w:type="dxa"/>
            <w:vAlign w:val="bottom"/>
            <w:shd w:val="clear" w:color="auto" w:fill="FF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jc w:val="right"/>
              <w:spacing w:after="0" w:line="203" w:lineRule="exact"/>
              <w:rPr>
                <w:sz w:val="20"/>
                <w:szCs w:val="20"/>
                <w:color w:val="auto"/>
              </w:rPr>
            </w:pPr>
            <w:r>
              <w:rPr>
                <w:rFonts w:ascii="Arial" w:cs="Arial" w:eastAsia="Arial" w:hAnsi="Arial"/>
                <w:sz w:val="19"/>
                <w:szCs w:val="19"/>
                <w:color w:val="FF0000"/>
                <w:strike w:val="1"/>
                <w:w w:val="75"/>
              </w:rPr>
              <w:t>165</w:t>
            </w: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40" w:type="dxa"/>
            <w:vAlign w:val="bottom"/>
            <w:gridSpan w:val="4"/>
            <w:vMerge w:val="restart"/>
          </w:tcPr>
          <w:p>
            <w:pPr>
              <w:ind w:left="120"/>
              <w:spacing w:after="0" w:line="203" w:lineRule="exact"/>
              <w:rPr>
                <w:sz w:val="20"/>
                <w:szCs w:val="20"/>
                <w:color w:val="auto"/>
              </w:rPr>
            </w:pPr>
            <w:r>
              <w:rPr>
                <w:rFonts w:ascii="Arial" w:cs="Arial" w:eastAsia="Arial" w:hAnsi="Arial"/>
                <w:sz w:val="19"/>
                <w:szCs w:val="19"/>
                <w:color w:val="auto"/>
                <w:w w:val="94"/>
              </w:rPr>
              <w:t>Section</w:t>
            </w:r>
          </w:p>
        </w:tc>
        <w:tc>
          <w:tcPr>
            <w:tcW w:w="600" w:type="dxa"/>
            <w:vAlign w:val="bottom"/>
            <w:gridSpan w:val="2"/>
            <w:vMerge w:val="restart"/>
          </w:tcPr>
          <w:p>
            <w:pPr>
              <w:jc w:val="right"/>
              <w:ind w:right="86"/>
              <w:spacing w:after="0" w:line="203" w:lineRule="exact"/>
              <w:rPr>
                <w:sz w:val="20"/>
                <w:szCs w:val="20"/>
                <w:color w:val="auto"/>
              </w:rPr>
            </w:pPr>
            <w:r>
              <w:rPr>
                <w:rFonts w:ascii="Arial" w:cs="Arial" w:eastAsia="Arial" w:hAnsi="Arial"/>
                <w:sz w:val="19"/>
                <w:szCs w:val="19"/>
                <w:color w:val="auto"/>
                <w:w w:val="94"/>
              </w:rPr>
              <w:t>8.15.</w:t>
            </w:r>
          </w:p>
        </w:tc>
        <w:tc>
          <w:tcPr>
            <w:tcW w:w="0" w:type="dxa"/>
            <w:vAlign w:val="bottom"/>
          </w:tcPr>
          <w:p>
            <w:pPr>
              <w:spacing w:after="0" w:line="20" w:lineRule="exact"/>
              <w:rPr>
                <w:sz w:val="1"/>
                <w:szCs w:val="1"/>
                <w:color w:val="auto"/>
              </w:rPr>
            </w:pPr>
          </w:p>
        </w:tc>
      </w:tr>
      <w:tr>
        <w:trPr>
          <w:trHeight w:val="183"/>
        </w:trPr>
        <w:tc>
          <w:tcPr>
            <w:tcW w:w="1180" w:type="dxa"/>
            <w:vAlign w:val="bottom"/>
            <w:gridSpan w:val="7"/>
            <w:vMerge w:val="continue"/>
          </w:tcPr>
          <w:p>
            <w:pPr>
              <w:spacing w:after="0"/>
              <w:rPr>
                <w:sz w:val="15"/>
                <w:szCs w:val="15"/>
                <w:color w:val="auto"/>
              </w:rPr>
            </w:pPr>
          </w:p>
        </w:tc>
        <w:tc>
          <w:tcPr>
            <w:tcW w:w="2900" w:type="dxa"/>
            <w:vAlign w:val="bottom"/>
            <w:gridSpan w:val="35"/>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gridSpan w:val="5"/>
          </w:tcPr>
          <w:p>
            <w:pPr>
              <w:jc w:val="right"/>
              <w:ind w:right="86"/>
              <w:spacing w:after="0" w:line="183" w:lineRule="exact"/>
              <w:rPr>
                <w:sz w:val="20"/>
                <w:szCs w:val="20"/>
                <w:color w:val="auto"/>
              </w:rPr>
            </w:pPr>
            <w:r>
              <w:rPr>
                <w:rFonts w:ascii="Arial" w:cs="Arial" w:eastAsia="Arial" w:hAnsi="Arial"/>
                <w:sz w:val="19"/>
                <w:szCs w:val="19"/>
                <w:color w:val="auto"/>
              </w:rPr>
              <w:t>165</w:t>
            </w:r>
          </w:p>
        </w:tc>
        <w:tc>
          <w:tcPr>
            <w:tcW w:w="1300" w:type="dxa"/>
            <w:vAlign w:val="bottom"/>
            <w:gridSpan w:val="9"/>
            <w:vMerge w:val="continue"/>
          </w:tcPr>
          <w:p>
            <w:pPr>
              <w:spacing w:after="0"/>
              <w:rPr>
                <w:sz w:val="15"/>
                <w:szCs w:val="15"/>
                <w:color w:val="auto"/>
              </w:rPr>
            </w:pPr>
          </w:p>
        </w:tc>
        <w:tc>
          <w:tcPr>
            <w:tcW w:w="1660" w:type="dxa"/>
            <w:vAlign w:val="bottom"/>
            <w:gridSpan w:val="6"/>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gridSpan w:val="2"/>
          </w:tcPr>
          <w:p>
            <w:pPr>
              <w:spacing w:after="0"/>
              <w:rPr>
                <w:sz w:val="20"/>
                <w:szCs w:val="20"/>
                <w:color w:val="auto"/>
              </w:rPr>
            </w:pPr>
            <w:r>
              <w:rPr>
                <w:rFonts w:ascii="Arial" w:cs="Arial" w:eastAsia="Arial" w:hAnsi="Arial"/>
                <w:sz w:val="10"/>
                <w:szCs w:val="10"/>
                <w:color w:val="0000FF"/>
                <w:w w:val="71"/>
              </w:rPr>
              <w:t>166</w:t>
            </w:r>
          </w:p>
        </w:tc>
        <w:tc>
          <w:tcPr>
            <w:tcW w:w="740" w:type="dxa"/>
            <w:vAlign w:val="bottom"/>
            <w:gridSpan w:val="4"/>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00" w:type="dxa"/>
            <w:vAlign w:val="bottom"/>
            <w:gridSpan w:val="41"/>
            <w:vMerge w:val="restart"/>
          </w:tcPr>
          <w:p>
            <w:pPr>
              <w:spacing w:after="0" w:line="203" w:lineRule="exact"/>
              <w:rPr>
                <w:sz w:val="20"/>
                <w:szCs w:val="20"/>
                <w:color w:val="auto"/>
              </w:rPr>
            </w:pPr>
            <w:r>
              <w:rPr>
                <w:rFonts w:ascii="Arial" w:cs="Arial" w:eastAsia="Arial" w:hAnsi="Arial"/>
                <w:sz w:val="19"/>
                <w:szCs w:val="19"/>
                <w:color w:val="auto"/>
                <w:w w:val="88"/>
              </w:rPr>
              <w:t>Banking Services Obligations and Secured Hedging</w:t>
            </w: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460" w:type="dxa"/>
            <w:vAlign w:val="bottom"/>
            <w:tcBorders>
              <w:left w:val="single" w:sz="8" w:color="auto"/>
            </w:tcBorders>
            <w:gridSpan w:val="3"/>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right w:val="single" w:sz="8" w:color="FF0000"/>
            </w:tcBorders>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20" w:type="dxa"/>
            <w:vAlign w:val="bottom"/>
            <w:shd w:val="clear" w:color="auto" w:fill="FF0000"/>
          </w:tcPr>
          <w:p>
            <w:pPr>
              <w:spacing w:after="0" w:line="20" w:lineRule="exact"/>
              <w:rPr>
                <w:sz w:val="1"/>
                <w:szCs w:val="1"/>
                <w:color w:val="auto"/>
              </w:rPr>
            </w:pPr>
          </w:p>
        </w:tc>
        <w:tc>
          <w:tcPr>
            <w:tcW w:w="220" w:type="dxa"/>
            <w:vAlign w:val="bottom"/>
            <w:shd w:val="clear" w:color="auto" w:fill="FF0000"/>
          </w:tcPr>
          <w:p>
            <w:pPr>
              <w:spacing w:after="0" w:line="20" w:lineRule="exact"/>
              <w:rPr>
                <w:sz w:val="1"/>
                <w:szCs w:val="1"/>
                <w:color w:val="auto"/>
              </w:rPr>
            </w:pPr>
          </w:p>
        </w:tc>
        <w:tc>
          <w:tcPr>
            <w:tcW w:w="20" w:type="dxa"/>
            <w:vAlign w:val="bottom"/>
            <w:shd w:val="clear" w:color="auto" w:fill="FF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00" w:type="dxa"/>
            <w:vAlign w:val="bottom"/>
            <w:gridSpan w:val="41"/>
            <w:vMerge w:val="continue"/>
          </w:tcPr>
          <w:p>
            <w:pPr>
              <w:spacing w:after="0"/>
              <w:rPr>
                <w:sz w:val="15"/>
                <w:szCs w:val="15"/>
                <w:color w:val="auto"/>
              </w:rPr>
            </w:pPr>
          </w:p>
        </w:tc>
        <w:tc>
          <w:tcPr>
            <w:tcW w:w="1000" w:type="dxa"/>
            <w:vAlign w:val="bottom"/>
            <w:gridSpan w:val="8"/>
          </w:tcPr>
          <w:p>
            <w:pPr>
              <w:jc w:val="right"/>
              <w:spacing w:after="0" w:line="183" w:lineRule="exact"/>
              <w:rPr>
                <w:sz w:val="20"/>
                <w:szCs w:val="20"/>
                <w:color w:val="auto"/>
              </w:rPr>
            </w:pPr>
            <w:r>
              <w:rPr>
                <w:rFonts w:ascii="Arial" w:cs="Arial" w:eastAsia="Arial" w:hAnsi="Arial"/>
                <w:sz w:val="19"/>
                <w:szCs w:val="19"/>
                <w:color w:val="auto"/>
                <w:w w:val="98"/>
              </w:rPr>
              <w:t>Obligations</w:t>
            </w:r>
          </w:p>
        </w:tc>
        <w:tc>
          <w:tcPr>
            <w:tcW w:w="280" w:type="dxa"/>
            <w:vAlign w:val="bottom"/>
            <w:gridSpan w:val="2"/>
          </w:tcPr>
          <w:p>
            <w:pPr>
              <w:jc w:val="center"/>
              <w:spacing w:after="0" w:line="183" w:lineRule="exact"/>
              <w:rPr>
                <w:sz w:val="20"/>
                <w:szCs w:val="20"/>
                <w:color w:val="auto"/>
              </w:rPr>
            </w:pPr>
            <w:r>
              <w:rPr>
                <w:rFonts w:ascii="Arial" w:cs="Arial" w:eastAsia="Arial" w:hAnsi="Arial"/>
                <w:sz w:val="19"/>
                <w:szCs w:val="19"/>
                <w:color w:val="FF0000"/>
                <w:strike w:val="1"/>
                <w:w w:val="88"/>
              </w:rPr>
              <w:t>167</w:t>
            </w:r>
          </w:p>
        </w:tc>
        <w:tc>
          <w:tcPr>
            <w:tcW w:w="300" w:type="dxa"/>
            <w:vAlign w:val="bottom"/>
            <w:tcBorders>
              <w:bottom w:val="single" w:sz="8" w:color="0000FF"/>
            </w:tcBorders>
            <w:gridSpan w:val="2"/>
          </w:tcPr>
          <w:p>
            <w:pPr>
              <w:jc w:val="right"/>
              <w:spacing w:after="0" w:line="183" w:lineRule="exact"/>
              <w:rPr>
                <w:sz w:val="20"/>
                <w:szCs w:val="20"/>
                <w:color w:val="auto"/>
              </w:rPr>
            </w:pPr>
            <w:r>
              <w:rPr>
                <w:rFonts w:ascii="Arial" w:cs="Arial" w:eastAsia="Arial" w:hAnsi="Arial"/>
                <w:sz w:val="19"/>
                <w:szCs w:val="19"/>
                <w:color w:val="0000FF"/>
                <w:w w:val="88"/>
              </w:rPr>
              <w:t>168</w:t>
            </w:r>
          </w:p>
        </w:tc>
        <w:tc>
          <w:tcPr>
            <w:tcW w:w="3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0"/>
        </w:trPr>
        <w:tc>
          <w:tcPr>
            <w:tcW w:w="10200" w:type="dxa"/>
            <w:vAlign w:val="bottom"/>
            <w:gridSpan w:val="78"/>
          </w:tcPr>
          <w:p>
            <w:pPr>
              <w:spacing w:after="0"/>
              <w:rPr>
                <w:sz w:val="20"/>
                <w:szCs w:val="20"/>
                <w:color w:val="auto"/>
              </w:rPr>
            </w:pPr>
            <w:r>
              <w:rPr>
                <w:rFonts w:ascii="Arial" w:cs="Arial" w:eastAsia="Arial" w:hAnsi="Arial"/>
                <w:sz w:val="19"/>
                <w:szCs w:val="19"/>
                <w:color w:val="auto"/>
              </w:rPr>
              <w:t>ARTICLE 9</w:t>
            </w:r>
          </w:p>
        </w:tc>
        <w:tc>
          <w:tcPr>
            <w:tcW w:w="0" w:type="dxa"/>
            <w:vAlign w:val="bottom"/>
          </w:tcPr>
          <w:p>
            <w:pPr>
              <w:spacing w:after="0"/>
              <w:rPr>
                <w:sz w:val="1"/>
                <w:szCs w:val="1"/>
                <w:color w:val="auto"/>
              </w:rPr>
            </w:pPr>
          </w:p>
        </w:tc>
      </w:tr>
      <w:tr>
        <w:trPr>
          <w:trHeight w:val="405"/>
        </w:trPr>
        <w:tc>
          <w:tcPr>
            <w:tcW w:w="10200" w:type="dxa"/>
            <w:vAlign w:val="bottom"/>
            <w:gridSpan w:val="78"/>
          </w:tcPr>
          <w:p>
            <w:pPr>
              <w:spacing w:after="0"/>
              <w:rPr>
                <w:sz w:val="20"/>
                <w:szCs w:val="20"/>
                <w:color w:val="auto"/>
              </w:rPr>
            </w:pPr>
            <w:r>
              <w:rPr>
                <w:rFonts w:ascii="Arial" w:cs="Arial" w:eastAsia="Arial" w:hAnsi="Arial"/>
                <w:sz w:val="19"/>
                <w:szCs w:val="19"/>
                <w:color w:val="auto"/>
              </w:rPr>
              <w:t>MISCELLANEOUS</w:t>
            </w:r>
          </w:p>
        </w:tc>
        <w:tc>
          <w:tcPr>
            <w:tcW w:w="0" w:type="dxa"/>
            <w:vAlign w:val="bottom"/>
          </w:tcPr>
          <w:p>
            <w:pPr>
              <w:spacing w:after="0"/>
              <w:rPr>
                <w:sz w:val="1"/>
                <w:szCs w:val="1"/>
                <w:color w:val="auto"/>
              </w:rPr>
            </w:pPr>
          </w:p>
        </w:tc>
      </w:tr>
      <w:tr>
        <w:trPr>
          <w:trHeight w:val="282"/>
        </w:trPr>
        <w:tc>
          <w:tcPr>
            <w:tcW w:w="1180" w:type="dxa"/>
            <w:vAlign w:val="bottom"/>
            <w:gridSpan w:val="7"/>
          </w:tcPr>
          <w:p>
            <w:pPr>
              <w:spacing w:after="0"/>
              <w:rPr>
                <w:sz w:val="20"/>
                <w:szCs w:val="20"/>
                <w:color w:val="auto"/>
              </w:rPr>
            </w:pPr>
            <w:r>
              <w:rPr>
                <w:rFonts w:ascii="Arial" w:cs="Arial" w:eastAsia="Arial" w:hAnsi="Arial"/>
                <w:sz w:val="19"/>
                <w:szCs w:val="19"/>
                <w:color w:val="auto"/>
              </w:rPr>
              <w:t>Section 9.01.</w:t>
            </w:r>
          </w:p>
        </w:tc>
        <w:tc>
          <w:tcPr>
            <w:tcW w:w="700" w:type="dxa"/>
            <w:vAlign w:val="bottom"/>
            <w:gridSpan w:val="4"/>
          </w:tcPr>
          <w:p>
            <w:pPr>
              <w:spacing w:after="0"/>
              <w:rPr>
                <w:sz w:val="20"/>
                <w:szCs w:val="20"/>
                <w:color w:val="auto"/>
              </w:rPr>
            </w:pPr>
            <w:r>
              <w:rPr>
                <w:rFonts w:ascii="Arial" w:cs="Arial" w:eastAsia="Arial" w:hAnsi="Arial"/>
                <w:sz w:val="19"/>
                <w:szCs w:val="19"/>
                <w:color w:val="auto"/>
              </w:rPr>
              <w:t>Notices</w:t>
            </w:r>
          </w:p>
        </w:tc>
        <w:tc>
          <w:tcPr>
            <w:tcW w:w="280" w:type="dxa"/>
            <w:vAlign w:val="bottom"/>
            <w:gridSpan w:val="4"/>
          </w:tcPr>
          <w:p>
            <w:pPr>
              <w:spacing w:after="0"/>
              <w:rPr>
                <w:sz w:val="20"/>
                <w:szCs w:val="20"/>
                <w:color w:val="auto"/>
              </w:rPr>
            </w:pPr>
            <w:r>
              <w:rPr>
                <w:rFonts w:ascii="Arial" w:cs="Arial" w:eastAsia="Arial" w:hAnsi="Arial"/>
                <w:sz w:val="19"/>
                <w:szCs w:val="19"/>
                <w:color w:val="FF0000"/>
                <w:strike w:val="1"/>
                <w:w w:val="81"/>
              </w:rPr>
              <w:t>167</w:t>
            </w:r>
          </w:p>
        </w:tc>
        <w:tc>
          <w:tcPr>
            <w:tcW w:w="280" w:type="dxa"/>
            <w:vAlign w:val="bottom"/>
            <w:tcBorders>
              <w:bottom w:val="single" w:sz="8" w:color="0000FF"/>
            </w:tcBorders>
            <w:gridSpan w:val="5"/>
          </w:tcPr>
          <w:p>
            <w:pPr>
              <w:jc w:val="center"/>
              <w:spacing w:after="0"/>
              <w:rPr>
                <w:sz w:val="20"/>
                <w:szCs w:val="20"/>
                <w:color w:val="auto"/>
              </w:rPr>
            </w:pPr>
            <w:r>
              <w:rPr>
                <w:rFonts w:ascii="Arial" w:cs="Arial" w:eastAsia="Arial" w:hAnsi="Arial"/>
                <w:sz w:val="19"/>
                <w:szCs w:val="19"/>
                <w:color w:val="0000FF"/>
                <w:w w:val="88"/>
              </w:rPr>
              <w:t>168</w:t>
            </w:r>
          </w:p>
        </w:tc>
        <w:tc>
          <w:tcPr>
            <w:tcW w:w="7760" w:type="dxa"/>
            <w:vAlign w:val="bottom"/>
            <w:gridSpan w:val="5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80" w:type="dxa"/>
            <w:vAlign w:val="bottom"/>
            <w:gridSpan w:val="7"/>
          </w:tcPr>
          <w:p>
            <w:pPr>
              <w:spacing w:after="0" w:line="196" w:lineRule="exact"/>
              <w:rPr>
                <w:sz w:val="20"/>
                <w:szCs w:val="20"/>
                <w:color w:val="auto"/>
              </w:rPr>
            </w:pPr>
            <w:r>
              <w:rPr>
                <w:rFonts w:ascii="Arial" w:cs="Arial" w:eastAsia="Arial" w:hAnsi="Arial"/>
                <w:sz w:val="19"/>
                <w:szCs w:val="19"/>
                <w:color w:val="auto"/>
              </w:rPr>
              <w:t>Section 9.02.</w:t>
            </w:r>
          </w:p>
        </w:tc>
        <w:tc>
          <w:tcPr>
            <w:tcW w:w="1680" w:type="dxa"/>
            <w:vAlign w:val="bottom"/>
            <w:gridSpan w:val="21"/>
          </w:tcPr>
          <w:p>
            <w:pPr>
              <w:spacing w:after="0" w:line="196" w:lineRule="exact"/>
              <w:rPr>
                <w:sz w:val="20"/>
                <w:szCs w:val="20"/>
                <w:color w:val="auto"/>
              </w:rPr>
            </w:pPr>
            <w:r>
              <w:rPr>
                <w:rFonts w:ascii="Arial" w:cs="Arial" w:eastAsia="Arial" w:hAnsi="Arial"/>
                <w:sz w:val="19"/>
                <w:szCs w:val="19"/>
                <w:color w:val="auto"/>
                <w:w w:val="86"/>
              </w:rPr>
              <w:t>Waivers; Amendments</w:t>
            </w:r>
          </w:p>
        </w:tc>
        <w:tc>
          <w:tcPr>
            <w:tcW w:w="12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gridSpan w:val="3"/>
          </w:tcPr>
          <w:p>
            <w:pPr>
              <w:jc w:val="right"/>
              <w:spacing w:after="0" w:line="196" w:lineRule="exact"/>
              <w:rPr>
                <w:sz w:val="20"/>
                <w:szCs w:val="20"/>
                <w:color w:val="auto"/>
              </w:rPr>
            </w:pPr>
            <w:r>
              <w:rPr>
                <w:rFonts w:ascii="Arial" w:cs="Arial" w:eastAsia="Arial" w:hAnsi="Arial"/>
                <w:sz w:val="19"/>
                <w:szCs w:val="19"/>
                <w:color w:val="FF0000"/>
                <w:strike w:val="1"/>
                <w:w w:val="88"/>
              </w:rPr>
              <w:t>170</w:t>
            </w:r>
          </w:p>
        </w:tc>
        <w:tc>
          <w:tcPr>
            <w:tcW w:w="1580" w:type="dxa"/>
            <w:vAlign w:val="bottom"/>
            <w:gridSpan w:val="15"/>
          </w:tcPr>
          <w:p>
            <w:pPr>
              <w:jc w:val="right"/>
              <w:ind w:right="166"/>
              <w:spacing w:after="0" w:line="196" w:lineRule="exact"/>
              <w:rPr>
                <w:sz w:val="20"/>
                <w:szCs w:val="20"/>
                <w:color w:val="auto"/>
              </w:rPr>
            </w:pPr>
            <w:r>
              <w:rPr>
                <w:rFonts w:ascii="Arial" w:cs="Arial" w:eastAsia="Arial" w:hAnsi="Arial"/>
                <w:sz w:val="19"/>
                <w:szCs w:val="19"/>
                <w:color w:val="0000FF"/>
                <w:w w:val="87"/>
              </w:rPr>
              <w:t xml:space="preserve">171 </w:t>
            </w:r>
            <w:r>
              <w:rPr>
                <w:rFonts w:ascii="Arial" w:cs="Arial" w:eastAsia="Arial" w:hAnsi="Arial"/>
                <w:sz w:val="19"/>
                <w:szCs w:val="19"/>
                <w:color w:val="000000"/>
                <w:w w:val="87"/>
              </w:rPr>
              <w:t>Section 9.03.</w:t>
            </w:r>
          </w:p>
        </w:tc>
        <w:tc>
          <w:tcPr>
            <w:tcW w:w="2100" w:type="dxa"/>
            <w:vAlign w:val="bottom"/>
            <w:gridSpan w:val="12"/>
          </w:tcPr>
          <w:p>
            <w:pPr>
              <w:spacing w:after="0" w:line="196" w:lineRule="exact"/>
              <w:rPr>
                <w:sz w:val="20"/>
                <w:szCs w:val="20"/>
                <w:color w:val="auto"/>
              </w:rPr>
            </w:pPr>
            <w:r>
              <w:rPr>
                <w:rFonts w:ascii="Arial" w:cs="Arial" w:eastAsia="Arial" w:hAnsi="Arial"/>
                <w:sz w:val="19"/>
                <w:szCs w:val="19"/>
                <w:color w:val="auto"/>
              </w:rPr>
              <w:t>Expenses; Indemnity</w:t>
            </w:r>
          </w:p>
        </w:tc>
        <w:tc>
          <w:tcPr>
            <w:tcW w:w="260" w:type="dxa"/>
            <w:vAlign w:val="bottom"/>
          </w:tcPr>
          <w:p>
            <w:pPr>
              <w:spacing w:after="0"/>
              <w:rPr>
                <w:sz w:val="17"/>
                <w:szCs w:val="17"/>
                <w:color w:val="auto"/>
              </w:rPr>
            </w:pPr>
          </w:p>
        </w:tc>
        <w:tc>
          <w:tcPr>
            <w:tcW w:w="2940" w:type="dxa"/>
            <w:vAlign w:val="bottom"/>
            <w:gridSpan w:val="16"/>
          </w:tcPr>
          <w:p>
            <w:pPr>
              <w:jc w:val="right"/>
              <w:ind w:right="146"/>
              <w:spacing w:after="0" w:line="196" w:lineRule="exact"/>
              <w:rPr>
                <w:sz w:val="20"/>
                <w:szCs w:val="20"/>
                <w:color w:val="auto"/>
              </w:rPr>
            </w:pPr>
            <w:r>
              <w:rPr>
                <w:rFonts w:ascii="Arial" w:cs="Arial" w:eastAsia="Arial" w:hAnsi="Arial"/>
                <w:sz w:val="19"/>
                <w:szCs w:val="19"/>
                <w:color w:val="auto"/>
                <w:w w:val="93"/>
              </w:rPr>
              <w:t>179 Section 9.04. Waiver of Claim</w:t>
            </w: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line="203" w:lineRule="exact"/>
              <w:rPr>
                <w:sz w:val="20"/>
                <w:szCs w:val="20"/>
                <w:color w:val="auto"/>
              </w:rPr>
            </w:pPr>
            <w:r>
              <w:rPr>
                <w:rFonts w:ascii="Arial" w:cs="Arial" w:eastAsia="Arial" w:hAnsi="Arial"/>
                <w:sz w:val="19"/>
                <w:szCs w:val="19"/>
                <w:color w:val="FF0000"/>
                <w:strike w:val="1"/>
                <w:w w:val="81"/>
              </w:rPr>
              <w:t>180</w:t>
            </w:r>
          </w:p>
        </w:tc>
        <w:tc>
          <w:tcPr>
            <w:tcW w:w="1600" w:type="dxa"/>
            <w:vAlign w:val="bottom"/>
            <w:gridSpan w:val="10"/>
            <w:vMerge w:val="restart"/>
          </w:tcPr>
          <w:p>
            <w:pPr>
              <w:jc w:val="center"/>
              <w:ind w:right="280"/>
              <w:spacing w:after="0" w:line="203" w:lineRule="exact"/>
              <w:rPr>
                <w:sz w:val="20"/>
                <w:szCs w:val="20"/>
                <w:color w:val="auto"/>
              </w:rPr>
            </w:pPr>
            <w:r>
              <w:rPr>
                <w:rFonts w:ascii="Arial" w:cs="Arial" w:eastAsia="Arial" w:hAnsi="Arial"/>
                <w:sz w:val="19"/>
                <w:szCs w:val="19"/>
                <w:color w:val="0000FF"/>
                <w:w w:val="89"/>
              </w:rPr>
              <w:t xml:space="preserve">181 </w:t>
            </w:r>
            <w:r>
              <w:rPr>
                <w:rFonts w:ascii="Arial" w:cs="Arial" w:eastAsia="Arial" w:hAnsi="Arial"/>
                <w:sz w:val="19"/>
                <w:szCs w:val="19"/>
                <w:color w:val="000000"/>
                <w:w w:val="89"/>
              </w:rPr>
              <w:t>Section 9.05.</w:t>
            </w:r>
          </w:p>
        </w:tc>
        <w:tc>
          <w:tcPr>
            <w:tcW w:w="980" w:type="dxa"/>
            <w:vAlign w:val="bottom"/>
            <w:gridSpan w:val="17"/>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80" w:type="dxa"/>
            <w:vAlign w:val="bottom"/>
            <w:gridSpan w:val="2"/>
            <w:vMerge w:val="restart"/>
          </w:tcPr>
          <w:p>
            <w:pPr>
              <w:spacing w:after="0" w:line="203" w:lineRule="exact"/>
              <w:rPr>
                <w:sz w:val="20"/>
                <w:szCs w:val="20"/>
                <w:color w:val="auto"/>
              </w:rPr>
            </w:pPr>
            <w:r>
              <w:rPr>
                <w:rFonts w:ascii="Arial" w:cs="Arial" w:eastAsia="Arial" w:hAnsi="Arial"/>
                <w:sz w:val="19"/>
                <w:szCs w:val="19"/>
                <w:color w:val="auto"/>
              </w:rPr>
              <w:t>181</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0" w:type="dxa"/>
            <w:vAlign w:val="bottom"/>
            <w:vMerge w:val="continue"/>
          </w:tcPr>
          <w:p>
            <w:pPr>
              <w:spacing w:after="0"/>
              <w:rPr>
                <w:sz w:val="15"/>
                <w:szCs w:val="15"/>
                <w:color w:val="auto"/>
              </w:rPr>
            </w:pPr>
          </w:p>
        </w:tc>
        <w:tc>
          <w:tcPr>
            <w:tcW w:w="1600" w:type="dxa"/>
            <w:vAlign w:val="bottom"/>
            <w:gridSpan w:val="10"/>
            <w:vMerge w:val="continue"/>
          </w:tcPr>
          <w:p>
            <w:pPr>
              <w:spacing w:after="0"/>
              <w:rPr>
                <w:sz w:val="15"/>
                <w:szCs w:val="15"/>
                <w:color w:val="auto"/>
              </w:rPr>
            </w:pPr>
          </w:p>
        </w:tc>
        <w:tc>
          <w:tcPr>
            <w:tcW w:w="1140" w:type="dxa"/>
            <w:vAlign w:val="bottom"/>
            <w:gridSpan w:val="20"/>
          </w:tcPr>
          <w:p>
            <w:pPr>
              <w:spacing w:after="0" w:line="183" w:lineRule="exact"/>
              <w:rPr>
                <w:sz w:val="20"/>
                <w:szCs w:val="20"/>
                <w:color w:val="auto"/>
              </w:rPr>
            </w:pPr>
            <w:r>
              <w:rPr>
                <w:rFonts w:ascii="Arial" w:cs="Arial" w:eastAsia="Arial" w:hAnsi="Arial"/>
                <w:sz w:val="19"/>
                <w:szCs w:val="19"/>
                <w:color w:val="auto"/>
                <w:w w:val="82"/>
              </w:rPr>
              <w:t>Successors and</w:t>
            </w:r>
          </w:p>
        </w:tc>
        <w:tc>
          <w:tcPr>
            <w:tcW w:w="580" w:type="dxa"/>
            <w:vAlign w:val="bottom"/>
            <w:gridSpan w:val="6"/>
          </w:tcPr>
          <w:p>
            <w:pPr>
              <w:ind w:left="60"/>
              <w:spacing w:after="0" w:line="183" w:lineRule="exact"/>
              <w:rPr>
                <w:sz w:val="20"/>
                <w:szCs w:val="20"/>
                <w:color w:val="auto"/>
              </w:rPr>
            </w:pPr>
            <w:r>
              <w:rPr>
                <w:rFonts w:ascii="Arial" w:cs="Arial" w:eastAsia="Arial" w:hAnsi="Arial"/>
                <w:sz w:val="19"/>
                <w:szCs w:val="19"/>
                <w:color w:val="auto"/>
                <w:w w:val="75"/>
              </w:rPr>
              <w:t>Assigns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60" w:type="dxa"/>
            <w:vAlign w:val="bottom"/>
            <w:tcBorders>
              <w:right w:val="single" w:sz="8" w:color="auto"/>
            </w:tcBorders>
            <w:gridSpan w:val="43"/>
          </w:tcPr>
          <w:p>
            <w:pPr>
              <w:spacing w:after="0" w:line="20" w:lineRule="exact"/>
              <w:rPr>
                <w:sz w:val="1"/>
                <w:szCs w:val="1"/>
                <w:color w:val="auto"/>
              </w:rPr>
            </w:pPr>
          </w:p>
        </w:tc>
        <w:tc>
          <w:tcPr>
            <w:tcW w:w="6040" w:type="dxa"/>
            <w:vAlign w:val="bottom"/>
            <w:gridSpan w:val="3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-1122045</wp:posOffset>
            </wp:positionV>
            <wp:extent cx="336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40" w:top="164" w:right="1259" w:bottom="1440" w:gutter="0" w:footer="0" w:header="0"/>
        </w:sectPr>
      </w:pPr>
    </w:p>
    <w:bookmarkStart w:id="65" w:name="page66"/>
    <w:bookmarkEnd w:id="65"/>
    <w:tbl>
      <w:tblPr>
        <w:tblLayout w:type="fixed"/>
        <w:tblInd w:w="100" w:type="dxa"/>
        <w:tblCellMar>
          <w:top w:w="0" w:type="dxa"/>
          <w:left w:w="0" w:type="dxa"/>
          <w:bottom w:w="0" w:type="dxa"/>
          <w:right w:w="0" w:type="dxa"/>
        </w:tblCellMar>
      </w:tblPr>
      <w:tr>
        <w:trPr>
          <w:trHeight w:val="218"/>
        </w:trPr>
        <w:tc>
          <w:tcPr>
            <w:tcW w:w="1840" w:type="dxa"/>
            <w:vAlign w:val="bottom"/>
            <w:gridSpan w:val="8"/>
          </w:tcPr>
          <w:p>
            <w:pPr>
              <w:spacing w:after="0"/>
              <w:rPr>
                <w:sz w:val="20"/>
                <w:szCs w:val="20"/>
                <w:color w:val="auto"/>
              </w:rPr>
            </w:pPr>
            <w:r>
              <w:rPr>
                <w:rFonts w:ascii="Arial" w:cs="Arial" w:eastAsia="Arial" w:hAnsi="Arial"/>
                <w:sz w:val="19"/>
                <w:szCs w:val="19"/>
                <w:color w:val="auto"/>
                <w:w w:val="96"/>
              </w:rPr>
              <w:t>Section 9.06.  Survival</w:t>
            </w:r>
          </w:p>
        </w:tc>
        <w:tc>
          <w:tcPr>
            <w:tcW w:w="8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9"/>
                <w:szCs w:val="19"/>
                <w:color w:val="FF0000"/>
                <w:strike w:val="1"/>
                <w:w w:val="94"/>
              </w:rPr>
              <w:t>189</w:t>
            </w:r>
          </w:p>
        </w:tc>
        <w:tc>
          <w:tcPr>
            <w:tcW w:w="1340" w:type="dxa"/>
            <w:vAlign w:val="bottom"/>
            <w:gridSpan w:val="10"/>
          </w:tcPr>
          <w:p>
            <w:pPr>
              <w:spacing w:after="0"/>
              <w:rPr>
                <w:sz w:val="20"/>
                <w:szCs w:val="20"/>
                <w:color w:val="auto"/>
              </w:rPr>
            </w:pPr>
            <w:r>
              <w:rPr>
                <w:rFonts w:ascii="Arial" w:cs="Arial" w:eastAsia="Arial" w:hAnsi="Arial"/>
                <w:sz w:val="19"/>
                <w:szCs w:val="19"/>
                <w:color w:val="0000FF"/>
                <w:w w:val="89"/>
              </w:rPr>
              <w:t xml:space="preserve">190 </w:t>
            </w:r>
            <w:r>
              <w:rPr>
                <w:rFonts w:ascii="Arial" w:cs="Arial" w:eastAsia="Arial" w:hAnsi="Arial"/>
                <w:sz w:val="19"/>
                <w:szCs w:val="19"/>
                <w:color w:val="000000"/>
                <w:w w:val="89"/>
              </w:rPr>
              <w:t>Section 9.07.</w:t>
            </w:r>
          </w:p>
        </w:tc>
        <w:tc>
          <w:tcPr>
            <w:tcW w:w="80" w:type="dxa"/>
            <w:vAlign w:val="bottom"/>
          </w:tcPr>
          <w:p>
            <w:pPr>
              <w:spacing w:after="0"/>
              <w:rPr>
                <w:sz w:val="18"/>
                <w:szCs w:val="18"/>
                <w:color w:val="auto"/>
              </w:rPr>
            </w:pPr>
          </w:p>
        </w:tc>
        <w:tc>
          <w:tcPr>
            <w:tcW w:w="3200" w:type="dxa"/>
            <w:vAlign w:val="bottom"/>
            <w:gridSpan w:val="20"/>
          </w:tcPr>
          <w:p>
            <w:pPr>
              <w:jc w:val="right"/>
              <w:spacing w:after="0"/>
              <w:rPr>
                <w:sz w:val="20"/>
                <w:szCs w:val="20"/>
                <w:color w:val="auto"/>
              </w:rPr>
            </w:pPr>
            <w:r>
              <w:rPr>
                <w:rFonts w:ascii="Arial" w:cs="Arial" w:eastAsia="Arial" w:hAnsi="Arial"/>
                <w:sz w:val="19"/>
                <w:szCs w:val="19"/>
                <w:color w:val="auto"/>
                <w:w w:val="94"/>
              </w:rPr>
              <w:t>Counterparts; Integration; Effectiveness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9"/>
                <w:szCs w:val="19"/>
                <w:color w:val="FF0000"/>
                <w:strike w:val="1"/>
                <w:w w:val="81"/>
              </w:rPr>
              <w:t>189</w:t>
            </w:r>
          </w:p>
        </w:tc>
        <w:tc>
          <w:tcPr>
            <w:tcW w:w="2540" w:type="dxa"/>
            <w:vAlign w:val="bottom"/>
            <w:gridSpan w:val="11"/>
          </w:tcPr>
          <w:p>
            <w:pPr>
              <w:jc w:val="right"/>
              <w:ind w:right="100"/>
              <w:spacing w:after="0"/>
              <w:rPr>
                <w:sz w:val="20"/>
                <w:szCs w:val="20"/>
                <w:color w:val="auto"/>
              </w:rPr>
            </w:pPr>
            <w:r>
              <w:rPr>
                <w:rFonts w:ascii="Arial" w:cs="Arial" w:eastAsia="Arial" w:hAnsi="Arial"/>
                <w:sz w:val="19"/>
                <w:szCs w:val="19"/>
                <w:color w:val="0000FF"/>
                <w:w w:val="94"/>
              </w:rPr>
              <w:t xml:space="preserve">190 </w:t>
            </w:r>
            <w:r>
              <w:rPr>
                <w:rFonts w:ascii="Arial" w:cs="Arial" w:eastAsia="Arial" w:hAnsi="Arial"/>
                <w:sz w:val="19"/>
                <w:szCs w:val="19"/>
                <w:color w:val="000000"/>
                <w:w w:val="94"/>
              </w:rPr>
              <w:t>Section 9.08.  Severability</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right w:val="single" w:sz="8" w:color="FF0000"/>
            </w:tcBorders>
          </w:tcPr>
          <w:p>
            <w:pPr>
              <w:spacing w:after="0" w:line="20" w:lineRule="exact"/>
              <w:rPr>
                <w:sz w:val="1"/>
                <w:szCs w:val="1"/>
                <w:color w:val="auto"/>
              </w:rPr>
            </w:pPr>
          </w:p>
        </w:tc>
        <w:tc>
          <w:tcPr>
            <w:tcW w:w="100" w:type="dxa"/>
            <w:vAlign w:val="bottom"/>
            <w:gridSpan w:val="2"/>
            <w:shd w:val="clear" w:color="auto" w:fill="FF0000"/>
          </w:tcPr>
          <w:p>
            <w:pPr>
              <w:spacing w:after="0" w:line="20" w:lineRule="exact"/>
              <w:rPr>
                <w:sz w:val="1"/>
                <w:szCs w:val="1"/>
                <w:color w:val="auto"/>
              </w:rPr>
            </w:pPr>
          </w:p>
        </w:tc>
        <w:tc>
          <w:tcPr>
            <w:tcW w:w="300" w:type="dxa"/>
            <w:vAlign w:val="bottom"/>
            <w:vMerge w:val="restart"/>
          </w:tcPr>
          <w:p>
            <w:pPr>
              <w:jc w:val="center"/>
              <w:spacing w:after="0" w:line="203" w:lineRule="exact"/>
              <w:rPr>
                <w:sz w:val="20"/>
                <w:szCs w:val="20"/>
                <w:color w:val="auto"/>
              </w:rPr>
            </w:pPr>
            <w:r>
              <w:rPr>
                <w:rFonts w:ascii="Arial" w:cs="Arial" w:eastAsia="Arial" w:hAnsi="Arial"/>
                <w:sz w:val="19"/>
                <w:szCs w:val="19"/>
                <w:color w:val="auto"/>
              </w:rPr>
              <w:t>of</w:t>
            </w: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80" w:type="dxa"/>
            <w:vAlign w:val="bottom"/>
            <w:gridSpan w:val="21"/>
            <w:vMerge w:val="restart"/>
          </w:tcPr>
          <w:p>
            <w:pPr>
              <w:ind w:left="80"/>
              <w:spacing w:after="0" w:line="203" w:lineRule="exact"/>
              <w:rPr>
                <w:sz w:val="20"/>
                <w:szCs w:val="20"/>
                <w:color w:val="auto"/>
              </w:rPr>
            </w:pPr>
            <w:r>
              <w:rPr>
                <w:rFonts w:ascii="Arial" w:cs="Arial" w:eastAsia="Arial" w:hAnsi="Arial"/>
                <w:sz w:val="19"/>
                <w:szCs w:val="19"/>
                <w:color w:val="auto"/>
              </w:rPr>
              <w:t>190 Section 9.10.   Governing Law;</w:t>
            </w:r>
          </w:p>
        </w:tc>
        <w:tc>
          <w:tcPr>
            <w:tcW w:w="260" w:type="dxa"/>
            <w:vAlign w:val="bottom"/>
            <w:shd w:val="clear" w:color="auto" w:fill="FF0000"/>
          </w:tcPr>
          <w:p>
            <w:pPr>
              <w:spacing w:after="0" w:line="20" w:lineRule="exact"/>
              <w:rPr>
                <w:sz w:val="1"/>
                <w:szCs w:val="1"/>
                <w:color w:val="auto"/>
              </w:rPr>
            </w:pPr>
          </w:p>
        </w:tc>
        <w:tc>
          <w:tcPr>
            <w:tcW w:w="160" w:type="dxa"/>
            <w:vAlign w:val="bottom"/>
            <w:shd w:val="clear" w:color="auto" w:fill="FF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20" w:type="dxa"/>
            <w:vAlign w:val="bottom"/>
            <w:gridSpan w:val="9"/>
          </w:tcPr>
          <w:p>
            <w:pPr>
              <w:spacing w:after="0" w:line="183" w:lineRule="exact"/>
              <w:rPr>
                <w:sz w:val="20"/>
                <w:szCs w:val="20"/>
                <w:color w:val="auto"/>
              </w:rPr>
            </w:pPr>
            <w:r>
              <w:rPr>
                <w:rFonts w:ascii="Arial" w:cs="Arial" w:eastAsia="Arial" w:hAnsi="Arial"/>
                <w:sz w:val="19"/>
                <w:szCs w:val="19"/>
                <w:color w:val="auto"/>
                <w:w w:val="96"/>
              </w:rPr>
              <w:t>190 Section 9.09. Right</w:t>
            </w:r>
          </w:p>
        </w:tc>
        <w:tc>
          <w:tcPr>
            <w:tcW w:w="300" w:type="dxa"/>
            <w:vAlign w:val="bottom"/>
            <w:vMerge w:val="continue"/>
          </w:tcPr>
          <w:p>
            <w:pPr>
              <w:spacing w:after="0"/>
              <w:rPr>
                <w:sz w:val="15"/>
                <w:szCs w:val="15"/>
                <w:color w:val="auto"/>
              </w:rPr>
            </w:pPr>
          </w:p>
        </w:tc>
        <w:tc>
          <w:tcPr>
            <w:tcW w:w="620" w:type="dxa"/>
            <w:vAlign w:val="bottom"/>
            <w:gridSpan w:val="5"/>
          </w:tcPr>
          <w:p>
            <w:pPr>
              <w:ind w:left="20"/>
              <w:spacing w:after="0" w:line="183" w:lineRule="exact"/>
              <w:rPr>
                <w:sz w:val="20"/>
                <w:szCs w:val="20"/>
                <w:color w:val="auto"/>
              </w:rPr>
            </w:pPr>
            <w:r>
              <w:rPr>
                <w:rFonts w:ascii="Arial" w:cs="Arial" w:eastAsia="Arial" w:hAnsi="Arial"/>
                <w:sz w:val="19"/>
                <w:szCs w:val="19"/>
                <w:color w:val="auto"/>
              </w:rPr>
              <w:t>Setoff</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1"/>
            <w:vMerge w:val="continue"/>
          </w:tcPr>
          <w:p>
            <w:pPr>
              <w:spacing w:after="0"/>
              <w:rPr>
                <w:sz w:val="15"/>
                <w:szCs w:val="15"/>
                <w:color w:val="auto"/>
              </w:rPr>
            </w:pPr>
          </w:p>
        </w:tc>
        <w:tc>
          <w:tcPr>
            <w:tcW w:w="3240" w:type="dxa"/>
            <w:vAlign w:val="bottom"/>
            <w:gridSpan w:val="15"/>
          </w:tcPr>
          <w:p>
            <w:pPr>
              <w:spacing w:after="0" w:line="183" w:lineRule="exact"/>
              <w:rPr>
                <w:sz w:val="20"/>
                <w:szCs w:val="20"/>
                <w:color w:val="auto"/>
              </w:rPr>
            </w:pPr>
            <w:r>
              <w:rPr>
                <w:rFonts w:ascii="Arial" w:cs="Arial" w:eastAsia="Arial" w:hAnsi="Arial"/>
                <w:sz w:val="19"/>
                <w:szCs w:val="19"/>
                <w:color w:val="auto"/>
                <w:w w:val="89"/>
              </w:rPr>
              <w:t>Jurisdiction; Consent to Service of Process</w:t>
            </w: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line="203" w:lineRule="exact"/>
              <w:rPr>
                <w:sz w:val="20"/>
                <w:szCs w:val="20"/>
                <w:color w:val="auto"/>
              </w:rPr>
            </w:pPr>
            <w:r>
              <w:rPr>
                <w:rFonts w:ascii="Arial" w:cs="Arial" w:eastAsia="Arial" w:hAnsi="Arial"/>
                <w:sz w:val="19"/>
                <w:szCs w:val="19"/>
                <w:color w:val="FF0000"/>
                <w:strike w:val="1"/>
                <w:w w:val="81"/>
              </w:rPr>
              <w:t>190</w:t>
            </w:r>
          </w:p>
        </w:tc>
        <w:tc>
          <w:tcPr>
            <w:tcW w:w="1560" w:type="dxa"/>
            <w:vAlign w:val="bottom"/>
            <w:gridSpan w:val="7"/>
            <w:vMerge w:val="restart"/>
          </w:tcPr>
          <w:p>
            <w:pPr>
              <w:spacing w:after="0" w:line="203" w:lineRule="exact"/>
              <w:rPr>
                <w:sz w:val="20"/>
                <w:szCs w:val="20"/>
                <w:color w:val="auto"/>
              </w:rPr>
            </w:pPr>
            <w:r>
              <w:rPr>
                <w:rFonts w:ascii="Arial" w:cs="Arial" w:eastAsia="Arial" w:hAnsi="Arial"/>
                <w:sz w:val="19"/>
                <w:szCs w:val="19"/>
                <w:color w:val="0000FF"/>
              </w:rPr>
              <w:t xml:space="preserve">191 </w:t>
            </w:r>
            <w:r>
              <w:rPr>
                <w:rFonts w:ascii="Arial" w:cs="Arial" w:eastAsia="Arial" w:hAnsi="Arial"/>
                <w:sz w:val="19"/>
                <w:szCs w:val="19"/>
                <w:color w:val="000000"/>
              </w:rPr>
              <w:t>Section 9.11.</w:t>
            </w: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80" w:type="dxa"/>
            <w:vAlign w:val="bottom"/>
            <w:gridSpan w:val="2"/>
            <w:vMerge w:val="restart"/>
          </w:tcPr>
          <w:p>
            <w:pPr>
              <w:jc w:val="right"/>
              <w:spacing w:after="0" w:line="203" w:lineRule="exact"/>
              <w:rPr>
                <w:sz w:val="20"/>
                <w:szCs w:val="20"/>
                <w:color w:val="auto"/>
              </w:rPr>
            </w:pPr>
            <w:r>
              <w:rPr>
                <w:rFonts w:ascii="Arial" w:cs="Arial" w:eastAsia="Arial" w:hAnsi="Arial"/>
                <w:sz w:val="19"/>
                <w:szCs w:val="19"/>
                <w:color w:val="FF0000"/>
                <w:strike w:val="1"/>
                <w:w w:val="81"/>
              </w:rPr>
              <w:t>191</w:t>
            </w:r>
          </w:p>
        </w:tc>
        <w:tc>
          <w:tcPr>
            <w:tcW w:w="2640" w:type="dxa"/>
            <w:vAlign w:val="bottom"/>
            <w:gridSpan w:val="16"/>
            <w:vMerge w:val="restart"/>
          </w:tcPr>
          <w:p>
            <w:pPr>
              <w:spacing w:after="0" w:line="203" w:lineRule="exact"/>
              <w:rPr>
                <w:sz w:val="20"/>
                <w:szCs w:val="20"/>
                <w:color w:val="auto"/>
              </w:rPr>
            </w:pPr>
            <w:r>
              <w:rPr>
                <w:rFonts w:ascii="Arial" w:cs="Arial" w:eastAsia="Arial" w:hAnsi="Arial"/>
                <w:sz w:val="19"/>
                <w:szCs w:val="19"/>
                <w:color w:val="0000FF"/>
              </w:rPr>
              <w:t xml:space="preserve">192 </w:t>
            </w:r>
            <w:r>
              <w:rPr>
                <w:rFonts w:ascii="Arial" w:cs="Arial" w:eastAsia="Arial" w:hAnsi="Arial"/>
                <w:sz w:val="19"/>
                <w:szCs w:val="19"/>
                <w:color w:val="000000"/>
              </w:rPr>
              <w:t>Section 9.12.   Headings</w:t>
            </w:r>
          </w:p>
        </w:tc>
        <w:tc>
          <w:tcPr>
            <w:tcW w:w="10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60" w:type="dxa"/>
            <w:vAlign w:val="bottom"/>
            <w:gridSpan w:val="2"/>
            <w:vMerge w:val="restart"/>
          </w:tcPr>
          <w:p>
            <w:pPr>
              <w:jc w:val="right"/>
              <w:spacing w:after="0" w:line="203" w:lineRule="exact"/>
              <w:rPr>
                <w:sz w:val="20"/>
                <w:szCs w:val="20"/>
                <w:color w:val="auto"/>
              </w:rPr>
            </w:pPr>
            <w:r>
              <w:rPr>
                <w:rFonts w:ascii="Arial" w:cs="Arial" w:eastAsia="Arial" w:hAnsi="Arial"/>
                <w:sz w:val="19"/>
                <w:szCs w:val="19"/>
                <w:color w:val="FF0000"/>
                <w:strike w:val="1"/>
              </w:rPr>
              <w:t>191</w:t>
            </w:r>
          </w:p>
        </w:tc>
        <w:tc>
          <w:tcPr>
            <w:tcW w:w="280" w:type="dxa"/>
            <w:vAlign w:val="bottom"/>
            <w:gridSpan w:val="2"/>
            <w:vMerge w:val="restart"/>
          </w:tcPr>
          <w:p>
            <w:pPr>
              <w:jc w:val="right"/>
              <w:spacing w:after="0" w:line="203" w:lineRule="exact"/>
              <w:rPr>
                <w:sz w:val="20"/>
                <w:szCs w:val="20"/>
                <w:color w:val="auto"/>
              </w:rPr>
            </w:pPr>
            <w:r>
              <w:rPr>
                <w:rFonts w:ascii="Arial" w:cs="Arial" w:eastAsia="Arial" w:hAnsi="Arial"/>
                <w:sz w:val="19"/>
                <w:szCs w:val="19"/>
                <w:color w:val="0000FF"/>
                <w:w w:val="81"/>
              </w:rPr>
              <w:t>192</w:t>
            </w:r>
          </w:p>
        </w:tc>
        <w:tc>
          <w:tcPr>
            <w:tcW w:w="8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0" w:type="dxa"/>
            <w:vAlign w:val="bottom"/>
            <w:vMerge w:val="continue"/>
          </w:tcPr>
          <w:p>
            <w:pPr>
              <w:spacing w:after="0"/>
              <w:rPr>
                <w:sz w:val="15"/>
                <w:szCs w:val="15"/>
                <w:color w:val="auto"/>
              </w:rPr>
            </w:pPr>
          </w:p>
        </w:tc>
        <w:tc>
          <w:tcPr>
            <w:tcW w:w="1560" w:type="dxa"/>
            <w:vAlign w:val="bottom"/>
            <w:gridSpan w:val="7"/>
            <w:vMerge w:val="continue"/>
          </w:tcPr>
          <w:p>
            <w:pPr>
              <w:spacing w:after="0"/>
              <w:rPr>
                <w:sz w:val="15"/>
                <w:szCs w:val="15"/>
                <w:color w:val="auto"/>
              </w:rPr>
            </w:pPr>
          </w:p>
        </w:tc>
        <w:tc>
          <w:tcPr>
            <w:tcW w:w="1720" w:type="dxa"/>
            <w:vAlign w:val="bottom"/>
            <w:gridSpan w:val="12"/>
          </w:tcPr>
          <w:p>
            <w:pPr>
              <w:ind w:left="40"/>
              <w:spacing w:after="0" w:line="183" w:lineRule="exact"/>
              <w:rPr>
                <w:sz w:val="20"/>
                <w:szCs w:val="20"/>
                <w:color w:val="auto"/>
              </w:rPr>
            </w:pPr>
            <w:r>
              <w:rPr>
                <w:rFonts w:ascii="Arial" w:cs="Arial" w:eastAsia="Arial" w:hAnsi="Arial"/>
                <w:sz w:val="19"/>
                <w:szCs w:val="19"/>
                <w:color w:val="auto"/>
              </w:rPr>
              <w:t>Waiver of Jury Trial</w:t>
            </w:r>
          </w:p>
        </w:tc>
        <w:tc>
          <w:tcPr>
            <w:tcW w:w="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2640" w:type="dxa"/>
            <w:vAlign w:val="bottom"/>
            <w:gridSpan w:val="16"/>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right w:val="single" w:sz="8" w:color="FF0000"/>
            </w:tcBorders>
          </w:tcPr>
          <w:p>
            <w:pPr>
              <w:spacing w:after="0" w:line="20" w:lineRule="exact"/>
              <w:rPr>
                <w:sz w:val="1"/>
                <w:szCs w:val="1"/>
                <w:color w:val="auto"/>
              </w:rPr>
            </w:pPr>
          </w:p>
        </w:tc>
        <w:tc>
          <w:tcPr>
            <w:tcW w:w="40" w:type="dxa"/>
            <w:vAlign w:val="bottom"/>
            <w:shd w:val="clear" w:color="auto" w:fill="FF0000"/>
          </w:tcPr>
          <w:p>
            <w:pPr>
              <w:spacing w:after="0" w:line="20" w:lineRule="exact"/>
              <w:rPr>
                <w:sz w:val="1"/>
                <w:szCs w:val="1"/>
                <w:color w:val="auto"/>
              </w:rPr>
            </w:pPr>
          </w:p>
        </w:tc>
        <w:tc>
          <w:tcPr>
            <w:tcW w:w="360" w:type="dxa"/>
            <w:vAlign w:val="bottom"/>
            <w:gridSpan w:val="3"/>
            <w:shd w:val="clear" w:color="auto" w:fill="FF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60" w:type="dxa"/>
            <w:vAlign w:val="bottom"/>
            <w:gridSpan w:val="12"/>
          </w:tcPr>
          <w:p>
            <w:pPr>
              <w:spacing w:after="0" w:line="196" w:lineRule="exact"/>
              <w:rPr>
                <w:sz w:val="20"/>
                <w:szCs w:val="20"/>
                <w:color w:val="auto"/>
              </w:rPr>
            </w:pPr>
            <w:r>
              <w:rPr>
                <w:rFonts w:ascii="Arial" w:cs="Arial" w:eastAsia="Arial" w:hAnsi="Arial"/>
                <w:sz w:val="19"/>
                <w:szCs w:val="19"/>
                <w:color w:val="auto"/>
                <w:w w:val="99"/>
              </w:rPr>
              <w:t>Section 9.13. Confidentiality</w:t>
            </w:r>
          </w:p>
        </w:tc>
        <w:tc>
          <w:tcPr>
            <w:tcW w:w="48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9"/>
                <w:szCs w:val="19"/>
                <w:color w:val="FF0000"/>
                <w:strike w:val="1"/>
                <w:w w:val="88"/>
              </w:rPr>
              <w:t>191</w:t>
            </w:r>
          </w:p>
        </w:tc>
        <w:tc>
          <w:tcPr>
            <w:tcW w:w="1680" w:type="dxa"/>
            <w:vAlign w:val="bottom"/>
            <w:gridSpan w:val="16"/>
          </w:tcPr>
          <w:p>
            <w:pPr>
              <w:jc w:val="right"/>
              <w:ind w:right="226"/>
              <w:spacing w:after="0" w:line="196" w:lineRule="exact"/>
              <w:rPr>
                <w:sz w:val="20"/>
                <w:szCs w:val="20"/>
                <w:color w:val="auto"/>
              </w:rPr>
            </w:pPr>
            <w:r>
              <w:rPr>
                <w:rFonts w:ascii="Arial" w:cs="Arial" w:eastAsia="Arial" w:hAnsi="Arial"/>
                <w:sz w:val="19"/>
                <w:szCs w:val="19"/>
                <w:color w:val="0000FF"/>
                <w:w w:val="90"/>
              </w:rPr>
              <w:t xml:space="preserve">192 </w:t>
            </w:r>
            <w:r>
              <w:rPr>
                <w:rFonts w:ascii="Arial" w:cs="Arial" w:eastAsia="Arial" w:hAnsi="Arial"/>
                <w:sz w:val="19"/>
                <w:szCs w:val="19"/>
                <w:color w:val="000000"/>
                <w:w w:val="90"/>
              </w:rPr>
              <w:t>Section 9.14.</w:t>
            </w:r>
          </w:p>
        </w:tc>
        <w:tc>
          <w:tcPr>
            <w:tcW w:w="1680" w:type="dxa"/>
            <w:vAlign w:val="bottom"/>
            <w:gridSpan w:val="6"/>
          </w:tcPr>
          <w:p>
            <w:pPr>
              <w:ind w:left="40"/>
              <w:spacing w:after="0" w:line="196" w:lineRule="exact"/>
              <w:rPr>
                <w:sz w:val="20"/>
                <w:szCs w:val="20"/>
                <w:color w:val="auto"/>
              </w:rPr>
            </w:pPr>
            <w:r>
              <w:rPr>
                <w:rFonts w:ascii="Arial" w:cs="Arial" w:eastAsia="Arial" w:hAnsi="Arial"/>
                <w:sz w:val="19"/>
                <w:szCs w:val="19"/>
                <w:color w:val="auto"/>
              </w:rPr>
              <w:t>No Fiduciary Duty</w:t>
            </w:r>
          </w:p>
        </w:tc>
        <w:tc>
          <w:tcPr>
            <w:tcW w:w="300" w:type="dxa"/>
            <w:vAlign w:val="bottom"/>
            <w:gridSpan w:val="3"/>
          </w:tcPr>
          <w:p>
            <w:pPr>
              <w:jc w:val="right"/>
              <w:spacing w:after="0" w:line="196" w:lineRule="exact"/>
              <w:rPr>
                <w:sz w:val="20"/>
                <w:szCs w:val="20"/>
                <w:color w:val="auto"/>
              </w:rPr>
            </w:pPr>
            <w:r>
              <w:rPr>
                <w:rFonts w:ascii="Arial" w:cs="Arial" w:eastAsia="Arial" w:hAnsi="Arial"/>
                <w:sz w:val="19"/>
                <w:szCs w:val="19"/>
                <w:color w:val="FF0000"/>
                <w:strike w:val="1"/>
                <w:w w:val="81"/>
              </w:rPr>
              <w:t>193</w:t>
            </w:r>
          </w:p>
        </w:tc>
        <w:tc>
          <w:tcPr>
            <w:tcW w:w="3240" w:type="dxa"/>
            <w:vAlign w:val="bottom"/>
            <w:gridSpan w:val="15"/>
          </w:tcPr>
          <w:p>
            <w:pPr>
              <w:spacing w:after="0" w:line="196" w:lineRule="exact"/>
              <w:rPr>
                <w:sz w:val="20"/>
                <w:szCs w:val="20"/>
                <w:color w:val="auto"/>
              </w:rPr>
            </w:pPr>
            <w:r>
              <w:rPr>
                <w:rFonts w:ascii="Arial" w:cs="Arial" w:eastAsia="Arial" w:hAnsi="Arial"/>
                <w:sz w:val="19"/>
                <w:szCs w:val="19"/>
                <w:color w:val="0000FF"/>
              </w:rPr>
              <w:t xml:space="preserve">194 </w:t>
            </w:r>
            <w:r>
              <w:rPr>
                <w:rFonts w:ascii="Arial" w:cs="Arial" w:eastAsia="Arial" w:hAnsi="Arial"/>
                <w:sz w:val="19"/>
                <w:szCs w:val="19"/>
                <w:color w:val="000000"/>
              </w:rPr>
              <w:t>Section 9.15. Several Obligations</w:t>
            </w: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line="203" w:lineRule="exact"/>
              <w:rPr>
                <w:sz w:val="20"/>
                <w:szCs w:val="20"/>
                <w:color w:val="auto"/>
              </w:rPr>
            </w:pPr>
            <w:r>
              <w:rPr>
                <w:rFonts w:ascii="Arial" w:cs="Arial" w:eastAsia="Arial" w:hAnsi="Arial"/>
                <w:sz w:val="19"/>
                <w:szCs w:val="19"/>
                <w:color w:val="FF0000"/>
                <w:strike w:val="1"/>
                <w:w w:val="81"/>
              </w:rPr>
              <w:t>193</w:t>
            </w:r>
          </w:p>
        </w:tc>
        <w:tc>
          <w:tcPr>
            <w:tcW w:w="1560" w:type="dxa"/>
            <w:vAlign w:val="bottom"/>
            <w:gridSpan w:val="7"/>
            <w:vMerge w:val="restart"/>
          </w:tcPr>
          <w:p>
            <w:pPr>
              <w:spacing w:after="0" w:line="203" w:lineRule="exact"/>
              <w:rPr>
                <w:sz w:val="20"/>
                <w:szCs w:val="20"/>
                <w:color w:val="auto"/>
              </w:rPr>
            </w:pPr>
            <w:r>
              <w:rPr>
                <w:rFonts w:ascii="Arial" w:cs="Arial" w:eastAsia="Arial" w:hAnsi="Arial"/>
                <w:sz w:val="19"/>
                <w:szCs w:val="19"/>
                <w:color w:val="0000FF"/>
              </w:rPr>
              <w:t xml:space="preserve">194 </w:t>
            </w:r>
            <w:r>
              <w:rPr>
                <w:rFonts w:ascii="Arial" w:cs="Arial" w:eastAsia="Arial" w:hAnsi="Arial"/>
                <w:sz w:val="19"/>
                <w:szCs w:val="19"/>
                <w:color w:val="000000"/>
              </w:rPr>
              <w:t>Section 9.16.</w:t>
            </w:r>
          </w:p>
        </w:tc>
        <w:tc>
          <w:tcPr>
            <w:tcW w:w="520" w:type="dxa"/>
            <w:vAlign w:val="bottom"/>
            <w:gridSpan w:val="4"/>
            <w:vMerge w:val="restart"/>
          </w:tcPr>
          <w:p>
            <w:pPr>
              <w:jc w:val="center"/>
              <w:spacing w:after="0" w:line="203" w:lineRule="exact"/>
              <w:rPr>
                <w:sz w:val="20"/>
                <w:szCs w:val="20"/>
                <w:color w:val="auto"/>
              </w:rPr>
            </w:pPr>
            <w:r>
              <w:rPr>
                <w:rFonts w:ascii="Arial" w:cs="Arial" w:eastAsia="Arial" w:hAnsi="Arial"/>
                <w:sz w:val="19"/>
                <w:szCs w:val="19"/>
                <w:color w:val="auto"/>
                <w:w w:val="97"/>
              </w:rPr>
              <w:t>USA</w:t>
            </w:r>
          </w:p>
        </w:tc>
        <w:tc>
          <w:tcPr>
            <w:tcW w:w="18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280" w:type="dxa"/>
            <w:vAlign w:val="bottom"/>
            <w:gridSpan w:val="2"/>
            <w:vMerge w:val="restart"/>
          </w:tcPr>
          <w:p>
            <w:pPr>
              <w:jc w:val="right"/>
              <w:spacing w:after="0" w:line="203" w:lineRule="exact"/>
              <w:rPr>
                <w:sz w:val="20"/>
                <w:szCs w:val="20"/>
                <w:color w:val="auto"/>
              </w:rPr>
            </w:pPr>
            <w:r>
              <w:rPr>
                <w:rFonts w:ascii="Arial" w:cs="Arial" w:eastAsia="Arial" w:hAnsi="Arial"/>
                <w:sz w:val="19"/>
                <w:szCs w:val="19"/>
                <w:color w:val="FF0000"/>
                <w:strike w:val="1"/>
                <w:w w:val="81"/>
              </w:rPr>
              <w:t>193</w:t>
            </w:r>
          </w:p>
        </w:tc>
        <w:tc>
          <w:tcPr>
            <w:tcW w:w="280" w:type="dxa"/>
            <w:vAlign w:val="bottom"/>
            <w:gridSpan w:val="3"/>
            <w:vMerge w:val="restart"/>
          </w:tcPr>
          <w:p>
            <w:pPr>
              <w:spacing w:after="0" w:line="203" w:lineRule="exact"/>
              <w:rPr>
                <w:sz w:val="20"/>
                <w:szCs w:val="20"/>
                <w:color w:val="auto"/>
              </w:rPr>
            </w:pPr>
            <w:r>
              <w:rPr>
                <w:rFonts w:ascii="Arial" w:cs="Arial" w:eastAsia="Arial" w:hAnsi="Arial"/>
                <w:sz w:val="19"/>
                <w:szCs w:val="19"/>
                <w:color w:val="0000FF"/>
                <w:w w:val="81"/>
              </w:rPr>
              <w:t>194</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right w:val="single" w:sz="8" w:color="FF0000"/>
            </w:tcBorders>
          </w:tcPr>
          <w:p>
            <w:pPr>
              <w:spacing w:after="0" w:line="20" w:lineRule="exact"/>
              <w:rPr>
                <w:sz w:val="1"/>
                <w:szCs w:val="1"/>
                <w:color w:val="auto"/>
              </w:rPr>
            </w:pPr>
          </w:p>
        </w:tc>
        <w:tc>
          <w:tcPr>
            <w:tcW w:w="160" w:type="dxa"/>
            <w:vAlign w:val="bottom"/>
            <w:shd w:val="clear" w:color="auto" w:fill="FF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0" w:type="dxa"/>
            <w:vAlign w:val="bottom"/>
            <w:vMerge w:val="continue"/>
          </w:tcPr>
          <w:p>
            <w:pPr>
              <w:spacing w:after="0"/>
              <w:rPr>
                <w:sz w:val="15"/>
                <w:szCs w:val="15"/>
                <w:color w:val="auto"/>
              </w:rPr>
            </w:pPr>
          </w:p>
        </w:tc>
        <w:tc>
          <w:tcPr>
            <w:tcW w:w="1560" w:type="dxa"/>
            <w:vAlign w:val="bottom"/>
            <w:gridSpan w:val="7"/>
            <w:vMerge w:val="continue"/>
          </w:tcPr>
          <w:p>
            <w:pPr>
              <w:spacing w:after="0"/>
              <w:rPr>
                <w:sz w:val="15"/>
                <w:szCs w:val="15"/>
                <w:color w:val="auto"/>
              </w:rPr>
            </w:pPr>
          </w:p>
        </w:tc>
        <w:tc>
          <w:tcPr>
            <w:tcW w:w="520" w:type="dxa"/>
            <w:vAlign w:val="bottom"/>
            <w:gridSpan w:val="4"/>
            <w:vMerge w:val="continue"/>
          </w:tcPr>
          <w:p>
            <w:pPr>
              <w:spacing w:after="0"/>
              <w:rPr>
                <w:sz w:val="15"/>
                <w:szCs w:val="15"/>
                <w:color w:val="auto"/>
              </w:rPr>
            </w:pPr>
          </w:p>
        </w:tc>
        <w:tc>
          <w:tcPr>
            <w:tcW w:w="1200" w:type="dxa"/>
            <w:vAlign w:val="bottom"/>
            <w:gridSpan w:val="8"/>
          </w:tcPr>
          <w:p>
            <w:pPr>
              <w:spacing w:after="0" w:line="183" w:lineRule="exact"/>
              <w:rPr>
                <w:sz w:val="20"/>
                <w:szCs w:val="20"/>
                <w:color w:val="auto"/>
              </w:rPr>
            </w:pPr>
            <w:r>
              <w:rPr>
                <w:rFonts w:ascii="Arial" w:cs="Arial" w:eastAsia="Arial" w:hAnsi="Arial"/>
                <w:sz w:val="19"/>
                <w:szCs w:val="19"/>
                <w:color w:val="auto"/>
              </w:rPr>
              <w:t>PATRIOT Act</w:t>
            </w:r>
          </w:p>
        </w:tc>
        <w:tc>
          <w:tcPr>
            <w:tcW w:w="260" w:type="dxa"/>
            <w:vAlign w:val="bottom"/>
            <w:gridSpan w:val="2"/>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6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 w:type="dxa"/>
            <w:vAlign w:val="bottom"/>
            <w:gridSpan w:val="2"/>
          </w:tcPr>
          <w:p>
            <w:pPr>
              <w:spacing w:after="0" w:line="183" w:lineRule="exact"/>
              <w:rPr>
                <w:sz w:val="20"/>
                <w:szCs w:val="20"/>
                <w:color w:val="auto"/>
              </w:rPr>
            </w:pPr>
            <w:r>
              <w:rPr>
                <w:rFonts w:ascii="Arial" w:cs="Arial" w:eastAsia="Arial" w:hAnsi="Arial"/>
                <w:sz w:val="19"/>
                <w:szCs w:val="19"/>
                <w:color w:val="auto"/>
                <w:w w:val="85"/>
              </w:rPr>
              <w:t>Section</w:t>
            </w:r>
          </w:p>
        </w:tc>
        <w:tc>
          <w:tcPr>
            <w:tcW w:w="3000" w:type="dxa"/>
            <w:vAlign w:val="bottom"/>
            <w:gridSpan w:val="18"/>
          </w:tcPr>
          <w:p>
            <w:pPr>
              <w:jc w:val="center"/>
              <w:spacing w:after="0" w:line="183" w:lineRule="exact"/>
              <w:rPr>
                <w:sz w:val="20"/>
                <w:szCs w:val="20"/>
                <w:color w:val="auto"/>
              </w:rPr>
            </w:pPr>
            <w:r>
              <w:rPr>
                <w:rFonts w:ascii="Arial" w:cs="Arial" w:eastAsia="Arial" w:hAnsi="Arial"/>
                <w:sz w:val="19"/>
                <w:szCs w:val="19"/>
                <w:color w:val="auto"/>
                <w:w w:val="98"/>
              </w:rPr>
              <w:t>9.17. Disclosure of Agent Conflicts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gridSpan w:val="3"/>
          </w:tcPr>
          <w:p>
            <w:pPr>
              <w:jc w:val="right"/>
              <w:spacing w:after="0" w:line="183" w:lineRule="exact"/>
              <w:rPr>
                <w:sz w:val="20"/>
                <w:szCs w:val="20"/>
                <w:color w:val="auto"/>
              </w:rPr>
            </w:pPr>
            <w:r>
              <w:rPr>
                <w:rFonts w:ascii="Arial" w:cs="Arial" w:eastAsia="Arial" w:hAnsi="Arial"/>
                <w:sz w:val="19"/>
                <w:szCs w:val="19"/>
                <w:color w:val="FF0000"/>
                <w:strike w:val="1"/>
                <w:w w:val="81"/>
              </w:rPr>
              <w:t>193</w:t>
            </w:r>
          </w:p>
        </w:tc>
        <w:tc>
          <w:tcPr>
            <w:tcW w:w="1480" w:type="dxa"/>
            <w:vAlign w:val="bottom"/>
            <w:gridSpan w:val="9"/>
          </w:tcPr>
          <w:p>
            <w:pPr>
              <w:jc w:val="center"/>
              <w:ind w:right="100"/>
              <w:spacing w:after="0" w:line="183" w:lineRule="exact"/>
              <w:rPr>
                <w:sz w:val="20"/>
                <w:szCs w:val="20"/>
                <w:color w:val="auto"/>
              </w:rPr>
            </w:pPr>
            <w:r>
              <w:rPr>
                <w:rFonts w:ascii="Arial" w:cs="Arial" w:eastAsia="Arial" w:hAnsi="Arial"/>
                <w:sz w:val="19"/>
                <w:szCs w:val="19"/>
                <w:color w:val="0000FF"/>
                <w:w w:val="93"/>
              </w:rPr>
              <w:t xml:space="preserve">194 </w:t>
            </w:r>
            <w:r>
              <w:rPr>
                <w:rFonts w:ascii="Arial" w:cs="Arial" w:eastAsia="Arial" w:hAnsi="Arial"/>
                <w:sz w:val="19"/>
                <w:szCs w:val="19"/>
                <w:color w:val="000000"/>
                <w:w w:val="93"/>
              </w:rPr>
              <w:t>Section 9.18.</w:t>
            </w:r>
          </w:p>
        </w:tc>
        <w:tc>
          <w:tcPr>
            <w:tcW w:w="2600" w:type="dxa"/>
            <w:vAlign w:val="bottom"/>
            <w:gridSpan w:val="15"/>
          </w:tcPr>
          <w:p>
            <w:pPr>
              <w:ind w:left="300"/>
              <w:spacing w:after="0" w:line="183" w:lineRule="exact"/>
              <w:rPr>
                <w:sz w:val="20"/>
                <w:szCs w:val="20"/>
                <w:color w:val="auto"/>
              </w:rPr>
            </w:pPr>
            <w:r>
              <w:rPr>
                <w:rFonts w:ascii="Arial" w:cs="Arial" w:eastAsia="Arial" w:hAnsi="Arial"/>
                <w:sz w:val="19"/>
                <w:szCs w:val="19"/>
                <w:color w:val="auto"/>
              </w:rPr>
              <w:t>Appointment for Perfection</w:t>
            </w:r>
          </w:p>
        </w:tc>
        <w:tc>
          <w:tcPr>
            <w:tcW w:w="360" w:type="dxa"/>
            <w:vAlign w:val="bottom"/>
          </w:tcPr>
          <w:p>
            <w:pPr>
              <w:jc w:val="right"/>
              <w:spacing w:after="0" w:line="183" w:lineRule="exact"/>
              <w:rPr>
                <w:sz w:val="20"/>
                <w:szCs w:val="20"/>
                <w:color w:val="auto"/>
              </w:rPr>
            </w:pPr>
            <w:r>
              <w:rPr>
                <w:rFonts w:ascii="Arial" w:cs="Arial" w:eastAsia="Arial" w:hAnsi="Arial"/>
                <w:sz w:val="19"/>
                <w:szCs w:val="19"/>
                <w:color w:val="FF0000"/>
                <w:strike w:val="1"/>
                <w:w w:val="88"/>
              </w:rPr>
              <w:t>193</w:t>
            </w:r>
          </w:p>
        </w:tc>
        <w:tc>
          <w:tcPr>
            <w:tcW w:w="1380" w:type="dxa"/>
            <w:vAlign w:val="bottom"/>
            <w:gridSpan w:val="5"/>
          </w:tcPr>
          <w:p>
            <w:pPr>
              <w:jc w:val="right"/>
              <w:ind w:right="40"/>
              <w:spacing w:after="0" w:line="183" w:lineRule="exact"/>
              <w:rPr>
                <w:sz w:val="20"/>
                <w:szCs w:val="20"/>
                <w:color w:val="auto"/>
              </w:rPr>
            </w:pPr>
            <w:r>
              <w:rPr>
                <w:rFonts w:ascii="Arial" w:cs="Arial" w:eastAsia="Arial" w:hAnsi="Arial"/>
                <w:sz w:val="19"/>
                <w:szCs w:val="19"/>
                <w:color w:val="0000FF"/>
                <w:w w:val="89"/>
              </w:rPr>
              <w:t xml:space="preserve">194 </w:t>
            </w:r>
            <w:r>
              <w:rPr>
                <w:rFonts w:ascii="Arial" w:cs="Arial" w:eastAsia="Arial" w:hAnsi="Arial"/>
                <w:sz w:val="19"/>
                <w:szCs w:val="19"/>
                <w:color w:val="000000"/>
                <w:w w:val="89"/>
              </w:rPr>
              <w:t>Section 9.19.</w:t>
            </w:r>
          </w:p>
        </w:tc>
        <w:tc>
          <w:tcPr>
            <w:tcW w:w="0" w:type="dxa"/>
            <w:vAlign w:val="bottom"/>
          </w:tcPr>
          <w:p>
            <w:pPr>
              <w:spacing w:after="0"/>
              <w:rPr>
                <w:sz w:val="1"/>
                <w:szCs w:val="1"/>
                <w:color w:val="auto"/>
              </w:rPr>
            </w:pPr>
          </w:p>
        </w:tc>
      </w:tr>
      <w:tr>
        <w:trPr>
          <w:trHeight w:val="20"/>
        </w:trPr>
        <w:tc>
          <w:tcPr>
            <w:tcW w:w="1820" w:type="dxa"/>
            <w:vAlign w:val="bottom"/>
            <w:gridSpan w:val="7"/>
            <w:vMerge w:val="restart"/>
          </w:tcPr>
          <w:p>
            <w:pPr>
              <w:spacing w:after="0" w:line="203" w:lineRule="exact"/>
              <w:rPr>
                <w:sz w:val="20"/>
                <w:szCs w:val="20"/>
                <w:color w:val="auto"/>
              </w:rPr>
            </w:pPr>
            <w:r>
              <w:rPr>
                <w:rFonts w:ascii="Arial" w:cs="Arial" w:eastAsia="Arial" w:hAnsi="Arial"/>
                <w:sz w:val="19"/>
                <w:szCs w:val="19"/>
                <w:color w:val="auto"/>
                <w:w w:val="91"/>
              </w:rPr>
              <w:t>Interest Rate Limitation</w:t>
            </w: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FF0000"/>
            </w:tcBorders>
            <w:gridSpan w:val="3"/>
            <w:shd w:val="clear" w:color="auto" w:fill="FF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160" w:type="dxa"/>
            <w:vAlign w:val="bottom"/>
            <w:gridSpan w:val="5"/>
            <w:vMerge w:val="restart"/>
          </w:tcPr>
          <w:p>
            <w:pPr>
              <w:ind w:left="200"/>
              <w:spacing w:after="0" w:line="203" w:lineRule="exact"/>
              <w:rPr>
                <w:sz w:val="20"/>
                <w:szCs w:val="20"/>
                <w:color w:val="auto"/>
              </w:rPr>
            </w:pPr>
            <w:r>
              <w:rPr>
                <w:rFonts w:ascii="Arial" w:cs="Arial" w:eastAsia="Arial" w:hAnsi="Arial"/>
                <w:sz w:val="19"/>
                <w:szCs w:val="19"/>
                <w:color w:val="auto"/>
                <w:w w:val="91"/>
              </w:rPr>
              <w:t>Agreements</w:t>
            </w: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60" w:type="dxa"/>
            <w:vAlign w:val="bottom"/>
            <w:gridSpan w:val="9"/>
          </w:tcPr>
          <w:p>
            <w:pPr>
              <w:spacing w:after="0" w:line="20" w:lineRule="exact"/>
              <w:rPr>
                <w:sz w:val="1"/>
                <w:szCs w:val="1"/>
                <w:color w:val="auto"/>
              </w:rPr>
            </w:pPr>
          </w:p>
        </w:tc>
        <w:tc>
          <w:tcPr>
            <w:tcW w:w="120" w:type="dxa"/>
            <w:vAlign w:val="bottom"/>
            <w:shd w:val="clear" w:color="auto" w:fill="FF0000"/>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20" w:type="dxa"/>
            <w:vAlign w:val="bottom"/>
            <w:gridSpan w:val="7"/>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12"/>
          </w:tcPr>
          <w:p>
            <w:pPr>
              <w:spacing w:after="0" w:line="183" w:lineRule="exact"/>
              <w:rPr>
                <w:sz w:val="20"/>
                <w:szCs w:val="20"/>
                <w:color w:val="auto"/>
              </w:rPr>
            </w:pPr>
            <w:r>
              <w:rPr>
                <w:rFonts w:ascii="Arial" w:cs="Arial" w:eastAsia="Arial" w:hAnsi="Arial"/>
                <w:sz w:val="19"/>
                <w:szCs w:val="19"/>
                <w:color w:val="auto"/>
              </w:rPr>
              <w:t>194 Section 9.20.</w:t>
            </w:r>
          </w:p>
        </w:tc>
        <w:tc>
          <w:tcPr>
            <w:tcW w:w="560" w:type="dxa"/>
            <w:vAlign w:val="bottom"/>
            <w:gridSpan w:val="6"/>
          </w:tcPr>
          <w:p>
            <w:pPr>
              <w:jc w:val="right"/>
              <w:spacing w:after="0"/>
              <w:rPr>
                <w:sz w:val="20"/>
                <w:szCs w:val="20"/>
                <w:color w:val="auto"/>
              </w:rPr>
            </w:pPr>
            <w:r>
              <w:rPr>
                <w:rFonts w:ascii="Arial" w:cs="Arial" w:eastAsia="Arial" w:hAnsi="Arial"/>
                <w:sz w:val="14"/>
                <w:szCs w:val="14"/>
                <w:color w:val="auto"/>
                <w:w w:val="72"/>
              </w:rPr>
              <w:t>Intercreditor</w:t>
            </w:r>
          </w:p>
        </w:tc>
        <w:tc>
          <w:tcPr>
            <w:tcW w:w="40" w:type="dxa"/>
            <w:vAlign w:val="bottom"/>
            <w:vMerge w:val="continue"/>
          </w:tcPr>
          <w:p>
            <w:pPr>
              <w:spacing w:after="0"/>
              <w:rPr>
                <w:sz w:val="15"/>
                <w:szCs w:val="15"/>
                <w:color w:val="auto"/>
              </w:rPr>
            </w:pPr>
          </w:p>
        </w:tc>
        <w:tc>
          <w:tcPr>
            <w:tcW w:w="1160" w:type="dxa"/>
            <w:vAlign w:val="bottom"/>
            <w:gridSpan w:val="5"/>
            <w:vMerge w:val="continue"/>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jc w:val="right"/>
              <w:spacing w:after="0" w:line="183" w:lineRule="exact"/>
              <w:rPr>
                <w:sz w:val="20"/>
                <w:szCs w:val="20"/>
                <w:color w:val="auto"/>
              </w:rPr>
            </w:pPr>
            <w:r>
              <w:rPr>
                <w:rFonts w:ascii="Arial" w:cs="Arial" w:eastAsia="Arial" w:hAnsi="Arial"/>
                <w:sz w:val="19"/>
                <w:szCs w:val="19"/>
                <w:color w:val="FF0000"/>
                <w:strike w:val="1"/>
                <w:w w:val="81"/>
              </w:rPr>
              <w:t>194</w:t>
            </w:r>
          </w:p>
        </w:tc>
        <w:tc>
          <w:tcPr>
            <w:tcW w:w="2460" w:type="dxa"/>
            <w:vAlign w:val="bottom"/>
            <w:gridSpan w:val="15"/>
          </w:tcPr>
          <w:p>
            <w:pPr>
              <w:spacing w:after="0" w:line="183" w:lineRule="exact"/>
              <w:rPr>
                <w:sz w:val="20"/>
                <w:szCs w:val="20"/>
                <w:color w:val="auto"/>
              </w:rPr>
            </w:pPr>
            <w:r>
              <w:rPr>
                <w:rFonts w:ascii="Arial" w:cs="Arial" w:eastAsia="Arial" w:hAnsi="Arial"/>
                <w:sz w:val="19"/>
                <w:szCs w:val="19"/>
                <w:color w:val="0000FF"/>
              </w:rPr>
              <w:t xml:space="preserve">195 </w:t>
            </w:r>
            <w:r>
              <w:rPr>
                <w:rFonts w:ascii="Arial" w:cs="Arial" w:eastAsia="Arial" w:hAnsi="Arial"/>
                <w:sz w:val="19"/>
                <w:szCs w:val="19"/>
                <w:color w:val="000000"/>
              </w:rPr>
              <w:t>Section 9.21.  Conflicts</w:t>
            </w:r>
          </w:p>
        </w:tc>
        <w:tc>
          <w:tcPr>
            <w:tcW w:w="280" w:type="dxa"/>
            <w:vAlign w:val="bottom"/>
            <w:gridSpan w:val="2"/>
          </w:tcPr>
          <w:p>
            <w:pPr>
              <w:jc w:val="right"/>
              <w:spacing w:after="0" w:line="183" w:lineRule="exact"/>
              <w:rPr>
                <w:sz w:val="20"/>
                <w:szCs w:val="20"/>
                <w:color w:val="auto"/>
              </w:rPr>
            </w:pPr>
            <w:r>
              <w:rPr>
                <w:rFonts w:ascii="Arial" w:cs="Arial" w:eastAsia="Arial" w:hAnsi="Arial"/>
                <w:sz w:val="19"/>
                <w:szCs w:val="19"/>
                <w:color w:val="FF0000"/>
                <w:strike w:val="1"/>
                <w:w w:val="81"/>
              </w:rPr>
              <w:t>194</w:t>
            </w:r>
          </w:p>
        </w:tc>
        <w:tc>
          <w:tcPr>
            <w:tcW w:w="960" w:type="dxa"/>
            <w:vAlign w:val="bottom"/>
            <w:gridSpan w:val="2"/>
          </w:tcPr>
          <w:p>
            <w:pPr>
              <w:jc w:val="right"/>
              <w:ind w:right="40"/>
              <w:spacing w:after="0" w:line="183" w:lineRule="exact"/>
              <w:rPr>
                <w:sz w:val="20"/>
                <w:szCs w:val="20"/>
                <w:color w:val="auto"/>
              </w:rPr>
            </w:pPr>
            <w:r>
              <w:rPr>
                <w:rFonts w:ascii="Arial" w:cs="Arial" w:eastAsia="Arial" w:hAnsi="Arial"/>
                <w:sz w:val="19"/>
                <w:szCs w:val="19"/>
                <w:color w:val="0000FF"/>
                <w:w w:val="89"/>
              </w:rPr>
              <w:t xml:space="preserve">195 </w:t>
            </w:r>
            <w:r>
              <w:rPr>
                <w:rFonts w:ascii="Arial" w:cs="Arial" w:eastAsia="Arial" w:hAnsi="Arial"/>
                <w:sz w:val="19"/>
                <w:szCs w:val="19"/>
                <w:color w:val="000000"/>
                <w:w w:val="89"/>
              </w:rPr>
              <w:t>Section</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FF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gridSpan w:val="2"/>
          </w:tcPr>
          <w:p>
            <w:pPr>
              <w:spacing w:after="0" w:line="196" w:lineRule="exact"/>
              <w:rPr>
                <w:sz w:val="20"/>
                <w:szCs w:val="20"/>
                <w:color w:val="auto"/>
              </w:rPr>
            </w:pPr>
            <w:r>
              <w:rPr>
                <w:rFonts w:ascii="Arial" w:cs="Arial" w:eastAsia="Arial" w:hAnsi="Arial"/>
                <w:sz w:val="19"/>
                <w:szCs w:val="19"/>
                <w:color w:val="auto"/>
              </w:rPr>
              <w:t>9.22.</w:t>
            </w:r>
          </w:p>
        </w:tc>
        <w:tc>
          <w:tcPr>
            <w:tcW w:w="1980" w:type="dxa"/>
            <w:vAlign w:val="bottom"/>
            <w:gridSpan w:val="12"/>
          </w:tcPr>
          <w:p>
            <w:pPr>
              <w:ind w:left="180"/>
              <w:spacing w:after="0" w:line="196" w:lineRule="exact"/>
              <w:rPr>
                <w:sz w:val="20"/>
                <w:szCs w:val="20"/>
                <w:color w:val="auto"/>
              </w:rPr>
            </w:pPr>
            <w:r>
              <w:rPr>
                <w:rFonts w:ascii="Arial" w:cs="Arial" w:eastAsia="Arial" w:hAnsi="Arial"/>
                <w:sz w:val="19"/>
                <w:szCs w:val="19"/>
                <w:color w:val="auto"/>
                <w:w w:val="93"/>
              </w:rPr>
              <w:t>Release of Guarantors</w:t>
            </w:r>
          </w:p>
        </w:tc>
        <w:tc>
          <w:tcPr>
            <w:tcW w:w="30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9"/>
                <w:szCs w:val="19"/>
                <w:color w:val="FF0000"/>
                <w:strike w:val="1"/>
              </w:rPr>
              <w:t>194</w:t>
            </w:r>
          </w:p>
        </w:tc>
        <w:tc>
          <w:tcPr>
            <w:tcW w:w="980" w:type="dxa"/>
            <w:vAlign w:val="bottom"/>
            <w:gridSpan w:val="9"/>
          </w:tcPr>
          <w:p>
            <w:pPr>
              <w:spacing w:after="0" w:line="196" w:lineRule="exact"/>
              <w:rPr>
                <w:sz w:val="20"/>
                <w:szCs w:val="20"/>
                <w:color w:val="auto"/>
              </w:rPr>
            </w:pPr>
            <w:r>
              <w:rPr>
                <w:rFonts w:ascii="Arial" w:cs="Arial" w:eastAsia="Arial" w:hAnsi="Arial"/>
                <w:sz w:val="19"/>
                <w:szCs w:val="19"/>
                <w:color w:val="0000FF"/>
                <w:w w:val="95"/>
              </w:rPr>
              <w:t xml:space="preserve">195 </w:t>
            </w:r>
            <w:r>
              <w:rPr>
                <w:rFonts w:ascii="Arial" w:cs="Arial" w:eastAsia="Arial" w:hAnsi="Arial"/>
                <w:sz w:val="19"/>
                <w:szCs w:val="19"/>
                <w:color w:val="000000"/>
                <w:w w:val="95"/>
              </w:rPr>
              <w:t>Section</w:t>
            </w:r>
          </w:p>
        </w:tc>
        <w:tc>
          <w:tcPr>
            <w:tcW w:w="420" w:type="dxa"/>
            <w:vAlign w:val="bottom"/>
            <w:gridSpan w:val="5"/>
          </w:tcPr>
          <w:p>
            <w:pPr>
              <w:jc w:val="right"/>
              <w:spacing w:after="0" w:line="196" w:lineRule="exact"/>
              <w:rPr>
                <w:sz w:val="20"/>
                <w:szCs w:val="20"/>
                <w:color w:val="auto"/>
              </w:rPr>
            </w:pPr>
            <w:r>
              <w:rPr>
                <w:rFonts w:ascii="Arial" w:cs="Arial" w:eastAsia="Arial" w:hAnsi="Arial"/>
                <w:sz w:val="19"/>
                <w:szCs w:val="19"/>
                <w:color w:val="auto"/>
                <w:w w:val="94"/>
              </w:rPr>
              <w:t>9.23.</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gridSpan w:val="8"/>
          </w:tcPr>
          <w:p>
            <w:pPr>
              <w:ind w:left="40"/>
              <w:spacing w:after="0" w:line="196" w:lineRule="exact"/>
              <w:rPr>
                <w:sz w:val="20"/>
                <w:szCs w:val="20"/>
                <w:color w:val="auto"/>
              </w:rPr>
            </w:pPr>
            <w:r>
              <w:rPr>
                <w:rFonts w:ascii="Arial" w:cs="Arial" w:eastAsia="Arial" w:hAnsi="Arial"/>
                <w:sz w:val="19"/>
                <w:szCs w:val="19"/>
                <w:color w:val="auto"/>
                <w:w w:val="94"/>
              </w:rPr>
              <w:t>Acknowledgement and</w:t>
            </w:r>
          </w:p>
        </w:tc>
        <w:tc>
          <w:tcPr>
            <w:tcW w:w="3340" w:type="dxa"/>
            <w:vAlign w:val="bottom"/>
            <w:gridSpan w:val="16"/>
          </w:tcPr>
          <w:p>
            <w:pPr>
              <w:jc w:val="right"/>
              <w:spacing w:after="0" w:line="196" w:lineRule="exact"/>
              <w:rPr>
                <w:sz w:val="20"/>
                <w:szCs w:val="20"/>
                <w:color w:val="auto"/>
              </w:rPr>
            </w:pPr>
            <w:r>
              <w:rPr>
                <w:rFonts w:ascii="Arial" w:cs="Arial" w:eastAsia="Arial" w:hAnsi="Arial"/>
                <w:sz w:val="19"/>
                <w:szCs w:val="19"/>
                <w:color w:val="auto"/>
              </w:rPr>
              <w:t>Consent to Bail-In of Affected Financial</w:t>
            </w:r>
          </w:p>
        </w:tc>
        <w:tc>
          <w:tcPr>
            <w:tcW w:w="0" w:type="dxa"/>
            <w:vAlign w:val="bottom"/>
          </w:tcPr>
          <w:p>
            <w:pPr>
              <w:spacing w:after="0"/>
              <w:rPr>
                <w:sz w:val="1"/>
                <w:szCs w:val="1"/>
                <w:color w:val="auto"/>
              </w:rPr>
            </w:pPr>
          </w:p>
        </w:tc>
      </w:tr>
      <w:tr>
        <w:trPr>
          <w:trHeight w:val="20"/>
        </w:trPr>
        <w:tc>
          <w:tcPr>
            <w:tcW w:w="980" w:type="dxa"/>
            <w:vAlign w:val="bottom"/>
            <w:gridSpan w:val="4"/>
            <w:vMerge w:val="restart"/>
          </w:tcPr>
          <w:p>
            <w:pPr>
              <w:spacing w:after="0" w:line="203" w:lineRule="exact"/>
              <w:rPr>
                <w:sz w:val="20"/>
                <w:szCs w:val="20"/>
                <w:color w:val="auto"/>
              </w:rPr>
            </w:pPr>
            <w:r>
              <w:rPr>
                <w:rFonts w:ascii="Arial" w:cs="Arial" w:eastAsia="Arial" w:hAnsi="Arial"/>
                <w:sz w:val="19"/>
                <w:szCs w:val="19"/>
                <w:color w:val="auto"/>
              </w:rPr>
              <w:t>Institutions</w:t>
            </w:r>
          </w:p>
        </w:tc>
        <w:tc>
          <w:tcPr>
            <w:tcW w:w="280" w:type="dxa"/>
            <w:vAlign w:val="bottom"/>
            <w:vMerge w:val="restart"/>
          </w:tcPr>
          <w:p>
            <w:pPr>
              <w:jc w:val="right"/>
              <w:spacing w:after="0" w:line="203" w:lineRule="exact"/>
              <w:rPr>
                <w:sz w:val="20"/>
                <w:szCs w:val="20"/>
                <w:color w:val="auto"/>
              </w:rPr>
            </w:pPr>
            <w:r>
              <w:rPr>
                <w:rFonts w:ascii="Arial" w:cs="Arial" w:eastAsia="Arial" w:hAnsi="Arial"/>
                <w:sz w:val="19"/>
                <w:szCs w:val="19"/>
                <w:color w:val="FF0000"/>
                <w:strike w:val="1"/>
                <w:w w:val="81"/>
              </w:rPr>
              <w:t>195</w:t>
            </w:r>
          </w:p>
        </w:tc>
        <w:tc>
          <w:tcPr>
            <w:tcW w:w="1280" w:type="dxa"/>
            <w:vAlign w:val="bottom"/>
            <w:gridSpan w:val="9"/>
            <w:vMerge w:val="restart"/>
          </w:tcPr>
          <w:p>
            <w:pPr>
              <w:spacing w:after="0" w:line="203" w:lineRule="exact"/>
              <w:rPr>
                <w:sz w:val="20"/>
                <w:szCs w:val="20"/>
                <w:color w:val="auto"/>
              </w:rPr>
            </w:pPr>
            <w:r>
              <w:rPr>
                <w:rFonts w:ascii="Arial" w:cs="Arial" w:eastAsia="Arial" w:hAnsi="Arial"/>
                <w:sz w:val="19"/>
                <w:szCs w:val="19"/>
                <w:color w:val="0000FF"/>
                <w:w w:val="85"/>
              </w:rPr>
              <w:t xml:space="preserve">196 </w:t>
            </w:r>
            <w:r>
              <w:rPr>
                <w:rFonts w:ascii="Arial" w:cs="Arial" w:eastAsia="Arial" w:hAnsi="Arial"/>
                <w:sz w:val="19"/>
                <w:szCs w:val="19"/>
                <w:color w:val="000000"/>
                <w:w w:val="85"/>
              </w:rPr>
              <w:t>Section 9.24.</w:t>
            </w:r>
          </w:p>
        </w:tc>
        <w:tc>
          <w:tcPr>
            <w:tcW w:w="300" w:type="dxa"/>
            <w:vAlign w:val="bottom"/>
            <w:tcBorders>
              <w:right w:val="single" w:sz="8" w:color="FF0000"/>
            </w:tcBorders>
            <w:shd w:val="clear" w:color="auto" w:fill="FF0000"/>
          </w:tcPr>
          <w:p>
            <w:pPr>
              <w:spacing w:after="0" w:line="20" w:lineRule="exact"/>
              <w:rPr>
                <w:sz w:val="1"/>
                <w:szCs w:val="1"/>
                <w:color w:val="auto"/>
              </w:rPr>
            </w:pPr>
          </w:p>
        </w:tc>
        <w:tc>
          <w:tcPr>
            <w:tcW w:w="340" w:type="dxa"/>
            <w:vAlign w:val="bottom"/>
            <w:tcBorders>
              <w:left w:val="single" w:sz="8" w:color="FF0000"/>
            </w:tcBorders>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340" w:type="dxa"/>
            <w:vAlign w:val="bottom"/>
            <w:gridSpan w:val="12"/>
            <w:vMerge w:val="restart"/>
          </w:tcPr>
          <w:p>
            <w:pPr>
              <w:ind w:left="180"/>
              <w:spacing w:after="0" w:line="203" w:lineRule="exact"/>
              <w:rPr>
                <w:sz w:val="20"/>
                <w:szCs w:val="20"/>
                <w:color w:val="auto"/>
              </w:rPr>
            </w:pPr>
            <w:r>
              <w:rPr>
                <w:rFonts w:ascii="Arial" w:cs="Arial" w:eastAsia="Arial" w:hAnsi="Arial"/>
                <w:sz w:val="19"/>
                <w:szCs w:val="19"/>
                <w:color w:val="auto"/>
                <w:w w:val="90"/>
              </w:rPr>
              <w:t>ERISA Matters</w:t>
            </w:r>
          </w:p>
        </w:tc>
        <w:tc>
          <w:tcPr>
            <w:tcW w:w="280" w:type="dxa"/>
            <w:vAlign w:val="bottom"/>
            <w:gridSpan w:val="2"/>
            <w:vMerge w:val="restart"/>
          </w:tcPr>
          <w:p>
            <w:pPr>
              <w:jc w:val="right"/>
              <w:spacing w:after="0" w:line="203" w:lineRule="exact"/>
              <w:rPr>
                <w:sz w:val="20"/>
                <w:szCs w:val="20"/>
                <w:color w:val="auto"/>
              </w:rPr>
            </w:pPr>
            <w:r>
              <w:rPr>
                <w:rFonts w:ascii="Arial" w:cs="Arial" w:eastAsia="Arial" w:hAnsi="Arial"/>
                <w:sz w:val="19"/>
                <w:szCs w:val="19"/>
                <w:color w:val="FF0000"/>
                <w:strike w:val="1"/>
                <w:w w:val="81"/>
              </w:rPr>
              <w:t>195</w:t>
            </w:r>
          </w:p>
        </w:tc>
        <w:tc>
          <w:tcPr>
            <w:tcW w:w="1660" w:type="dxa"/>
            <w:vAlign w:val="bottom"/>
            <w:gridSpan w:val="7"/>
            <w:vMerge w:val="restart"/>
          </w:tcPr>
          <w:p>
            <w:pPr>
              <w:spacing w:after="0" w:line="203" w:lineRule="exact"/>
              <w:rPr>
                <w:sz w:val="20"/>
                <w:szCs w:val="20"/>
                <w:color w:val="auto"/>
              </w:rPr>
            </w:pPr>
            <w:r>
              <w:rPr>
                <w:rFonts w:ascii="Arial" w:cs="Arial" w:eastAsia="Arial" w:hAnsi="Arial"/>
                <w:sz w:val="19"/>
                <w:szCs w:val="19"/>
                <w:color w:val="0000FF"/>
              </w:rPr>
              <w:t xml:space="preserve">196 </w:t>
            </w:r>
            <w:r>
              <w:rPr>
                <w:rFonts w:ascii="Arial" w:cs="Arial" w:eastAsia="Arial" w:hAnsi="Arial"/>
                <w:sz w:val="19"/>
                <w:szCs w:val="19"/>
                <w:color w:val="000000"/>
              </w:rPr>
              <w:t>Section 9.25.</w:t>
            </w:r>
          </w:p>
        </w:tc>
        <w:tc>
          <w:tcPr>
            <w:tcW w:w="1600" w:type="dxa"/>
            <w:vAlign w:val="bottom"/>
            <w:gridSpan w:val="10"/>
            <w:vMerge w:val="restart"/>
          </w:tcPr>
          <w:p>
            <w:pPr>
              <w:ind w:left="60"/>
              <w:spacing w:after="0" w:line="203" w:lineRule="exact"/>
              <w:rPr>
                <w:sz w:val="20"/>
                <w:szCs w:val="20"/>
                <w:color w:val="auto"/>
              </w:rPr>
            </w:pPr>
            <w:r>
              <w:rPr>
                <w:rFonts w:ascii="Arial" w:cs="Arial" w:eastAsia="Arial" w:hAnsi="Arial"/>
                <w:sz w:val="19"/>
                <w:szCs w:val="19"/>
                <w:color w:val="auto"/>
                <w:w w:val="90"/>
              </w:rPr>
              <w:t>Judgment Currency</w:t>
            </w:r>
          </w:p>
        </w:tc>
        <w:tc>
          <w:tcPr>
            <w:tcW w:w="360" w:type="dxa"/>
            <w:vAlign w:val="bottom"/>
            <w:vMerge w:val="restart"/>
          </w:tcPr>
          <w:p>
            <w:pPr>
              <w:jc w:val="right"/>
              <w:spacing w:after="0" w:line="203" w:lineRule="exact"/>
              <w:rPr>
                <w:sz w:val="20"/>
                <w:szCs w:val="20"/>
                <w:color w:val="auto"/>
              </w:rPr>
            </w:pPr>
            <w:r>
              <w:rPr>
                <w:rFonts w:ascii="Arial" w:cs="Arial" w:eastAsia="Arial" w:hAnsi="Arial"/>
                <w:sz w:val="19"/>
                <w:szCs w:val="19"/>
                <w:color w:val="FF0000"/>
                <w:strike w:val="1"/>
                <w:w w:val="94"/>
              </w:rPr>
              <w:t>196</w:t>
            </w:r>
          </w:p>
        </w:tc>
        <w:tc>
          <w:tcPr>
            <w:tcW w:w="1380" w:type="dxa"/>
            <w:vAlign w:val="bottom"/>
            <w:gridSpan w:val="5"/>
            <w:vMerge w:val="restart"/>
          </w:tcPr>
          <w:p>
            <w:pPr>
              <w:jc w:val="right"/>
              <w:ind w:right="60"/>
              <w:spacing w:after="0" w:line="203" w:lineRule="exact"/>
              <w:rPr>
                <w:sz w:val="20"/>
                <w:szCs w:val="20"/>
                <w:color w:val="auto"/>
              </w:rPr>
            </w:pPr>
            <w:r>
              <w:rPr>
                <w:rFonts w:ascii="Arial" w:cs="Arial" w:eastAsia="Arial" w:hAnsi="Arial"/>
                <w:sz w:val="19"/>
                <w:szCs w:val="19"/>
                <w:color w:val="0000FF"/>
                <w:w w:val="87"/>
              </w:rPr>
              <w:t xml:space="preserve">197 </w:t>
            </w:r>
            <w:r>
              <w:rPr>
                <w:rFonts w:ascii="Arial" w:cs="Arial" w:eastAsia="Arial" w:hAnsi="Arial"/>
                <w:sz w:val="19"/>
                <w:szCs w:val="19"/>
                <w:color w:val="000000"/>
                <w:w w:val="87"/>
              </w:rPr>
              <w:t>Section 9.26.</w:t>
            </w:r>
          </w:p>
        </w:tc>
        <w:tc>
          <w:tcPr>
            <w:tcW w:w="0" w:type="dxa"/>
            <w:vAlign w:val="bottom"/>
          </w:tcPr>
          <w:p>
            <w:pPr>
              <w:spacing w:after="0" w:line="20" w:lineRule="exact"/>
              <w:rPr>
                <w:sz w:val="1"/>
                <w:szCs w:val="1"/>
                <w:color w:val="auto"/>
              </w:rPr>
            </w:pPr>
          </w:p>
        </w:tc>
      </w:tr>
      <w:tr>
        <w:trPr>
          <w:trHeight w:val="183"/>
        </w:trPr>
        <w:tc>
          <w:tcPr>
            <w:tcW w:w="980" w:type="dxa"/>
            <w:vAlign w:val="bottom"/>
            <w:gridSpan w:val="4"/>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280" w:type="dxa"/>
            <w:vAlign w:val="bottom"/>
            <w:gridSpan w:val="9"/>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gridSpan w:val="4"/>
          </w:tcPr>
          <w:p>
            <w:pPr>
              <w:ind w:left="180"/>
              <w:spacing w:after="0" w:line="182" w:lineRule="exact"/>
              <w:rPr>
                <w:sz w:val="20"/>
                <w:szCs w:val="20"/>
                <w:color w:val="auto"/>
              </w:rPr>
            </w:pPr>
            <w:r>
              <w:rPr>
                <w:rFonts w:ascii="Arial" w:cs="Arial" w:eastAsia="Arial" w:hAnsi="Arial"/>
                <w:sz w:val="18"/>
                <w:szCs w:val="18"/>
                <w:color w:val="auto"/>
                <w:w w:val="72"/>
              </w:rPr>
              <w:t>Certain</w:t>
            </w:r>
          </w:p>
        </w:tc>
        <w:tc>
          <w:tcPr>
            <w:tcW w:w="1340" w:type="dxa"/>
            <w:vAlign w:val="bottom"/>
            <w:gridSpan w:val="12"/>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1660" w:type="dxa"/>
            <w:vAlign w:val="bottom"/>
            <w:gridSpan w:val="7"/>
            <w:vMerge w:val="continue"/>
          </w:tcPr>
          <w:p>
            <w:pPr>
              <w:spacing w:after="0"/>
              <w:rPr>
                <w:sz w:val="15"/>
                <w:szCs w:val="15"/>
                <w:color w:val="auto"/>
              </w:rPr>
            </w:pPr>
          </w:p>
        </w:tc>
        <w:tc>
          <w:tcPr>
            <w:tcW w:w="1600" w:type="dxa"/>
            <w:vAlign w:val="bottom"/>
            <w:gridSpan w:val="10"/>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38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gridSpan w:val="3"/>
          </w:tcPr>
          <w:p>
            <w:pPr>
              <w:spacing w:after="0" w:line="20" w:lineRule="exact"/>
              <w:rPr>
                <w:sz w:val="1"/>
                <w:szCs w:val="1"/>
                <w:color w:val="auto"/>
              </w:rPr>
            </w:pPr>
          </w:p>
        </w:tc>
        <w:tc>
          <w:tcPr>
            <w:tcW w:w="140" w:type="dxa"/>
            <w:vAlign w:val="bottom"/>
            <w:shd w:val="clear" w:color="auto" w:fill="FF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40" w:type="dxa"/>
            <w:vAlign w:val="bottom"/>
            <w:gridSpan w:val="1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shd w:val="clear" w:color="auto" w:fill="FF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360" w:type="dxa"/>
            <w:vAlign w:val="bottom"/>
            <w:tcBorders>
              <w:left w:val="single" w:sz="8" w:color="FF0000"/>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gridSpan w:val="25"/>
          </w:tcPr>
          <w:p>
            <w:pPr>
              <w:spacing w:after="0" w:line="183" w:lineRule="exact"/>
              <w:rPr>
                <w:sz w:val="20"/>
                <w:szCs w:val="20"/>
                <w:color w:val="auto"/>
              </w:rPr>
            </w:pPr>
            <w:r>
              <w:rPr>
                <w:rFonts w:ascii="Arial" w:cs="Arial" w:eastAsia="Arial" w:hAnsi="Arial"/>
                <w:sz w:val="19"/>
                <w:szCs w:val="19"/>
                <w:color w:val="auto"/>
                <w:w w:val="95"/>
              </w:rPr>
              <w:t>Acknowledgement Regarding Any Supported QFCs</w:t>
            </w:r>
          </w:p>
        </w:tc>
        <w:tc>
          <w:tcPr>
            <w:tcW w:w="700" w:type="dxa"/>
            <w:vAlign w:val="bottom"/>
            <w:gridSpan w:val="7"/>
          </w:tcPr>
          <w:p>
            <w:pPr>
              <w:jc w:val="right"/>
              <w:spacing w:after="0" w:line="183" w:lineRule="exact"/>
              <w:rPr>
                <w:sz w:val="20"/>
                <w:szCs w:val="20"/>
                <w:color w:val="auto"/>
              </w:rPr>
            </w:pPr>
            <w:r>
              <w:rPr>
                <w:rFonts w:ascii="Arial" w:cs="Arial" w:eastAsia="Arial" w:hAnsi="Arial"/>
                <w:sz w:val="19"/>
                <w:szCs w:val="19"/>
                <w:color w:val="auto"/>
              </w:rPr>
              <w:t>197</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80" w:type="dxa"/>
            <w:vAlign w:val="bottom"/>
            <w:tcBorders>
              <w:right w:val="single" w:sz="8" w:color="auto"/>
            </w:tcBorders>
            <w:gridSpan w:val="23"/>
          </w:tcPr>
          <w:p>
            <w:pPr>
              <w:spacing w:after="0" w:line="20" w:lineRule="exact"/>
              <w:rPr>
                <w:sz w:val="1"/>
                <w:szCs w:val="1"/>
                <w:color w:val="auto"/>
              </w:rPr>
            </w:pPr>
          </w:p>
        </w:tc>
        <w:tc>
          <w:tcPr>
            <w:tcW w:w="6100" w:type="dxa"/>
            <w:vAlign w:val="bottom"/>
            <w:gridSpan w:val="3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40" w:top="178" w:right="1379" w:bottom="1440" w:gutter="0" w:footer="0" w:header="0"/>
        </w:sectPr>
      </w:pPr>
    </w:p>
    <w:bookmarkStart w:id="66" w:name="page67"/>
    <w:bookmarkEnd w:id="66"/>
    <w:tbl>
      <w:tblPr>
        <w:tblLayout w:type="fixed"/>
        <w:tblInd w:w="100" w:type="dxa"/>
        <w:tblCellMar>
          <w:top w:w="0" w:type="dxa"/>
          <w:left w:w="0" w:type="dxa"/>
          <w:bottom w:w="0" w:type="dxa"/>
          <w:right w:w="0" w:type="dxa"/>
        </w:tblCellMar>
      </w:tblPr>
      <w:tr>
        <w:trPr>
          <w:trHeight w:val="240"/>
        </w:trPr>
        <w:tc>
          <w:tcPr>
            <w:tcW w:w="1320" w:type="dxa"/>
            <w:vAlign w:val="bottom"/>
            <w:gridSpan w:val="2"/>
          </w:tcPr>
          <w:p>
            <w:pPr>
              <w:spacing w:after="0"/>
              <w:rPr>
                <w:sz w:val="20"/>
                <w:szCs w:val="20"/>
                <w:color w:val="auto"/>
              </w:rPr>
            </w:pPr>
            <w:r>
              <w:rPr>
                <w:rFonts w:ascii="Arial" w:cs="Arial" w:eastAsia="Arial" w:hAnsi="Arial"/>
                <w:sz w:val="19"/>
                <w:szCs w:val="19"/>
                <w:color w:val="auto"/>
              </w:rPr>
              <w:t>SCHEDULES:</w:t>
            </w:r>
          </w:p>
        </w:tc>
        <w:tc>
          <w:tcPr>
            <w:tcW w:w="3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381"/>
        </w:trPr>
        <w:tc>
          <w:tcPr>
            <w:tcW w:w="4520" w:type="dxa"/>
            <w:vAlign w:val="bottom"/>
            <w:gridSpan w:val="3"/>
          </w:tcPr>
          <w:p>
            <w:pPr>
              <w:spacing w:after="0"/>
              <w:rPr>
                <w:sz w:val="20"/>
                <w:szCs w:val="20"/>
                <w:color w:val="auto"/>
              </w:rPr>
            </w:pPr>
            <w:r>
              <w:rPr>
                <w:rFonts w:ascii="Arial" w:cs="Arial" w:eastAsia="Arial" w:hAnsi="Arial"/>
                <w:sz w:val="19"/>
                <w:szCs w:val="19"/>
                <w:color w:val="auto"/>
              </w:rPr>
              <w:t>Schedule 1.01(a) – Commitment Schedule Schedule</w:t>
            </w: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02"/>
        </w:trPr>
        <w:tc>
          <w:tcPr>
            <w:tcW w:w="4520" w:type="dxa"/>
            <w:vAlign w:val="bottom"/>
            <w:gridSpan w:val="3"/>
          </w:tcPr>
          <w:p>
            <w:pPr>
              <w:spacing w:after="0" w:line="203" w:lineRule="exact"/>
              <w:rPr>
                <w:sz w:val="20"/>
                <w:szCs w:val="20"/>
                <w:color w:val="auto"/>
              </w:rPr>
            </w:pPr>
            <w:r>
              <w:rPr>
                <w:rFonts w:ascii="Arial" w:cs="Arial" w:eastAsia="Arial" w:hAnsi="Arial"/>
                <w:sz w:val="19"/>
                <w:szCs w:val="19"/>
                <w:color w:val="auto"/>
              </w:rPr>
              <w:t>1.01(b) – Dutch Auction</w:t>
            </w: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16"/>
        </w:trPr>
        <w:tc>
          <w:tcPr>
            <w:tcW w:w="1320" w:type="dxa"/>
            <w:vAlign w:val="bottom"/>
            <w:gridSpan w:val="2"/>
          </w:tcPr>
          <w:p>
            <w:pPr>
              <w:spacing w:after="0" w:line="216" w:lineRule="exact"/>
              <w:rPr>
                <w:sz w:val="20"/>
                <w:szCs w:val="20"/>
                <w:color w:val="auto"/>
              </w:rPr>
            </w:pPr>
            <w:r>
              <w:rPr>
                <w:rFonts w:ascii="Arial" w:cs="Arial" w:eastAsia="Arial" w:hAnsi="Arial"/>
                <w:sz w:val="19"/>
                <w:szCs w:val="19"/>
                <w:color w:val="auto"/>
                <w:w w:val="90"/>
              </w:rPr>
              <w:t>Schedule 1.01(c)</w:t>
            </w:r>
          </w:p>
        </w:tc>
        <w:tc>
          <w:tcPr>
            <w:tcW w:w="3200" w:type="dxa"/>
            <w:vAlign w:val="bottom"/>
          </w:tcPr>
          <w:p>
            <w:pPr>
              <w:ind w:left="40"/>
              <w:spacing w:after="0" w:line="216" w:lineRule="exact"/>
              <w:rPr>
                <w:sz w:val="20"/>
                <w:szCs w:val="20"/>
                <w:color w:val="auto"/>
              </w:rPr>
            </w:pPr>
            <w:r>
              <w:rPr>
                <w:rFonts w:ascii="Arial" w:cs="Arial" w:eastAsia="Arial" w:hAnsi="Arial"/>
                <w:sz w:val="19"/>
                <w:szCs w:val="19"/>
                <w:color w:val="auto"/>
              </w:rPr>
              <w:t>– Existing Letters of Credit</w:t>
            </w: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203"/>
        </w:trPr>
        <w:tc>
          <w:tcPr>
            <w:tcW w:w="9780" w:type="dxa"/>
            <w:vAlign w:val="bottom"/>
            <w:gridSpan w:val="7"/>
          </w:tcPr>
          <w:p>
            <w:pPr>
              <w:spacing w:after="0" w:line="203" w:lineRule="exact"/>
              <w:rPr>
                <w:sz w:val="20"/>
                <w:szCs w:val="20"/>
                <w:color w:val="auto"/>
              </w:rPr>
            </w:pPr>
            <w:r>
              <w:rPr>
                <w:rFonts w:ascii="Arial" w:cs="Arial" w:eastAsia="Arial" w:hAnsi="Arial"/>
                <w:sz w:val="19"/>
                <w:szCs w:val="19"/>
                <w:color w:val="auto"/>
              </w:rPr>
              <w:t>Schedule 1.01(d) – Closing Date Collateral Documents and Loan Guarantees Schedule 3.13  –</w:t>
            </w:r>
          </w:p>
        </w:tc>
      </w:tr>
      <w:tr>
        <w:trPr>
          <w:trHeight w:val="203"/>
        </w:trPr>
        <w:tc>
          <w:tcPr>
            <w:tcW w:w="1020" w:type="dxa"/>
            <w:vAlign w:val="bottom"/>
          </w:tcPr>
          <w:p>
            <w:pPr>
              <w:spacing w:after="0" w:line="203" w:lineRule="exact"/>
              <w:rPr>
                <w:sz w:val="20"/>
                <w:szCs w:val="20"/>
                <w:color w:val="auto"/>
              </w:rPr>
            </w:pPr>
            <w:r>
              <w:rPr>
                <w:rFonts w:ascii="Arial" w:cs="Arial" w:eastAsia="Arial" w:hAnsi="Arial"/>
                <w:sz w:val="19"/>
                <w:szCs w:val="19"/>
                <w:color w:val="auto"/>
                <w:w w:val="96"/>
              </w:rPr>
              <w:t>Subsidiaries</w:t>
            </w:r>
          </w:p>
        </w:tc>
        <w:tc>
          <w:tcPr>
            <w:tcW w:w="3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16"/>
        </w:trPr>
        <w:tc>
          <w:tcPr>
            <w:tcW w:w="1320" w:type="dxa"/>
            <w:vAlign w:val="bottom"/>
            <w:gridSpan w:val="2"/>
          </w:tcPr>
          <w:p>
            <w:pPr>
              <w:spacing w:after="0" w:line="216" w:lineRule="exact"/>
              <w:rPr>
                <w:sz w:val="20"/>
                <w:szCs w:val="20"/>
                <w:color w:val="auto"/>
              </w:rPr>
            </w:pPr>
            <w:r>
              <w:rPr>
                <w:rFonts w:ascii="Arial" w:cs="Arial" w:eastAsia="Arial" w:hAnsi="Arial"/>
                <w:sz w:val="19"/>
                <w:szCs w:val="19"/>
                <w:color w:val="auto"/>
                <w:w w:val="94"/>
              </w:rPr>
              <w:t>Schedule 5.01 –</w:t>
            </w:r>
          </w:p>
        </w:tc>
        <w:tc>
          <w:tcPr>
            <w:tcW w:w="5400" w:type="dxa"/>
            <w:vAlign w:val="bottom"/>
            <w:gridSpan w:val="4"/>
          </w:tcPr>
          <w:p>
            <w:pPr>
              <w:ind w:left="180"/>
              <w:spacing w:after="0" w:line="216" w:lineRule="exact"/>
              <w:rPr>
                <w:sz w:val="20"/>
                <w:szCs w:val="20"/>
                <w:color w:val="auto"/>
              </w:rPr>
            </w:pPr>
            <w:r>
              <w:rPr>
                <w:rFonts w:ascii="Arial" w:cs="Arial" w:eastAsia="Arial" w:hAnsi="Arial"/>
                <w:sz w:val="19"/>
                <w:szCs w:val="19"/>
                <w:color w:val="auto"/>
                <w:w w:val="93"/>
              </w:rPr>
              <w:t>Borrower’s Website Address for Electronic Delivery Schedule 5.10</w:t>
            </w:r>
          </w:p>
        </w:tc>
        <w:tc>
          <w:tcPr>
            <w:tcW w:w="3060" w:type="dxa"/>
            <w:vAlign w:val="bottom"/>
          </w:tcPr>
          <w:p>
            <w:pPr>
              <w:ind w:left="80"/>
              <w:spacing w:after="0" w:line="216" w:lineRule="exact"/>
              <w:rPr>
                <w:sz w:val="20"/>
                <w:szCs w:val="20"/>
                <w:color w:val="auto"/>
              </w:rPr>
            </w:pPr>
            <w:r>
              <w:rPr>
                <w:rFonts w:ascii="Arial" w:cs="Arial" w:eastAsia="Arial" w:hAnsi="Arial"/>
                <w:sz w:val="19"/>
                <w:szCs w:val="19"/>
                <w:color w:val="auto"/>
              </w:rPr>
              <w:t>–</w:t>
            </w:r>
          </w:p>
        </w:tc>
      </w:tr>
      <w:tr>
        <w:trPr>
          <w:trHeight w:val="203"/>
        </w:trPr>
        <w:tc>
          <w:tcPr>
            <w:tcW w:w="4520" w:type="dxa"/>
            <w:vAlign w:val="bottom"/>
            <w:gridSpan w:val="3"/>
          </w:tcPr>
          <w:p>
            <w:pPr>
              <w:spacing w:after="0" w:line="203" w:lineRule="exact"/>
              <w:rPr>
                <w:sz w:val="20"/>
                <w:szCs w:val="20"/>
                <w:color w:val="auto"/>
              </w:rPr>
            </w:pPr>
            <w:r>
              <w:rPr>
                <w:rFonts w:ascii="Arial" w:cs="Arial" w:eastAsia="Arial" w:hAnsi="Arial"/>
                <w:sz w:val="19"/>
                <w:szCs w:val="19"/>
                <w:color w:val="auto"/>
              </w:rPr>
              <w:t>Unrestricted Subsidiaries</w:t>
            </w: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1320" w:type="dxa"/>
            <w:vAlign w:val="bottom"/>
            <w:gridSpan w:val="2"/>
          </w:tcPr>
          <w:p>
            <w:pPr>
              <w:spacing w:after="0" w:line="203" w:lineRule="exact"/>
              <w:rPr>
                <w:sz w:val="20"/>
                <w:szCs w:val="20"/>
                <w:color w:val="auto"/>
              </w:rPr>
            </w:pPr>
            <w:r>
              <w:rPr>
                <w:rFonts w:ascii="Arial" w:cs="Arial" w:eastAsia="Arial" w:hAnsi="Arial"/>
                <w:sz w:val="19"/>
                <w:szCs w:val="19"/>
                <w:color w:val="auto"/>
                <w:w w:val="94"/>
              </w:rPr>
              <w:t>Schedule 5.15 –</w:t>
            </w:r>
          </w:p>
        </w:tc>
        <w:tc>
          <w:tcPr>
            <w:tcW w:w="3200" w:type="dxa"/>
            <w:vAlign w:val="bottom"/>
          </w:tcPr>
          <w:p>
            <w:pPr>
              <w:ind w:left="180"/>
              <w:spacing w:after="0" w:line="203" w:lineRule="exact"/>
              <w:rPr>
                <w:sz w:val="20"/>
                <w:szCs w:val="20"/>
                <w:color w:val="auto"/>
              </w:rPr>
            </w:pPr>
            <w:r>
              <w:rPr>
                <w:rFonts w:ascii="Arial" w:cs="Arial" w:eastAsia="Arial" w:hAnsi="Arial"/>
                <w:sz w:val="19"/>
                <w:szCs w:val="19"/>
                <w:color w:val="auto"/>
                <w:w w:val="89"/>
              </w:rPr>
              <w:t>Post-Closing Obligations Schedule 9.01</w:t>
            </w:r>
          </w:p>
        </w:tc>
        <w:tc>
          <w:tcPr>
            <w:tcW w:w="1000" w:type="dxa"/>
            <w:vAlign w:val="bottom"/>
          </w:tcPr>
          <w:p>
            <w:pPr>
              <w:ind w:left="380"/>
              <w:spacing w:after="0" w:line="203" w:lineRule="exact"/>
              <w:rPr>
                <w:sz w:val="20"/>
                <w:szCs w:val="20"/>
                <w:color w:val="auto"/>
              </w:rPr>
            </w:pPr>
            <w:r>
              <w:rPr>
                <w:rFonts w:ascii="Arial" w:cs="Arial" w:eastAsia="Arial" w:hAnsi="Arial"/>
                <w:sz w:val="19"/>
                <w:szCs w:val="19"/>
                <w:color w:val="auto"/>
              </w:rPr>
              <w:t>–</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40"/>
        </w:trPr>
        <w:tc>
          <w:tcPr>
            <w:tcW w:w="4520" w:type="dxa"/>
            <w:vAlign w:val="bottom"/>
            <w:gridSpan w:val="3"/>
          </w:tcPr>
          <w:p>
            <w:pPr>
              <w:spacing w:after="0"/>
              <w:rPr>
                <w:sz w:val="20"/>
                <w:szCs w:val="20"/>
                <w:color w:val="auto"/>
              </w:rPr>
            </w:pPr>
            <w:r>
              <w:rPr>
                <w:rFonts w:ascii="Arial" w:cs="Arial" w:eastAsia="Arial" w:hAnsi="Arial"/>
                <w:sz w:val="19"/>
                <w:szCs w:val="19"/>
                <w:color w:val="auto"/>
              </w:rPr>
              <w:t>Issuing Bank Notice Information</w:t>
            </w: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597"/>
        </w:trPr>
        <w:tc>
          <w:tcPr>
            <w:tcW w:w="1020" w:type="dxa"/>
            <w:vAlign w:val="bottom"/>
          </w:tcPr>
          <w:p>
            <w:pPr>
              <w:spacing w:after="0"/>
              <w:rPr>
                <w:sz w:val="20"/>
                <w:szCs w:val="20"/>
                <w:color w:val="auto"/>
              </w:rPr>
            </w:pPr>
            <w:r>
              <w:rPr>
                <w:rFonts w:ascii="Arial" w:cs="Arial" w:eastAsia="Arial" w:hAnsi="Arial"/>
                <w:sz w:val="19"/>
                <w:szCs w:val="19"/>
                <w:color w:val="auto"/>
              </w:rPr>
              <w:t>EXHIBITS:</w:t>
            </w: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16"/>
        </w:trPr>
        <w:tc>
          <w:tcPr>
            <w:tcW w:w="1020" w:type="dxa"/>
            <w:vAlign w:val="bottom"/>
          </w:tcPr>
          <w:p>
            <w:pPr>
              <w:spacing w:after="0" w:line="216" w:lineRule="exact"/>
              <w:rPr>
                <w:sz w:val="20"/>
                <w:szCs w:val="20"/>
                <w:color w:val="auto"/>
              </w:rPr>
            </w:pPr>
            <w:r>
              <w:rPr>
                <w:rFonts w:ascii="Arial" w:cs="Arial" w:eastAsia="Arial" w:hAnsi="Arial"/>
                <w:sz w:val="19"/>
                <w:szCs w:val="19"/>
                <w:color w:val="auto"/>
              </w:rPr>
              <w:t>Exhibit A-1</w:t>
            </w:r>
          </w:p>
        </w:tc>
        <w:tc>
          <w:tcPr>
            <w:tcW w:w="300" w:type="dxa"/>
            <w:vAlign w:val="bottom"/>
          </w:tcPr>
          <w:p>
            <w:pPr>
              <w:ind w:left="100"/>
              <w:spacing w:after="0" w:line="216" w:lineRule="exact"/>
              <w:rPr>
                <w:sz w:val="20"/>
                <w:szCs w:val="20"/>
                <w:color w:val="auto"/>
              </w:rPr>
            </w:pPr>
            <w:r>
              <w:rPr>
                <w:rFonts w:ascii="Arial" w:cs="Arial" w:eastAsia="Arial" w:hAnsi="Arial"/>
                <w:sz w:val="19"/>
                <w:szCs w:val="19"/>
                <w:color w:val="auto"/>
              </w:rPr>
              <w:t>–</w:t>
            </w:r>
          </w:p>
        </w:tc>
        <w:tc>
          <w:tcPr>
            <w:tcW w:w="5400" w:type="dxa"/>
            <w:vAlign w:val="bottom"/>
            <w:gridSpan w:val="4"/>
          </w:tcPr>
          <w:p>
            <w:pPr>
              <w:ind w:left="180"/>
              <w:spacing w:after="0" w:line="216" w:lineRule="exact"/>
              <w:rPr>
                <w:sz w:val="20"/>
                <w:szCs w:val="20"/>
                <w:color w:val="auto"/>
              </w:rPr>
            </w:pPr>
            <w:r>
              <w:rPr>
                <w:rFonts w:ascii="Arial" w:cs="Arial" w:eastAsia="Arial" w:hAnsi="Arial"/>
                <w:sz w:val="19"/>
                <w:szCs w:val="19"/>
                <w:color w:val="auto"/>
                <w:w w:val="94"/>
              </w:rPr>
              <w:t>Form of Affiliated Lender Assignment and Assumption Exhibit A-2</w:t>
            </w:r>
          </w:p>
        </w:tc>
        <w:tc>
          <w:tcPr>
            <w:tcW w:w="3060" w:type="dxa"/>
            <w:vAlign w:val="bottom"/>
          </w:tcPr>
          <w:p>
            <w:pPr>
              <w:ind w:left="80"/>
              <w:spacing w:after="0" w:line="216" w:lineRule="exact"/>
              <w:rPr>
                <w:sz w:val="20"/>
                <w:szCs w:val="20"/>
                <w:color w:val="auto"/>
              </w:rPr>
            </w:pPr>
            <w:r>
              <w:rPr>
                <w:rFonts w:ascii="Arial" w:cs="Arial" w:eastAsia="Arial" w:hAnsi="Arial"/>
                <w:sz w:val="19"/>
                <w:szCs w:val="19"/>
                <w:color w:val="auto"/>
              </w:rPr>
              <w:t>–</w:t>
            </w:r>
          </w:p>
        </w:tc>
      </w:tr>
      <w:tr>
        <w:trPr>
          <w:trHeight w:val="203"/>
        </w:trPr>
        <w:tc>
          <w:tcPr>
            <w:tcW w:w="4520" w:type="dxa"/>
            <w:vAlign w:val="bottom"/>
            <w:gridSpan w:val="3"/>
          </w:tcPr>
          <w:p>
            <w:pPr>
              <w:spacing w:after="0" w:line="203" w:lineRule="exact"/>
              <w:rPr>
                <w:sz w:val="20"/>
                <w:szCs w:val="20"/>
                <w:color w:val="auto"/>
              </w:rPr>
            </w:pPr>
            <w:r>
              <w:rPr>
                <w:rFonts w:ascii="Arial" w:cs="Arial" w:eastAsia="Arial" w:hAnsi="Arial"/>
                <w:sz w:val="19"/>
                <w:szCs w:val="19"/>
                <w:color w:val="auto"/>
              </w:rPr>
              <w:t>Form of Assignment and Assumption</w:t>
            </w: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4520" w:type="dxa"/>
            <w:vAlign w:val="bottom"/>
            <w:gridSpan w:val="3"/>
          </w:tcPr>
          <w:p>
            <w:pPr>
              <w:spacing w:after="0" w:line="203" w:lineRule="exact"/>
              <w:rPr>
                <w:sz w:val="20"/>
                <w:szCs w:val="20"/>
                <w:color w:val="auto"/>
              </w:rPr>
            </w:pPr>
            <w:r>
              <w:rPr>
                <w:rFonts w:ascii="Arial" w:cs="Arial" w:eastAsia="Arial" w:hAnsi="Arial"/>
                <w:sz w:val="19"/>
                <w:szCs w:val="19"/>
                <w:color w:val="auto"/>
              </w:rPr>
              <w:t>Exhibit B –   Form of Borrowing Request</w:t>
            </w: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16"/>
        </w:trPr>
        <w:tc>
          <w:tcPr>
            <w:tcW w:w="1020" w:type="dxa"/>
            <w:vAlign w:val="bottom"/>
          </w:tcPr>
          <w:p>
            <w:pPr>
              <w:spacing w:after="0" w:line="216" w:lineRule="exact"/>
              <w:rPr>
                <w:sz w:val="20"/>
                <w:szCs w:val="20"/>
                <w:color w:val="auto"/>
              </w:rPr>
            </w:pPr>
            <w:r>
              <w:rPr>
                <w:rFonts w:ascii="Arial" w:cs="Arial" w:eastAsia="Arial" w:hAnsi="Arial"/>
                <w:sz w:val="19"/>
                <w:szCs w:val="19"/>
                <w:color w:val="auto"/>
              </w:rPr>
              <w:t>Exhibit C –</w:t>
            </w:r>
          </w:p>
        </w:tc>
        <w:tc>
          <w:tcPr>
            <w:tcW w:w="4880" w:type="dxa"/>
            <w:vAlign w:val="bottom"/>
            <w:gridSpan w:val="4"/>
          </w:tcPr>
          <w:p>
            <w:pPr>
              <w:ind w:left="100"/>
              <w:spacing w:after="0" w:line="216" w:lineRule="exact"/>
              <w:rPr>
                <w:sz w:val="20"/>
                <w:szCs w:val="20"/>
                <w:color w:val="auto"/>
              </w:rPr>
            </w:pPr>
            <w:r>
              <w:rPr>
                <w:rFonts w:ascii="Arial" w:cs="Arial" w:eastAsia="Arial" w:hAnsi="Arial"/>
                <w:sz w:val="19"/>
                <w:szCs w:val="19"/>
                <w:color w:val="auto"/>
                <w:w w:val="96"/>
              </w:rPr>
              <w:t>Form of Intellectual Property Security Agreement Exhibit D</w:t>
            </w:r>
          </w:p>
        </w:tc>
        <w:tc>
          <w:tcPr>
            <w:tcW w:w="820" w:type="dxa"/>
            <w:vAlign w:val="bottom"/>
          </w:tcPr>
          <w:p>
            <w:pPr>
              <w:ind w:left="140"/>
              <w:spacing w:after="0" w:line="216" w:lineRule="exact"/>
              <w:rPr>
                <w:sz w:val="20"/>
                <w:szCs w:val="20"/>
                <w:color w:val="auto"/>
              </w:rPr>
            </w:pPr>
            <w:r>
              <w:rPr>
                <w:rFonts w:ascii="Arial" w:cs="Arial" w:eastAsia="Arial" w:hAnsi="Arial"/>
                <w:sz w:val="19"/>
                <w:szCs w:val="19"/>
                <w:color w:val="auto"/>
              </w:rPr>
              <w:t>–</w:t>
            </w:r>
          </w:p>
        </w:tc>
        <w:tc>
          <w:tcPr>
            <w:tcW w:w="3060" w:type="dxa"/>
            <w:vAlign w:val="bottom"/>
          </w:tcPr>
          <w:p>
            <w:pPr>
              <w:spacing w:after="0"/>
              <w:rPr>
                <w:sz w:val="18"/>
                <w:szCs w:val="18"/>
                <w:color w:val="auto"/>
              </w:rPr>
            </w:pPr>
          </w:p>
        </w:tc>
      </w:tr>
      <w:tr>
        <w:trPr>
          <w:trHeight w:val="203"/>
        </w:trPr>
        <w:tc>
          <w:tcPr>
            <w:tcW w:w="4520" w:type="dxa"/>
            <w:vAlign w:val="bottom"/>
            <w:gridSpan w:val="3"/>
          </w:tcPr>
          <w:p>
            <w:pPr>
              <w:spacing w:after="0" w:line="203" w:lineRule="exact"/>
              <w:rPr>
                <w:sz w:val="20"/>
                <w:szCs w:val="20"/>
                <w:color w:val="auto"/>
              </w:rPr>
            </w:pPr>
            <w:r>
              <w:rPr>
                <w:rFonts w:ascii="Arial" w:cs="Arial" w:eastAsia="Arial" w:hAnsi="Arial"/>
                <w:sz w:val="19"/>
                <w:szCs w:val="19"/>
                <w:color w:val="auto"/>
              </w:rPr>
              <w:t>Form of Compliance Certificate</w:t>
            </w: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1020" w:type="dxa"/>
            <w:vAlign w:val="bottom"/>
          </w:tcPr>
          <w:p>
            <w:pPr>
              <w:spacing w:after="0" w:line="203" w:lineRule="exact"/>
              <w:rPr>
                <w:sz w:val="20"/>
                <w:szCs w:val="20"/>
                <w:color w:val="auto"/>
              </w:rPr>
            </w:pPr>
            <w:r>
              <w:rPr>
                <w:rFonts w:ascii="Arial" w:cs="Arial" w:eastAsia="Arial" w:hAnsi="Arial"/>
                <w:sz w:val="19"/>
                <w:szCs w:val="19"/>
                <w:color w:val="auto"/>
              </w:rPr>
              <w:t>Exhibit E –</w:t>
            </w:r>
          </w:p>
        </w:tc>
        <w:tc>
          <w:tcPr>
            <w:tcW w:w="4500" w:type="dxa"/>
            <w:vAlign w:val="bottom"/>
            <w:gridSpan w:val="3"/>
          </w:tcPr>
          <w:p>
            <w:pPr>
              <w:ind w:left="100"/>
              <w:spacing w:after="0" w:line="203" w:lineRule="exact"/>
              <w:rPr>
                <w:sz w:val="20"/>
                <w:szCs w:val="20"/>
                <w:color w:val="auto"/>
              </w:rPr>
            </w:pPr>
            <w:r>
              <w:rPr>
                <w:rFonts w:ascii="Arial" w:cs="Arial" w:eastAsia="Arial" w:hAnsi="Arial"/>
                <w:sz w:val="19"/>
                <w:szCs w:val="19"/>
                <w:color w:val="auto"/>
                <w:w w:val="94"/>
              </w:rPr>
              <w:t>Form of Pari Passu Intercreditor Agreement Exhibit F –</w:t>
            </w:r>
          </w:p>
        </w:tc>
        <w:tc>
          <w:tcPr>
            <w:tcW w:w="1200" w:type="dxa"/>
            <w:vAlign w:val="bottom"/>
            <w:gridSpan w:val="2"/>
          </w:tcPr>
          <w:p>
            <w:pPr>
              <w:ind w:left="140"/>
              <w:spacing w:after="0" w:line="203" w:lineRule="exact"/>
              <w:rPr>
                <w:sz w:val="20"/>
                <w:szCs w:val="20"/>
                <w:color w:val="auto"/>
              </w:rPr>
            </w:pPr>
            <w:r>
              <w:rPr>
                <w:rFonts w:ascii="Arial" w:cs="Arial" w:eastAsia="Arial" w:hAnsi="Arial"/>
                <w:sz w:val="19"/>
                <w:szCs w:val="19"/>
                <w:color w:val="auto"/>
              </w:rPr>
              <w:t>Form</w:t>
            </w:r>
          </w:p>
        </w:tc>
        <w:tc>
          <w:tcPr>
            <w:tcW w:w="3060" w:type="dxa"/>
            <w:vAlign w:val="bottom"/>
          </w:tcPr>
          <w:p>
            <w:pPr>
              <w:spacing w:after="0"/>
              <w:rPr>
                <w:sz w:val="17"/>
                <w:szCs w:val="17"/>
                <w:color w:val="auto"/>
              </w:rPr>
            </w:pPr>
          </w:p>
        </w:tc>
      </w:tr>
      <w:tr>
        <w:trPr>
          <w:trHeight w:val="203"/>
        </w:trPr>
        <w:tc>
          <w:tcPr>
            <w:tcW w:w="4520" w:type="dxa"/>
            <w:vAlign w:val="bottom"/>
            <w:gridSpan w:val="3"/>
          </w:tcPr>
          <w:p>
            <w:pPr>
              <w:spacing w:after="0" w:line="203" w:lineRule="exact"/>
              <w:rPr>
                <w:sz w:val="20"/>
                <w:szCs w:val="20"/>
                <w:color w:val="auto"/>
              </w:rPr>
            </w:pPr>
            <w:r>
              <w:rPr>
                <w:rFonts w:ascii="Arial" w:cs="Arial" w:eastAsia="Arial" w:hAnsi="Arial"/>
                <w:sz w:val="19"/>
                <w:szCs w:val="19"/>
                <w:color w:val="auto"/>
              </w:rPr>
              <w:t>of Intercompany Note</w:t>
            </w: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16"/>
        </w:trPr>
        <w:tc>
          <w:tcPr>
            <w:tcW w:w="1020" w:type="dxa"/>
            <w:vAlign w:val="bottom"/>
          </w:tcPr>
          <w:p>
            <w:pPr>
              <w:spacing w:after="0" w:line="216" w:lineRule="exact"/>
              <w:rPr>
                <w:sz w:val="20"/>
                <w:szCs w:val="20"/>
                <w:color w:val="auto"/>
              </w:rPr>
            </w:pPr>
            <w:r>
              <w:rPr>
                <w:rFonts w:ascii="Arial" w:cs="Arial" w:eastAsia="Arial" w:hAnsi="Arial"/>
                <w:sz w:val="19"/>
                <w:szCs w:val="19"/>
                <w:color w:val="auto"/>
              </w:rPr>
              <w:t>Exhibit G</w:t>
            </w:r>
          </w:p>
        </w:tc>
        <w:tc>
          <w:tcPr>
            <w:tcW w:w="300" w:type="dxa"/>
            <w:vAlign w:val="bottom"/>
          </w:tcPr>
          <w:p>
            <w:pPr>
              <w:ind w:left="100"/>
              <w:spacing w:after="0" w:line="216" w:lineRule="exact"/>
              <w:rPr>
                <w:sz w:val="20"/>
                <w:szCs w:val="20"/>
                <w:color w:val="auto"/>
              </w:rPr>
            </w:pPr>
            <w:r>
              <w:rPr>
                <w:rFonts w:ascii="Arial" w:cs="Arial" w:eastAsia="Arial" w:hAnsi="Arial"/>
                <w:sz w:val="19"/>
                <w:szCs w:val="19"/>
                <w:color w:val="auto"/>
              </w:rPr>
              <w:t>–</w:t>
            </w:r>
          </w:p>
        </w:tc>
        <w:tc>
          <w:tcPr>
            <w:tcW w:w="4580" w:type="dxa"/>
            <w:vAlign w:val="bottom"/>
            <w:gridSpan w:val="3"/>
          </w:tcPr>
          <w:p>
            <w:pPr>
              <w:ind w:left="180"/>
              <w:spacing w:after="0" w:line="216" w:lineRule="exact"/>
              <w:rPr>
                <w:sz w:val="20"/>
                <w:szCs w:val="20"/>
                <w:color w:val="auto"/>
              </w:rPr>
            </w:pPr>
            <w:r>
              <w:rPr>
                <w:rFonts w:ascii="Arial" w:cs="Arial" w:eastAsia="Arial" w:hAnsi="Arial"/>
                <w:sz w:val="19"/>
                <w:szCs w:val="19"/>
                <w:color w:val="auto"/>
                <w:w w:val="97"/>
              </w:rPr>
              <w:t>Form of Junior Lien Intercreditor Agreement Exhibit H</w:t>
            </w:r>
          </w:p>
        </w:tc>
        <w:tc>
          <w:tcPr>
            <w:tcW w:w="820" w:type="dxa"/>
            <w:vAlign w:val="bottom"/>
          </w:tcPr>
          <w:p>
            <w:pPr>
              <w:ind w:left="140"/>
              <w:spacing w:after="0" w:line="216" w:lineRule="exact"/>
              <w:rPr>
                <w:sz w:val="20"/>
                <w:szCs w:val="20"/>
                <w:color w:val="auto"/>
              </w:rPr>
            </w:pPr>
            <w:r>
              <w:rPr>
                <w:rFonts w:ascii="Arial" w:cs="Arial" w:eastAsia="Arial" w:hAnsi="Arial"/>
                <w:sz w:val="19"/>
                <w:szCs w:val="19"/>
                <w:color w:val="auto"/>
              </w:rPr>
              <w:t>–</w:t>
            </w:r>
          </w:p>
        </w:tc>
        <w:tc>
          <w:tcPr>
            <w:tcW w:w="3060" w:type="dxa"/>
            <w:vAlign w:val="bottom"/>
          </w:tcPr>
          <w:p>
            <w:pPr>
              <w:spacing w:after="0"/>
              <w:rPr>
                <w:sz w:val="18"/>
                <w:szCs w:val="18"/>
                <w:color w:val="auto"/>
              </w:rPr>
            </w:pPr>
          </w:p>
        </w:tc>
      </w:tr>
      <w:tr>
        <w:trPr>
          <w:trHeight w:val="203"/>
        </w:trPr>
        <w:tc>
          <w:tcPr>
            <w:tcW w:w="4520" w:type="dxa"/>
            <w:vAlign w:val="bottom"/>
            <w:gridSpan w:val="3"/>
          </w:tcPr>
          <w:p>
            <w:pPr>
              <w:spacing w:after="0" w:line="203" w:lineRule="exact"/>
              <w:rPr>
                <w:sz w:val="20"/>
                <w:szCs w:val="20"/>
                <w:color w:val="auto"/>
              </w:rPr>
            </w:pPr>
            <w:r>
              <w:rPr>
                <w:rFonts w:ascii="Arial" w:cs="Arial" w:eastAsia="Arial" w:hAnsi="Arial"/>
                <w:sz w:val="19"/>
                <w:szCs w:val="19"/>
                <w:color w:val="auto"/>
              </w:rPr>
              <w:t>Form of Interest Election Request</w:t>
            </w: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1020" w:type="dxa"/>
            <w:vAlign w:val="bottom"/>
          </w:tcPr>
          <w:p>
            <w:pPr>
              <w:spacing w:after="0" w:line="203" w:lineRule="exact"/>
              <w:rPr>
                <w:sz w:val="20"/>
                <w:szCs w:val="20"/>
                <w:color w:val="auto"/>
              </w:rPr>
            </w:pPr>
            <w:r>
              <w:rPr>
                <w:rFonts w:ascii="Arial" w:cs="Arial" w:eastAsia="Arial" w:hAnsi="Arial"/>
                <w:sz w:val="19"/>
                <w:szCs w:val="19"/>
                <w:color w:val="auto"/>
              </w:rPr>
              <w:t>Exhibit I –</w:t>
            </w:r>
          </w:p>
        </w:tc>
        <w:tc>
          <w:tcPr>
            <w:tcW w:w="4500" w:type="dxa"/>
            <w:vAlign w:val="bottom"/>
            <w:gridSpan w:val="3"/>
          </w:tcPr>
          <w:p>
            <w:pPr>
              <w:ind w:left="100"/>
              <w:spacing w:after="0" w:line="203" w:lineRule="exact"/>
              <w:rPr>
                <w:sz w:val="20"/>
                <w:szCs w:val="20"/>
                <w:color w:val="auto"/>
              </w:rPr>
            </w:pPr>
            <w:r>
              <w:rPr>
                <w:rFonts w:ascii="Arial" w:cs="Arial" w:eastAsia="Arial" w:hAnsi="Arial"/>
                <w:sz w:val="19"/>
                <w:szCs w:val="19"/>
                <w:color w:val="auto"/>
              </w:rPr>
              <w:t>Form of Loan Guaranty Exhibit J  –   Form of</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16"/>
        </w:trPr>
        <w:tc>
          <w:tcPr>
            <w:tcW w:w="4520" w:type="dxa"/>
            <w:vAlign w:val="bottom"/>
            <w:gridSpan w:val="3"/>
          </w:tcPr>
          <w:p>
            <w:pPr>
              <w:spacing w:after="0" w:line="216" w:lineRule="exact"/>
              <w:rPr>
                <w:sz w:val="20"/>
                <w:szCs w:val="20"/>
                <w:color w:val="auto"/>
              </w:rPr>
            </w:pPr>
            <w:r>
              <w:rPr>
                <w:rFonts w:ascii="Arial" w:cs="Arial" w:eastAsia="Arial" w:hAnsi="Arial"/>
                <w:sz w:val="19"/>
                <w:szCs w:val="19"/>
                <w:color w:val="auto"/>
              </w:rPr>
              <w:t>Perfection Certificate Exhibit K   –   Form of Joinder</w:t>
            </w: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203"/>
        </w:trPr>
        <w:tc>
          <w:tcPr>
            <w:tcW w:w="4520" w:type="dxa"/>
            <w:vAlign w:val="bottom"/>
            <w:gridSpan w:val="3"/>
          </w:tcPr>
          <w:p>
            <w:pPr>
              <w:spacing w:after="0" w:line="203" w:lineRule="exact"/>
              <w:rPr>
                <w:sz w:val="20"/>
                <w:szCs w:val="20"/>
                <w:color w:val="auto"/>
              </w:rPr>
            </w:pPr>
            <w:r>
              <w:rPr>
                <w:rFonts w:ascii="Arial" w:cs="Arial" w:eastAsia="Arial" w:hAnsi="Arial"/>
                <w:sz w:val="19"/>
                <w:szCs w:val="19"/>
                <w:color w:val="auto"/>
              </w:rPr>
              <w:t>Agreement Exhibit L   –   Form of Promissory Note</w:t>
            </w: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1020" w:type="dxa"/>
            <w:vAlign w:val="bottom"/>
          </w:tcPr>
          <w:p>
            <w:pPr>
              <w:spacing w:after="0" w:line="203" w:lineRule="exact"/>
              <w:rPr>
                <w:sz w:val="20"/>
                <w:szCs w:val="20"/>
                <w:color w:val="auto"/>
              </w:rPr>
            </w:pPr>
            <w:r>
              <w:rPr>
                <w:rFonts w:ascii="Arial" w:cs="Arial" w:eastAsia="Arial" w:hAnsi="Arial"/>
                <w:sz w:val="19"/>
                <w:szCs w:val="19"/>
                <w:color w:val="auto"/>
              </w:rPr>
              <w:t>Exhibit M</w:t>
            </w:r>
          </w:p>
        </w:tc>
        <w:tc>
          <w:tcPr>
            <w:tcW w:w="300" w:type="dxa"/>
            <w:vAlign w:val="bottom"/>
          </w:tcPr>
          <w:p>
            <w:pPr>
              <w:ind w:left="100"/>
              <w:spacing w:after="0" w:line="203" w:lineRule="exact"/>
              <w:rPr>
                <w:sz w:val="20"/>
                <w:szCs w:val="20"/>
                <w:color w:val="auto"/>
              </w:rPr>
            </w:pPr>
            <w:r>
              <w:rPr>
                <w:rFonts w:ascii="Arial" w:cs="Arial" w:eastAsia="Arial" w:hAnsi="Arial"/>
                <w:sz w:val="19"/>
                <w:szCs w:val="19"/>
                <w:color w:val="auto"/>
              </w:rPr>
              <w:t>–</w:t>
            </w:r>
          </w:p>
        </w:tc>
        <w:tc>
          <w:tcPr>
            <w:tcW w:w="4200" w:type="dxa"/>
            <w:vAlign w:val="bottom"/>
            <w:gridSpan w:val="2"/>
          </w:tcPr>
          <w:p>
            <w:pPr>
              <w:ind w:left="180"/>
              <w:spacing w:after="0" w:line="203" w:lineRule="exact"/>
              <w:rPr>
                <w:sz w:val="20"/>
                <w:szCs w:val="20"/>
                <w:color w:val="auto"/>
              </w:rPr>
            </w:pPr>
            <w:r>
              <w:rPr>
                <w:rFonts w:ascii="Arial" w:cs="Arial" w:eastAsia="Arial" w:hAnsi="Arial"/>
                <w:sz w:val="19"/>
                <w:szCs w:val="19"/>
                <w:color w:val="auto"/>
                <w:w w:val="95"/>
              </w:rPr>
              <w:t>Form of Pledge and Security Agreement Exhibit N</w:t>
            </w:r>
          </w:p>
        </w:tc>
        <w:tc>
          <w:tcPr>
            <w:tcW w:w="380" w:type="dxa"/>
            <w:vAlign w:val="bottom"/>
          </w:tcPr>
          <w:p>
            <w:pPr>
              <w:ind w:left="140"/>
              <w:spacing w:after="0" w:line="203" w:lineRule="exact"/>
              <w:rPr>
                <w:sz w:val="20"/>
                <w:szCs w:val="20"/>
                <w:color w:val="auto"/>
              </w:rPr>
            </w:pPr>
            <w:r>
              <w:rPr>
                <w:rFonts w:ascii="Arial" w:cs="Arial" w:eastAsia="Arial" w:hAnsi="Arial"/>
                <w:sz w:val="19"/>
                <w:szCs w:val="19"/>
                <w:color w:val="auto"/>
              </w:rPr>
              <w:t>–</w:t>
            </w:r>
          </w:p>
        </w:tc>
        <w:tc>
          <w:tcPr>
            <w:tcW w:w="82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16"/>
        </w:trPr>
        <w:tc>
          <w:tcPr>
            <w:tcW w:w="4520" w:type="dxa"/>
            <w:vAlign w:val="bottom"/>
            <w:gridSpan w:val="3"/>
          </w:tcPr>
          <w:p>
            <w:pPr>
              <w:spacing w:after="0" w:line="216" w:lineRule="exact"/>
              <w:rPr>
                <w:sz w:val="20"/>
                <w:szCs w:val="20"/>
                <w:color w:val="auto"/>
              </w:rPr>
            </w:pPr>
            <w:r>
              <w:rPr>
                <w:rFonts w:ascii="Arial" w:cs="Arial" w:eastAsia="Arial" w:hAnsi="Arial"/>
                <w:sz w:val="19"/>
                <w:szCs w:val="19"/>
                <w:color w:val="auto"/>
              </w:rPr>
              <w:t>Form of Letter of Credit Request</w:t>
            </w: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203"/>
        </w:trPr>
        <w:tc>
          <w:tcPr>
            <w:tcW w:w="1020" w:type="dxa"/>
            <w:vAlign w:val="bottom"/>
          </w:tcPr>
          <w:p>
            <w:pPr>
              <w:spacing w:after="0" w:line="203" w:lineRule="exact"/>
              <w:rPr>
                <w:sz w:val="20"/>
                <w:szCs w:val="20"/>
                <w:color w:val="auto"/>
              </w:rPr>
            </w:pPr>
            <w:r>
              <w:rPr>
                <w:rFonts w:ascii="Arial" w:cs="Arial" w:eastAsia="Arial" w:hAnsi="Arial"/>
                <w:sz w:val="19"/>
                <w:szCs w:val="19"/>
                <w:color w:val="auto"/>
              </w:rPr>
              <w:t>Exhibit O-1</w:t>
            </w:r>
          </w:p>
        </w:tc>
        <w:tc>
          <w:tcPr>
            <w:tcW w:w="8760" w:type="dxa"/>
            <w:vAlign w:val="bottom"/>
            <w:gridSpan w:val="6"/>
          </w:tcPr>
          <w:p>
            <w:pPr>
              <w:ind w:left="100"/>
              <w:spacing w:after="0" w:line="203" w:lineRule="exact"/>
              <w:rPr>
                <w:sz w:val="20"/>
                <w:szCs w:val="20"/>
                <w:color w:val="auto"/>
              </w:rPr>
            </w:pPr>
            <w:r>
              <w:rPr>
                <w:rFonts w:ascii="Arial" w:cs="Arial" w:eastAsia="Arial" w:hAnsi="Arial"/>
                <w:sz w:val="19"/>
                <w:szCs w:val="19"/>
                <w:color w:val="auto"/>
                <w:w w:val="92"/>
              </w:rPr>
              <w:t>–   Form of Tax Compliance Certificate (For Foreign Lenders That Are Not Partnerships For US Federal Income</w:t>
            </w:r>
          </w:p>
        </w:tc>
      </w:tr>
      <w:tr>
        <w:trPr>
          <w:trHeight w:val="203"/>
        </w:trPr>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0" w:type="dxa"/>
            <w:vAlign w:val="bottom"/>
          </w:tcPr>
          <w:p>
            <w:pPr>
              <w:ind w:left="740"/>
              <w:spacing w:after="0" w:line="203" w:lineRule="exact"/>
              <w:rPr>
                <w:sz w:val="20"/>
                <w:szCs w:val="20"/>
                <w:color w:val="auto"/>
              </w:rPr>
            </w:pPr>
            <w:r>
              <w:rPr>
                <w:rFonts w:ascii="Arial" w:cs="Arial" w:eastAsia="Arial" w:hAnsi="Arial"/>
                <w:sz w:val="19"/>
                <w:szCs w:val="19"/>
                <w:color w:val="auto"/>
              </w:rPr>
              <w:t>Tax Purposes)</w:t>
            </w: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16"/>
        </w:trPr>
        <w:tc>
          <w:tcPr>
            <w:tcW w:w="1020" w:type="dxa"/>
            <w:vAlign w:val="bottom"/>
          </w:tcPr>
          <w:p>
            <w:pPr>
              <w:spacing w:after="0" w:line="216" w:lineRule="exact"/>
              <w:rPr>
                <w:sz w:val="20"/>
                <w:szCs w:val="20"/>
                <w:color w:val="auto"/>
              </w:rPr>
            </w:pPr>
            <w:r>
              <w:rPr>
                <w:rFonts w:ascii="Arial" w:cs="Arial" w:eastAsia="Arial" w:hAnsi="Arial"/>
                <w:sz w:val="19"/>
                <w:szCs w:val="19"/>
                <w:color w:val="auto"/>
              </w:rPr>
              <w:t>Exhibit O-2</w:t>
            </w:r>
          </w:p>
        </w:tc>
        <w:tc>
          <w:tcPr>
            <w:tcW w:w="8760" w:type="dxa"/>
            <w:vAlign w:val="bottom"/>
            <w:gridSpan w:val="6"/>
          </w:tcPr>
          <w:p>
            <w:pPr>
              <w:ind w:left="100"/>
              <w:spacing w:after="0" w:line="216" w:lineRule="exact"/>
              <w:rPr>
                <w:sz w:val="20"/>
                <w:szCs w:val="20"/>
                <w:color w:val="auto"/>
              </w:rPr>
            </w:pPr>
            <w:r>
              <w:rPr>
                <w:rFonts w:ascii="Arial" w:cs="Arial" w:eastAsia="Arial" w:hAnsi="Arial"/>
                <w:sz w:val="19"/>
                <w:szCs w:val="19"/>
                <w:color w:val="auto"/>
                <w:w w:val="96"/>
              </w:rPr>
              <w:t>–   Form of Tax Compliance Certificate (For Foreign Participants That Are Not Partnerships For US Federal</w:t>
            </w:r>
          </w:p>
        </w:tc>
      </w:tr>
      <w:tr>
        <w:trPr>
          <w:trHeight w:val="203"/>
        </w:trPr>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0" w:type="dxa"/>
            <w:vAlign w:val="bottom"/>
          </w:tcPr>
          <w:p>
            <w:pPr>
              <w:ind w:left="740"/>
              <w:spacing w:after="0" w:line="203" w:lineRule="exact"/>
              <w:rPr>
                <w:sz w:val="20"/>
                <w:szCs w:val="20"/>
                <w:color w:val="auto"/>
              </w:rPr>
            </w:pPr>
            <w:r>
              <w:rPr>
                <w:rFonts w:ascii="Arial" w:cs="Arial" w:eastAsia="Arial" w:hAnsi="Arial"/>
                <w:sz w:val="19"/>
                <w:szCs w:val="19"/>
                <w:color w:val="auto"/>
              </w:rPr>
              <w:t>Income Tax Purposes)</w:t>
            </w: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1020" w:type="dxa"/>
            <w:vAlign w:val="bottom"/>
          </w:tcPr>
          <w:p>
            <w:pPr>
              <w:spacing w:after="0" w:line="203" w:lineRule="exact"/>
              <w:rPr>
                <w:sz w:val="20"/>
                <w:szCs w:val="20"/>
                <w:color w:val="auto"/>
              </w:rPr>
            </w:pPr>
            <w:r>
              <w:rPr>
                <w:rFonts w:ascii="Arial" w:cs="Arial" w:eastAsia="Arial" w:hAnsi="Arial"/>
                <w:sz w:val="19"/>
                <w:szCs w:val="19"/>
                <w:color w:val="auto"/>
              </w:rPr>
              <w:t>Exhibit O-3</w:t>
            </w:r>
          </w:p>
        </w:tc>
        <w:tc>
          <w:tcPr>
            <w:tcW w:w="8760" w:type="dxa"/>
            <w:vAlign w:val="bottom"/>
            <w:gridSpan w:val="6"/>
          </w:tcPr>
          <w:p>
            <w:pPr>
              <w:ind w:left="100"/>
              <w:spacing w:after="0" w:line="203" w:lineRule="exact"/>
              <w:rPr>
                <w:sz w:val="20"/>
                <w:szCs w:val="20"/>
                <w:color w:val="auto"/>
              </w:rPr>
            </w:pPr>
            <w:r>
              <w:rPr>
                <w:rFonts w:ascii="Arial" w:cs="Arial" w:eastAsia="Arial" w:hAnsi="Arial"/>
                <w:sz w:val="19"/>
                <w:szCs w:val="19"/>
                <w:color w:val="auto"/>
                <w:w w:val="92"/>
              </w:rPr>
              <w:t>–   Form of Tax Compliance Certificate (For Foreign Lenders That Are Partnerships For US Federal Income Tax</w:t>
            </w:r>
          </w:p>
        </w:tc>
      </w:tr>
      <w:tr>
        <w:trPr>
          <w:trHeight w:val="216"/>
        </w:trPr>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0" w:type="dxa"/>
            <w:vAlign w:val="bottom"/>
          </w:tcPr>
          <w:p>
            <w:pPr>
              <w:ind w:left="740"/>
              <w:spacing w:after="0" w:line="216" w:lineRule="exact"/>
              <w:rPr>
                <w:sz w:val="20"/>
                <w:szCs w:val="20"/>
                <w:color w:val="auto"/>
              </w:rPr>
            </w:pPr>
            <w:r>
              <w:rPr>
                <w:rFonts w:ascii="Arial" w:cs="Arial" w:eastAsia="Arial" w:hAnsi="Arial"/>
                <w:sz w:val="19"/>
                <w:szCs w:val="19"/>
                <w:color w:val="auto"/>
              </w:rPr>
              <w:t>Purposes)</w:t>
            </w: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203"/>
        </w:trPr>
        <w:tc>
          <w:tcPr>
            <w:tcW w:w="1020" w:type="dxa"/>
            <w:vAlign w:val="bottom"/>
          </w:tcPr>
          <w:p>
            <w:pPr>
              <w:spacing w:after="0" w:line="203" w:lineRule="exact"/>
              <w:rPr>
                <w:sz w:val="20"/>
                <w:szCs w:val="20"/>
                <w:color w:val="auto"/>
              </w:rPr>
            </w:pPr>
            <w:r>
              <w:rPr>
                <w:rFonts w:ascii="Arial" w:cs="Arial" w:eastAsia="Arial" w:hAnsi="Arial"/>
                <w:sz w:val="19"/>
                <w:szCs w:val="19"/>
                <w:color w:val="auto"/>
              </w:rPr>
              <w:t>Exhibit O-4</w:t>
            </w:r>
          </w:p>
        </w:tc>
        <w:tc>
          <w:tcPr>
            <w:tcW w:w="8760" w:type="dxa"/>
            <w:vAlign w:val="bottom"/>
            <w:gridSpan w:val="6"/>
          </w:tcPr>
          <w:p>
            <w:pPr>
              <w:ind w:left="100"/>
              <w:spacing w:after="0" w:line="203" w:lineRule="exact"/>
              <w:rPr>
                <w:sz w:val="20"/>
                <w:szCs w:val="20"/>
                <w:color w:val="auto"/>
              </w:rPr>
            </w:pPr>
            <w:r>
              <w:rPr>
                <w:rFonts w:ascii="Arial" w:cs="Arial" w:eastAsia="Arial" w:hAnsi="Arial"/>
                <w:sz w:val="19"/>
                <w:szCs w:val="19"/>
                <w:color w:val="auto"/>
                <w:w w:val="92"/>
              </w:rPr>
              <w:t>–   Form of Tax Compliance Certificate (For Foreign Participants That Are Partnerships For US Federal Income</w:t>
            </w:r>
          </w:p>
        </w:tc>
      </w:tr>
      <w:tr>
        <w:trPr>
          <w:trHeight w:val="203"/>
        </w:trPr>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0" w:type="dxa"/>
            <w:vAlign w:val="bottom"/>
          </w:tcPr>
          <w:p>
            <w:pPr>
              <w:ind w:left="740"/>
              <w:spacing w:after="0" w:line="203" w:lineRule="exact"/>
              <w:rPr>
                <w:sz w:val="20"/>
                <w:szCs w:val="20"/>
                <w:color w:val="auto"/>
              </w:rPr>
            </w:pPr>
            <w:r>
              <w:rPr>
                <w:rFonts w:ascii="Arial" w:cs="Arial" w:eastAsia="Arial" w:hAnsi="Arial"/>
                <w:sz w:val="19"/>
                <w:szCs w:val="19"/>
                <w:color w:val="auto"/>
              </w:rPr>
              <w:t>Tax Purposes)</w:t>
            </w: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18"/>
        </w:trPr>
        <w:tc>
          <w:tcPr>
            <w:tcW w:w="1020" w:type="dxa"/>
            <w:vAlign w:val="bottom"/>
          </w:tcPr>
          <w:p>
            <w:pPr>
              <w:spacing w:after="0"/>
              <w:rPr>
                <w:sz w:val="20"/>
                <w:szCs w:val="20"/>
                <w:color w:val="auto"/>
              </w:rPr>
            </w:pPr>
            <w:r>
              <w:rPr>
                <w:rFonts w:ascii="Arial" w:cs="Arial" w:eastAsia="Arial" w:hAnsi="Arial"/>
                <w:sz w:val="19"/>
                <w:szCs w:val="19"/>
                <w:color w:val="auto"/>
              </w:rPr>
              <w:t>Exhibit P –</w:t>
            </w:r>
          </w:p>
        </w:tc>
        <w:tc>
          <w:tcPr>
            <w:tcW w:w="3500" w:type="dxa"/>
            <w:vAlign w:val="bottom"/>
            <w:gridSpan w:val="2"/>
          </w:tcPr>
          <w:p>
            <w:pPr>
              <w:ind w:left="100"/>
              <w:spacing w:after="0"/>
              <w:rPr>
                <w:sz w:val="20"/>
                <w:szCs w:val="20"/>
                <w:color w:val="auto"/>
              </w:rPr>
            </w:pPr>
            <w:r>
              <w:rPr>
                <w:rFonts w:ascii="Arial" w:cs="Arial" w:eastAsia="Arial" w:hAnsi="Arial"/>
                <w:sz w:val="19"/>
                <w:szCs w:val="19"/>
                <w:color w:val="auto"/>
              </w:rPr>
              <w:t>Form of Solvency Certificate Exhibit Q –</w:t>
            </w:r>
          </w:p>
        </w:tc>
        <w:tc>
          <w:tcPr>
            <w:tcW w:w="1000" w:type="dxa"/>
            <w:vAlign w:val="bottom"/>
          </w:tcPr>
          <w:p>
            <w:pPr>
              <w:spacing w:after="0"/>
              <w:rPr>
                <w:sz w:val="20"/>
                <w:szCs w:val="20"/>
                <w:color w:val="auto"/>
              </w:rPr>
            </w:pPr>
            <w:r>
              <w:rPr>
                <w:rFonts w:ascii="Arial" w:cs="Arial" w:eastAsia="Arial" w:hAnsi="Arial"/>
                <w:sz w:val="19"/>
                <w:szCs w:val="19"/>
                <w:color w:val="auto"/>
              </w:rPr>
              <w:t>Form of</w:t>
            </w: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60" w:type="dxa"/>
            <w:vAlign w:val="bottom"/>
          </w:tcPr>
          <w:p>
            <w:pPr>
              <w:spacing w:after="0"/>
              <w:rPr>
                <w:sz w:val="19"/>
                <w:szCs w:val="19"/>
                <w:color w:val="auto"/>
              </w:rPr>
            </w:pPr>
          </w:p>
        </w:tc>
      </w:tr>
    </w:tbl>
    <w:p>
      <w:pPr>
        <w:ind w:left="100"/>
        <w:spacing w:after="0"/>
        <w:rPr>
          <w:sz w:val="20"/>
          <w:szCs w:val="20"/>
          <w:color w:val="auto"/>
        </w:rPr>
      </w:pPr>
      <w:r>
        <w:rPr>
          <w:rFonts w:ascii="Arial" w:cs="Arial" w:eastAsia="Arial" w:hAnsi="Arial"/>
          <w:sz w:val="19"/>
          <w:szCs w:val="19"/>
          <w:color w:val="auto"/>
        </w:rPr>
        <w:t>Notice of Loan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482" w:right="1440" w:bottom="1440" w:gutter="0" w:footer="0" w:header="0"/>
        </w:sectPr>
      </w:pPr>
    </w:p>
    <w:bookmarkStart w:id="67" w:name="page68"/>
    <w:bookmarkEnd w:id="67"/>
    <w:p>
      <w:pPr>
        <w:jc w:val="center"/>
        <w:ind w:right="-120"/>
        <w:spacing w:after="0"/>
        <w:rPr>
          <w:sz w:val="20"/>
          <w:szCs w:val="20"/>
          <w:color w:val="auto"/>
        </w:rPr>
      </w:pPr>
      <w:r>
        <w:rPr>
          <w:rFonts w:ascii="Arial" w:cs="Arial" w:eastAsia="Arial" w:hAnsi="Arial"/>
          <w:sz w:val="16"/>
          <w:szCs w:val="16"/>
          <w:color w:val="auto"/>
        </w:rPr>
        <w:t>v</w:t>
      </w:r>
    </w:p>
    <w:p>
      <w:pPr>
        <w:spacing w:after="0" w:line="270"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260" w:right="1440" w:bottom="1440" w:gutter="0" w:footer="0" w:header="0"/>
        </w:sectPr>
      </w:pPr>
    </w:p>
    <w:bookmarkStart w:id="68" w:name="page69"/>
    <w:bookmarkEnd w:id="68"/>
    <w:p>
      <w:pPr>
        <w:jc w:val="center"/>
        <w:ind w:right="-140"/>
        <w:spacing w:after="0"/>
        <w:rPr>
          <w:sz w:val="20"/>
          <w:szCs w:val="20"/>
          <w:color w:val="auto"/>
        </w:rPr>
      </w:pPr>
      <w:r>
        <w:rPr>
          <w:rFonts w:ascii="Arial" w:cs="Arial" w:eastAsia="Arial" w:hAnsi="Arial"/>
          <w:sz w:val="19"/>
          <w:szCs w:val="19"/>
          <w:color w:val="auto"/>
        </w:rPr>
        <w:t>CREDIT AGREEMENT</w:t>
      </w:r>
    </w:p>
    <w:p>
      <w:pPr>
        <w:spacing w:after="0" w:line="214" w:lineRule="exact"/>
        <w:rPr>
          <w:sz w:val="20"/>
          <w:szCs w:val="20"/>
          <w:color w:val="auto"/>
        </w:rPr>
      </w:pPr>
    </w:p>
    <w:p>
      <w:pPr>
        <w:jc w:val="both"/>
        <w:ind w:left="100" w:right="59" w:firstLine="749"/>
        <w:spacing w:after="0" w:line="231" w:lineRule="auto"/>
        <w:rPr>
          <w:sz w:val="20"/>
          <w:szCs w:val="20"/>
          <w:color w:val="auto"/>
        </w:rPr>
      </w:pPr>
      <w:r>
        <w:rPr>
          <w:rFonts w:ascii="Arial" w:cs="Arial" w:eastAsia="Arial" w:hAnsi="Arial"/>
          <w:sz w:val="19"/>
          <w:szCs w:val="19"/>
          <w:color w:val="auto"/>
        </w:rPr>
        <w:t>CREDIT AGREEMENT, dated as of September 17, 2021 (this “</w:t>
      </w:r>
      <w:r>
        <w:rPr>
          <w:rFonts w:ascii="Arial" w:cs="Arial" w:eastAsia="Arial" w:hAnsi="Arial"/>
          <w:sz w:val="19"/>
          <w:szCs w:val="19"/>
          <w:u w:val="single" w:color="auto"/>
          <w:color w:val="auto"/>
        </w:rPr>
        <w:t>Agreement</w:t>
      </w:r>
      <w:r>
        <w:rPr>
          <w:rFonts w:ascii="Arial" w:cs="Arial" w:eastAsia="Arial" w:hAnsi="Arial"/>
          <w:sz w:val="19"/>
          <w:szCs w:val="19"/>
          <w:color w:val="auto"/>
        </w:rPr>
        <w:t>”), by and among Definitive Healthcare Holdings, LLC, a Delaware limited liability company (the “</w:t>
      </w:r>
      <w:r>
        <w:rPr>
          <w:rFonts w:ascii="Arial" w:cs="Arial" w:eastAsia="Arial" w:hAnsi="Arial"/>
          <w:sz w:val="19"/>
          <w:szCs w:val="19"/>
          <w:u w:val="single" w:color="auto"/>
          <w:color w:val="auto"/>
        </w:rPr>
        <w:t>Borrower</w:t>
      </w:r>
      <w:r>
        <w:rPr>
          <w:rFonts w:ascii="Arial" w:cs="Arial" w:eastAsia="Arial" w:hAnsi="Arial"/>
          <w:sz w:val="19"/>
          <w:szCs w:val="19"/>
          <w:color w:val="auto"/>
        </w:rPr>
        <w:t>”), AIDH Buyer, LLC, a Delaware limited liability company (“</w:t>
      </w:r>
      <w:r>
        <w:rPr>
          <w:rFonts w:ascii="Arial" w:cs="Arial" w:eastAsia="Arial" w:hAnsi="Arial"/>
          <w:sz w:val="19"/>
          <w:szCs w:val="19"/>
          <w:u w:val="single" w:color="auto"/>
          <w:color w:val="auto"/>
        </w:rPr>
        <w:t>Holdings</w:t>
      </w:r>
      <w:r>
        <w:rPr>
          <w:rFonts w:ascii="Arial" w:cs="Arial" w:eastAsia="Arial" w:hAnsi="Arial"/>
          <w:sz w:val="19"/>
          <w:szCs w:val="19"/>
          <w:color w:val="auto"/>
        </w:rPr>
        <w:t>”), the Lenders from time to time party hereto, the Issuing Banks from time to time party hereto and Bank of America, N.A. (including its branches and correspondents) (“</w:t>
      </w:r>
      <w:r>
        <w:rPr>
          <w:rFonts w:ascii="Arial" w:cs="Arial" w:eastAsia="Arial" w:hAnsi="Arial"/>
          <w:sz w:val="19"/>
          <w:szCs w:val="19"/>
          <w:u w:val="single" w:color="auto"/>
          <w:color w:val="auto"/>
        </w:rPr>
        <w:t>Bank of America</w:t>
      </w:r>
      <w:r>
        <w:rPr>
          <w:rFonts w:ascii="Arial" w:cs="Arial" w:eastAsia="Arial" w:hAnsi="Arial"/>
          <w:sz w:val="19"/>
          <w:szCs w:val="19"/>
          <w:color w:val="auto"/>
        </w:rPr>
        <w:t>”), in its capacities as administrative agent for the Lenders and collateral agent for the Secured Parties (in such capacities and together with its permitted successors and assigns,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and as an Issuing Bank and the Swingline Lender.</w:t>
      </w:r>
    </w:p>
    <w:p>
      <w:pPr>
        <w:spacing w:after="0" w:line="183" w:lineRule="exact"/>
        <w:rPr>
          <w:sz w:val="20"/>
          <w:szCs w:val="20"/>
          <w:color w:val="auto"/>
        </w:rPr>
      </w:pPr>
    </w:p>
    <w:p>
      <w:pPr>
        <w:jc w:val="center"/>
        <w:ind w:right="-140"/>
        <w:spacing w:after="0"/>
        <w:rPr>
          <w:sz w:val="20"/>
          <w:szCs w:val="20"/>
          <w:color w:val="auto"/>
        </w:rPr>
      </w:pPr>
      <w:r>
        <w:rPr>
          <w:rFonts w:ascii="Arial" w:cs="Arial" w:eastAsia="Arial" w:hAnsi="Arial"/>
          <w:sz w:val="19"/>
          <w:szCs w:val="19"/>
          <w:color w:val="auto"/>
        </w:rPr>
        <w:t>RECITALS</w:t>
      </w:r>
    </w:p>
    <w:p>
      <w:pPr>
        <w:spacing w:after="0" w:line="214" w:lineRule="exact"/>
        <w:rPr>
          <w:sz w:val="20"/>
          <w:szCs w:val="20"/>
          <w:color w:val="auto"/>
        </w:rPr>
      </w:pPr>
    </w:p>
    <w:p>
      <w:pPr>
        <w:jc w:val="both"/>
        <w:ind w:left="100" w:right="59" w:firstLine="741"/>
        <w:spacing w:after="0" w:line="273" w:lineRule="auto"/>
        <w:tabs>
          <w:tab w:leader="none" w:pos="1624" w:val="left"/>
        </w:tabs>
        <w:numPr>
          <w:ilvl w:val="0"/>
          <w:numId w:val="29"/>
        </w:numPr>
        <w:rPr>
          <w:rFonts w:ascii="Arial" w:cs="Arial" w:eastAsia="Arial" w:hAnsi="Arial"/>
          <w:sz w:val="17"/>
          <w:szCs w:val="17"/>
          <w:color w:val="auto"/>
        </w:rPr>
      </w:pPr>
      <w:r>
        <w:rPr>
          <w:rFonts w:ascii="Arial" w:cs="Arial" w:eastAsia="Arial" w:hAnsi="Arial"/>
          <w:sz w:val="17"/>
          <w:szCs w:val="17"/>
          <w:color w:val="auto"/>
        </w:rPr>
        <w:t>Substantially concurrently with the occurrence of the Closing Date, (x) all outstanding indebtedness for borrowed money of the Borrower and its subsidiaries under that certain Credit Agreement, dated as of July 16, 2019 (as amended, supplemented or otherwise modified from time to time prior to the date hereof, the “</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xml:space="preserve">”), among, </w:t>
      </w:r>
      <w:r>
        <w:rPr>
          <w:rFonts w:ascii="Arial" w:cs="Arial" w:eastAsia="Arial" w:hAnsi="Arial"/>
          <w:sz w:val="17"/>
          <w:szCs w:val="17"/>
          <w:i w:val="1"/>
          <w:iCs w:val="1"/>
          <w:color w:val="auto"/>
        </w:rPr>
        <w:t>inter</w:t>
      </w:r>
      <w:r>
        <w:rPr>
          <w:rFonts w:ascii="Arial" w:cs="Arial" w:eastAsia="Arial" w:hAnsi="Arial"/>
          <w:sz w:val="17"/>
          <w:szCs w:val="17"/>
          <w:color w:val="auto"/>
        </w:rPr>
        <w:t xml:space="preserve"> </w:t>
      </w:r>
      <w:r>
        <w:rPr>
          <w:rFonts w:ascii="Arial" w:cs="Arial" w:eastAsia="Arial" w:hAnsi="Arial"/>
          <w:sz w:val="17"/>
          <w:szCs w:val="17"/>
          <w:i w:val="1"/>
          <w:iCs w:val="1"/>
          <w:color w:val="auto"/>
        </w:rPr>
        <w:t>alios</w:t>
      </w:r>
      <w:r>
        <w:rPr>
          <w:rFonts w:ascii="Arial" w:cs="Arial" w:eastAsia="Arial" w:hAnsi="Arial"/>
          <w:sz w:val="17"/>
          <w:szCs w:val="17"/>
          <w:color w:val="auto"/>
        </w:rPr>
        <w:t>, Holdings, the Borrower, the lenders from time to time party thereto, and Owl Rock Capital Corporation, as administrative</w:t>
      </w:r>
      <w:r>
        <w:rPr>
          <w:rFonts w:ascii="Arial" w:cs="Arial" w:eastAsia="Arial" w:hAnsi="Arial"/>
          <w:sz w:val="17"/>
          <w:szCs w:val="17"/>
          <w:i w:val="1"/>
          <w:iCs w:val="1"/>
          <w:color w:val="auto"/>
        </w:rPr>
        <w:t xml:space="preserve"> </w:t>
      </w:r>
      <w:r>
        <w:rPr>
          <w:rFonts w:ascii="Arial" w:cs="Arial" w:eastAsia="Arial" w:hAnsi="Arial"/>
          <w:sz w:val="17"/>
          <w:szCs w:val="17"/>
          <w:color w:val="auto"/>
        </w:rPr>
        <w:t>agent (other than letters of credit that are replaced, backstopped, cash collateralized or with respect to which other arrangements have been made in accordance with the terms of such credit agreement), will be repaid, redeemed, discharged, refinanced, replaced or terminated and in each case, the liens (other than with respect to any cash collateral agreement relating to any letter of credit that will remain outstanding after the Closing Date) and guarantees in support thereof shall be released or terminated (the “</w:t>
      </w:r>
      <w:r>
        <w:rPr>
          <w:rFonts w:ascii="Arial" w:cs="Arial" w:eastAsia="Arial" w:hAnsi="Arial"/>
          <w:sz w:val="17"/>
          <w:szCs w:val="17"/>
          <w:u w:val="single" w:color="auto"/>
          <w:color w:val="auto"/>
        </w:rPr>
        <w:t>Closing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Refinancing</w:t>
      </w:r>
      <w:r>
        <w:rPr>
          <w:rFonts w:ascii="Arial" w:cs="Arial" w:eastAsia="Arial" w:hAnsi="Arial"/>
          <w:sz w:val="17"/>
          <w:szCs w:val="17"/>
          <w:color w:val="auto"/>
        </w:rPr>
        <w:t>”) and (y) Definitive Healthcare Corp., a Delaware corporation (the “</w:t>
      </w:r>
      <w:r>
        <w:rPr>
          <w:rFonts w:ascii="Arial" w:cs="Arial" w:eastAsia="Arial" w:hAnsi="Arial"/>
          <w:sz w:val="17"/>
          <w:szCs w:val="17"/>
          <w:u w:val="single" w:color="auto"/>
          <w:color w:val="auto"/>
        </w:rPr>
        <w:t>Parent</w:t>
      </w:r>
      <w:r>
        <w:rPr>
          <w:rFonts w:ascii="Arial" w:cs="Arial" w:eastAsia="Arial" w:hAnsi="Arial"/>
          <w:sz w:val="17"/>
          <w:szCs w:val="17"/>
          <w:color w:val="auto"/>
        </w:rPr>
        <w:t>”), an indirect parent entity of the Borrower, will consummate an initial public offering of its Capital Stock (the “</w:t>
      </w:r>
      <w:r>
        <w:rPr>
          <w:rFonts w:ascii="Arial" w:cs="Arial" w:eastAsia="Arial" w:hAnsi="Arial"/>
          <w:sz w:val="17"/>
          <w:szCs w:val="17"/>
          <w:u w:val="single" w:color="auto"/>
          <w:color w:val="auto"/>
        </w:rPr>
        <w:t>IPO</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left="100" w:right="19" w:firstLine="742"/>
        <w:spacing w:after="0" w:line="243" w:lineRule="auto"/>
        <w:tabs>
          <w:tab w:leader="none" w:pos="1626" w:val="left"/>
        </w:tabs>
        <w:numPr>
          <w:ilvl w:val="0"/>
          <w:numId w:val="29"/>
        </w:numPr>
        <w:rPr>
          <w:rFonts w:ascii="Arial" w:cs="Arial" w:eastAsia="Arial" w:hAnsi="Arial"/>
          <w:sz w:val="19"/>
          <w:szCs w:val="19"/>
          <w:color w:val="auto"/>
        </w:rPr>
      </w:pPr>
      <w:r>
        <w:rPr>
          <w:rFonts w:ascii="Arial" w:cs="Arial" w:eastAsia="Arial" w:hAnsi="Arial"/>
          <w:sz w:val="19"/>
          <w:szCs w:val="19"/>
          <w:color w:val="auto"/>
        </w:rPr>
        <w:t>To fund a portion of the Closing Date Refinancing, the Borrower has requested that the Lenders extend credit under this Agreement in the form of (x) Initial Term Loans in an aggregate principal amount on the Closing Date of $275,000,000 and (y) an Initial Revolving Facility with an available amount of</w:t>
      </w:r>
    </w:p>
    <w:p>
      <w:pPr>
        <w:ind w:left="100"/>
        <w:spacing w:after="0"/>
        <w:rPr>
          <w:rFonts w:ascii="Arial" w:cs="Arial" w:eastAsia="Arial" w:hAnsi="Arial"/>
          <w:sz w:val="19"/>
          <w:szCs w:val="19"/>
          <w:color w:val="auto"/>
        </w:rPr>
      </w:pPr>
      <w:r>
        <w:rPr>
          <w:rFonts w:ascii="Arial" w:cs="Arial" w:eastAsia="Arial" w:hAnsi="Arial"/>
          <w:sz w:val="19"/>
          <w:szCs w:val="19"/>
          <w:color w:val="auto"/>
        </w:rPr>
        <w:t>$75,000,000.</w:t>
      </w:r>
    </w:p>
    <w:p>
      <w:pPr>
        <w:spacing w:after="0" w:line="197" w:lineRule="exact"/>
        <w:rPr>
          <w:rFonts w:ascii="Arial" w:cs="Arial" w:eastAsia="Arial" w:hAnsi="Arial"/>
          <w:sz w:val="19"/>
          <w:szCs w:val="19"/>
          <w:color w:val="auto"/>
        </w:rPr>
      </w:pPr>
    </w:p>
    <w:p>
      <w:pPr>
        <w:ind w:left="100" w:right="59" w:firstLine="742"/>
        <w:spacing w:after="0" w:line="261" w:lineRule="auto"/>
        <w:tabs>
          <w:tab w:leader="none" w:pos="1624"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Lenders are willing to extend such credit to the Borrower on the terms and subject to the conditions set forth herein. Accordingly, the parties hereto agree as follows:</w:t>
      </w:r>
    </w:p>
    <w:p>
      <w:pPr>
        <w:spacing w:after="0" w:line="267" w:lineRule="exact"/>
        <w:rPr>
          <w:sz w:val="20"/>
          <w:szCs w:val="20"/>
          <w:color w:val="auto"/>
        </w:rPr>
      </w:pPr>
    </w:p>
    <w:p>
      <w:pPr>
        <w:ind w:left="4600"/>
        <w:spacing w:after="0"/>
        <w:rPr>
          <w:sz w:val="20"/>
          <w:szCs w:val="20"/>
          <w:color w:val="auto"/>
        </w:rPr>
      </w:pPr>
      <w:r>
        <w:rPr>
          <w:rFonts w:ascii="Arial" w:cs="Arial" w:eastAsia="Arial" w:hAnsi="Arial"/>
          <w:sz w:val="19"/>
          <w:szCs w:val="19"/>
          <w:color w:val="auto"/>
        </w:rPr>
        <w:t>ARTICLE 1</w:t>
      </w:r>
    </w:p>
    <w:p>
      <w:pPr>
        <w:spacing w:after="0" w:line="200"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DEFINITIONS</w:t>
      </w:r>
    </w:p>
    <w:p>
      <w:pPr>
        <w:spacing w:after="0" w:line="9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225"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22C Capital</w:t>
      </w:r>
      <w:r>
        <w:rPr>
          <w:rFonts w:ascii="Arial" w:cs="Arial" w:eastAsia="Arial" w:hAnsi="Arial"/>
          <w:sz w:val="19"/>
          <w:szCs w:val="19"/>
          <w:color w:val="auto"/>
        </w:rPr>
        <w:t>” means, collectively, 22C Capital LLC, together with its controlled or managed Affiliates and funds managed or advised by any of them or their respective controlled or managed Affiliates, including for the avoidance of doubt, 22C Capital I-A LP and 22C Capital I LP.</w:t>
      </w:r>
    </w:p>
    <w:p>
      <w:pPr>
        <w:spacing w:after="0" w:line="179" w:lineRule="exact"/>
        <w:rPr>
          <w:sz w:val="20"/>
          <w:szCs w:val="20"/>
          <w:color w:val="auto"/>
        </w:rPr>
      </w:pPr>
    </w:p>
    <w:p>
      <w:pPr>
        <w:ind w:left="100" w:right="99" w:firstLine="74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ABR</w:t>
      </w:r>
      <w:r>
        <w:rPr>
          <w:rFonts w:ascii="Arial" w:cs="Arial" w:eastAsia="Arial" w:hAnsi="Arial"/>
          <w:sz w:val="19"/>
          <w:szCs w:val="19"/>
          <w:color w:val="auto"/>
        </w:rPr>
        <w:t>”, when used in reference to any Loan or Borrowing, refers to whether such Loan, or the Loans comprising such Borrowing, bear interest at a rate determined by reference to the Alternate Base Rate.</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Acceptable Debtor-In-Possession Financing</w:t>
      </w:r>
      <w:r>
        <w:rPr>
          <w:rFonts w:ascii="Arial" w:cs="Arial" w:eastAsia="Arial" w:hAnsi="Arial"/>
          <w:sz w:val="19"/>
          <w:szCs w:val="19"/>
          <w:color w:val="auto"/>
        </w:rPr>
        <w:t>” means any debtor-in-possession or similar financing</w:t>
      </w:r>
    </w:p>
    <w:p>
      <w:pPr>
        <w:jc w:val="both"/>
        <w:ind w:left="100" w:right="59" w:hanging="7"/>
        <w:spacing w:after="0" w:line="247" w:lineRule="auto"/>
        <w:tabs>
          <w:tab w:leader="none" w:pos="771" w:val="left"/>
        </w:tabs>
        <w:numPr>
          <w:ilvl w:val="0"/>
          <w:numId w:val="30"/>
        </w:numPr>
        <w:rPr>
          <w:rFonts w:ascii="Arial" w:cs="Arial" w:eastAsia="Arial" w:hAnsi="Arial"/>
          <w:sz w:val="19"/>
          <w:szCs w:val="19"/>
          <w:color w:val="auto"/>
        </w:rPr>
      </w:pPr>
      <w:r>
        <w:rPr>
          <w:rFonts w:ascii="Arial" w:cs="Arial" w:eastAsia="Arial" w:hAnsi="Arial"/>
          <w:sz w:val="19"/>
          <w:szCs w:val="19"/>
          <w:color w:val="auto"/>
        </w:rPr>
        <w:t>incurred by Holdings, the Borrower or a Restricted Subsidiary following a voluntary petition by Holdings, the Borrower or any of its Restricted Subsidiaries under or in connection with any Debtor Relief Law and (b) approved pursuant to an order of an applicable court under any Debtor Relief Law.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69" w:name="page70"/>
    <w:bookmarkEnd w:id="69"/>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ACH</w:t>
      </w:r>
      <w:r>
        <w:rPr>
          <w:rFonts w:ascii="Arial" w:cs="Arial" w:eastAsia="Arial" w:hAnsi="Arial"/>
          <w:sz w:val="19"/>
          <w:szCs w:val="19"/>
          <w:color w:val="auto"/>
        </w:rPr>
        <w:t>” means automated clearing house transfers.</w:t>
      </w:r>
    </w:p>
    <w:p>
      <w:pPr>
        <w:spacing w:after="0" w:line="214"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Agreement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8.10</w:t>
      </w:r>
      <w:r>
        <w:rPr>
          <w:rFonts w:ascii="Arial" w:cs="Arial" w:eastAsia="Arial" w:hAnsi="Arial"/>
          <w:sz w:val="19"/>
          <w:szCs w:val="19"/>
          <w:color w:val="auto"/>
        </w:rPr>
        <w:t>.</w:t>
      </w:r>
    </w:p>
    <w:p>
      <w:pPr>
        <w:spacing w:after="0" w:line="20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Commitment</w:t>
      </w:r>
      <w:r>
        <w:rPr>
          <w:rFonts w:ascii="Arial" w:cs="Arial" w:eastAsia="Arial" w:hAnsi="Arial"/>
          <w:sz w:val="18"/>
          <w:szCs w:val="18"/>
          <w:color w:val="auto"/>
        </w:rPr>
        <w:t xml:space="preserve">” means any commitment hereunder added pursuant to </w:t>
      </w:r>
      <w:r>
        <w:rPr>
          <w:rFonts w:ascii="Arial" w:cs="Arial" w:eastAsia="Arial" w:hAnsi="Arial"/>
          <w:sz w:val="18"/>
          <w:szCs w:val="18"/>
          <w:u w:val="single" w:color="auto"/>
          <w:color w:val="auto"/>
        </w:rPr>
        <w:t>Sections 2.22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2.23</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9.02(c)</w:t>
      </w:r>
      <w:r>
        <w:rPr>
          <w:rFonts w:ascii="Arial" w:cs="Arial" w:eastAsia="Arial" w:hAnsi="Arial"/>
          <w:sz w:val="18"/>
          <w:szCs w:val="18"/>
          <w:color w:val="auto"/>
        </w:rPr>
        <w:t>.</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Loans</w:t>
      </w:r>
      <w:r>
        <w:rPr>
          <w:rFonts w:ascii="Arial" w:cs="Arial" w:eastAsia="Arial" w:hAnsi="Arial"/>
          <w:sz w:val="17"/>
          <w:szCs w:val="17"/>
          <w:color w:val="auto"/>
        </w:rPr>
        <w:t>” means any Additional Revolving Loan and any Additional Term Loan. “</w:t>
      </w:r>
      <w:r>
        <w:rPr>
          <w:rFonts w:ascii="Arial" w:cs="Arial" w:eastAsia="Arial" w:hAnsi="Arial"/>
          <w:sz w:val="17"/>
          <w:szCs w:val="17"/>
          <w:u w:val="single" w:color="auto"/>
          <w:color w:val="auto"/>
        </w:rPr>
        <w:t>Additional Revolving Credit</w:t>
      </w:r>
    </w:p>
    <w:p>
      <w:pPr>
        <w:spacing w:after="0" w:line="237" w:lineRule="exact"/>
        <w:rPr>
          <w:sz w:val="20"/>
          <w:szCs w:val="20"/>
          <w:color w:val="auto"/>
        </w:rPr>
      </w:pPr>
    </w:p>
    <w:p>
      <w:pPr>
        <w:ind w:left="100" w:right="4519" w:firstLine="750"/>
        <w:spacing w:after="0" w:line="379" w:lineRule="auto"/>
        <w:rPr>
          <w:sz w:val="20"/>
          <w:szCs w:val="20"/>
          <w:color w:val="auto"/>
        </w:rPr>
      </w:pPr>
      <w:r>
        <w:rPr>
          <w:rFonts w:ascii="Arial" w:cs="Arial" w:eastAsia="Arial" w:hAnsi="Arial"/>
          <w:sz w:val="19"/>
          <w:szCs w:val="19"/>
          <w:u w:val="single" w:color="auto"/>
          <w:color w:val="auto"/>
        </w:rPr>
        <w:t>Commitments</w:t>
      </w:r>
      <w:r>
        <w:rPr>
          <w:rFonts w:ascii="Arial" w:cs="Arial" w:eastAsia="Arial" w:hAnsi="Arial"/>
          <w:sz w:val="19"/>
          <w:szCs w:val="19"/>
          <w:color w:val="auto"/>
        </w:rPr>
        <w:t xml:space="preserve">” means any revolving credit commitment added pursuant to </w:t>
      </w:r>
      <w:r>
        <w:rPr>
          <w:rFonts w:ascii="Arial" w:cs="Arial" w:eastAsia="Arial" w:hAnsi="Arial"/>
          <w:sz w:val="19"/>
          <w:szCs w:val="19"/>
          <w:u w:val="single" w:color="auto"/>
          <w:color w:val="auto"/>
        </w:rPr>
        <w:t>Sections 2.22</w:t>
      </w:r>
      <w:r>
        <w:rPr>
          <w:rFonts w:ascii="Arial" w:cs="Arial" w:eastAsia="Arial" w:hAnsi="Arial"/>
          <w:sz w:val="19"/>
          <w:szCs w:val="19"/>
          <w:color w:val="auto"/>
        </w:rPr>
        <w:t xml:space="preserve">, </w:t>
      </w:r>
      <w:r>
        <w:rPr>
          <w:rFonts w:ascii="Arial" w:cs="Arial" w:eastAsia="Arial" w:hAnsi="Arial"/>
          <w:sz w:val="19"/>
          <w:szCs w:val="19"/>
          <w:u w:val="single" w:color="auto"/>
          <w:color w:val="auto"/>
        </w:rPr>
        <w:t>2.23</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9.02(c)(ii)</w:t>
      </w:r>
      <w:r>
        <w:rPr>
          <w:rFonts w:ascii="Arial" w:cs="Arial" w:eastAsia="Arial" w:hAnsi="Arial"/>
          <w:sz w:val="19"/>
          <w:szCs w:val="19"/>
          <w:color w:val="auto"/>
        </w:rPr>
        <w:t>.</w:t>
      </w:r>
    </w:p>
    <w:p>
      <w:pPr>
        <w:spacing w:after="0" w:line="66" w:lineRule="exact"/>
        <w:rPr>
          <w:sz w:val="20"/>
          <w:szCs w:val="20"/>
          <w:color w:val="auto"/>
        </w:rPr>
      </w:pPr>
    </w:p>
    <w:p>
      <w:pPr>
        <w:jc w:val="both"/>
        <w:ind w:left="100" w:right="59" w:firstLine="74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Revolving Credit Exposure</w:t>
      </w:r>
      <w:r>
        <w:rPr>
          <w:rFonts w:ascii="Arial" w:cs="Arial" w:eastAsia="Arial" w:hAnsi="Arial"/>
          <w:sz w:val="17"/>
          <w:szCs w:val="17"/>
          <w:color w:val="auto"/>
        </w:rPr>
        <w:t xml:space="preserve">” means, with respect to any Lender at any time, the aggregate Outstanding Amount at such time of all Additional Revolving Loans of such Lender,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aggregate outstanding amount at such time of such Lender’s LC Exposure and Swingline Exposure, in each case, attributable to its Additional Revolving Credit Commitment.</w:t>
      </w:r>
    </w:p>
    <w:p>
      <w:pPr>
        <w:spacing w:after="0" w:line="163" w:lineRule="exact"/>
        <w:rPr>
          <w:sz w:val="20"/>
          <w:szCs w:val="20"/>
          <w:color w:val="auto"/>
        </w:rPr>
      </w:pPr>
    </w:p>
    <w:p>
      <w:pPr>
        <w:jc w:val="both"/>
        <w:ind w:left="100" w:right="7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Revolving Lender</w:t>
      </w:r>
      <w:r>
        <w:rPr>
          <w:rFonts w:ascii="Arial" w:cs="Arial" w:eastAsia="Arial" w:hAnsi="Arial"/>
          <w:sz w:val="19"/>
          <w:szCs w:val="19"/>
          <w:color w:val="auto"/>
        </w:rPr>
        <w:t>” means any Lender with an Additional Revolving Credit Commitment or any Additional Revolving Credit Exposure.</w:t>
      </w:r>
    </w:p>
    <w:p>
      <w:pPr>
        <w:spacing w:after="0" w:line="173" w:lineRule="exact"/>
        <w:rPr>
          <w:sz w:val="20"/>
          <w:szCs w:val="20"/>
          <w:color w:val="auto"/>
        </w:rPr>
      </w:pPr>
    </w:p>
    <w:p>
      <w:pPr>
        <w:ind w:left="100" w:right="1719" w:firstLine="750"/>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Revolving Loans</w:t>
      </w:r>
      <w:r>
        <w:rPr>
          <w:rFonts w:ascii="Arial" w:cs="Arial" w:eastAsia="Arial" w:hAnsi="Arial"/>
          <w:sz w:val="19"/>
          <w:szCs w:val="19"/>
          <w:color w:val="auto"/>
        </w:rPr>
        <w:t xml:space="preserve">” means any revolving loan added hereunder pursuant to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w:t>
      </w:r>
      <w:r>
        <w:rPr>
          <w:rFonts w:ascii="Arial" w:cs="Arial" w:eastAsia="Arial" w:hAnsi="Arial"/>
          <w:sz w:val="19"/>
          <w:szCs w:val="19"/>
          <w:u w:val="single" w:color="auto"/>
          <w:color w:val="auto"/>
        </w:rPr>
        <w:t>2.23</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9.02(c)(ii)</w:t>
      </w:r>
      <w:r>
        <w:rPr>
          <w:rFonts w:ascii="Arial" w:cs="Arial" w:eastAsia="Arial" w:hAnsi="Arial"/>
          <w:sz w:val="19"/>
          <w:szCs w:val="19"/>
          <w:color w:val="auto"/>
        </w:rPr>
        <w:t>.</w:t>
      </w:r>
    </w:p>
    <w:p>
      <w:pPr>
        <w:spacing w:after="0" w:line="159" w:lineRule="exact"/>
        <w:rPr>
          <w:sz w:val="20"/>
          <w:szCs w:val="20"/>
          <w:color w:val="auto"/>
        </w:rPr>
      </w:pPr>
    </w:p>
    <w:p>
      <w:pPr>
        <w:ind w:left="100" w:right="9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Term Lender</w:t>
      </w:r>
      <w:r>
        <w:rPr>
          <w:rFonts w:ascii="Arial" w:cs="Arial" w:eastAsia="Arial" w:hAnsi="Arial"/>
          <w:sz w:val="19"/>
          <w:szCs w:val="19"/>
          <w:color w:val="auto"/>
        </w:rPr>
        <w:t>” means any Lender with an Additional Term Loan Commitment or an outstanding Additional Term Loan.</w:t>
      </w:r>
    </w:p>
    <w:p>
      <w:pPr>
        <w:spacing w:after="0" w:line="17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Term Loan Commitment</w:t>
      </w:r>
      <w:r>
        <w:rPr>
          <w:rFonts w:ascii="Arial" w:cs="Arial" w:eastAsia="Arial" w:hAnsi="Arial"/>
          <w:sz w:val="17"/>
          <w:szCs w:val="17"/>
          <w:color w:val="auto"/>
        </w:rPr>
        <w:t xml:space="preserve">” means any term commitment added pursuant to </w:t>
      </w:r>
      <w:r>
        <w:rPr>
          <w:rFonts w:ascii="Arial" w:cs="Arial" w:eastAsia="Arial" w:hAnsi="Arial"/>
          <w:sz w:val="17"/>
          <w:szCs w:val="17"/>
          <w:u w:val="single" w:color="auto"/>
          <w:color w:val="auto"/>
        </w:rPr>
        <w:t>Sections 2.22</w:t>
      </w:r>
      <w:r>
        <w:rPr>
          <w:rFonts w:ascii="Arial" w:cs="Arial" w:eastAsia="Arial" w:hAnsi="Arial"/>
          <w:sz w:val="17"/>
          <w:szCs w:val="17"/>
          <w:color w:val="auto"/>
        </w:rPr>
        <w:t xml:space="preserve">, </w:t>
      </w:r>
      <w:r>
        <w:rPr>
          <w:rFonts w:ascii="Arial" w:cs="Arial" w:eastAsia="Arial" w:hAnsi="Arial"/>
          <w:sz w:val="17"/>
          <w:szCs w:val="17"/>
          <w:u w:val="single" w:color="auto"/>
          <w:color w:val="auto"/>
        </w:rPr>
        <w:t>2.23</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9.02(c)</w:t>
      </w:r>
    </w:p>
    <w:p>
      <w:pPr>
        <w:spacing w:after="0" w:line="37" w:lineRule="exact"/>
        <w:rPr>
          <w:sz w:val="20"/>
          <w:szCs w:val="20"/>
          <w:color w:val="auto"/>
        </w:rPr>
      </w:pPr>
    </w:p>
    <w:p>
      <w:pPr>
        <w:ind w:left="100"/>
        <w:spacing w:after="0"/>
        <w:rPr>
          <w:sz w:val="20"/>
          <w:szCs w:val="20"/>
          <w:color w:val="auto"/>
        </w:rPr>
      </w:pPr>
      <w:r>
        <w:rPr>
          <w:rFonts w:ascii="Arial" w:cs="Arial" w:eastAsia="Arial" w:hAnsi="Arial"/>
          <w:sz w:val="19"/>
          <w:szCs w:val="19"/>
          <w:u w:val="single" w:color="auto"/>
          <w:color w:val="auto"/>
        </w:rPr>
        <w:t>(i)</w:t>
      </w:r>
      <w:r>
        <w:rPr>
          <w:rFonts w:ascii="Arial" w:cs="Arial" w:eastAsia="Arial" w:hAnsi="Arial"/>
          <w:sz w:val="19"/>
          <w:szCs w:val="19"/>
          <w:color w:val="auto"/>
        </w:rPr>
        <w:t>.</w:t>
      </w:r>
    </w:p>
    <w:p>
      <w:pPr>
        <w:spacing w:after="0" w:line="184"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Term Loans</w:t>
      </w:r>
      <w:r>
        <w:rPr>
          <w:rFonts w:ascii="Arial" w:cs="Arial" w:eastAsia="Arial" w:hAnsi="Arial"/>
          <w:sz w:val="19"/>
          <w:szCs w:val="19"/>
          <w:color w:val="auto"/>
        </w:rPr>
        <w:t xml:space="preserve">” means any term loan added pursuant to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w:t>
      </w:r>
      <w:r>
        <w:rPr>
          <w:rFonts w:ascii="Arial" w:cs="Arial" w:eastAsia="Arial" w:hAnsi="Arial"/>
          <w:sz w:val="19"/>
          <w:szCs w:val="19"/>
          <w:u w:val="single" w:color="auto"/>
          <w:color w:val="auto"/>
        </w:rPr>
        <w:t>2.23</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9.02(c)(i)</w:t>
      </w:r>
      <w:r>
        <w:rPr>
          <w:rFonts w:ascii="Arial" w:cs="Arial" w:eastAsia="Arial" w:hAnsi="Arial"/>
          <w:sz w:val="19"/>
          <w:szCs w:val="19"/>
          <w:color w:val="auto"/>
        </w:rPr>
        <w:t>.</w:t>
      </w:r>
    </w:p>
    <w:p>
      <w:pPr>
        <w:spacing w:after="0" w:line="200"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Consolidated Net Income</w:t>
      </w:r>
      <w:r>
        <w:rPr>
          <w:rFonts w:ascii="Arial" w:cs="Arial" w:eastAsia="Arial" w:hAnsi="Arial"/>
          <w:sz w:val="19"/>
          <w:szCs w:val="19"/>
          <w:color w:val="auto"/>
        </w:rPr>
        <w:t xml:space="preserve">” means, in respect of any period, an amount determined for the Borrower and its Restricted Subsidiaries, on a consolidated basis, equal to (a) Consolidated Net Income for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sum, without duplication (and to the extent deducted and not added back in calculating Consolidated Net Income for such period), for such period of:</w:t>
      </w:r>
    </w:p>
    <w:p>
      <w:pPr>
        <w:spacing w:after="0" w:line="194" w:lineRule="exact"/>
        <w:rPr>
          <w:sz w:val="20"/>
          <w:szCs w:val="20"/>
          <w:color w:val="auto"/>
        </w:rPr>
      </w:pPr>
    </w:p>
    <w:p>
      <w:pPr>
        <w:jc w:val="both"/>
        <w:ind w:left="1600" w:right="59" w:firstLine="741"/>
        <w:spacing w:after="0" w:line="249" w:lineRule="auto"/>
        <w:tabs>
          <w:tab w:leader="none" w:pos="3063"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(A) any depreciation and/or amortization (including, without limitation, amortization of goodwill, software and other intangible assets), (B) any impairment Charge, including any bad debt expense, and (C) any asset write-off and/or write-down; </w:t>
      </w:r>
      <w:r>
        <w:rPr>
          <w:rFonts w:ascii="Arial" w:cs="Arial" w:eastAsia="Arial" w:hAnsi="Arial"/>
          <w:sz w:val="19"/>
          <w:szCs w:val="19"/>
          <w:u w:val="single" w:color="auto"/>
          <w:color w:val="auto"/>
        </w:rPr>
        <w:t>plus</w:t>
      </w:r>
    </w:p>
    <w:p>
      <w:pPr>
        <w:spacing w:after="0" w:line="264" w:lineRule="exact"/>
        <w:rPr>
          <w:rFonts w:ascii="Arial" w:cs="Arial" w:eastAsia="Arial" w:hAnsi="Arial"/>
          <w:sz w:val="19"/>
          <w:szCs w:val="19"/>
          <w:color w:val="auto"/>
        </w:rPr>
      </w:pPr>
    </w:p>
    <w:p>
      <w:pPr>
        <w:ind w:left="1600" w:right="279" w:firstLine="741"/>
        <w:spacing w:after="0" w:line="261" w:lineRule="auto"/>
        <w:tabs>
          <w:tab w:leader="none" w:pos="3063"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any amount that may be added back in the calculation of Consolidated Adjusted EBITDA for such period pursuant to </w:t>
      </w:r>
      <w:r>
        <w:rPr>
          <w:rFonts w:ascii="Arial" w:cs="Arial" w:eastAsia="Arial" w:hAnsi="Arial"/>
          <w:sz w:val="19"/>
          <w:szCs w:val="19"/>
          <w:u w:val="single" w:color="auto"/>
          <w:color w:val="auto"/>
        </w:rPr>
        <w:t>clause (c)(viii)</w:t>
      </w:r>
      <w:r>
        <w:rPr>
          <w:rFonts w:ascii="Arial" w:cs="Arial" w:eastAsia="Arial" w:hAnsi="Arial"/>
          <w:sz w:val="19"/>
          <w:szCs w:val="19"/>
          <w:color w:val="auto"/>
        </w:rPr>
        <w:t xml:space="preserve"> of the definition thereof.</w:t>
      </w:r>
    </w:p>
    <w:p>
      <w:pPr>
        <w:spacing w:after="0" w:line="173"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Adjustment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1.13</w:t>
      </w:r>
      <w:r>
        <w:rPr>
          <w:rFonts w:ascii="Arial" w:cs="Arial" w:eastAsia="Arial" w:hAnsi="Arial"/>
          <w:sz w:val="19"/>
          <w:szCs w:val="19"/>
          <w:color w:val="auto"/>
        </w:rPr>
        <w:t>.</w:t>
      </w:r>
    </w:p>
    <w:p>
      <w:pPr>
        <w:spacing w:after="0" w:line="200" w:lineRule="exact"/>
        <w:rPr>
          <w:sz w:val="20"/>
          <w:szCs w:val="20"/>
          <w:color w:val="auto"/>
        </w:rPr>
      </w:pPr>
    </w:p>
    <w:p>
      <w:pPr>
        <w:ind w:left="100" w:right="79" w:firstLine="74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Adjustment Date</w:t>
      </w:r>
      <w:r>
        <w:rPr>
          <w:rFonts w:ascii="Arial" w:cs="Arial" w:eastAsia="Arial" w:hAnsi="Arial"/>
          <w:sz w:val="19"/>
          <w:szCs w:val="19"/>
          <w:color w:val="auto"/>
        </w:rPr>
        <w:t xml:space="preserve">” means the date of delivery of financial statements required to be delivered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5.01(b)</w:t>
      </w:r>
      <w:r>
        <w:rPr>
          <w:rFonts w:ascii="Arial" w:cs="Arial" w:eastAsia="Arial" w:hAnsi="Arial"/>
          <w:sz w:val="19"/>
          <w:szCs w:val="19"/>
          <w:color w:val="auto"/>
        </w:rPr>
        <w:t>, as applicable.</w:t>
      </w:r>
    </w:p>
    <w:p>
      <w:pPr>
        <w:spacing w:after="0" w:line="5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has the meaning assigned to such term in the preamble to this Agreement. “</w:t>
      </w:r>
      <w:r>
        <w:rPr>
          <w:rFonts w:ascii="Arial" w:cs="Arial" w:eastAsia="Arial" w:hAnsi="Arial"/>
          <w:sz w:val="18"/>
          <w:szCs w:val="18"/>
          <w:u w:val="single" w:color="auto"/>
          <w:color w:val="auto"/>
        </w:rPr>
        <w:t>Administrative</w:t>
      </w:r>
    </w:p>
    <w:p>
      <w:pPr>
        <w:spacing w:after="0" w:line="225" w:lineRule="exact"/>
        <w:rPr>
          <w:sz w:val="20"/>
          <w:szCs w:val="20"/>
          <w:color w:val="auto"/>
        </w:rPr>
      </w:pPr>
    </w:p>
    <w:p>
      <w:pPr>
        <w:ind w:left="100" w:right="2839" w:firstLine="750"/>
        <w:spacing w:after="0" w:line="379" w:lineRule="auto"/>
        <w:rPr>
          <w:sz w:val="20"/>
          <w:szCs w:val="20"/>
          <w:color w:val="auto"/>
        </w:rPr>
      </w:pPr>
      <w:r>
        <w:rPr>
          <w:rFonts w:ascii="Arial" w:cs="Arial" w:eastAsia="Arial" w:hAnsi="Arial"/>
          <w:sz w:val="19"/>
          <w:szCs w:val="19"/>
          <w:u w:val="single" w:color="auto"/>
          <w:color w:val="auto"/>
        </w:rPr>
        <w:t>Questionnaire</w:t>
      </w:r>
      <w:r>
        <w:rPr>
          <w:rFonts w:ascii="Arial" w:cs="Arial" w:eastAsia="Arial" w:hAnsi="Arial"/>
          <w:sz w:val="19"/>
          <w:szCs w:val="19"/>
          <w:color w:val="auto"/>
        </w:rPr>
        <w:t>” means a customary administrative questionnaire in the form provided by the Administrative Agent.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2</w:t>
      </w:r>
      <w:r>
        <w:rPr>
          <w:rFonts w:ascii="Arial" w:cs="Arial" w:eastAsia="Arial" w:hAnsi="Arial"/>
          <w:sz w:val="18"/>
          <w:szCs w:val="18"/>
          <w:u w:val="single" w:color="auto"/>
          <w:color w:val="0000FF"/>
          <w:strike w:val="1"/>
        </w:rPr>
        <w:t>2</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70" w:name="page71"/>
    <w:bookmarkEnd w:id="70"/>
    <w:p>
      <w:pPr>
        <w:ind w:left="100" w:right="99" w:firstLine="74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Advent</w:t>
      </w:r>
      <w:r>
        <w:rPr>
          <w:rFonts w:ascii="Arial" w:cs="Arial" w:eastAsia="Arial" w:hAnsi="Arial"/>
          <w:sz w:val="19"/>
          <w:szCs w:val="19"/>
          <w:color w:val="auto"/>
        </w:rPr>
        <w:t>” means Advent International Corporation, together with its controlled Affiliates and funds managed or advised by any of them or any of their respective controlled Affiliates.</w:t>
      </w:r>
    </w:p>
    <w:p>
      <w:pPr>
        <w:spacing w:after="0" w:line="159" w:lineRule="exact"/>
        <w:rPr>
          <w:sz w:val="20"/>
          <w:szCs w:val="20"/>
          <w:color w:val="auto"/>
        </w:rPr>
      </w:pPr>
    </w:p>
    <w:p>
      <w:pPr>
        <w:jc w:val="both"/>
        <w:ind w:left="100" w:right="19" w:firstLine="749"/>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Adverse Proceeding</w:t>
      </w:r>
      <w:r>
        <w:rPr>
          <w:rFonts w:ascii="Arial" w:cs="Arial" w:eastAsia="Arial" w:hAnsi="Arial"/>
          <w:sz w:val="19"/>
          <w:szCs w:val="19"/>
          <w:color w:val="auto"/>
        </w:rPr>
        <w:t>” means any action, suit, proceeding (whether administrative, judicial or otherwise), governmental investigation or arbitration (whether or not purportedly on behalf of Holdings, the Borrower or any of its Restricted Subsidiaries) at law or in equity, or before or by any Governmental Authority, domestic or foreign (including any Environmental Claim), whether pending or, to the knowledge of Holdings, the Borrower or any of its Restricted Subsidiaries, threatened in writing, against or affecting Holdings, the Borrower or any of its Restricted Subsidiaries or any property of Holdings, the Borrower or any of its Restricted Subsidiaries.</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Affected Financial Institution</w:t>
      </w:r>
      <w:r>
        <w:rPr>
          <w:rFonts w:ascii="Arial" w:cs="Arial" w:eastAsia="Arial" w:hAnsi="Arial"/>
          <w:sz w:val="19"/>
          <w:szCs w:val="19"/>
          <w:color w:val="auto"/>
        </w:rPr>
        <w:t>” means (a) any EEA Financial Institution or (b) any UK Financial Institution</w:t>
      </w:r>
      <w:r>
        <w:rPr>
          <w:rFonts w:ascii="Arial" w:cs="Arial" w:eastAsia="Arial" w:hAnsi="Arial"/>
          <w:sz w:val="19"/>
          <w:szCs w:val="19"/>
          <w:i w:val="1"/>
          <w:iCs w:val="1"/>
          <w:color w:val="auto"/>
        </w:rPr>
        <w:t>.</w:t>
      </w:r>
    </w:p>
    <w:p>
      <w:pPr>
        <w:spacing w:after="0" w:line="200" w:lineRule="exact"/>
        <w:rPr>
          <w:sz w:val="20"/>
          <w:szCs w:val="20"/>
          <w:color w:val="auto"/>
        </w:rPr>
      </w:pPr>
    </w:p>
    <w:p>
      <w:pPr>
        <w:jc w:val="both"/>
        <w:ind w:left="100" w:right="59" w:firstLine="749"/>
        <w:spacing w:after="0" w:line="23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as applied to any Person, any other Person directly or indirectly Controlling, Controlled by, or under common Control with, that Person. No Person shall be an “Affiliate” of the Borrower and/or any Restricted Subsidiary solely because it is an unrelated portfolio company of any Sponsor and none of the Administrative Agent, the Arrangers, any Lender (other than any Affiliated Lender or any Debt Fund Affiliate) or any of their respective Affiliates shall be considered an Affiliate of the Borrower or any subsidiary thereof.</w:t>
      </w:r>
    </w:p>
    <w:p>
      <w:pPr>
        <w:spacing w:after="0" w:line="195"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Affiliated Lender</w:t>
      </w:r>
      <w:r>
        <w:rPr>
          <w:rFonts w:ascii="Arial" w:cs="Arial" w:eastAsia="Arial" w:hAnsi="Arial"/>
          <w:sz w:val="17"/>
          <w:szCs w:val="17"/>
          <w:color w:val="auto"/>
        </w:rPr>
        <w:t>” means any Non-Debt Fund Affiliate, Holdings, the Borrower and/or any subsidiary of the Borrower.</w:t>
      </w:r>
    </w:p>
    <w:p>
      <w:pPr>
        <w:spacing w:after="0" w:line="223" w:lineRule="exact"/>
        <w:rPr>
          <w:sz w:val="20"/>
          <w:szCs w:val="20"/>
          <w:color w:val="auto"/>
        </w:rPr>
      </w:pPr>
    </w:p>
    <w:p>
      <w:pPr>
        <w:jc w:val="both"/>
        <w:ind w:left="100" w:right="59" w:firstLine="74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Affiliated Lender Assignment and Assumption</w:t>
      </w:r>
      <w:r>
        <w:rPr>
          <w:rFonts w:ascii="Arial" w:cs="Arial" w:eastAsia="Arial" w:hAnsi="Arial"/>
          <w:sz w:val="17"/>
          <w:szCs w:val="17"/>
          <w:color w:val="auto"/>
        </w:rPr>
        <w:t xml:space="preserve">” means (a) an assignment and assumption entered into by a Lender and an Affiliated Lender (with the consent of any party whose consent is required by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and accepted by the Administrative Agent in the form of </w:t>
      </w:r>
      <w:r>
        <w:rPr>
          <w:rFonts w:ascii="Arial" w:cs="Arial" w:eastAsia="Arial" w:hAnsi="Arial"/>
          <w:sz w:val="17"/>
          <w:szCs w:val="17"/>
          <w:u w:val="single" w:color="auto"/>
          <w:color w:val="auto"/>
        </w:rPr>
        <w:t>Exhibit A-1</w:t>
      </w:r>
      <w:r>
        <w:rPr>
          <w:rFonts w:ascii="Arial" w:cs="Arial" w:eastAsia="Arial" w:hAnsi="Arial"/>
          <w:sz w:val="17"/>
          <w:szCs w:val="17"/>
          <w:color w:val="auto"/>
        </w:rPr>
        <w:t xml:space="preserve"> and/or (b) any other form approved by the Administrative Agent and the Borrower.</w:t>
      </w:r>
    </w:p>
    <w:p>
      <w:pPr>
        <w:spacing w:after="0" w:line="257"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Affiliated Lender Cap</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9.05(g)(iv)</w:t>
      </w:r>
      <w:r>
        <w:rPr>
          <w:rFonts w:ascii="Arial" w:cs="Arial" w:eastAsia="Arial" w:hAnsi="Arial"/>
          <w:sz w:val="19"/>
          <w:szCs w:val="19"/>
          <w:color w:val="auto"/>
        </w:rPr>
        <w:t>. “</w:t>
      </w:r>
      <w:r>
        <w:rPr>
          <w:rFonts w:ascii="Arial" w:cs="Arial" w:eastAsia="Arial" w:hAnsi="Arial"/>
          <w:sz w:val="19"/>
          <w:szCs w:val="19"/>
          <w:u w:val="single" w:color="auto"/>
          <w:color w:val="auto"/>
        </w:rPr>
        <w:t>Agreement</w:t>
      </w:r>
      <w:r>
        <w:rPr>
          <w:rFonts w:ascii="Arial" w:cs="Arial" w:eastAsia="Arial" w:hAnsi="Arial"/>
          <w:sz w:val="19"/>
          <w:szCs w:val="19"/>
          <w:color w:val="auto"/>
        </w:rPr>
        <w:t>” has the</w:t>
      </w:r>
    </w:p>
    <w:p>
      <w:pPr>
        <w:spacing w:after="0" w:line="18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meaning assigned to such term in the preamble to this Credit Agreement. “</w:t>
      </w:r>
      <w:r>
        <w:rPr>
          <w:rFonts w:ascii="Arial" w:cs="Arial" w:eastAsia="Arial" w:hAnsi="Arial"/>
          <w:sz w:val="18"/>
          <w:szCs w:val="18"/>
          <w:u w:val="single" w:color="auto"/>
          <w:color w:val="auto"/>
        </w:rPr>
        <w:t>Agreement Currency</w:t>
      </w:r>
      <w:r>
        <w:rPr>
          <w:rFonts w:ascii="Arial" w:cs="Arial" w:eastAsia="Arial" w:hAnsi="Arial"/>
          <w:sz w:val="18"/>
          <w:szCs w:val="18"/>
          <w:color w:val="auto"/>
        </w:rPr>
        <w:t>” has the meaning</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assigned to such term in </w:t>
      </w:r>
      <w:r>
        <w:rPr>
          <w:rFonts w:ascii="Arial" w:cs="Arial" w:eastAsia="Arial" w:hAnsi="Arial"/>
          <w:sz w:val="19"/>
          <w:szCs w:val="19"/>
          <w:u w:val="single" w:color="auto"/>
          <w:color w:val="auto"/>
        </w:rPr>
        <w:t>Section 9.25</w:t>
      </w:r>
      <w:r>
        <w:rPr>
          <w:rFonts w:ascii="Arial" w:cs="Arial" w:eastAsia="Arial" w:hAnsi="Arial"/>
          <w:sz w:val="19"/>
          <w:szCs w:val="19"/>
          <w:color w:val="auto"/>
        </w:rPr>
        <w:t>.</w:t>
      </w:r>
    </w:p>
    <w:p>
      <w:pPr>
        <w:spacing w:after="0" w:line="9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Alternate Base Rate</w:t>
      </w:r>
      <w:r>
        <w:rPr>
          <w:rFonts w:ascii="Arial" w:cs="Arial" w:eastAsia="Arial" w:hAnsi="Arial"/>
          <w:sz w:val="17"/>
          <w:szCs w:val="17"/>
          <w:color w:val="auto"/>
        </w:rPr>
        <w:t>” means, for any day, a rate per annum equal to the highest of (a) the Federal Funds Effective Rate in</w:t>
      </w:r>
    </w:p>
    <w:p>
      <w:pPr>
        <w:spacing w:after="0" w:line="37" w:lineRule="exact"/>
        <w:rPr>
          <w:sz w:val="20"/>
          <w:szCs w:val="20"/>
          <w:color w:val="auto"/>
        </w:rPr>
      </w:pPr>
    </w:p>
    <w:p>
      <w:pPr>
        <w:jc w:val="both"/>
        <w:ind w:left="100" w:right="39"/>
        <w:spacing w:after="0" w:line="254" w:lineRule="auto"/>
        <w:rPr>
          <w:sz w:val="20"/>
          <w:szCs w:val="20"/>
          <w:color w:val="auto"/>
        </w:rPr>
      </w:pPr>
      <w:r>
        <w:rPr>
          <w:rFonts w:ascii="Arial" w:cs="Arial" w:eastAsia="Arial" w:hAnsi="Arial"/>
          <w:sz w:val="17"/>
          <w:szCs w:val="17"/>
          <w:color w:val="auto"/>
        </w:rPr>
        <w:t xml:space="preserve">effect on such day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0.50%, (b) </w:t>
      </w:r>
      <w:r>
        <w:rPr>
          <w:rFonts w:ascii="Arial" w:cs="Arial" w:eastAsia="Arial" w:hAnsi="Arial"/>
          <w:sz w:val="17"/>
          <w:szCs w:val="17"/>
          <w:color w:val="FF0000"/>
          <w:strike w:val="1"/>
        </w:rPr>
        <w:t>to the extent ascertainable, the Published LIBO Rate (which rate shall be calculated based</w:t>
      </w:r>
      <w:r>
        <w:rPr>
          <w:rFonts w:ascii="Arial" w:cs="Arial" w:eastAsia="Arial" w:hAnsi="Arial"/>
          <w:sz w:val="17"/>
          <w:szCs w:val="17"/>
          <w:color w:val="auto"/>
        </w:rPr>
        <w:t xml:space="preserve"> </w:t>
      </w:r>
      <w:r>
        <w:rPr>
          <w:rFonts w:ascii="Arial" w:cs="Arial" w:eastAsia="Arial" w:hAnsi="Arial"/>
          <w:sz w:val="17"/>
          <w:szCs w:val="17"/>
          <w:color w:val="FF0000"/>
          <w:strike w:val="1"/>
        </w:rPr>
        <w:t>upon</w:t>
      </w:r>
      <w:r>
        <w:rPr>
          <w:rFonts w:ascii="Arial" w:cs="Arial" w:eastAsia="Arial" w:hAnsi="Arial"/>
          <w:sz w:val="17"/>
          <w:szCs w:val="17"/>
          <w:u w:val="single" w:color="auto"/>
          <w:color w:val="0000FF"/>
        </w:rPr>
        <w:t>the rate per annum equal to the Term SOFR determined on a daily basis for</w:t>
      </w:r>
      <w:r>
        <w:rPr>
          <w:rFonts w:ascii="Arial" w:cs="Arial" w:eastAsia="Arial" w:hAnsi="Arial"/>
          <w:sz w:val="17"/>
          <w:szCs w:val="17"/>
          <w:color w:val="FF0000"/>
        </w:rPr>
        <w:t xml:space="preserve"> </w:t>
      </w:r>
      <w:r>
        <w:rPr>
          <w:rFonts w:ascii="Arial" w:cs="Arial" w:eastAsia="Arial" w:hAnsi="Arial"/>
          <w:sz w:val="17"/>
          <w:szCs w:val="17"/>
          <w:color w:val="000000"/>
        </w:rPr>
        <w:t>an Interest Period of one</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(1)</w:t>
      </w:r>
      <w:r>
        <w:rPr>
          <w:rFonts w:ascii="Arial" w:cs="Arial" w:eastAsia="Arial" w:hAnsi="Arial"/>
          <w:sz w:val="17"/>
          <w:szCs w:val="17"/>
          <w:color w:val="FF0000"/>
        </w:rPr>
        <w:t xml:space="preserve"> </w:t>
      </w:r>
      <w:r>
        <w:rPr>
          <w:rFonts w:ascii="Arial" w:cs="Arial" w:eastAsia="Arial" w:hAnsi="Arial"/>
          <w:sz w:val="17"/>
          <w:szCs w:val="17"/>
          <w:color w:val="000000"/>
        </w:rPr>
        <w:t>month</w:t>
      </w:r>
      <w:r>
        <w:rPr>
          <w:rFonts w:ascii="Arial" w:cs="Arial" w:eastAsia="Arial" w:hAnsi="Arial"/>
          <w:sz w:val="17"/>
          <w:szCs w:val="17"/>
          <w:color w:val="FF0000"/>
        </w:rPr>
        <w:t xml:space="preserve"> and shall be </w:t>
      </w:r>
      <w:r>
        <w:rPr>
          <w:rFonts w:ascii="Arial" w:cs="Arial" w:eastAsia="Arial" w:hAnsi="Arial"/>
          <w:sz w:val="17"/>
          <w:szCs w:val="17"/>
          <w:color w:val="FF0000"/>
          <w:strike w:val="1"/>
        </w:rPr>
        <w:t>determined on a daily basis and, for the avoidance of doubt, the Published LIBO Rate for any day shall be based on the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5771515</wp:posOffset>
            </wp:positionH>
            <wp:positionV relativeFrom="paragraph">
              <wp:posOffset>-200660</wp:posOffset>
            </wp:positionV>
            <wp:extent cx="62865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jc w:val="both"/>
        <w:ind w:left="100" w:right="39"/>
        <w:spacing w:after="0" w:line="265" w:lineRule="auto"/>
        <w:rPr>
          <w:sz w:val="20"/>
          <w:szCs w:val="20"/>
          <w:color w:val="auto"/>
        </w:rPr>
      </w:pPr>
      <w:r>
        <w:rPr>
          <w:rFonts w:ascii="Arial" w:cs="Arial" w:eastAsia="Arial" w:hAnsi="Arial"/>
          <w:sz w:val="17"/>
          <w:szCs w:val="17"/>
          <w:color w:val="FF0000"/>
          <w:strike w:val="1"/>
        </w:rPr>
        <w:t>determined on such day at 11 a.m. (London time))</w:t>
      </w:r>
      <w:r>
        <w:rPr>
          <w:rFonts w:ascii="Arial" w:cs="Arial" w:eastAsia="Arial" w:hAnsi="Arial"/>
          <w:sz w:val="17"/>
          <w:szCs w:val="17"/>
          <w:color w:val="0000FF"/>
        </w:rPr>
        <w:t>,</w:t>
      </w:r>
      <w:r>
        <w:rPr>
          <w:rFonts w:ascii="Arial" w:cs="Arial" w:eastAsia="Arial" w:hAnsi="Arial"/>
          <w:sz w:val="17"/>
          <w:szCs w:val="17"/>
          <w:color w:val="FF0000"/>
        </w:rPr>
        <w:t xml:space="preserve"> </w:t>
      </w:r>
      <w:r>
        <w:rPr>
          <w:rFonts w:ascii="Arial" w:cs="Arial" w:eastAsia="Arial" w:hAnsi="Arial"/>
          <w:sz w:val="17"/>
          <w:szCs w:val="17"/>
          <w:u w:val="single" w:color="auto"/>
          <w:color w:val="000000"/>
        </w:rPr>
        <w:t>plus</w:t>
      </w:r>
      <w:r>
        <w:rPr>
          <w:rFonts w:ascii="Arial" w:cs="Arial" w:eastAsia="Arial" w:hAnsi="Arial"/>
          <w:sz w:val="17"/>
          <w:szCs w:val="17"/>
          <w:color w:val="FF0000"/>
        </w:rPr>
        <w:t xml:space="preserve"> </w:t>
      </w:r>
      <w:r>
        <w:rPr>
          <w:rFonts w:ascii="Arial" w:cs="Arial" w:eastAsia="Arial" w:hAnsi="Arial"/>
          <w:sz w:val="17"/>
          <w:szCs w:val="17"/>
          <w:color w:val="000000"/>
        </w:rPr>
        <w:t>1.00%, (c) the Prime Rate and (d) solely in the case of Initial Revolving</w:t>
      </w:r>
      <w:r>
        <w:rPr>
          <w:rFonts w:ascii="Arial" w:cs="Arial" w:eastAsia="Arial" w:hAnsi="Arial"/>
          <w:sz w:val="17"/>
          <w:szCs w:val="17"/>
          <w:color w:val="FF0000"/>
        </w:rPr>
        <w:t xml:space="preserve"> </w:t>
      </w:r>
      <w:r>
        <w:rPr>
          <w:rFonts w:ascii="Arial" w:cs="Arial" w:eastAsia="Arial" w:hAnsi="Arial"/>
          <w:sz w:val="17"/>
          <w:szCs w:val="17"/>
          <w:color w:val="000000"/>
        </w:rPr>
        <w:t xml:space="preserve">Loans and Initial Term Loans, 1.00%. Any change in the Alternate Base Rate due to a change in the Prime Rate, the Federal Funds Effective Rate or the </w:t>
      </w:r>
      <w:r>
        <w:rPr>
          <w:rFonts w:ascii="Arial" w:cs="Arial" w:eastAsia="Arial" w:hAnsi="Arial"/>
          <w:sz w:val="17"/>
          <w:szCs w:val="17"/>
          <w:color w:val="FF0000"/>
          <w:strike w:val="1"/>
        </w:rPr>
        <w:t>Published LIBO Rate</w:t>
      </w:r>
      <w:r>
        <w:rPr>
          <w:rFonts w:ascii="Arial" w:cs="Arial" w:eastAsia="Arial" w:hAnsi="Arial"/>
          <w:sz w:val="17"/>
          <w:szCs w:val="17"/>
          <w:u w:val="single" w:color="auto"/>
          <w:color w:val="0000FF"/>
        </w:rPr>
        <w:t>Term SOFR</w:t>
      </w:r>
      <w:r>
        <w:rPr>
          <w:rFonts w:ascii="Arial" w:cs="Arial" w:eastAsia="Arial" w:hAnsi="Arial"/>
          <w:sz w:val="17"/>
          <w:szCs w:val="17"/>
          <w:color w:val="000000"/>
        </w:rPr>
        <w:t xml:space="preserve">, as the case may be, shall be effective from and including the effective date of such change in the Prime Rate, the Federal Funds Effective Rate or the </w:t>
      </w:r>
      <w:r>
        <w:rPr>
          <w:rFonts w:ascii="Arial" w:cs="Arial" w:eastAsia="Arial" w:hAnsi="Arial"/>
          <w:sz w:val="17"/>
          <w:szCs w:val="17"/>
          <w:color w:val="FF0000"/>
          <w:strike w:val="1"/>
        </w:rPr>
        <w:t>Published LIBO Rate</w:t>
      </w:r>
      <w:r>
        <w:rPr>
          <w:rFonts w:ascii="Arial" w:cs="Arial" w:eastAsia="Arial" w:hAnsi="Arial"/>
          <w:sz w:val="17"/>
          <w:szCs w:val="17"/>
          <w:u w:val="single" w:color="auto"/>
          <w:color w:val="0000FF"/>
        </w:rPr>
        <w:t>Term SOFR</w:t>
      </w:r>
      <w:r>
        <w:rPr>
          <w:rFonts w:ascii="Arial" w:cs="Arial" w:eastAsia="Arial" w:hAnsi="Arial"/>
          <w:sz w:val="17"/>
          <w:szCs w:val="17"/>
          <w:color w:val="000000"/>
        </w:rPr>
        <w:t>, as the case may be.</w:t>
      </w:r>
    </w:p>
    <w:p>
      <w:pPr>
        <w:spacing w:after="0" w:line="241" w:lineRule="exact"/>
        <w:rPr>
          <w:sz w:val="20"/>
          <w:szCs w:val="20"/>
          <w:color w:val="auto"/>
        </w:rPr>
      </w:pPr>
    </w:p>
    <w:p>
      <w:pPr>
        <w:ind w:left="100" w:right="9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Alternate Currency</w:t>
      </w:r>
      <w:r>
        <w:rPr>
          <w:rFonts w:ascii="Arial" w:cs="Arial" w:eastAsia="Arial" w:hAnsi="Arial"/>
          <w:sz w:val="19"/>
          <w:szCs w:val="19"/>
          <w:color w:val="auto"/>
        </w:rPr>
        <w:t xml:space="preserve">” means in each case of Revolving Loans and Letters of Credit, each currency other than Dollars that is approved in accordance </w:t>
      </w:r>
      <w:r>
        <w:rPr>
          <w:rFonts w:ascii="Arial" w:cs="Arial" w:eastAsia="Arial" w:hAnsi="Arial"/>
          <w:sz w:val="19"/>
          <w:szCs w:val="19"/>
          <w:u w:val="single" w:color="auto"/>
          <w:color w:val="auto"/>
        </w:rPr>
        <w:t>Section 1.10</w:t>
      </w:r>
      <w:r>
        <w:rPr>
          <w:rFonts w:ascii="Arial" w:cs="Arial" w:eastAsia="Arial" w:hAnsi="Arial"/>
          <w:sz w:val="19"/>
          <w:szCs w:val="19"/>
          <w:color w:val="auto"/>
        </w:rPr>
        <w:t>.</w:t>
      </w:r>
    </w:p>
    <w:p>
      <w:pPr>
        <w:spacing w:after="0" w:line="187" w:lineRule="exact"/>
        <w:rPr>
          <w:sz w:val="20"/>
          <w:szCs w:val="20"/>
          <w:color w:val="auto"/>
        </w:rPr>
      </w:pPr>
    </w:p>
    <w:p>
      <w:pPr>
        <w:ind w:left="100" w:right="59" w:firstLine="749"/>
        <w:spacing w:after="0" w:line="246" w:lineRule="auto"/>
        <w:rPr>
          <w:sz w:val="20"/>
          <w:szCs w:val="20"/>
          <w:color w:val="auto"/>
        </w:rPr>
      </w:pPr>
      <w:r>
        <w:rPr>
          <w:rFonts w:ascii="Arial" w:cs="Arial" w:eastAsia="Arial" w:hAnsi="Arial"/>
          <w:sz w:val="19"/>
          <w:szCs w:val="19"/>
          <w:u w:val="single" w:color="auto"/>
          <w:color w:val="0000FF"/>
        </w:rPr>
        <w:t>“Amendment No. 1” means that certain Amendment No. 1, dated as of October 31, 2022, by and among the Borrower, Holdings, the Lenders party thereto, the other Loan Parties party thereto and the Administrative Agent.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3</w:t>
      </w:r>
      <w:r>
        <w:rPr>
          <w:rFonts w:ascii="Arial" w:cs="Arial" w:eastAsia="Arial" w:hAnsi="Arial"/>
          <w:sz w:val="18"/>
          <w:szCs w:val="18"/>
          <w:u w:val="single" w:color="auto"/>
          <w:color w:val="0000FF"/>
          <w:strike w:val="1"/>
        </w:rPr>
        <w:t>3</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71" w:name="page72"/>
    <w:bookmarkEnd w:id="71"/>
    <w:p>
      <w:pPr>
        <w:jc w:val="both"/>
        <w:ind w:left="100" w:right="39" w:firstLine="749"/>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xml:space="preserve">” means, (a) with respect to any Term Lender of any Class, a percentage equal to a fraction the numerator of which is the aggregate outstanding principal amount of the Term Loans and unused Additional Term Loan Commitments of such Term Lender under the applicable Class and the denominator of which is the aggregate outstanding principal amount of the Term Loans and unused Term Commitments of all Term Lenders under the applicable Class and (b) with respect to any Revolving Lender of any Class, the percentage of the aggregate amount of the Revolving Credit Commitments of such Class represented by such Lender’s Revolving Credit Commitment of such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w:t>
      </w:r>
      <w:r>
        <w:rPr>
          <w:rFonts w:ascii="Arial" w:cs="Arial" w:eastAsia="Arial" w:hAnsi="Arial"/>
          <w:sz w:val="17"/>
          <w:szCs w:val="17"/>
          <w:u w:val="single" w:color="auto"/>
          <w:color w:val="auto"/>
        </w:rPr>
        <w:t>Section 2.21</w:t>
      </w:r>
      <w:r>
        <w:rPr>
          <w:rFonts w:ascii="Arial" w:cs="Arial" w:eastAsia="Arial" w:hAnsi="Arial"/>
          <w:sz w:val="17"/>
          <w:szCs w:val="17"/>
          <w:color w:val="auto"/>
        </w:rPr>
        <w:t xml:space="preserve"> and otherwise herein (except with respect to </w:t>
      </w:r>
      <w:r>
        <w:rPr>
          <w:rFonts w:ascii="Arial" w:cs="Arial" w:eastAsia="Arial" w:hAnsi="Arial"/>
          <w:sz w:val="17"/>
          <w:szCs w:val="17"/>
          <w:u w:val="single" w:color="auto"/>
          <w:color w:val="auto"/>
        </w:rPr>
        <w:t>Section 2.11(a)(ii)</w:t>
      </w:r>
      <w:r>
        <w:rPr>
          <w:rFonts w:ascii="Arial" w:cs="Arial" w:eastAsia="Arial" w:hAnsi="Arial"/>
          <w:sz w:val="17"/>
          <w:szCs w:val="17"/>
          <w:color w:val="auto"/>
        </w:rPr>
        <w:t xml:space="preserve">), when there is a Defaulting Lender, such Defaulting Lender’s Revolving Credit Commitment shall be disregarded for any relevant calculation. In the case of </w:t>
      </w:r>
      <w:r>
        <w:rPr>
          <w:rFonts w:ascii="Arial" w:cs="Arial" w:eastAsia="Arial" w:hAnsi="Arial"/>
          <w:sz w:val="17"/>
          <w:szCs w:val="17"/>
          <w:u w:val="single" w:color="auto"/>
          <w:color w:val="auto"/>
        </w:rPr>
        <w:t>clause (b)</w:t>
      </w:r>
      <w:r>
        <w:rPr>
          <w:rFonts w:ascii="Arial" w:cs="Arial" w:eastAsia="Arial" w:hAnsi="Arial"/>
          <w:sz w:val="17"/>
          <w:szCs w:val="17"/>
          <w:color w:val="auto"/>
        </w:rPr>
        <w:t>, in the event that the Revolving Credit Commitments of any Class have expired or been terminated, the Applicable Percentage of any Revolving Lender of such Class shall be determined on the basis of the Revolving Credit Exposure of such Revolving Lender attributable to its Revolving Credit Commitment of such Class, giving effect to any assignment thereof.</w:t>
      </w:r>
    </w:p>
    <w:p>
      <w:pPr>
        <w:spacing w:after="0" w:line="168" w:lineRule="exact"/>
        <w:rPr>
          <w:sz w:val="20"/>
          <w:szCs w:val="20"/>
          <w:color w:val="auto"/>
        </w:rPr>
      </w:pPr>
    </w:p>
    <w:p>
      <w:pPr>
        <w:jc w:val="both"/>
        <w:ind w:left="100" w:right="59" w:firstLine="749"/>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Rate</w:t>
      </w:r>
      <w:r>
        <w:rPr>
          <w:rFonts w:ascii="Arial" w:cs="Arial" w:eastAsia="Arial" w:hAnsi="Arial"/>
          <w:sz w:val="17"/>
          <w:szCs w:val="17"/>
          <w:color w:val="auto"/>
        </w:rPr>
        <w:t>” means, for any day, (a) with respect to any Initial Term Loan, the rate per annum applicable to the relevant Class of Loans in the table set forth below under the caption “ABR Spread for Initial Term Loans” or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w:t>
      </w:r>
      <w:r>
        <w:rPr>
          <w:rFonts w:ascii="Arial" w:cs="Arial" w:eastAsia="Arial" w:hAnsi="Arial"/>
          <w:sz w:val="17"/>
          <w:szCs w:val="17"/>
          <w:color w:val="auto"/>
        </w:rPr>
        <w:t xml:space="preserve"> </w:t>
      </w:r>
      <w:r>
        <w:rPr>
          <w:rFonts w:ascii="Arial" w:cs="Arial" w:eastAsia="Arial" w:hAnsi="Arial"/>
          <w:sz w:val="17"/>
          <w:szCs w:val="17"/>
          <w:u w:val="single" w:color="auto"/>
          <w:color w:val="0000FF"/>
        </w:rPr>
        <w:t>SOFR</w:t>
      </w:r>
      <w:r>
        <w:rPr>
          <w:rFonts w:ascii="Arial" w:cs="Arial" w:eastAsia="Arial" w:hAnsi="Arial"/>
          <w:sz w:val="17"/>
          <w:szCs w:val="17"/>
          <w:color w:val="0000FF"/>
        </w:rPr>
        <w:t xml:space="preserve"> </w:t>
      </w:r>
      <w:r>
        <w:rPr>
          <w:rFonts w:ascii="Arial" w:cs="Arial" w:eastAsia="Arial" w:hAnsi="Arial"/>
          <w:sz w:val="17"/>
          <w:szCs w:val="17"/>
          <w:color w:val="000000"/>
        </w:rPr>
        <w:t>Spread for Initial Term Loans”, as the case may be, based upon the Total Net Leverage Ratio and (b) with respect to any</w:t>
      </w:r>
      <w:r>
        <w:rPr>
          <w:rFonts w:ascii="Arial" w:cs="Arial" w:eastAsia="Arial" w:hAnsi="Arial"/>
          <w:sz w:val="17"/>
          <w:szCs w:val="17"/>
          <w:color w:val="0000FF"/>
        </w:rPr>
        <w:t xml:space="preserve"> </w:t>
      </w:r>
      <w:r>
        <w:rPr>
          <w:rFonts w:ascii="Arial" w:cs="Arial" w:eastAsia="Arial" w:hAnsi="Arial"/>
          <w:sz w:val="17"/>
          <w:szCs w:val="17"/>
          <w:color w:val="000000"/>
        </w:rPr>
        <w:t>Initial Revolving Loan, the rate per annum applicable to the relevant Class of Loans in the table set forth below under the caption “ABR Spread for Initial Revolving Loans” or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 SOFR</w:t>
      </w:r>
      <w:r>
        <w:rPr>
          <w:rFonts w:ascii="Arial" w:cs="Arial" w:eastAsia="Arial" w:hAnsi="Arial"/>
          <w:sz w:val="17"/>
          <w:szCs w:val="17"/>
          <w:color w:val="000000"/>
        </w:rPr>
        <w:t xml:space="preserve"> Spread for Initial Revolving Loans”, as the case may be, based upon the Total Net Leverage Ratio;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until the first Adjustment Date following the completion of at least three full Fiscal Quarters ending after the Closing Date, the “Applicable Rate” for any Initial Term Loan and/or any Initial Revolving Loan shall be the applicable rate per annum set forth below in </w:t>
      </w:r>
      <w:r>
        <w:rPr>
          <w:rFonts w:ascii="Arial" w:cs="Arial" w:eastAsia="Arial" w:hAnsi="Arial"/>
          <w:sz w:val="17"/>
          <w:szCs w:val="17"/>
          <w:u w:val="single" w:color="auto"/>
          <w:color w:val="000000"/>
        </w:rPr>
        <w:t>Category 1</w:t>
      </w:r>
      <w:r>
        <w:rPr>
          <w:rFonts w:ascii="Arial" w:cs="Arial" w:eastAsia="Arial" w:hAnsi="Arial"/>
          <w:sz w:val="17"/>
          <w:szCs w:val="17"/>
          <w:color w:val="000000"/>
        </w:rPr>
        <w:t xml:space="preserve"> of the table set forth below:</w:t>
      </w:r>
    </w:p>
    <w:p>
      <w:pPr>
        <w:spacing w:after="0" w:line="162" w:lineRule="exact"/>
        <w:rPr>
          <w:sz w:val="20"/>
          <w:szCs w:val="20"/>
          <w:color w:val="auto"/>
        </w:rPr>
      </w:pPr>
    </w:p>
    <w:tbl>
      <w:tblPr>
        <w:tblLayout w:type="fixed"/>
        <w:tblInd w:w="110" w:type="dxa"/>
        <w:tblCellMar>
          <w:top w:w="0" w:type="dxa"/>
          <w:left w:w="0" w:type="dxa"/>
          <w:bottom w:w="0" w:type="dxa"/>
          <w:right w:w="0" w:type="dxa"/>
        </w:tblCellMar>
      </w:tblPr>
      <w:tr>
        <w:trPr>
          <w:trHeight w:val="258"/>
        </w:trPr>
        <w:tc>
          <w:tcPr>
            <w:tcW w:w="100" w:type="dxa"/>
            <w:vAlign w:val="bottom"/>
            <w:tcBorders>
              <w:top w:val="single" w:sz="8" w:color="010101"/>
              <w:left w:val="single" w:sz="8" w:color="010101"/>
              <w:bottom w:val="single" w:sz="8" w:color="EEECE1"/>
            </w:tcBorders>
            <w:shd w:val="clear" w:color="auto" w:fill="EEECE1"/>
          </w:tcPr>
          <w:p>
            <w:pPr>
              <w:spacing w:after="0"/>
              <w:rPr>
                <w:sz w:val="21"/>
                <w:szCs w:val="21"/>
                <w:color w:val="auto"/>
              </w:rPr>
            </w:pPr>
          </w:p>
        </w:tc>
        <w:tc>
          <w:tcPr>
            <w:tcW w:w="20" w:type="dxa"/>
            <w:vAlign w:val="bottom"/>
            <w:tcBorders>
              <w:top w:val="single" w:sz="8" w:color="010101"/>
              <w:bottom w:val="single" w:sz="8" w:color="EEECE1"/>
            </w:tcBorders>
            <w:shd w:val="clear" w:color="auto" w:fill="EEECE1"/>
          </w:tcPr>
          <w:p>
            <w:pPr>
              <w:spacing w:after="0"/>
              <w:rPr>
                <w:sz w:val="21"/>
                <w:szCs w:val="21"/>
                <w:color w:val="auto"/>
              </w:rPr>
            </w:pPr>
          </w:p>
        </w:tc>
        <w:tc>
          <w:tcPr>
            <w:tcW w:w="820" w:type="dxa"/>
            <w:vAlign w:val="bottom"/>
            <w:tcBorders>
              <w:top w:val="single" w:sz="8" w:color="010101"/>
              <w:bottom w:val="single" w:sz="8" w:color="EEECE1"/>
            </w:tcBorders>
            <w:shd w:val="clear" w:color="auto" w:fill="EEECE1"/>
          </w:tcPr>
          <w:p>
            <w:pPr>
              <w:spacing w:after="0"/>
              <w:rPr>
                <w:sz w:val="21"/>
                <w:szCs w:val="21"/>
                <w:color w:val="auto"/>
              </w:rPr>
            </w:pPr>
          </w:p>
        </w:tc>
        <w:tc>
          <w:tcPr>
            <w:tcW w:w="640" w:type="dxa"/>
            <w:vAlign w:val="bottom"/>
            <w:tcBorders>
              <w:top w:val="single" w:sz="8" w:color="010101"/>
              <w:bottom w:val="single" w:sz="8" w:color="EEECE1"/>
            </w:tcBorders>
            <w:shd w:val="clear" w:color="auto" w:fill="EEECE1"/>
          </w:tcPr>
          <w:p>
            <w:pPr>
              <w:spacing w:after="0"/>
              <w:rPr>
                <w:sz w:val="21"/>
                <w:szCs w:val="21"/>
                <w:color w:val="auto"/>
              </w:rPr>
            </w:pPr>
          </w:p>
        </w:tc>
        <w:tc>
          <w:tcPr>
            <w:tcW w:w="40" w:type="dxa"/>
            <w:vAlign w:val="bottom"/>
            <w:tcBorders>
              <w:top w:val="single" w:sz="8" w:color="010101"/>
              <w:bottom w:val="single" w:sz="8" w:color="EEECE1"/>
            </w:tcBorders>
            <w:shd w:val="clear" w:color="auto" w:fill="EEECE1"/>
          </w:tcPr>
          <w:p>
            <w:pPr>
              <w:spacing w:after="0"/>
              <w:rPr>
                <w:sz w:val="21"/>
                <w:szCs w:val="21"/>
                <w:color w:val="auto"/>
              </w:rPr>
            </w:pPr>
          </w:p>
        </w:tc>
        <w:tc>
          <w:tcPr>
            <w:tcW w:w="420" w:type="dxa"/>
            <w:vAlign w:val="bottom"/>
            <w:tcBorders>
              <w:top w:val="single" w:sz="8" w:color="010101"/>
              <w:bottom w:val="single" w:sz="8" w:color="EEECE1"/>
            </w:tcBorders>
            <w:shd w:val="clear" w:color="auto" w:fill="EEECE1"/>
          </w:tcPr>
          <w:p>
            <w:pPr>
              <w:spacing w:after="0"/>
              <w:rPr>
                <w:sz w:val="21"/>
                <w:szCs w:val="21"/>
                <w:color w:val="auto"/>
              </w:rPr>
            </w:pPr>
          </w:p>
        </w:tc>
        <w:tc>
          <w:tcPr>
            <w:tcW w:w="200" w:type="dxa"/>
            <w:vAlign w:val="bottom"/>
            <w:tcBorders>
              <w:top w:val="single" w:sz="8" w:color="010101"/>
              <w:bottom w:val="single" w:sz="8" w:color="EEECE1"/>
              <w:right w:val="single" w:sz="8" w:color="010101"/>
            </w:tcBorders>
            <w:shd w:val="clear" w:color="auto" w:fill="EEECE1"/>
          </w:tcPr>
          <w:p>
            <w:pPr>
              <w:spacing w:after="0"/>
              <w:rPr>
                <w:sz w:val="21"/>
                <w:szCs w:val="21"/>
                <w:color w:val="auto"/>
              </w:rPr>
            </w:pPr>
          </w:p>
        </w:tc>
        <w:tc>
          <w:tcPr>
            <w:tcW w:w="120" w:type="dxa"/>
            <w:vAlign w:val="bottom"/>
            <w:tcBorders>
              <w:top w:val="single" w:sz="8" w:color="010101"/>
              <w:bottom w:val="single" w:sz="8" w:color="EEECE1"/>
            </w:tcBorders>
            <w:shd w:val="clear" w:color="auto" w:fill="EEECE1"/>
          </w:tcPr>
          <w:p>
            <w:pPr>
              <w:spacing w:after="0"/>
              <w:rPr>
                <w:sz w:val="21"/>
                <w:szCs w:val="21"/>
                <w:color w:val="auto"/>
              </w:rPr>
            </w:pPr>
          </w:p>
        </w:tc>
        <w:tc>
          <w:tcPr>
            <w:tcW w:w="80" w:type="dxa"/>
            <w:vAlign w:val="bottom"/>
            <w:tcBorders>
              <w:top w:val="single" w:sz="8" w:color="010101"/>
              <w:bottom w:val="single" w:sz="8" w:color="EEECE1"/>
            </w:tcBorders>
            <w:shd w:val="clear" w:color="auto" w:fill="EEECE1"/>
          </w:tcPr>
          <w:p>
            <w:pPr>
              <w:spacing w:after="0"/>
              <w:rPr>
                <w:sz w:val="21"/>
                <w:szCs w:val="21"/>
                <w:color w:val="auto"/>
              </w:rPr>
            </w:pPr>
          </w:p>
        </w:tc>
        <w:tc>
          <w:tcPr>
            <w:tcW w:w="1240" w:type="dxa"/>
            <w:vAlign w:val="bottom"/>
            <w:tcBorders>
              <w:top w:val="single" w:sz="8" w:color="010101"/>
              <w:bottom w:val="single" w:sz="8" w:color="EEECE1"/>
            </w:tcBorders>
            <w:shd w:val="clear" w:color="auto" w:fill="EEECE1"/>
          </w:tcPr>
          <w:p>
            <w:pPr>
              <w:spacing w:after="0"/>
              <w:rPr>
                <w:sz w:val="21"/>
                <w:szCs w:val="21"/>
                <w:color w:val="auto"/>
              </w:rPr>
            </w:pPr>
          </w:p>
        </w:tc>
        <w:tc>
          <w:tcPr>
            <w:tcW w:w="80" w:type="dxa"/>
            <w:vAlign w:val="bottom"/>
            <w:tcBorders>
              <w:top w:val="single" w:sz="8" w:color="010101"/>
              <w:bottom w:val="single" w:sz="8" w:color="EEECE1"/>
            </w:tcBorders>
            <w:shd w:val="clear" w:color="auto" w:fill="EEECE1"/>
          </w:tcPr>
          <w:p>
            <w:pPr>
              <w:spacing w:after="0"/>
              <w:rPr>
                <w:sz w:val="21"/>
                <w:szCs w:val="21"/>
                <w:color w:val="auto"/>
              </w:rPr>
            </w:pPr>
          </w:p>
        </w:tc>
        <w:tc>
          <w:tcPr>
            <w:tcW w:w="420" w:type="dxa"/>
            <w:vAlign w:val="bottom"/>
            <w:tcBorders>
              <w:top w:val="single" w:sz="8" w:color="010101"/>
              <w:bottom w:val="single" w:sz="8" w:color="EEECE1"/>
              <w:right w:val="single" w:sz="8" w:color="010101"/>
            </w:tcBorders>
            <w:shd w:val="clear" w:color="auto" w:fill="EEECE1"/>
          </w:tcPr>
          <w:p>
            <w:pPr>
              <w:spacing w:after="0"/>
              <w:rPr>
                <w:sz w:val="21"/>
                <w:szCs w:val="21"/>
                <w:color w:val="auto"/>
              </w:rPr>
            </w:pPr>
          </w:p>
        </w:tc>
        <w:tc>
          <w:tcPr>
            <w:tcW w:w="120" w:type="dxa"/>
            <w:vAlign w:val="bottom"/>
            <w:tcBorders>
              <w:top w:val="single" w:sz="8" w:color="010101"/>
              <w:bottom w:val="single" w:sz="8" w:color="EEECE1"/>
            </w:tcBorders>
            <w:shd w:val="clear" w:color="auto" w:fill="EEECE1"/>
          </w:tcPr>
          <w:p>
            <w:pPr>
              <w:spacing w:after="0"/>
              <w:rPr>
                <w:sz w:val="21"/>
                <w:szCs w:val="21"/>
                <w:color w:val="auto"/>
              </w:rPr>
            </w:pPr>
          </w:p>
        </w:tc>
        <w:tc>
          <w:tcPr>
            <w:tcW w:w="40" w:type="dxa"/>
            <w:vAlign w:val="bottom"/>
            <w:tcBorders>
              <w:top w:val="single" w:sz="8" w:color="010101"/>
              <w:bottom w:val="single" w:sz="8" w:color="EEECE1"/>
            </w:tcBorders>
            <w:shd w:val="clear" w:color="auto" w:fill="EEECE1"/>
          </w:tcPr>
          <w:p>
            <w:pPr>
              <w:spacing w:after="0"/>
              <w:rPr>
                <w:sz w:val="21"/>
                <w:szCs w:val="21"/>
                <w:color w:val="auto"/>
              </w:rPr>
            </w:pPr>
          </w:p>
        </w:tc>
        <w:tc>
          <w:tcPr>
            <w:tcW w:w="500" w:type="dxa"/>
            <w:vAlign w:val="bottom"/>
            <w:tcBorders>
              <w:top w:val="single" w:sz="8" w:color="010101"/>
              <w:bottom w:val="single" w:sz="8" w:color="010101"/>
            </w:tcBorders>
            <w:gridSpan w:val="2"/>
            <w:vMerge w:val="restart"/>
            <w:shd w:val="clear" w:color="auto" w:fill="EEECE1"/>
          </w:tcPr>
          <w:p>
            <w:pPr>
              <w:jc w:val="right"/>
              <w:ind w:right="60"/>
              <w:spacing w:after="0"/>
              <w:rPr>
                <w:sz w:val="20"/>
                <w:szCs w:val="20"/>
                <w:color w:val="auto"/>
              </w:rPr>
            </w:pPr>
            <w:r>
              <w:rPr>
                <w:rFonts w:ascii="Arial" w:cs="Arial" w:eastAsia="Arial" w:hAnsi="Arial"/>
                <w:sz w:val="19"/>
                <w:szCs w:val="19"/>
                <w:color w:val="FF0000"/>
                <w:w w:val="96"/>
              </w:rPr>
              <w:t>LIBO</w:t>
            </w:r>
          </w:p>
        </w:tc>
        <w:tc>
          <w:tcPr>
            <w:tcW w:w="720" w:type="dxa"/>
            <w:vAlign w:val="bottom"/>
            <w:tcBorders>
              <w:top w:val="single" w:sz="8" w:color="010101"/>
              <w:bottom w:val="single" w:sz="8" w:color="010101"/>
            </w:tcBorders>
            <w:vMerge w:val="restart"/>
            <w:shd w:val="clear" w:color="auto" w:fill="EEECE1"/>
          </w:tcPr>
          <w:p>
            <w:pPr>
              <w:jc w:val="right"/>
              <w:spacing w:after="0"/>
              <w:rPr>
                <w:sz w:val="20"/>
                <w:szCs w:val="20"/>
                <w:color w:val="auto"/>
              </w:rPr>
            </w:pPr>
            <w:r>
              <w:rPr>
                <w:rFonts w:ascii="Arial" w:cs="Arial" w:eastAsia="Arial" w:hAnsi="Arial"/>
                <w:sz w:val="19"/>
                <w:szCs w:val="19"/>
                <w:color w:val="FF0000"/>
              </w:rPr>
              <w:t>Rate</w:t>
            </w:r>
          </w:p>
        </w:tc>
        <w:tc>
          <w:tcPr>
            <w:tcW w:w="580" w:type="dxa"/>
            <w:vAlign w:val="bottom"/>
            <w:tcBorders>
              <w:top w:val="single" w:sz="8" w:color="010101"/>
              <w:bottom w:val="single" w:sz="8" w:color="010101"/>
              <w:right w:val="single" w:sz="8" w:color="010101"/>
            </w:tcBorders>
            <w:gridSpan w:val="3"/>
            <w:vMerge w:val="restart"/>
            <w:shd w:val="clear" w:color="auto" w:fill="EEECE1"/>
          </w:tcPr>
          <w:p>
            <w:pPr>
              <w:jc w:val="right"/>
              <w:ind w:right="180"/>
              <w:spacing w:after="0"/>
              <w:rPr>
                <w:sz w:val="20"/>
                <w:szCs w:val="20"/>
                <w:color w:val="auto"/>
              </w:rPr>
            </w:pPr>
            <w:r>
              <w:rPr>
                <w:rFonts w:ascii="Arial" w:cs="Arial" w:eastAsia="Arial" w:hAnsi="Arial"/>
                <w:sz w:val="19"/>
                <w:szCs w:val="19"/>
                <w:color w:val="0000FF"/>
                <w:w w:val="85"/>
              </w:rPr>
              <w:t>Term</w:t>
            </w:r>
          </w:p>
        </w:tc>
        <w:tc>
          <w:tcPr>
            <w:tcW w:w="160" w:type="dxa"/>
            <w:vAlign w:val="bottom"/>
            <w:tcBorders>
              <w:top w:val="single" w:sz="8" w:color="010101"/>
              <w:bottom w:val="single" w:sz="8" w:color="EEECE1"/>
            </w:tcBorders>
            <w:shd w:val="clear" w:color="auto" w:fill="EEECE1"/>
          </w:tcPr>
          <w:p>
            <w:pPr>
              <w:spacing w:after="0"/>
              <w:rPr>
                <w:sz w:val="21"/>
                <w:szCs w:val="21"/>
                <w:color w:val="auto"/>
              </w:rPr>
            </w:pPr>
          </w:p>
        </w:tc>
        <w:tc>
          <w:tcPr>
            <w:tcW w:w="60" w:type="dxa"/>
            <w:vAlign w:val="bottom"/>
            <w:tcBorders>
              <w:top w:val="single" w:sz="8" w:color="010101"/>
              <w:bottom w:val="single" w:sz="8" w:color="EEECE1"/>
            </w:tcBorders>
            <w:shd w:val="clear" w:color="auto" w:fill="EEECE1"/>
          </w:tcPr>
          <w:p>
            <w:pPr>
              <w:spacing w:after="0"/>
              <w:rPr>
                <w:sz w:val="21"/>
                <w:szCs w:val="21"/>
                <w:color w:val="auto"/>
              </w:rPr>
            </w:pPr>
          </w:p>
        </w:tc>
        <w:tc>
          <w:tcPr>
            <w:tcW w:w="440" w:type="dxa"/>
            <w:vAlign w:val="bottom"/>
            <w:tcBorders>
              <w:top w:val="single" w:sz="8" w:color="010101"/>
              <w:bottom w:val="single" w:sz="8" w:color="auto"/>
            </w:tcBorders>
            <w:shd w:val="clear" w:color="auto" w:fill="EEECE1"/>
          </w:tcPr>
          <w:p>
            <w:pPr>
              <w:spacing w:after="0" w:line="216" w:lineRule="exact"/>
              <w:rPr>
                <w:sz w:val="20"/>
                <w:szCs w:val="20"/>
                <w:color w:val="auto"/>
              </w:rPr>
            </w:pPr>
            <w:r>
              <w:rPr>
                <w:rFonts w:ascii="Arial" w:cs="Arial" w:eastAsia="Arial" w:hAnsi="Arial"/>
                <w:sz w:val="19"/>
                <w:szCs w:val="19"/>
                <w:color w:val="auto"/>
              </w:rPr>
              <w:t>ABR</w:t>
            </w:r>
          </w:p>
        </w:tc>
        <w:tc>
          <w:tcPr>
            <w:tcW w:w="1100" w:type="dxa"/>
            <w:vAlign w:val="bottom"/>
            <w:tcBorders>
              <w:top w:val="single" w:sz="8" w:color="010101"/>
              <w:bottom w:val="single" w:sz="8" w:color="auto"/>
            </w:tcBorders>
            <w:gridSpan w:val="4"/>
            <w:shd w:val="clear" w:color="auto" w:fill="EEECE1"/>
          </w:tcPr>
          <w:p>
            <w:pPr>
              <w:ind w:left="120"/>
              <w:spacing w:after="0" w:line="216" w:lineRule="exact"/>
              <w:rPr>
                <w:sz w:val="20"/>
                <w:szCs w:val="20"/>
                <w:color w:val="auto"/>
              </w:rPr>
            </w:pPr>
            <w:r>
              <w:rPr>
                <w:rFonts w:ascii="Arial" w:cs="Arial" w:eastAsia="Arial" w:hAnsi="Arial"/>
                <w:sz w:val="19"/>
                <w:szCs w:val="19"/>
                <w:color w:val="auto"/>
              </w:rPr>
              <w:t>Spread  for</w:t>
            </w:r>
          </w:p>
        </w:tc>
        <w:tc>
          <w:tcPr>
            <w:tcW w:w="160" w:type="dxa"/>
            <w:vAlign w:val="bottom"/>
            <w:tcBorders>
              <w:top w:val="single" w:sz="8" w:color="010101"/>
              <w:bottom w:val="single" w:sz="8" w:color="010101"/>
              <w:right w:val="single" w:sz="8" w:color="010101"/>
            </w:tcBorders>
            <w:shd w:val="clear" w:color="auto" w:fill="EEECE1"/>
          </w:tcPr>
          <w:p>
            <w:pPr>
              <w:spacing w:after="0"/>
              <w:rPr>
                <w:sz w:val="21"/>
                <w:szCs w:val="21"/>
                <w:color w:val="auto"/>
              </w:rPr>
            </w:pPr>
          </w:p>
        </w:tc>
        <w:tc>
          <w:tcPr>
            <w:tcW w:w="320" w:type="dxa"/>
            <w:vAlign w:val="bottom"/>
            <w:tcBorders>
              <w:top w:val="single" w:sz="8" w:color="010101"/>
              <w:bottom w:val="single" w:sz="8" w:color="010101"/>
              <w:right w:val="single" w:sz="8" w:color="EEECE1"/>
            </w:tcBorders>
            <w:shd w:val="clear" w:color="auto" w:fill="EEECE1"/>
          </w:tcPr>
          <w:p>
            <w:pPr>
              <w:spacing w:after="0"/>
              <w:rPr>
                <w:sz w:val="21"/>
                <w:szCs w:val="21"/>
                <w:color w:val="auto"/>
              </w:rPr>
            </w:pPr>
          </w:p>
        </w:tc>
        <w:tc>
          <w:tcPr>
            <w:tcW w:w="860" w:type="dxa"/>
            <w:vAlign w:val="bottom"/>
            <w:tcBorders>
              <w:top w:val="single" w:sz="8" w:color="010101"/>
              <w:bottom w:val="single" w:sz="8" w:color="010101"/>
              <w:right w:val="single" w:sz="8" w:color="EEECE1"/>
            </w:tcBorders>
            <w:gridSpan w:val="2"/>
            <w:shd w:val="clear" w:color="auto" w:fill="EEECE1"/>
          </w:tcPr>
          <w:p>
            <w:pPr>
              <w:spacing w:after="0"/>
              <w:rPr>
                <w:sz w:val="20"/>
                <w:szCs w:val="20"/>
                <w:color w:val="auto"/>
              </w:rPr>
            </w:pPr>
            <w:r>
              <w:rPr>
                <w:rFonts w:ascii="Arial" w:cs="Arial" w:eastAsia="Arial" w:hAnsi="Arial"/>
                <w:sz w:val="19"/>
                <w:szCs w:val="19"/>
                <w:color w:val="FF0000"/>
                <w:strike w:val="1"/>
                <w:w w:val="92"/>
              </w:rPr>
              <w:t>LIBO Rate</w:t>
            </w:r>
          </w:p>
        </w:tc>
        <w:tc>
          <w:tcPr>
            <w:tcW w:w="760" w:type="dxa"/>
            <w:vAlign w:val="bottom"/>
            <w:tcBorders>
              <w:top w:val="single" w:sz="8" w:color="010101"/>
              <w:bottom w:val="single" w:sz="8" w:color="010101"/>
              <w:right w:val="single" w:sz="8" w:color="010101"/>
            </w:tcBorders>
            <w:gridSpan w:val="2"/>
            <w:shd w:val="clear" w:color="auto" w:fill="EEECE1"/>
          </w:tcPr>
          <w:p>
            <w:pPr>
              <w:spacing w:after="0"/>
              <w:rPr>
                <w:sz w:val="20"/>
                <w:szCs w:val="20"/>
                <w:color w:val="auto"/>
              </w:rPr>
            </w:pPr>
            <w:r>
              <w:rPr>
                <w:rFonts w:ascii="Arial" w:cs="Arial" w:eastAsia="Arial" w:hAnsi="Arial"/>
                <w:sz w:val="19"/>
                <w:szCs w:val="19"/>
                <w:color w:val="0000FF"/>
              </w:rPr>
              <w:t>Term</w:t>
            </w:r>
          </w:p>
        </w:tc>
        <w:tc>
          <w:tcPr>
            <w:tcW w:w="0" w:type="dxa"/>
            <w:vAlign w:val="bottom"/>
          </w:tcPr>
          <w:p>
            <w:pPr>
              <w:spacing w:after="0"/>
              <w:rPr>
                <w:sz w:val="1"/>
                <w:szCs w:val="1"/>
                <w:color w:val="auto"/>
              </w:rPr>
            </w:pPr>
          </w:p>
        </w:tc>
      </w:tr>
      <w:tr>
        <w:trPr>
          <w:trHeight w:val="20"/>
        </w:trPr>
        <w:tc>
          <w:tcPr>
            <w:tcW w:w="100" w:type="dxa"/>
            <w:vAlign w:val="bottom"/>
            <w:tcBorders>
              <w:top w:val="single" w:sz="8" w:color="EEECE1"/>
              <w:left w:val="single" w:sz="8" w:color="010101"/>
            </w:tcBorders>
            <w:shd w:val="clear" w:color="auto" w:fill="EEECE1"/>
          </w:tcPr>
          <w:p>
            <w:pPr>
              <w:spacing w:after="0" w:line="20" w:lineRule="exact"/>
              <w:rPr>
                <w:sz w:val="1"/>
                <w:szCs w:val="1"/>
                <w:color w:val="auto"/>
              </w:rPr>
            </w:pPr>
          </w:p>
        </w:tc>
        <w:tc>
          <w:tcPr>
            <w:tcW w:w="20" w:type="dxa"/>
            <w:vAlign w:val="bottom"/>
            <w:tcBorders>
              <w:top w:val="single" w:sz="8" w:color="EEECE1"/>
            </w:tcBorders>
            <w:shd w:val="clear" w:color="auto" w:fill="EEECE1"/>
          </w:tcPr>
          <w:p>
            <w:pPr>
              <w:spacing w:after="0" w:line="20" w:lineRule="exact"/>
              <w:rPr>
                <w:sz w:val="1"/>
                <w:szCs w:val="1"/>
                <w:color w:val="auto"/>
              </w:rPr>
            </w:pPr>
          </w:p>
        </w:tc>
        <w:tc>
          <w:tcPr>
            <w:tcW w:w="1460" w:type="dxa"/>
            <w:vAlign w:val="bottom"/>
            <w:tcBorders>
              <w:top w:val="single" w:sz="8" w:color="EEECE1"/>
            </w:tcBorders>
            <w:gridSpan w:val="2"/>
            <w:vMerge w:val="restart"/>
            <w:shd w:val="clear" w:color="auto" w:fill="EEECE1"/>
          </w:tcPr>
          <w:p>
            <w:pPr>
              <w:spacing w:after="0" w:line="149" w:lineRule="exact"/>
              <w:rPr>
                <w:sz w:val="20"/>
                <w:szCs w:val="20"/>
                <w:color w:val="auto"/>
              </w:rPr>
            </w:pPr>
            <w:r>
              <w:rPr>
                <w:rFonts w:ascii="Arial" w:cs="Arial" w:eastAsia="Arial" w:hAnsi="Arial"/>
                <w:sz w:val="17"/>
                <w:szCs w:val="17"/>
                <w:color w:val="auto"/>
                <w:w w:val="99"/>
              </w:rPr>
              <w:t>Total Net Leverage</w:t>
            </w:r>
          </w:p>
        </w:tc>
        <w:tc>
          <w:tcPr>
            <w:tcW w:w="40" w:type="dxa"/>
            <w:vAlign w:val="bottom"/>
            <w:tcBorders>
              <w:top w:val="single" w:sz="8" w:color="EEECE1"/>
            </w:tcBorders>
            <w:shd w:val="clear" w:color="auto" w:fill="EEECE1"/>
          </w:tcPr>
          <w:p>
            <w:pPr>
              <w:spacing w:after="0" w:line="20" w:lineRule="exact"/>
              <w:rPr>
                <w:sz w:val="1"/>
                <w:szCs w:val="1"/>
                <w:color w:val="auto"/>
              </w:rPr>
            </w:pPr>
          </w:p>
        </w:tc>
        <w:tc>
          <w:tcPr>
            <w:tcW w:w="420" w:type="dxa"/>
            <w:vAlign w:val="bottom"/>
            <w:tcBorders>
              <w:top w:val="single" w:sz="8" w:color="EEECE1"/>
            </w:tcBorders>
            <w:vMerge w:val="restart"/>
            <w:shd w:val="clear" w:color="auto" w:fill="EEECE1"/>
          </w:tcPr>
          <w:p>
            <w:pPr>
              <w:spacing w:after="0" w:line="149" w:lineRule="exact"/>
              <w:rPr>
                <w:sz w:val="20"/>
                <w:szCs w:val="20"/>
                <w:color w:val="auto"/>
              </w:rPr>
            </w:pPr>
            <w:r>
              <w:rPr>
                <w:rFonts w:ascii="Arial" w:cs="Arial" w:eastAsia="Arial" w:hAnsi="Arial"/>
                <w:sz w:val="17"/>
                <w:szCs w:val="17"/>
                <w:color w:val="auto"/>
              </w:rPr>
              <w:t>Ratio</w:t>
            </w:r>
          </w:p>
        </w:tc>
        <w:tc>
          <w:tcPr>
            <w:tcW w:w="200" w:type="dxa"/>
            <w:vAlign w:val="bottom"/>
            <w:tcBorders>
              <w:top w:val="single" w:sz="8" w:color="EEECE1"/>
              <w:right w:val="single" w:sz="8" w:color="010101"/>
            </w:tcBorders>
            <w:shd w:val="clear" w:color="auto" w:fill="EEECE1"/>
          </w:tcPr>
          <w:p>
            <w:pPr>
              <w:spacing w:after="0" w:line="20" w:lineRule="exact"/>
              <w:rPr>
                <w:sz w:val="1"/>
                <w:szCs w:val="1"/>
                <w:color w:val="auto"/>
              </w:rPr>
            </w:pPr>
          </w:p>
        </w:tc>
        <w:tc>
          <w:tcPr>
            <w:tcW w:w="120" w:type="dxa"/>
            <w:vAlign w:val="bottom"/>
            <w:tcBorders>
              <w:top w:val="single" w:sz="8" w:color="EEECE1"/>
            </w:tcBorders>
            <w:shd w:val="clear" w:color="auto" w:fill="EEECE1"/>
          </w:tcPr>
          <w:p>
            <w:pPr>
              <w:spacing w:after="0" w:line="20" w:lineRule="exact"/>
              <w:rPr>
                <w:sz w:val="1"/>
                <w:szCs w:val="1"/>
                <w:color w:val="auto"/>
              </w:rPr>
            </w:pPr>
          </w:p>
        </w:tc>
        <w:tc>
          <w:tcPr>
            <w:tcW w:w="80" w:type="dxa"/>
            <w:vAlign w:val="bottom"/>
            <w:tcBorders>
              <w:top w:val="single" w:sz="8" w:color="EEECE1"/>
            </w:tcBorders>
            <w:shd w:val="clear" w:color="auto" w:fill="EEECE1"/>
          </w:tcPr>
          <w:p>
            <w:pPr>
              <w:spacing w:after="0" w:line="20" w:lineRule="exact"/>
              <w:rPr>
                <w:sz w:val="1"/>
                <w:szCs w:val="1"/>
                <w:color w:val="auto"/>
              </w:rPr>
            </w:pPr>
          </w:p>
        </w:tc>
        <w:tc>
          <w:tcPr>
            <w:tcW w:w="1240" w:type="dxa"/>
            <w:vAlign w:val="bottom"/>
            <w:tcBorders>
              <w:top w:val="single" w:sz="8" w:color="EEECE1"/>
            </w:tcBorders>
            <w:vMerge w:val="restart"/>
            <w:shd w:val="clear" w:color="auto" w:fill="EEECE1"/>
          </w:tcPr>
          <w:p>
            <w:pPr>
              <w:jc w:val="right"/>
              <w:spacing w:after="0" w:line="149" w:lineRule="exact"/>
              <w:rPr>
                <w:sz w:val="20"/>
                <w:szCs w:val="20"/>
                <w:color w:val="auto"/>
              </w:rPr>
            </w:pPr>
            <w:r>
              <w:rPr>
                <w:rFonts w:ascii="Arial" w:cs="Arial" w:eastAsia="Arial" w:hAnsi="Arial"/>
                <w:sz w:val="17"/>
                <w:szCs w:val="17"/>
                <w:color w:val="auto"/>
              </w:rPr>
              <w:t>ABR Spread for</w:t>
            </w:r>
          </w:p>
        </w:tc>
        <w:tc>
          <w:tcPr>
            <w:tcW w:w="80" w:type="dxa"/>
            <w:vAlign w:val="bottom"/>
            <w:tcBorders>
              <w:top w:val="single" w:sz="8" w:color="EEECE1"/>
            </w:tcBorders>
            <w:shd w:val="clear" w:color="auto" w:fill="EEECE1"/>
          </w:tcPr>
          <w:p>
            <w:pPr>
              <w:spacing w:after="0" w:line="20" w:lineRule="exact"/>
              <w:rPr>
                <w:sz w:val="1"/>
                <w:szCs w:val="1"/>
                <w:color w:val="auto"/>
              </w:rPr>
            </w:pPr>
          </w:p>
        </w:tc>
        <w:tc>
          <w:tcPr>
            <w:tcW w:w="420" w:type="dxa"/>
            <w:vAlign w:val="bottom"/>
            <w:tcBorders>
              <w:top w:val="single" w:sz="8" w:color="EEECE1"/>
              <w:right w:val="single" w:sz="8" w:color="010101"/>
            </w:tcBorders>
            <w:shd w:val="clear" w:color="auto" w:fill="EEECE1"/>
          </w:tcPr>
          <w:p>
            <w:pPr>
              <w:spacing w:after="0" w:line="20" w:lineRule="exact"/>
              <w:rPr>
                <w:sz w:val="1"/>
                <w:szCs w:val="1"/>
                <w:color w:val="auto"/>
              </w:rPr>
            </w:pPr>
          </w:p>
        </w:tc>
        <w:tc>
          <w:tcPr>
            <w:tcW w:w="120" w:type="dxa"/>
            <w:vAlign w:val="bottom"/>
            <w:tcBorders>
              <w:top w:val="single" w:sz="8" w:color="EEECE1"/>
            </w:tcBorders>
            <w:vMerge w:val="restart"/>
            <w:shd w:val="clear" w:color="auto" w:fill="EEECE1"/>
          </w:tcPr>
          <w:p>
            <w:pPr>
              <w:spacing w:after="0" w:line="20" w:lineRule="exact"/>
              <w:rPr>
                <w:sz w:val="1"/>
                <w:szCs w:val="1"/>
                <w:color w:val="auto"/>
              </w:rPr>
            </w:pPr>
          </w:p>
        </w:tc>
        <w:tc>
          <w:tcPr>
            <w:tcW w:w="40" w:type="dxa"/>
            <w:vAlign w:val="bottom"/>
            <w:tcBorders>
              <w:top w:val="single" w:sz="8" w:color="EEECE1"/>
            </w:tcBorders>
            <w:vMerge w:val="restart"/>
            <w:shd w:val="clear" w:color="auto" w:fill="EEECE1"/>
          </w:tcPr>
          <w:p>
            <w:pPr>
              <w:spacing w:after="0" w:line="20" w:lineRule="exact"/>
              <w:rPr>
                <w:sz w:val="1"/>
                <w:szCs w:val="1"/>
                <w:color w:val="auto"/>
              </w:rPr>
            </w:pPr>
          </w:p>
        </w:tc>
        <w:tc>
          <w:tcPr>
            <w:tcW w:w="500" w:type="dxa"/>
            <w:vAlign w:val="bottom"/>
            <w:tcBorders>
              <w:top w:val="single" w:sz="8" w:color="010101"/>
            </w:tcBorders>
            <w:gridSpan w:val="2"/>
            <w:vMerge w:val="continue"/>
            <w:shd w:val="clear" w:color="auto" w:fill="EEECE1"/>
          </w:tcPr>
          <w:p>
            <w:pPr>
              <w:spacing w:after="0" w:line="20" w:lineRule="exact"/>
              <w:rPr>
                <w:sz w:val="1"/>
                <w:szCs w:val="1"/>
                <w:color w:val="auto"/>
              </w:rPr>
            </w:pPr>
          </w:p>
        </w:tc>
        <w:tc>
          <w:tcPr>
            <w:tcW w:w="720" w:type="dxa"/>
            <w:vAlign w:val="bottom"/>
            <w:tcBorders>
              <w:top w:val="single" w:sz="8" w:color="010101"/>
            </w:tcBorders>
            <w:vMerge w:val="continue"/>
            <w:shd w:val="clear" w:color="auto" w:fill="EEECE1"/>
          </w:tcPr>
          <w:p>
            <w:pPr>
              <w:spacing w:after="0" w:line="20" w:lineRule="exact"/>
              <w:rPr>
                <w:sz w:val="1"/>
                <w:szCs w:val="1"/>
                <w:color w:val="auto"/>
              </w:rPr>
            </w:pPr>
          </w:p>
        </w:tc>
        <w:tc>
          <w:tcPr>
            <w:tcW w:w="580" w:type="dxa"/>
            <w:vAlign w:val="bottom"/>
            <w:tcBorders>
              <w:top w:val="single" w:sz="8" w:color="010101"/>
              <w:right w:val="single" w:sz="8" w:color="010101"/>
            </w:tcBorders>
            <w:gridSpan w:val="3"/>
            <w:vMerge w:val="continue"/>
            <w:shd w:val="clear" w:color="auto" w:fill="EEECE1"/>
          </w:tcPr>
          <w:p>
            <w:pPr>
              <w:spacing w:after="0" w:line="20" w:lineRule="exact"/>
              <w:rPr>
                <w:sz w:val="1"/>
                <w:szCs w:val="1"/>
                <w:color w:val="auto"/>
              </w:rPr>
            </w:pPr>
          </w:p>
        </w:tc>
        <w:tc>
          <w:tcPr>
            <w:tcW w:w="160" w:type="dxa"/>
            <w:vAlign w:val="bottom"/>
            <w:tcBorders>
              <w:top w:val="single" w:sz="8" w:color="EEECE1"/>
            </w:tcBorders>
            <w:shd w:val="clear" w:color="auto" w:fill="EEECE1"/>
          </w:tcPr>
          <w:p>
            <w:pPr>
              <w:spacing w:after="0" w:line="20" w:lineRule="exact"/>
              <w:rPr>
                <w:sz w:val="1"/>
                <w:szCs w:val="1"/>
                <w:color w:val="auto"/>
              </w:rPr>
            </w:pPr>
          </w:p>
        </w:tc>
        <w:tc>
          <w:tcPr>
            <w:tcW w:w="500" w:type="dxa"/>
            <w:vAlign w:val="bottom"/>
            <w:tcBorders>
              <w:top w:val="single" w:sz="8" w:color="EEECE1"/>
            </w:tcBorders>
            <w:gridSpan w:val="2"/>
            <w:vMerge w:val="restart"/>
            <w:shd w:val="clear" w:color="auto" w:fill="EEECE1"/>
          </w:tcPr>
          <w:p>
            <w:pPr>
              <w:spacing w:after="0" w:line="149" w:lineRule="exact"/>
              <w:rPr>
                <w:sz w:val="20"/>
                <w:szCs w:val="20"/>
                <w:color w:val="auto"/>
              </w:rPr>
            </w:pPr>
            <w:r>
              <w:rPr>
                <w:rFonts w:ascii="Arial" w:cs="Arial" w:eastAsia="Arial" w:hAnsi="Arial"/>
                <w:sz w:val="17"/>
                <w:szCs w:val="17"/>
                <w:color w:val="auto"/>
              </w:rPr>
              <w:t>Initial</w:t>
            </w:r>
          </w:p>
        </w:tc>
        <w:tc>
          <w:tcPr>
            <w:tcW w:w="1080" w:type="dxa"/>
            <w:vAlign w:val="bottom"/>
            <w:tcBorders>
              <w:top w:val="single" w:sz="8" w:color="EEECE1"/>
            </w:tcBorders>
            <w:gridSpan w:val="3"/>
            <w:vMerge w:val="restart"/>
            <w:shd w:val="clear" w:color="auto" w:fill="EEECE1"/>
          </w:tcPr>
          <w:p>
            <w:pPr>
              <w:jc w:val="right"/>
              <w:ind w:right="20"/>
              <w:spacing w:after="0" w:line="149" w:lineRule="exact"/>
              <w:rPr>
                <w:sz w:val="20"/>
                <w:szCs w:val="20"/>
                <w:color w:val="auto"/>
              </w:rPr>
            </w:pPr>
            <w:r>
              <w:rPr>
                <w:rFonts w:ascii="Arial" w:cs="Arial" w:eastAsia="Arial" w:hAnsi="Arial"/>
                <w:sz w:val="17"/>
                <w:szCs w:val="17"/>
                <w:color w:val="auto"/>
              </w:rPr>
              <w:t>Revolving</w:t>
            </w:r>
          </w:p>
        </w:tc>
        <w:tc>
          <w:tcPr>
            <w:tcW w:w="20" w:type="dxa"/>
            <w:vAlign w:val="bottom"/>
            <w:tcBorders>
              <w:top w:val="single" w:sz="8" w:color="EEECE1"/>
            </w:tcBorders>
            <w:shd w:val="clear" w:color="auto" w:fill="EEECE1"/>
          </w:tcPr>
          <w:p>
            <w:pPr>
              <w:spacing w:after="0" w:line="20" w:lineRule="exact"/>
              <w:rPr>
                <w:sz w:val="1"/>
                <w:szCs w:val="1"/>
                <w:color w:val="auto"/>
              </w:rPr>
            </w:pPr>
          </w:p>
        </w:tc>
        <w:tc>
          <w:tcPr>
            <w:tcW w:w="160" w:type="dxa"/>
            <w:vAlign w:val="bottom"/>
            <w:tcBorders>
              <w:top w:val="single" w:sz="8" w:color="EEECE1"/>
              <w:right w:val="single" w:sz="8" w:color="010101"/>
            </w:tcBorders>
            <w:shd w:val="clear" w:color="auto" w:fill="EEECE1"/>
          </w:tcPr>
          <w:p>
            <w:pPr>
              <w:spacing w:after="0" w:line="20" w:lineRule="exact"/>
              <w:rPr>
                <w:sz w:val="1"/>
                <w:szCs w:val="1"/>
                <w:color w:val="auto"/>
              </w:rPr>
            </w:pPr>
          </w:p>
        </w:tc>
        <w:tc>
          <w:tcPr>
            <w:tcW w:w="320" w:type="dxa"/>
            <w:vAlign w:val="bottom"/>
            <w:tcBorders>
              <w:top w:val="single" w:sz="8" w:color="EEECE1"/>
              <w:right w:val="single" w:sz="8" w:color="EEECE1"/>
            </w:tcBorders>
            <w:shd w:val="clear" w:color="auto" w:fill="EEECE1"/>
          </w:tcPr>
          <w:p>
            <w:pPr>
              <w:spacing w:after="0" w:line="20" w:lineRule="exact"/>
              <w:rPr>
                <w:sz w:val="1"/>
                <w:szCs w:val="1"/>
                <w:color w:val="auto"/>
              </w:rPr>
            </w:pPr>
          </w:p>
        </w:tc>
        <w:tc>
          <w:tcPr>
            <w:tcW w:w="420" w:type="dxa"/>
            <w:vAlign w:val="bottom"/>
            <w:tcBorders>
              <w:top w:val="single" w:sz="8" w:color="EEECE1"/>
              <w:right w:val="single" w:sz="8" w:color="EEECE1"/>
            </w:tcBorders>
            <w:shd w:val="clear" w:color="auto" w:fill="EEECE1"/>
          </w:tcPr>
          <w:p>
            <w:pPr>
              <w:spacing w:after="0" w:line="20" w:lineRule="exact"/>
              <w:rPr>
                <w:sz w:val="1"/>
                <w:szCs w:val="1"/>
                <w:color w:val="auto"/>
              </w:rPr>
            </w:pPr>
          </w:p>
        </w:tc>
        <w:tc>
          <w:tcPr>
            <w:tcW w:w="440" w:type="dxa"/>
            <w:vAlign w:val="bottom"/>
            <w:tcBorders>
              <w:top w:val="single" w:sz="8" w:color="EEECE1"/>
              <w:right w:val="single" w:sz="8" w:color="0000FF"/>
            </w:tcBorders>
            <w:shd w:val="clear" w:color="auto" w:fill="EEECE1"/>
          </w:tcPr>
          <w:p>
            <w:pPr>
              <w:spacing w:after="0" w:line="20" w:lineRule="exact"/>
              <w:rPr>
                <w:sz w:val="1"/>
                <w:szCs w:val="1"/>
                <w:color w:val="auto"/>
              </w:rPr>
            </w:pPr>
          </w:p>
        </w:tc>
        <w:tc>
          <w:tcPr>
            <w:tcW w:w="400" w:type="dxa"/>
            <w:vAlign w:val="bottom"/>
            <w:tcBorders>
              <w:top w:val="single" w:sz="8" w:color="EEECE1"/>
              <w:right w:val="single" w:sz="8" w:color="EEECE1"/>
            </w:tcBorders>
            <w:shd w:val="clear" w:color="auto" w:fill="0000FF"/>
          </w:tcPr>
          <w:p>
            <w:pPr>
              <w:spacing w:after="0" w:line="20" w:lineRule="exact"/>
              <w:rPr>
                <w:sz w:val="1"/>
                <w:szCs w:val="1"/>
                <w:color w:val="auto"/>
              </w:rPr>
            </w:pPr>
          </w:p>
        </w:tc>
        <w:tc>
          <w:tcPr>
            <w:tcW w:w="360" w:type="dxa"/>
            <w:vAlign w:val="bottom"/>
            <w:tcBorders>
              <w:top w:val="single" w:sz="8" w:color="EEECE1"/>
              <w:right w:val="single" w:sz="8" w:color="010101"/>
            </w:tcBorders>
            <w:shd w:val="clear" w:color="auto" w:fill="EEEC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00" w:type="dxa"/>
            <w:vAlign w:val="bottom"/>
            <w:tcBorders>
              <w:left w:val="single" w:sz="8" w:color="010101"/>
            </w:tcBorders>
            <w:shd w:val="clear" w:color="auto" w:fill="EEECE1"/>
          </w:tcPr>
          <w:p>
            <w:pPr>
              <w:spacing w:after="0"/>
              <w:rPr>
                <w:sz w:val="4"/>
                <w:szCs w:val="4"/>
                <w:color w:val="auto"/>
              </w:rPr>
            </w:pPr>
          </w:p>
        </w:tc>
        <w:tc>
          <w:tcPr>
            <w:tcW w:w="20" w:type="dxa"/>
            <w:vAlign w:val="bottom"/>
            <w:shd w:val="clear" w:color="auto" w:fill="EEECE1"/>
          </w:tcPr>
          <w:p>
            <w:pPr>
              <w:spacing w:after="0"/>
              <w:rPr>
                <w:sz w:val="4"/>
                <w:szCs w:val="4"/>
                <w:color w:val="auto"/>
              </w:rPr>
            </w:pPr>
          </w:p>
        </w:tc>
        <w:tc>
          <w:tcPr>
            <w:tcW w:w="1460" w:type="dxa"/>
            <w:vAlign w:val="bottom"/>
            <w:gridSpan w:val="2"/>
            <w:vMerge w:val="continue"/>
            <w:shd w:val="clear" w:color="auto" w:fill="EEECE1"/>
          </w:tcPr>
          <w:p>
            <w:pPr>
              <w:spacing w:after="0"/>
              <w:rPr>
                <w:sz w:val="4"/>
                <w:szCs w:val="4"/>
                <w:color w:val="auto"/>
              </w:rPr>
            </w:pPr>
          </w:p>
        </w:tc>
        <w:tc>
          <w:tcPr>
            <w:tcW w:w="40" w:type="dxa"/>
            <w:vAlign w:val="bottom"/>
            <w:shd w:val="clear" w:color="auto" w:fill="EEECE1"/>
          </w:tcPr>
          <w:p>
            <w:pPr>
              <w:spacing w:after="0"/>
              <w:rPr>
                <w:sz w:val="4"/>
                <w:szCs w:val="4"/>
                <w:color w:val="auto"/>
              </w:rPr>
            </w:pPr>
          </w:p>
        </w:tc>
        <w:tc>
          <w:tcPr>
            <w:tcW w:w="420" w:type="dxa"/>
            <w:vAlign w:val="bottom"/>
            <w:vMerge w:val="continue"/>
            <w:shd w:val="clear" w:color="auto" w:fill="EEECE1"/>
          </w:tcPr>
          <w:p>
            <w:pPr>
              <w:spacing w:after="0"/>
              <w:rPr>
                <w:sz w:val="4"/>
                <w:szCs w:val="4"/>
                <w:color w:val="auto"/>
              </w:rPr>
            </w:pPr>
          </w:p>
        </w:tc>
        <w:tc>
          <w:tcPr>
            <w:tcW w:w="200" w:type="dxa"/>
            <w:vAlign w:val="bottom"/>
            <w:tcBorders>
              <w:right w:val="single" w:sz="8" w:color="010101"/>
            </w:tcBorders>
            <w:shd w:val="clear" w:color="auto" w:fill="EEECE1"/>
          </w:tcPr>
          <w:p>
            <w:pPr>
              <w:spacing w:after="0"/>
              <w:rPr>
                <w:sz w:val="4"/>
                <w:szCs w:val="4"/>
                <w:color w:val="auto"/>
              </w:rPr>
            </w:pPr>
          </w:p>
        </w:tc>
        <w:tc>
          <w:tcPr>
            <w:tcW w:w="120" w:type="dxa"/>
            <w:vAlign w:val="bottom"/>
            <w:shd w:val="clear" w:color="auto" w:fill="EEECE1"/>
          </w:tcPr>
          <w:p>
            <w:pPr>
              <w:spacing w:after="0"/>
              <w:rPr>
                <w:sz w:val="4"/>
                <w:szCs w:val="4"/>
                <w:color w:val="auto"/>
              </w:rPr>
            </w:pPr>
          </w:p>
        </w:tc>
        <w:tc>
          <w:tcPr>
            <w:tcW w:w="80" w:type="dxa"/>
            <w:vAlign w:val="bottom"/>
            <w:shd w:val="clear" w:color="auto" w:fill="EEECE1"/>
          </w:tcPr>
          <w:p>
            <w:pPr>
              <w:spacing w:after="0"/>
              <w:rPr>
                <w:sz w:val="4"/>
                <w:szCs w:val="4"/>
                <w:color w:val="auto"/>
              </w:rPr>
            </w:pPr>
          </w:p>
        </w:tc>
        <w:tc>
          <w:tcPr>
            <w:tcW w:w="1240" w:type="dxa"/>
            <w:vAlign w:val="bottom"/>
            <w:vMerge w:val="continue"/>
            <w:shd w:val="clear" w:color="auto" w:fill="EEECE1"/>
          </w:tcPr>
          <w:p>
            <w:pPr>
              <w:spacing w:after="0"/>
              <w:rPr>
                <w:sz w:val="4"/>
                <w:szCs w:val="4"/>
                <w:color w:val="auto"/>
              </w:rPr>
            </w:pPr>
          </w:p>
        </w:tc>
        <w:tc>
          <w:tcPr>
            <w:tcW w:w="80" w:type="dxa"/>
            <w:vAlign w:val="bottom"/>
            <w:shd w:val="clear" w:color="auto" w:fill="EEECE1"/>
          </w:tcPr>
          <w:p>
            <w:pPr>
              <w:spacing w:after="0"/>
              <w:rPr>
                <w:sz w:val="4"/>
                <w:szCs w:val="4"/>
                <w:color w:val="auto"/>
              </w:rPr>
            </w:pPr>
          </w:p>
        </w:tc>
        <w:tc>
          <w:tcPr>
            <w:tcW w:w="420" w:type="dxa"/>
            <w:vAlign w:val="bottom"/>
            <w:tcBorders>
              <w:right w:val="single" w:sz="8" w:color="010101"/>
            </w:tcBorders>
            <w:shd w:val="clear" w:color="auto" w:fill="EEECE1"/>
          </w:tcPr>
          <w:p>
            <w:pPr>
              <w:spacing w:after="0"/>
              <w:rPr>
                <w:sz w:val="4"/>
                <w:szCs w:val="4"/>
                <w:color w:val="auto"/>
              </w:rPr>
            </w:pPr>
          </w:p>
        </w:tc>
        <w:tc>
          <w:tcPr>
            <w:tcW w:w="120" w:type="dxa"/>
            <w:vAlign w:val="bottom"/>
            <w:vMerge w:val="continue"/>
            <w:shd w:val="clear" w:color="auto" w:fill="EEECE1"/>
          </w:tcPr>
          <w:p>
            <w:pPr>
              <w:spacing w:after="0"/>
              <w:rPr>
                <w:sz w:val="4"/>
                <w:szCs w:val="4"/>
                <w:color w:val="auto"/>
              </w:rPr>
            </w:pPr>
          </w:p>
        </w:tc>
        <w:tc>
          <w:tcPr>
            <w:tcW w:w="40" w:type="dxa"/>
            <w:vAlign w:val="bottom"/>
            <w:vMerge w:val="continue"/>
            <w:shd w:val="clear" w:color="auto" w:fill="EEECE1"/>
          </w:tcPr>
          <w:p>
            <w:pPr>
              <w:spacing w:after="0"/>
              <w:rPr>
                <w:sz w:val="4"/>
                <w:szCs w:val="4"/>
                <w:color w:val="auto"/>
              </w:rPr>
            </w:pPr>
          </w:p>
        </w:tc>
        <w:tc>
          <w:tcPr>
            <w:tcW w:w="500" w:type="dxa"/>
            <w:vAlign w:val="bottom"/>
            <w:gridSpan w:val="2"/>
            <w:vMerge w:val="continue"/>
            <w:shd w:val="clear" w:color="auto" w:fill="EEECE1"/>
          </w:tcPr>
          <w:p>
            <w:pPr>
              <w:spacing w:after="0"/>
              <w:rPr>
                <w:sz w:val="4"/>
                <w:szCs w:val="4"/>
                <w:color w:val="auto"/>
              </w:rPr>
            </w:pPr>
          </w:p>
        </w:tc>
        <w:tc>
          <w:tcPr>
            <w:tcW w:w="720" w:type="dxa"/>
            <w:vAlign w:val="bottom"/>
            <w:vMerge w:val="continue"/>
            <w:shd w:val="clear" w:color="auto" w:fill="EEECE1"/>
          </w:tcPr>
          <w:p>
            <w:pPr>
              <w:spacing w:after="0"/>
              <w:rPr>
                <w:sz w:val="4"/>
                <w:szCs w:val="4"/>
                <w:color w:val="auto"/>
              </w:rPr>
            </w:pPr>
          </w:p>
        </w:tc>
        <w:tc>
          <w:tcPr>
            <w:tcW w:w="580" w:type="dxa"/>
            <w:vAlign w:val="bottom"/>
            <w:tcBorders>
              <w:right w:val="single" w:sz="8" w:color="010101"/>
            </w:tcBorders>
            <w:gridSpan w:val="3"/>
            <w:vMerge w:val="continue"/>
            <w:shd w:val="clear" w:color="auto" w:fill="EEECE1"/>
          </w:tcPr>
          <w:p>
            <w:pPr>
              <w:spacing w:after="0"/>
              <w:rPr>
                <w:sz w:val="4"/>
                <w:szCs w:val="4"/>
                <w:color w:val="auto"/>
              </w:rPr>
            </w:pPr>
          </w:p>
        </w:tc>
        <w:tc>
          <w:tcPr>
            <w:tcW w:w="160" w:type="dxa"/>
            <w:vAlign w:val="bottom"/>
            <w:shd w:val="clear" w:color="auto" w:fill="EEECE1"/>
          </w:tcPr>
          <w:p>
            <w:pPr>
              <w:spacing w:after="0"/>
              <w:rPr>
                <w:sz w:val="4"/>
                <w:szCs w:val="4"/>
                <w:color w:val="auto"/>
              </w:rPr>
            </w:pPr>
          </w:p>
        </w:tc>
        <w:tc>
          <w:tcPr>
            <w:tcW w:w="500" w:type="dxa"/>
            <w:vAlign w:val="bottom"/>
            <w:gridSpan w:val="2"/>
            <w:vMerge w:val="continue"/>
            <w:shd w:val="clear" w:color="auto" w:fill="EEECE1"/>
          </w:tcPr>
          <w:p>
            <w:pPr>
              <w:spacing w:after="0"/>
              <w:rPr>
                <w:sz w:val="4"/>
                <w:szCs w:val="4"/>
                <w:color w:val="auto"/>
              </w:rPr>
            </w:pPr>
          </w:p>
        </w:tc>
        <w:tc>
          <w:tcPr>
            <w:tcW w:w="1080" w:type="dxa"/>
            <w:vAlign w:val="bottom"/>
            <w:gridSpan w:val="3"/>
            <w:vMerge w:val="continue"/>
            <w:shd w:val="clear" w:color="auto" w:fill="EEECE1"/>
          </w:tcPr>
          <w:p>
            <w:pPr>
              <w:spacing w:after="0"/>
              <w:rPr>
                <w:sz w:val="4"/>
                <w:szCs w:val="4"/>
                <w:color w:val="auto"/>
              </w:rPr>
            </w:pPr>
          </w:p>
        </w:tc>
        <w:tc>
          <w:tcPr>
            <w:tcW w:w="20" w:type="dxa"/>
            <w:vAlign w:val="bottom"/>
            <w:shd w:val="clear" w:color="auto" w:fill="EEECE1"/>
          </w:tcPr>
          <w:p>
            <w:pPr>
              <w:spacing w:after="0"/>
              <w:rPr>
                <w:sz w:val="4"/>
                <w:szCs w:val="4"/>
                <w:color w:val="auto"/>
              </w:rPr>
            </w:pPr>
          </w:p>
        </w:tc>
        <w:tc>
          <w:tcPr>
            <w:tcW w:w="160" w:type="dxa"/>
            <w:vAlign w:val="bottom"/>
            <w:tcBorders>
              <w:right w:val="single" w:sz="8" w:color="010101"/>
            </w:tcBorders>
            <w:shd w:val="clear" w:color="auto" w:fill="EEECE1"/>
          </w:tcPr>
          <w:p>
            <w:pPr>
              <w:spacing w:after="0"/>
              <w:rPr>
                <w:sz w:val="4"/>
                <w:szCs w:val="4"/>
                <w:color w:val="auto"/>
              </w:rPr>
            </w:pPr>
          </w:p>
        </w:tc>
        <w:tc>
          <w:tcPr>
            <w:tcW w:w="1940" w:type="dxa"/>
            <w:vAlign w:val="bottom"/>
            <w:tcBorders>
              <w:right w:val="single" w:sz="8" w:color="010101"/>
            </w:tcBorders>
            <w:gridSpan w:val="5"/>
            <w:vMerge w:val="restart"/>
            <w:shd w:val="clear" w:color="auto" w:fill="EEECE1"/>
          </w:tcPr>
          <w:p>
            <w:pPr>
              <w:ind w:left="280"/>
              <w:spacing w:after="0" w:line="156" w:lineRule="exact"/>
              <w:rPr>
                <w:sz w:val="20"/>
                <w:szCs w:val="20"/>
                <w:color w:val="auto"/>
              </w:rPr>
            </w:pPr>
            <w:r>
              <w:rPr>
                <w:rFonts w:ascii="Arial" w:cs="Arial" w:eastAsia="Arial" w:hAnsi="Arial"/>
                <w:sz w:val="18"/>
                <w:szCs w:val="18"/>
                <w:color w:val="0000FF"/>
              </w:rPr>
              <w:t xml:space="preserve">SOFR </w:t>
            </w:r>
            <w:r>
              <w:rPr>
                <w:rFonts w:ascii="Arial" w:cs="Arial" w:eastAsia="Arial" w:hAnsi="Arial"/>
                <w:sz w:val="18"/>
                <w:szCs w:val="18"/>
                <w:color w:val="000000"/>
              </w:rPr>
              <w:t>Spread for</w:t>
            </w:r>
          </w:p>
        </w:tc>
        <w:tc>
          <w:tcPr>
            <w:tcW w:w="0" w:type="dxa"/>
            <w:vAlign w:val="bottom"/>
          </w:tcPr>
          <w:p>
            <w:pPr>
              <w:spacing w:after="0"/>
              <w:rPr>
                <w:sz w:val="1"/>
                <w:szCs w:val="1"/>
                <w:color w:val="auto"/>
              </w:rPr>
            </w:pPr>
          </w:p>
        </w:tc>
      </w:tr>
      <w:tr>
        <w:trPr>
          <w:trHeight w:val="20"/>
        </w:trPr>
        <w:tc>
          <w:tcPr>
            <w:tcW w:w="100" w:type="dxa"/>
            <w:vAlign w:val="bottom"/>
            <w:tcBorders>
              <w:left w:val="single" w:sz="8" w:color="010101"/>
            </w:tcBorders>
            <w:shd w:val="clear" w:color="auto" w:fill="EEECE1"/>
          </w:tcPr>
          <w:p>
            <w:pPr>
              <w:spacing w:after="0" w:line="20" w:lineRule="exact"/>
              <w:rPr>
                <w:sz w:val="1"/>
                <w:szCs w:val="1"/>
                <w:color w:val="auto"/>
              </w:rPr>
            </w:pPr>
          </w:p>
        </w:tc>
        <w:tc>
          <w:tcPr>
            <w:tcW w:w="20" w:type="dxa"/>
            <w:vAlign w:val="bottom"/>
            <w:shd w:val="clear" w:color="auto" w:fill="EEECE1"/>
          </w:tcPr>
          <w:p>
            <w:pPr>
              <w:spacing w:after="0" w:line="20" w:lineRule="exact"/>
              <w:rPr>
                <w:sz w:val="1"/>
                <w:szCs w:val="1"/>
                <w:color w:val="auto"/>
              </w:rPr>
            </w:pPr>
          </w:p>
        </w:tc>
        <w:tc>
          <w:tcPr>
            <w:tcW w:w="1460" w:type="dxa"/>
            <w:vAlign w:val="bottom"/>
            <w:gridSpan w:val="2"/>
            <w:vMerge w:val="continue"/>
            <w:shd w:val="clear" w:color="auto" w:fill="EEECE1"/>
          </w:tcPr>
          <w:p>
            <w:pPr>
              <w:spacing w:after="0" w:line="20" w:lineRule="exact"/>
              <w:rPr>
                <w:sz w:val="1"/>
                <w:szCs w:val="1"/>
                <w:color w:val="auto"/>
              </w:rPr>
            </w:pPr>
          </w:p>
        </w:tc>
        <w:tc>
          <w:tcPr>
            <w:tcW w:w="40" w:type="dxa"/>
            <w:vAlign w:val="bottom"/>
            <w:shd w:val="clear" w:color="auto" w:fill="EEECE1"/>
          </w:tcPr>
          <w:p>
            <w:pPr>
              <w:spacing w:after="0" w:line="20" w:lineRule="exact"/>
              <w:rPr>
                <w:sz w:val="1"/>
                <w:szCs w:val="1"/>
                <w:color w:val="auto"/>
              </w:rPr>
            </w:pPr>
          </w:p>
        </w:tc>
        <w:tc>
          <w:tcPr>
            <w:tcW w:w="420" w:type="dxa"/>
            <w:vAlign w:val="bottom"/>
            <w:vMerge w:val="continue"/>
            <w:shd w:val="clear" w:color="auto" w:fill="EEECE1"/>
          </w:tcPr>
          <w:p>
            <w:pPr>
              <w:spacing w:after="0" w:line="20" w:lineRule="exact"/>
              <w:rPr>
                <w:sz w:val="1"/>
                <w:szCs w:val="1"/>
                <w:color w:val="auto"/>
              </w:rPr>
            </w:pPr>
          </w:p>
        </w:tc>
        <w:tc>
          <w:tcPr>
            <w:tcW w:w="200" w:type="dxa"/>
            <w:vAlign w:val="bottom"/>
            <w:tcBorders>
              <w:right w:val="single" w:sz="8" w:color="010101"/>
            </w:tcBorders>
            <w:shd w:val="clear" w:color="auto" w:fill="EEECE1"/>
          </w:tcPr>
          <w:p>
            <w:pPr>
              <w:spacing w:after="0" w:line="20" w:lineRule="exact"/>
              <w:rPr>
                <w:sz w:val="1"/>
                <w:szCs w:val="1"/>
                <w:color w:val="auto"/>
              </w:rPr>
            </w:pPr>
          </w:p>
        </w:tc>
        <w:tc>
          <w:tcPr>
            <w:tcW w:w="120" w:type="dxa"/>
            <w:vAlign w:val="bottom"/>
            <w:shd w:val="clear" w:color="auto" w:fill="EEECE1"/>
          </w:tcPr>
          <w:p>
            <w:pPr>
              <w:spacing w:after="0" w:line="20" w:lineRule="exact"/>
              <w:rPr>
                <w:sz w:val="1"/>
                <w:szCs w:val="1"/>
                <w:color w:val="auto"/>
              </w:rPr>
            </w:pPr>
          </w:p>
        </w:tc>
        <w:tc>
          <w:tcPr>
            <w:tcW w:w="80" w:type="dxa"/>
            <w:vAlign w:val="bottom"/>
            <w:shd w:val="clear" w:color="auto" w:fill="EEECE1"/>
          </w:tcPr>
          <w:p>
            <w:pPr>
              <w:spacing w:after="0" w:line="20" w:lineRule="exact"/>
              <w:rPr>
                <w:sz w:val="1"/>
                <w:szCs w:val="1"/>
                <w:color w:val="auto"/>
              </w:rPr>
            </w:pPr>
          </w:p>
        </w:tc>
        <w:tc>
          <w:tcPr>
            <w:tcW w:w="1240" w:type="dxa"/>
            <w:vAlign w:val="bottom"/>
            <w:vMerge w:val="continue"/>
            <w:shd w:val="clear" w:color="auto" w:fill="EEECE1"/>
          </w:tcPr>
          <w:p>
            <w:pPr>
              <w:spacing w:after="0" w:line="20" w:lineRule="exact"/>
              <w:rPr>
                <w:sz w:val="1"/>
                <w:szCs w:val="1"/>
                <w:color w:val="auto"/>
              </w:rPr>
            </w:pPr>
          </w:p>
        </w:tc>
        <w:tc>
          <w:tcPr>
            <w:tcW w:w="80" w:type="dxa"/>
            <w:vAlign w:val="bottom"/>
            <w:shd w:val="clear" w:color="auto" w:fill="EEECE1"/>
          </w:tcPr>
          <w:p>
            <w:pPr>
              <w:spacing w:after="0" w:line="20" w:lineRule="exact"/>
              <w:rPr>
                <w:sz w:val="1"/>
                <w:szCs w:val="1"/>
                <w:color w:val="auto"/>
              </w:rPr>
            </w:pPr>
          </w:p>
        </w:tc>
        <w:tc>
          <w:tcPr>
            <w:tcW w:w="420" w:type="dxa"/>
            <w:vAlign w:val="bottom"/>
            <w:tcBorders>
              <w:right w:val="single" w:sz="8" w:color="010101"/>
            </w:tcBorders>
            <w:shd w:val="clear" w:color="auto" w:fill="EEECE1"/>
          </w:tcPr>
          <w:p>
            <w:pPr>
              <w:spacing w:after="0" w:line="20" w:lineRule="exact"/>
              <w:rPr>
                <w:sz w:val="1"/>
                <w:szCs w:val="1"/>
                <w:color w:val="auto"/>
              </w:rPr>
            </w:pPr>
          </w:p>
        </w:tc>
        <w:tc>
          <w:tcPr>
            <w:tcW w:w="120" w:type="dxa"/>
            <w:vAlign w:val="bottom"/>
            <w:shd w:val="clear" w:color="auto" w:fill="EEECE1"/>
          </w:tcPr>
          <w:p>
            <w:pPr>
              <w:spacing w:after="0" w:line="20" w:lineRule="exact"/>
              <w:rPr>
                <w:sz w:val="1"/>
                <w:szCs w:val="1"/>
                <w:color w:val="auto"/>
              </w:rPr>
            </w:pPr>
          </w:p>
        </w:tc>
        <w:tc>
          <w:tcPr>
            <w:tcW w:w="40" w:type="dxa"/>
            <w:vAlign w:val="bottom"/>
            <w:shd w:val="clear" w:color="auto" w:fill="EEECE1"/>
          </w:tcPr>
          <w:p>
            <w:pPr>
              <w:spacing w:after="0" w:line="20" w:lineRule="exact"/>
              <w:rPr>
                <w:sz w:val="1"/>
                <w:szCs w:val="1"/>
                <w:color w:val="auto"/>
              </w:rPr>
            </w:pPr>
          </w:p>
        </w:tc>
        <w:tc>
          <w:tcPr>
            <w:tcW w:w="440" w:type="dxa"/>
            <w:vAlign w:val="bottom"/>
            <w:shd w:val="clear" w:color="auto" w:fill="EEECE1"/>
          </w:tcPr>
          <w:p>
            <w:pPr>
              <w:spacing w:after="0" w:line="20" w:lineRule="exact"/>
              <w:rPr>
                <w:sz w:val="1"/>
                <w:szCs w:val="1"/>
                <w:color w:val="auto"/>
              </w:rPr>
            </w:pPr>
          </w:p>
        </w:tc>
        <w:tc>
          <w:tcPr>
            <w:tcW w:w="60" w:type="dxa"/>
            <w:vAlign w:val="bottom"/>
            <w:shd w:val="clear" w:color="auto" w:fill="EEECE1"/>
          </w:tcPr>
          <w:p>
            <w:pPr>
              <w:spacing w:after="0" w:line="20" w:lineRule="exact"/>
              <w:rPr>
                <w:sz w:val="1"/>
                <w:szCs w:val="1"/>
                <w:color w:val="auto"/>
              </w:rPr>
            </w:pPr>
          </w:p>
        </w:tc>
        <w:tc>
          <w:tcPr>
            <w:tcW w:w="720" w:type="dxa"/>
            <w:vAlign w:val="bottom"/>
            <w:shd w:val="clear" w:color="auto" w:fill="EEECE1"/>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10101"/>
            </w:tcBorders>
            <w:shd w:val="clear" w:color="auto" w:fill="EEECE1"/>
          </w:tcPr>
          <w:p>
            <w:pPr>
              <w:spacing w:after="0" w:line="20" w:lineRule="exact"/>
              <w:rPr>
                <w:sz w:val="1"/>
                <w:szCs w:val="1"/>
                <w:color w:val="auto"/>
              </w:rPr>
            </w:pPr>
          </w:p>
        </w:tc>
        <w:tc>
          <w:tcPr>
            <w:tcW w:w="160" w:type="dxa"/>
            <w:vAlign w:val="bottom"/>
            <w:vMerge w:val="restart"/>
            <w:shd w:val="clear" w:color="auto" w:fill="EEECE1"/>
          </w:tcPr>
          <w:p>
            <w:pPr>
              <w:spacing w:after="0" w:line="20" w:lineRule="exact"/>
              <w:rPr>
                <w:sz w:val="1"/>
                <w:szCs w:val="1"/>
                <w:color w:val="auto"/>
              </w:rPr>
            </w:pPr>
          </w:p>
        </w:tc>
        <w:tc>
          <w:tcPr>
            <w:tcW w:w="500" w:type="dxa"/>
            <w:vAlign w:val="bottom"/>
            <w:gridSpan w:val="2"/>
            <w:vMerge w:val="continue"/>
            <w:shd w:val="clear" w:color="auto" w:fill="EEECE1"/>
          </w:tcPr>
          <w:p>
            <w:pPr>
              <w:spacing w:after="0" w:line="20" w:lineRule="exact"/>
              <w:rPr>
                <w:sz w:val="1"/>
                <w:szCs w:val="1"/>
                <w:color w:val="auto"/>
              </w:rPr>
            </w:pPr>
          </w:p>
        </w:tc>
        <w:tc>
          <w:tcPr>
            <w:tcW w:w="1080" w:type="dxa"/>
            <w:vAlign w:val="bottom"/>
            <w:gridSpan w:val="3"/>
            <w:vMerge w:val="continue"/>
            <w:shd w:val="clear" w:color="auto" w:fill="EEECE1"/>
          </w:tcPr>
          <w:p>
            <w:pPr>
              <w:spacing w:after="0" w:line="20" w:lineRule="exact"/>
              <w:rPr>
                <w:sz w:val="1"/>
                <w:szCs w:val="1"/>
                <w:color w:val="auto"/>
              </w:rPr>
            </w:pPr>
          </w:p>
        </w:tc>
        <w:tc>
          <w:tcPr>
            <w:tcW w:w="180" w:type="dxa"/>
            <w:vAlign w:val="bottom"/>
            <w:tcBorders>
              <w:right w:val="single" w:sz="8" w:color="010101"/>
            </w:tcBorders>
            <w:gridSpan w:val="2"/>
            <w:vMerge w:val="restart"/>
            <w:shd w:val="clear" w:color="auto" w:fill="EEECE1"/>
          </w:tcPr>
          <w:p>
            <w:pPr>
              <w:spacing w:after="0" w:line="20" w:lineRule="exact"/>
              <w:rPr>
                <w:sz w:val="1"/>
                <w:szCs w:val="1"/>
                <w:color w:val="auto"/>
              </w:rPr>
            </w:pPr>
          </w:p>
        </w:tc>
        <w:tc>
          <w:tcPr>
            <w:tcW w:w="1940" w:type="dxa"/>
            <w:vAlign w:val="bottom"/>
            <w:tcBorders>
              <w:right w:val="single" w:sz="8" w:color="010101"/>
            </w:tcBorders>
            <w:gridSpan w:val="5"/>
            <w:vMerge w:val="continue"/>
            <w:shd w:val="clear" w:color="auto" w:fill="EEEC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00" w:type="dxa"/>
            <w:vAlign w:val="bottom"/>
            <w:tcBorders>
              <w:left w:val="single" w:sz="8" w:color="010101"/>
              <w:bottom w:val="single" w:sz="8" w:color="EEECE1"/>
            </w:tcBorders>
            <w:shd w:val="clear" w:color="auto" w:fill="EEECE1"/>
          </w:tcPr>
          <w:p>
            <w:pPr>
              <w:spacing w:after="0"/>
              <w:rPr>
                <w:sz w:val="8"/>
                <w:szCs w:val="8"/>
                <w:color w:val="auto"/>
              </w:rPr>
            </w:pPr>
          </w:p>
        </w:tc>
        <w:tc>
          <w:tcPr>
            <w:tcW w:w="20" w:type="dxa"/>
            <w:vAlign w:val="bottom"/>
            <w:tcBorders>
              <w:bottom w:val="single" w:sz="8" w:color="EEECE1"/>
            </w:tcBorders>
            <w:shd w:val="clear" w:color="auto" w:fill="EEECE1"/>
          </w:tcPr>
          <w:p>
            <w:pPr>
              <w:spacing w:after="0"/>
              <w:rPr>
                <w:sz w:val="8"/>
                <w:szCs w:val="8"/>
                <w:color w:val="auto"/>
              </w:rPr>
            </w:pPr>
          </w:p>
        </w:tc>
        <w:tc>
          <w:tcPr>
            <w:tcW w:w="1460" w:type="dxa"/>
            <w:vAlign w:val="bottom"/>
            <w:tcBorders>
              <w:bottom w:val="single" w:sz="8" w:color="auto"/>
            </w:tcBorders>
            <w:gridSpan w:val="2"/>
            <w:vMerge w:val="continue"/>
            <w:shd w:val="clear" w:color="auto" w:fill="EEECE1"/>
          </w:tcPr>
          <w:p>
            <w:pPr>
              <w:spacing w:after="0"/>
              <w:rPr>
                <w:sz w:val="8"/>
                <w:szCs w:val="8"/>
                <w:color w:val="auto"/>
              </w:rPr>
            </w:pPr>
          </w:p>
        </w:tc>
        <w:tc>
          <w:tcPr>
            <w:tcW w:w="40" w:type="dxa"/>
            <w:vAlign w:val="bottom"/>
            <w:tcBorders>
              <w:bottom w:val="single" w:sz="8" w:color="EEECE1"/>
            </w:tcBorders>
            <w:shd w:val="clear" w:color="auto" w:fill="EEECE1"/>
          </w:tcPr>
          <w:p>
            <w:pPr>
              <w:spacing w:after="0"/>
              <w:rPr>
                <w:sz w:val="8"/>
                <w:szCs w:val="8"/>
                <w:color w:val="auto"/>
              </w:rPr>
            </w:pPr>
          </w:p>
        </w:tc>
        <w:tc>
          <w:tcPr>
            <w:tcW w:w="420" w:type="dxa"/>
            <w:vAlign w:val="bottom"/>
            <w:tcBorders>
              <w:bottom w:val="single" w:sz="8" w:color="auto"/>
            </w:tcBorders>
            <w:vMerge w:val="continue"/>
            <w:shd w:val="clear" w:color="auto" w:fill="EEECE1"/>
          </w:tcPr>
          <w:p>
            <w:pPr>
              <w:spacing w:after="0"/>
              <w:rPr>
                <w:sz w:val="8"/>
                <w:szCs w:val="8"/>
                <w:color w:val="auto"/>
              </w:rPr>
            </w:pPr>
          </w:p>
        </w:tc>
        <w:tc>
          <w:tcPr>
            <w:tcW w:w="200" w:type="dxa"/>
            <w:vAlign w:val="bottom"/>
            <w:tcBorders>
              <w:bottom w:val="single" w:sz="8" w:color="EEECE1"/>
              <w:right w:val="single" w:sz="8" w:color="010101"/>
            </w:tcBorders>
            <w:shd w:val="clear" w:color="auto" w:fill="EEECE1"/>
          </w:tcPr>
          <w:p>
            <w:pPr>
              <w:spacing w:after="0"/>
              <w:rPr>
                <w:sz w:val="8"/>
                <w:szCs w:val="8"/>
                <w:color w:val="auto"/>
              </w:rPr>
            </w:pPr>
          </w:p>
        </w:tc>
        <w:tc>
          <w:tcPr>
            <w:tcW w:w="120" w:type="dxa"/>
            <w:vAlign w:val="bottom"/>
            <w:tcBorders>
              <w:bottom w:val="single" w:sz="8" w:color="EEECE1"/>
            </w:tcBorders>
            <w:shd w:val="clear" w:color="auto" w:fill="EEECE1"/>
          </w:tcPr>
          <w:p>
            <w:pPr>
              <w:spacing w:after="0"/>
              <w:rPr>
                <w:sz w:val="8"/>
                <w:szCs w:val="8"/>
                <w:color w:val="auto"/>
              </w:rPr>
            </w:pPr>
          </w:p>
        </w:tc>
        <w:tc>
          <w:tcPr>
            <w:tcW w:w="80" w:type="dxa"/>
            <w:vAlign w:val="bottom"/>
            <w:tcBorders>
              <w:bottom w:val="single" w:sz="8" w:color="EEECE1"/>
            </w:tcBorders>
            <w:shd w:val="clear" w:color="auto" w:fill="EEECE1"/>
          </w:tcPr>
          <w:p>
            <w:pPr>
              <w:spacing w:after="0"/>
              <w:rPr>
                <w:sz w:val="8"/>
                <w:szCs w:val="8"/>
                <w:color w:val="auto"/>
              </w:rPr>
            </w:pPr>
          </w:p>
        </w:tc>
        <w:tc>
          <w:tcPr>
            <w:tcW w:w="1240" w:type="dxa"/>
            <w:vAlign w:val="bottom"/>
            <w:tcBorders>
              <w:bottom w:val="single" w:sz="8" w:color="auto"/>
            </w:tcBorders>
            <w:vMerge w:val="continue"/>
            <w:shd w:val="clear" w:color="auto" w:fill="EEECE1"/>
          </w:tcPr>
          <w:p>
            <w:pPr>
              <w:spacing w:after="0"/>
              <w:rPr>
                <w:sz w:val="8"/>
                <w:szCs w:val="8"/>
                <w:color w:val="auto"/>
              </w:rPr>
            </w:pPr>
          </w:p>
        </w:tc>
        <w:tc>
          <w:tcPr>
            <w:tcW w:w="80" w:type="dxa"/>
            <w:vAlign w:val="bottom"/>
            <w:tcBorders>
              <w:bottom w:val="single" w:sz="8" w:color="EEECE1"/>
            </w:tcBorders>
            <w:shd w:val="clear" w:color="auto" w:fill="EEECE1"/>
          </w:tcPr>
          <w:p>
            <w:pPr>
              <w:spacing w:after="0"/>
              <w:rPr>
                <w:sz w:val="8"/>
                <w:szCs w:val="8"/>
                <w:color w:val="auto"/>
              </w:rPr>
            </w:pPr>
          </w:p>
        </w:tc>
        <w:tc>
          <w:tcPr>
            <w:tcW w:w="420" w:type="dxa"/>
            <w:vAlign w:val="bottom"/>
            <w:tcBorders>
              <w:bottom w:val="single" w:sz="8" w:color="EEECE1"/>
              <w:right w:val="single" w:sz="8" w:color="010101"/>
            </w:tcBorders>
            <w:shd w:val="clear" w:color="auto" w:fill="EEECE1"/>
          </w:tcPr>
          <w:p>
            <w:pPr>
              <w:spacing w:after="0"/>
              <w:rPr>
                <w:sz w:val="8"/>
                <w:szCs w:val="8"/>
                <w:color w:val="auto"/>
              </w:rPr>
            </w:pPr>
          </w:p>
        </w:tc>
        <w:tc>
          <w:tcPr>
            <w:tcW w:w="120" w:type="dxa"/>
            <w:vAlign w:val="bottom"/>
            <w:tcBorders>
              <w:bottom w:val="single" w:sz="8" w:color="EEECE1"/>
            </w:tcBorders>
            <w:vMerge w:val="restart"/>
            <w:shd w:val="clear" w:color="auto" w:fill="EEECE1"/>
          </w:tcPr>
          <w:p>
            <w:pPr>
              <w:spacing w:after="0"/>
              <w:rPr>
                <w:sz w:val="8"/>
                <w:szCs w:val="8"/>
                <w:color w:val="auto"/>
              </w:rPr>
            </w:pPr>
          </w:p>
        </w:tc>
        <w:tc>
          <w:tcPr>
            <w:tcW w:w="480" w:type="dxa"/>
            <w:vAlign w:val="bottom"/>
            <w:tcBorders>
              <w:bottom w:val="single" w:sz="8" w:color="EEECE1"/>
            </w:tcBorders>
            <w:gridSpan w:val="2"/>
            <w:vMerge w:val="restart"/>
            <w:shd w:val="clear" w:color="auto" w:fill="EEECE1"/>
          </w:tcPr>
          <w:p>
            <w:pPr>
              <w:jc w:val="right"/>
              <w:spacing w:after="0" w:line="183" w:lineRule="exact"/>
              <w:rPr>
                <w:sz w:val="20"/>
                <w:szCs w:val="20"/>
                <w:color w:val="auto"/>
              </w:rPr>
            </w:pPr>
            <w:r>
              <w:rPr>
                <w:rFonts w:ascii="Arial" w:cs="Arial" w:eastAsia="Arial" w:hAnsi="Arial"/>
                <w:sz w:val="19"/>
                <w:szCs w:val="19"/>
                <w:color w:val="0000FF"/>
                <w:w w:val="87"/>
              </w:rPr>
              <w:t>SOFR</w:t>
            </w:r>
          </w:p>
        </w:tc>
        <w:tc>
          <w:tcPr>
            <w:tcW w:w="60" w:type="dxa"/>
            <w:vAlign w:val="bottom"/>
            <w:tcBorders>
              <w:bottom w:val="single" w:sz="8" w:color="EEECE1"/>
            </w:tcBorders>
            <w:vMerge w:val="restart"/>
            <w:shd w:val="clear" w:color="auto" w:fill="EEECE1"/>
          </w:tcPr>
          <w:p>
            <w:pPr>
              <w:spacing w:after="0"/>
              <w:rPr>
                <w:sz w:val="8"/>
                <w:szCs w:val="8"/>
                <w:color w:val="auto"/>
              </w:rPr>
            </w:pPr>
          </w:p>
        </w:tc>
        <w:tc>
          <w:tcPr>
            <w:tcW w:w="1300" w:type="dxa"/>
            <w:vAlign w:val="bottom"/>
            <w:tcBorders>
              <w:bottom w:val="single" w:sz="8" w:color="EEECE1"/>
              <w:right w:val="single" w:sz="8" w:color="010101"/>
            </w:tcBorders>
            <w:gridSpan w:val="4"/>
            <w:vMerge w:val="restart"/>
            <w:shd w:val="clear" w:color="auto" w:fill="EEECE1"/>
          </w:tcPr>
          <w:p>
            <w:pPr>
              <w:jc w:val="right"/>
              <w:ind w:right="180"/>
              <w:spacing w:after="0" w:line="183" w:lineRule="exact"/>
              <w:rPr>
                <w:sz w:val="20"/>
                <w:szCs w:val="20"/>
                <w:color w:val="auto"/>
              </w:rPr>
            </w:pPr>
            <w:r>
              <w:rPr>
                <w:rFonts w:ascii="Arial" w:cs="Arial" w:eastAsia="Arial" w:hAnsi="Arial"/>
                <w:sz w:val="19"/>
                <w:szCs w:val="19"/>
                <w:color w:val="auto"/>
              </w:rPr>
              <w:t>Spread   for</w:t>
            </w:r>
          </w:p>
        </w:tc>
        <w:tc>
          <w:tcPr>
            <w:tcW w:w="160" w:type="dxa"/>
            <w:vAlign w:val="bottom"/>
            <w:tcBorders>
              <w:bottom w:val="single" w:sz="8" w:color="EEECE1"/>
            </w:tcBorders>
            <w:vMerge w:val="continue"/>
            <w:shd w:val="clear" w:color="auto" w:fill="EEECE1"/>
          </w:tcPr>
          <w:p>
            <w:pPr>
              <w:spacing w:after="0"/>
              <w:rPr>
                <w:sz w:val="8"/>
                <w:szCs w:val="8"/>
                <w:color w:val="auto"/>
              </w:rPr>
            </w:pPr>
          </w:p>
        </w:tc>
        <w:tc>
          <w:tcPr>
            <w:tcW w:w="500" w:type="dxa"/>
            <w:vAlign w:val="bottom"/>
            <w:tcBorders>
              <w:bottom w:val="single" w:sz="8" w:color="auto"/>
            </w:tcBorders>
            <w:gridSpan w:val="2"/>
            <w:vMerge w:val="continue"/>
            <w:shd w:val="clear" w:color="auto" w:fill="EEECE1"/>
          </w:tcPr>
          <w:p>
            <w:pPr>
              <w:spacing w:after="0"/>
              <w:rPr>
                <w:sz w:val="8"/>
                <w:szCs w:val="8"/>
                <w:color w:val="auto"/>
              </w:rPr>
            </w:pPr>
          </w:p>
        </w:tc>
        <w:tc>
          <w:tcPr>
            <w:tcW w:w="1080" w:type="dxa"/>
            <w:vAlign w:val="bottom"/>
            <w:tcBorders>
              <w:bottom w:val="single" w:sz="8" w:color="auto"/>
            </w:tcBorders>
            <w:gridSpan w:val="3"/>
            <w:vMerge w:val="continue"/>
            <w:shd w:val="clear" w:color="auto" w:fill="EEECE1"/>
          </w:tcPr>
          <w:p>
            <w:pPr>
              <w:spacing w:after="0"/>
              <w:rPr>
                <w:sz w:val="8"/>
                <w:szCs w:val="8"/>
                <w:color w:val="auto"/>
              </w:rPr>
            </w:pPr>
          </w:p>
        </w:tc>
        <w:tc>
          <w:tcPr>
            <w:tcW w:w="180" w:type="dxa"/>
            <w:vAlign w:val="bottom"/>
            <w:tcBorders>
              <w:bottom w:val="single" w:sz="8" w:color="EEECE1"/>
              <w:right w:val="single" w:sz="8" w:color="010101"/>
            </w:tcBorders>
            <w:gridSpan w:val="2"/>
            <w:vMerge w:val="continue"/>
            <w:shd w:val="clear" w:color="auto" w:fill="EEECE1"/>
          </w:tcPr>
          <w:p>
            <w:pPr>
              <w:spacing w:after="0"/>
              <w:rPr>
                <w:sz w:val="8"/>
                <w:szCs w:val="8"/>
                <w:color w:val="auto"/>
              </w:rPr>
            </w:pPr>
          </w:p>
        </w:tc>
        <w:tc>
          <w:tcPr>
            <w:tcW w:w="1940" w:type="dxa"/>
            <w:vAlign w:val="bottom"/>
            <w:tcBorders>
              <w:bottom w:val="single" w:sz="8" w:color="EEECE1"/>
              <w:right w:val="single" w:sz="8" w:color="010101"/>
            </w:tcBorders>
            <w:gridSpan w:val="5"/>
            <w:vMerge w:val="continue"/>
            <w:shd w:val="clear" w:color="auto" w:fill="EEECE1"/>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EEECE1"/>
              <w:left w:val="single" w:sz="8" w:color="010101"/>
            </w:tcBorders>
            <w:shd w:val="clear" w:color="auto" w:fill="EEECE1"/>
          </w:tcPr>
          <w:p>
            <w:pPr>
              <w:spacing w:after="0" w:line="20" w:lineRule="exact"/>
              <w:rPr>
                <w:sz w:val="1"/>
                <w:szCs w:val="1"/>
                <w:color w:val="auto"/>
              </w:rPr>
            </w:pPr>
          </w:p>
        </w:tc>
        <w:tc>
          <w:tcPr>
            <w:tcW w:w="20" w:type="dxa"/>
            <w:vAlign w:val="bottom"/>
            <w:tcBorders>
              <w:top w:val="single" w:sz="8" w:color="EEECE1"/>
            </w:tcBorders>
            <w:shd w:val="clear" w:color="auto" w:fill="EEECE1"/>
          </w:tcPr>
          <w:p>
            <w:pPr>
              <w:spacing w:after="0" w:line="20" w:lineRule="exact"/>
              <w:rPr>
                <w:sz w:val="1"/>
                <w:szCs w:val="1"/>
                <w:color w:val="auto"/>
              </w:rPr>
            </w:pPr>
          </w:p>
        </w:tc>
        <w:tc>
          <w:tcPr>
            <w:tcW w:w="820" w:type="dxa"/>
            <w:vAlign w:val="bottom"/>
            <w:tcBorders>
              <w:top w:val="single" w:sz="8" w:color="EEECE1"/>
            </w:tcBorders>
            <w:shd w:val="clear" w:color="auto" w:fill="EEECE1"/>
          </w:tcPr>
          <w:p>
            <w:pPr>
              <w:spacing w:after="0" w:line="20" w:lineRule="exact"/>
              <w:rPr>
                <w:sz w:val="1"/>
                <w:szCs w:val="1"/>
                <w:color w:val="auto"/>
              </w:rPr>
            </w:pPr>
          </w:p>
        </w:tc>
        <w:tc>
          <w:tcPr>
            <w:tcW w:w="640" w:type="dxa"/>
            <w:vAlign w:val="bottom"/>
            <w:tcBorders>
              <w:top w:val="single" w:sz="8" w:color="EEECE1"/>
            </w:tcBorders>
            <w:shd w:val="clear" w:color="auto" w:fill="EEECE1"/>
          </w:tcPr>
          <w:p>
            <w:pPr>
              <w:spacing w:after="0" w:line="20" w:lineRule="exact"/>
              <w:rPr>
                <w:sz w:val="1"/>
                <w:szCs w:val="1"/>
                <w:color w:val="auto"/>
              </w:rPr>
            </w:pPr>
          </w:p>
        </w:tc>
        <w:tc>
          <w:tcPr>
            <w:tcW w:w="40" w:type="dxa"/>
            <w:vAlign w:val="bottom"/>
            <w:tcBorders>
              <w:top w:val="single" w:sz="8" w:color="EEECE1"/>
            </w:tcBorders>
            <w:shd w:val="clear" w:color="auto" w:fill="EEECE1"/>
          </w:tcPr>
          <w:p>
            <w:pPr>
              <w:spacing w:after="0" w:line="20" w:lineRule="exact"/>
              <w:rPr>
                <w:sz w:val="1"/>
                <w:szCs w:val="1"/>
                <w:color w:val="auto"/>
              </w:rPr>
            </w:pPr>
          </w:p>
        </w:tc>
        <w:tc>
          <w:tcPr>
            <w:tcW w:w="420" w:type="dxa"/>
            <w:vAlign w:val="bottom"/>
            <w:tcBorders>
              <w:top w:val="single" w:sz="8" w:color="EEECE1"/>
            </w:tcBorders>
            <w:shd w:val="clear" w:color="auto" w:fill="EEECE1"/>
          </w:tcPr>
          <w:p>
            <w:pPr>
              <w:spacing w:after="0" w:line="20" w:lineRule="exact"/>
              <w:rPr>
                <w:sz w:val="1"/>
                <w:szCs w:val="1"/>
                <w:color w:val="auto"/>
              </w:rPr>
            </w:pPr>
          </w:p>
        </w:tc>
        <w:tc>
          <w:tcPr>
            <w:tcW w:w="200" w:type="dxa"/>
            <w:vAlign w:val="bottom"/>
            <w:tcBorders>
              <w:top w:val="single" w:sz="8" w:color="EEECE1"/>
              <w:right w:val="single" w:sz="8" w:color="010101"/>
            </w:tcBorders>
            <w:shd w:val="clear" w:color="auto" w:fill="EEECE1"/>
          </w:tcPr>
          <w:p>
            <w:pPr>
              <w:spacing w:after="0" w:line="20" w:lineRule="exact"/>
              <w:rPr>
                <w:sz w:val="1"/>
                <w:szCs w:val="1"/>
                <w:color w:val="auto"/>
              </w:rPr>
            </w:pPr>
          </w:p>
        </w:tc>
        <w:tc>
          <w:tcPr>
            <w:tcW w:w="120" w:type="dxa"/>
            <w:vAlign w:val="bottom"/>
            <w:tcBorders>
              <w:top w:val="single" w:sz="8" w:color="EEECE1"/>
            </w:tcBorders>
            <w:shd w:val="clear" w:color="auto" w:fill="EEECE1"/>
          </w:tcPr>
          <w:p>
            <w:pPr>
              <w:spacing w:after="0" w:line="20" w:lineRule="exact"/>
              <w:rPr>
                <w:sz w:val="1"/>
                <w:szCs w:val="1"/>
                <w:color w:val="auto"/>
              </w:rPr>
            </w:pPr>
          </w:p>
        </w:tc>
        <w:tc>
          <w:tcPr>
            <w:tcW w:w="1400" w:type="dxa"/>
            <w:vAlign w:val="bottom"/>
            <w:tcBorders>
              <w:top w:val="single" w:sz="8" w:color="EEECE1"/>
            </w:tcBorders>
            <w:gridSpan w:val="3"/>
            <w:vMerge w:val="restart"/>
            <w:shd w:val="clear" w:color="auto" w:fill="EEECE1"/>
          </w:tcPr>
          <w:p>
            <w:pPr>
              <w:spacing w:after="0" w:line="136" w:lineRule="exact"/>
              <w:rPr>
                <w:sz w:val="20"/>
                <w:szCs w:val="20"/>
                <w:color w:val="auto"/>
              </w:rPr>
            </w:pPr>
            <w:r>
              <w:rPr>
                <w:rFonts w:ascii="Arial" w:cs="Arial" w:eastAsia="Arial" w:hAnsi="Arial"/>
                <w:sz w:val="15"/>
                <w:szCs w:val="15"/>
                <w:color w:val="auto"/>
              </w:rPr>
              <w:t>Initial Term Loans</w:t>
            </w:r>
          </w:p>
        </w:tc>
        <w:tc>
          <w:tcPr>
            <w:tcW w:w="420" w:type="dxa"/>
            <w:vAlign w:val="bottom"/>
            <w:tcBorders>
              <w:top w:val="single" w:sz="8" w:color="EEECE1"/>
              <w:right w:val="single" w:sz="8" w:color="010101"/>
            </w:tcBorders>
            <w:shd w:val="clear" w:color="auto" w:fill="EEECE1"/>
          </w:tcPr>
          <w:p>
            <w:pPr>
              <w:spacing w:after="0" w:line="20" w:lineRule="exact"/>
              <w:rPr>
                <w:sz w:val="1"/>
                <w:szCs w:val="1"/>
                <w:color w:val="auto"/>
              </w:rPr>
            </w:pPr>
          </w:p>
        </w:tc>
        <w:tc>
          <w:tcPr>
            <w:tcW w:w="120" w:type="dxa"/>
            <w:vAlign w:val="bottom"/>
            <w:tcBorders>
              <w:top w:val="single" w:sz="8" w:color="EEECE1"/>
            </w:tcBorders>
            <w:vMerge w:val="continue"/>
            <w:shd w:val="clear" w:color="auto" w:fill="EEECE1"/>
          </w:tcPr>
          <w:p>
            <w:pPr>
              <w:spacing w:after="0" w:line="20" w:lineRule="exact"/>
              <w:rPr>
                <w:sz w:val="1"/>
                <w:szCs w:val="1"/>
                <w:color w:val="auto"/>
              </w:rPr>
            </w:pPr>
          </w:p>
        </w:tc>
        <w:tc>
          <w:tcPr>
            <w:tcW w:w="480" w:type="dxa"/>
            <w:vAlign w:val="bottom"/>
            <w:tcBorders>
              <w:top w:val="single" w:sz="8" w:color="EEECE1"/>
            </w:tcBorders>
            <w:gridSpan w:val="2"/>
            <w:vMerge w:val="continue"/>
            <w:shd w:val="clear" w:color="auto" w:fill="EEECE1"/>
          </w:tcPr>
          <w:p>
            <w:pPr>
              <w:spacing w:after="0" w:line="20" w:lineRule="exact"/>
              <w:rPr>
                <w:sz w:val="1"/>
                <w:szCs w:val="1"/>
                <w:color w:val="auto"/>
              </w:rPr>
            </w:pPr>
          </w:p>
        </w:tc>
        <w:tc>
          <w:tcPr>
            <w:tcW w:w="60" w:type="dxa"/>
            <w:vAlign w:val="bottom"/>
            <w:tcBorders>
              <w:top w:val="single" w:sz="8" w:color="EEECE1"/>
            </w:tcBorders>
            <w:vMerge w:val="continue"/>
            <w:shd w:val="clear" w:color="auto" w:fill="EEECE1"/>
          </w:tcPr>
          <w:p>
            <w:pPr>
              <w:spacing w:after="0" w:line="20" w:lineRule="exact"/>
              <w:rPr>
                <w:sz w:val="1"/>
                <w:szCs w:val="1"/>
                <w:color w:val="auto"/>
              </w:rPr>
            </w:pPr>
          </w:p>
        </w:tc>
        <w:tc>
          <w:tcPr>
            <w:tcW w:w="1300" w:type="dxa"/>
            <w:vAlign w:val="bottom"/>
            <w:tcBorders>
              <w:top w:val="single" w:sz="8" w:color="EEECE1"/>
              <w:right w:val="single" w:sz="8" w:color="010101"/>
            </w:tcBorders>
            <w:gridSpan w:val="4"/>
            <w:vMerge w:val="continue"/>
            <w:shd w:val="clear" w:color="auto" w:fill="EEECE1"/>
          </w:tcPr>
          <w:p>
            <w:pPr>
              <w:spacing w:after="0" w:line="20" w:lineRule="exact"/>
              <w:rPr>
                <w:sz w:val="1"/>
                <w:szCs w:val="1"/>
                <w:color w:val="auto"/>
              </w:rPr>
            </w:pPr>
          </w:p>
        </w:tc>
        <w:tc>
          <w:tcPr>
            <w:tcW w:w="160" w:type="dxa"/>
            <w:vAlign w:val="bottom"/>
            <w:tcBorders>
              <w:top w:val="single" w:sz="8" w:color="EEECE1"/>
            </w:tcBorders>
            <w:shd w:val="clear" w:color="auto" w:fill="EEECE1"/>
          </w:tcPr>
          <w:p>
            <w:pPr>
              <w:spacing w:after="0" w:line="20" w:lineRule="exact"/>
              <w:rPr>
                <w:sz w:val="1"/>
                <w:szCs w:val="1"/>
                <w:color w:val="auto"/>
              </w:rPr>
            </w:pPr>
          </w:p>
        </w:tc>
        <w:tc>
          <w:tcPr>
            <w:tcW w:w="500" w:type="dxa"/>
            <w:vAlign w:val="bottom"/>
            <w:tcBorders>
              <w:top w:val="single" w:sz="8" w:color="EEECE1"/>
            </w:tcBorders>
            <w:gridSpan w:val="2"/>
            <w:vMerge w:val="restart"/>
            <w:shd w:val="clear" w:color="auto" w:fill="EEECE1"/>
          </w:tcPr>
          <w:p>
            <w:pPr>
              <w:spacing w:after="0" w:line="149" w:lineRule="exact"/>
              <w:rPr>
                <w:sz w:val="20"/>
                <w:szCs w:val="20"/>
                <w:color w:val="auto"/>
              </w:rPr>
            </w:pPr>
            <w:r>
              <w:rPr>
                <w:rFonts w:ascii="Arial" w:cs="Arial" w:eastAsia="Arial" w:hAnsi="Arial"/>
                <w:sz w:val="17"/>
                <w:szCs w:val="17"/>
                <w:color w:val="auto"/>
              </w:rPr>
              <w:t>Loans</w:t>
            </w:r>
          </w:p>
        </w:tc>
        <w:tc>
          <w:tcPr>
            <w:tcW w:w="1060" w:type="dxa"/>
            <w:vAlign w:val="bottom"/>
            <w:tcBorders>
              <w:top w:val="single" w:sz="8" w:color="EEECE1"/>
            </w:tcBorders>
            <w:gridSpan w:val="2"/>
            <w:vMerge w:val="restart"/>
            <w:shd w:val="clear" w:color="auto" w:fill="EEECE1"/>
          </w:tcPr>
          <w:p>
            <w:pPr>
              <w:jc w:val="right"/>
              <w:spacing w:after="0" w:line="149" w:lineRule="exact"/>
              <w:rPr>
                <w:sz w:val="20"/>
                <w:szCs w:val="20"/>
                <w:color w:val="auto"/>
              </w:rPr>
            </w:pPr>
            <w:r>
              <w:rPr>
                <w:rFonts w:ascii="Arial" w:cs="Arial" w:eastAsia="Arial" w:hAnsi="Arial"/>
                <w:sz w:val="17"/>
                <w:szCs w:val="17"/>
                <w:color w:val="auto"/>
              </w:rPr>
              <w:t>(including</w:t>
            </w:r>
          </w:p>
        </w:tc>
        <w:tc>
          <w:tcPr>
            <w:tcW w:w="20" w:type="dxa"/>
            <w:vAlign w:val="bottom"/>
            <w:tcBorders>
              <w:top w:val="single" w:sz="8" w:color="EEECE1"/>
            </w:tcBorders>
            <w:shd w:val="clear" w:color="auto" w:fill="EEECE1"/>
          </w:tcPr>
          <w:p>
            <w:pPr>
              <w:spacing w:after="0" w:line="20" w:lineRule="exact"/>
              <w:rPr>
                <w:sz w:val="1"/>
                <w:szCs w:val="1"/>
                <w:color w:val="auto"/>
              </w:rPr>
            </w:pPr>
          </w:p>
        </w:tc>
        <w:tc>
          <w:tcPr>
            <w:tcW w:w="20" w:type="dxa"/>
            <w:vAlign w:val="bottom"/>
            <w:tcBorders>
              <w:top w:val="single" w:sz="8" w:color="EEECE1"/>
            </w:tcBorders>
            <w:shd w:val="clear" w:color="auto" w:fill="EEECE1"/>
          </w:tcPr>
          <w:p>
            <w:pPr>
              <w:spacing w:after="0" w:line="20" w:lineRule="exact"/>
              <w:rPr>
                <w:sz w:val="1"/>
                <w:szCs w:val="1"/>
                <w:color w:val="auto"/>
              </w:rPr>
            </w:pPr>
          </w:p>
        </w:tc>
        <w:tc>
          <w:tcPr>
            <w:tcW w:w="160" w:type="dxa"/>
            <w:vAlign w:val="bottom"/>
            <w:tcBorders>
              <w:top w:val="single" w:sz="8" w:color="EEECE1"/>
              <w:right w:val="single" w:sz="8" w:color="010101"/>
            </w:tcBorders>
            <w:shd w:val="clear" w:color="auto" w:fill="EEECE1"/>
          </w:tcPr>
          <w:p>
            <w:pPr>
              <w:spacing w:after="0" w:line="20" w:lineRule="exact"/>
              <w:rPr>
                <w:sz w:val="1"/>
                <w:szCs w:val="1"/>
                <w:color w:val="auto"/>
              </w:rPr>
            </w:pPr>
          </w:p>
        </w:tc>
        <w:tc>
          <w:tcPr>
            <w:tcW w:w="320" w:type="dxa"/>
            <w:vAlign w:val="bottom"/>
            <w:tcBorders>
              <w:top w:val="single" w:sz="8" w:color="EEECE1"/>
              <w:right w:val="single" w:sz="8" w:color="0000FF"/>
            </w:tcBorders>
            <w:shd w:val="clear" w:color="auto" w:fill="EEECE1"/>
          </w:tcPr>
          <w:p>
            <w:pPr>
              <w:spacing w:after="0" w:line="20" w:lineRule="exact"/>
              <w:rPr>
                <w:sz w:val="1"/>
                <w:szCs w:val="1"/>
                <w:color w:val="auto"/>
              </w:rPr>
            </w:pPr>
          </w:p>
        </w:tc>
        <w:tc>
          <w:tcPr>
            <w:tcW w:w="420" w:type="dxa"/>
            <w:vAlign w:val="bottom"/>
            <w:tcBorders>
              <w:top w:val="single" w:sz="8" w:color="EEECE1"/>
              <w:right w:val="single" w:sz="8" w:color="0000FF"/>
            </w:tcBorders>
            <w:shd w:val="clear" w:color="auto" w:fill="0000FF"/>
          </w:tcPr>
          <w:p>
            <w:pPr>
              <w:spacing w:after="0" w:line="20" w:lineRule="exact"/>
              <w:rPr>
                <w:sz w:val="1"/>
                <w:szCs w:val="1"/>
                <w:color w:val="auto"/>
              </w:rPr>
            </w:pPr>
          </w:p>
        </w:tc>
        <w:tc>
          <w:tcPr>
            <w:tcW w:w="440" w:type="dxa"/>
            <w:vAlign w:val="bottom"/>
            <w:tcBorders>
              <w:top w:val="single" w:sz="8" w:color="EEECE1"/>
              <w:right w:val="single" w:sz="8" w:color="EEECE1"/>
            </w:tcBorders>
            <w:shd w:val="clear" w:color="auto" w:fill="EEECE1"/>
          </w:tcPr>
          <w:p>
            <w:pPr>
              <w:spacing w:after="0" w:line="20" w:lineRule="exact"/>
              <w:rPr>
                <w:sz w:val="1"/>
                <w:szCs w:val="1"/>
                <w:color w:val="auto"/>
              </w:rPr>
            </w:pPr>
          </w:p>
        </w:tc>
        <w:tc>
          <w:tcPr>
            <w:tcW w:w="400" w:type="dxa"/>
            <w:vAlign w:val="bottom"/>
            <w:tcBorders>
              <w:top w:val="single" w:sz="8" w:color="EEECE1"/>
              <w:right w:val="single" w:sz="8" w:color="EEECE1"/>
            </w:tcBorders>
            <w:shd w:val="clear" w:color="auto" w:fill="EEECE1"/>
          </w:tcPr>
          <w:p>
            <w:pPr>
              <w:spacing w:after="0" w:line="20" w:lineRule="exact"/>
              <w:rPr>
                <w:sz w:val="1"/>
                <w:szCs w:val="1"/>
                <w:color w:val="auto"/>
              </w:rPr>
            </w:pPr>
          </w:p>
        </w:tc>
        <w:tc>
          <w:tcPr>
            <w:tcW w:w="360" w:type="dxa"/>
            <w:vAlign w:val="bottom"/>
            <w:tcBorders>
              <w:top w:val="single" w:sz="8" w:color="EEECE1"/>
              <w:right w:val="single" w:sz="8" w:color="010101"/>
            </w:tcBorders>
            <w:shd w:val="clear" w:color="auto" w:fill="EEEC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00" w:type="dxa"/>
            <w:vAlign w:val="bottom"/>
            <w:tcBorders>
              <w:left w:val="single" w:sz="8" w:color="010101"/>
              <w:bottom w:val="single" w:sz="8" w:color="EEECE1"/>
            </w:tcBorders>
            <w:shd w:val="clear" w:color="auto" w:fill="EEECE1"/>
          </w:tcPr>
          <w:p>
            <w:pPr>
              <w:spacing w:after="0"/>
              <w:rPr>
                <w:sz w:val="4"/>
                <w:szCs w:val="4"/>
                <w:color w:val="auto"/>
              </w:rPr>
            </w:pPr>
          </w:p>
        </w:tc>
        <w:tc>
          <w:tcPr>
            <w:tcW w:w="20" w:type="dxa"/>
            <w:vAlign w:val="bottom"/>
            <w:tcBorders>
              <w:bottom w:val="single" w:sz="8" w:color="EEECE1"/>
            </w:tcBorders>
            <w:shd w:val="clear" w:color="auto" w:fill="EEECE1"/>
          </w:tcPr>
          <w:p>
            <w:pPr>
              <w:spacing w:after="0"/>
              <w:rPr>
                <w:sz w:val="4"/>
                <w:szCs w:val="4"/>
                <w:color w:val="auto"/>
              </w:rPr>
            </w:pPr>
          </w:p>
        </w:tc>
        <w:tc>
          <w:tcPr>
            <w:tcW w:w="820" w:type="dxa"/>
            <w:vAlign w:val="bottom"/>
            <w:tcBorders>
              <w:bottom w:val="single" w:sz="8" w:color="EEECE1"/>
            </w:tcBorders>
            <w:shd w:val="clear" w:color="auto" w:fill="EEECE1"/>
          </w:tcPr>
          <w:p>
            <w:pPr>
              <w:spacing w:after="0"/>
              <w:rPr>
                <w:sz w:val="4"/>
                <w:szCs w:val="4"/>
                <w:color w:val="auto"/>
              </w:rPr>
            </w:pPr>
          </w:p>
        </w:tc>
        <w:tc>
          <w:tcPr>
            <w:tcW w:w="640" w:type="dxa"/>
            <w:vAlign w:val="bottom"/>
            <w:tcBorders>
              <w:bottom w:val="single" w:sz="8" w:color="EEECE1"/>
            </w:tcBorders>
            <w:shd w:val="clear" w:color="auto" w:fill="EEECE1"/>
          </w:tcPr>
          <w:p>
            <w:pPr>
              <w:spacing w:after="0"/>
              <w:rPr>
                <w:sz w:val="4"/>
                <w:szCs w:val="4"/>
                <w:color w:val="auto"/>
              </w:rPr>
            </w:pPr>
          </w:p>
        </w:tc>
        <w:tc>
          <w:tcPr>
            <w:tcW w:w="40" w:type="dxa"/>
            <w:vAlign w:val="bottom"/>
            <w:tcBorders>
              <w:bottom w:val="single" w:sz="8" w:color="EEECE1"/>
            </w:tcBorders>
            <w:shd w:val="clear" w:color="auto" w:fill="EEECE1"/>
          </w:tcPr>
          <w:p>
            <w:pPr>
              <w:spacing w:after="0"/>
              <w:rPr>
                <w:sz w:val="4"/>
                <w:szCs w:val="4"/>
                <w:color w:val="auto"/>
              </w:rPr>
            </w:pPr>
          </w:p>
        </w:tc>
        <w:tc>
          <w:tcPr>
            <w:tcW w:w="420" w:type="dxa"/>
            <w:vAlign w:val="bottom"/>
            <w:tcBorders>
              <w:bottom w:val="single" w:sz="8" w:color="EEECE1"/>
            </w:tcBorders>
            <w:shd w:val="clear" w:color="auto" w:fill="EEECE1"/>
          </w:tcPr>
          <w:p>
            <w:pPr>
              <w:spacing w:after="0"/>
              <w:rPr>
                <w:sz w:val="4"/>
                <w:szCs w:val="4"/>
                <w:color w:val="auto"/>
              </w:rPr>
            </w:pPr>
          </w:p>
        </w:tc>
        <w:tc>
          <w:tcPr>
            <w:tcW w:w="200" w:type="dxa"/>
            <w:vAlign w:val="bottom"/>
            <w:tcBorders>
              <w:bottom w:val="single" w:sz="8" w:color="EEECE1"/>
              <w:right w:val="single" w:sz="8" w:color="010101"/>
            </w:tcBorders>
            <w:shd w:val="clear" w:color="auto" w:fill="EEECE1"/>
          </w:tcPr>
          <w:p>
            <w:pPr>
              <w:spacing w:after="0"/>
              <w:rPr>
                <w:sz w:val="4"/>
                <w:szCs w:val="4"/>
                <w:color w:val="auto"/>
              </w:rPr>
            </w:pPr>
          </w:p>
        </w:tc>
        <w:tc>
          <w:tcPr>
            <w:tcW w:w="120" w:type="dxa"/>
            <w:vAlign w:val="bottom"/>
            <w:tcBorders>
              <w:bottom w:val="single" w:sz="8" w:color="EEECE1"/>
            </w:tcBorders>
            <w:shd w:val="clear" w:color="auto" w:fill="EEECE1"/>
          </w:tcPr>
          <w:p>
            <w:pPr>
              <w:spacing w:after="0"/>
              <w:rPr>
                <w:sz w:val="4"/>
                <w:szCs w:val="4"/>
                <w:color w:val="auto"/>
              </w:rPr>
            </w:pPr>
          </w:p>
        </w:tc>
        <w:tc>
          <w:tcPr>
            <w:tcW w:w="1400" w:type="dxa"/>
            <w:vAlign w:val="bottom"/>
            <w:tcBorders>
              <w:bottom w:val="single" w:sz="8" w:color="EEECE1"/>
            </w:tcBorders>
            <w:gridSpan w:val="3"/>
            <w:vMerge w:val="continue"/>
            <w:shd w:val="clear" w:color="auto" w:fill="EEECE1"/>
          </w:tcPr>
          <w:p>
            <w:pPr>
              <w:spacing w:after="0"/>
              <w:rPr>
                <w:sz w:val="4"/>
                <w:szCs w:val="4"/>
                <w:color w:val="auto"/>
              </w:rPr>
            </w:pPr>
          </w:p>
        </w:tc>
        <w:tc>
          <w:tcPr>
            <w:tcW w:w="420" w:type="dxa"/>
            <w:vAlign w:val="bottom"/>
            <w:tcBorders>
              <w:bottom w:val="single" w:sz="8" w:color="EEECE1"/>
              <w:right w:val="single" w:sz="8" w:color="010101"/>
            </w:tcBorders>
            <w:shd w:val="clear" w:color="auto" w:fill="EEECE1"/>
          </w:tcPr>
          <w:p>
            <w:pPr>
              <w:spacing w:after="0"/>
              <w:rPr>
                <w:sz w:val="4"/>
                <w:szCs w:val="4"/>
                <w:color w:val="auto"/>
              </w:rPr>
            </w:pPr>
          </w:p>
        </w:tc>
        <w:tc>
          <w:tcPr>
            <w:tcW w:w="120" w:type="dxa"/>
            <w:vAlign w:val="bottom"/>
            <w:tcBorders>
              <w:bottom w:val="single" w:sz="8" w:color="EEECE1"/>
            </w:tcBorders>
            <w:vMerge w:val="continue"/>
            <w:shd w:val="clear" w:color="auto" w:fill="EEECE1"/>
          </w:tcPr>
          <w:p>
            <w:pPr>
              <w:spacing w:after="0"/>
              <w:rPr>
                <w:sz w:val="4"/>
                <w:szCs w:val="4"/>
                <w:color w:val="auto"/>
              </w:rPr>
            </w:pPr>
          </w:p>
        </w:tc>
        <w:tc>
          <w:tcPr>
            <w:tcW w:w="480" w:type="dxa"/>
            <w:vAlign w:val="bottom"/>
            <w:tcBorders>
              <w:bottom w:val="single" w:sz="8" w:color="0000FF"/>
            </w:tcBorders>
            <w:gridSpan w:val="2"/>
            <w:vMerge w:val="continue"/>
            <w:shd w:val="clear" w:color="auto" w:fill="EEECE1"/>
          </w:tcPr>
          <w:p>
            <w:pPr>
              <w:spacing w:after="0"/>
              <w:rPr>
                <w:sz w:val="4"/>
                <w:szCs w:val="4"/>
                <w:color w:val="auto"/>
              </w:rPr>
            </w:pPr>
          </w:p>
        </w:tc>
        <w:tc>
          <w:tcPr>
            <w:tcW w:w="60" w:type="dxa"/>
            <w:vAlign w:val="bottom"/>
            <w:tcBorders>
              <w:bottom w:val="single" w:sz="8" w:color="EEECE1"/>
            </w:tcBorders>
            <w:vMerge w:val="continue"/>
            <w:shd w:val="clear" w:color="auto" w:fill="EEECE1"/>
          </w:tcPr>
          <w:p>
            <w:pPr>
              <w:spacing w:after="0"/>
              <w:rPr>
                <w:sz w:val="4"/>
                <w:szCs w:val="4"/>
                <w:color w:val="auto"/>
              </w:rPr>
            </w:pPr>
          </w:p>
        </w:tc>
        <w:tc>
          <w:tcPr>
            <w:tcW w:w="1300" w:type="dxa"/>
            <w:vAlign w:val="bottom"/>
            <w:tcBorders>
              <w:bottom w:val="single" w:sz="8" w:color="EEECE1"/>
              <w:right w:val="single" w:sz="8" w:color="010101"/>
            </w:tcBorders>
            <w:gridSpan w:val="4"/>
            <w:vMerge w:val="continue"/>
            <w:shd w:val="clear" w:color="auto" w:fill="EEECE1"/>
          </w:tcPr>
          <w:p>
            <w:pPr>
              <w:spacing w:after="0"/>
              <w:rPr>
                <w:sz w:val="4"/>
                <w:szCs w:val="4"/>
                <w:color w:val="auto"/>
              </w:rPr>
            </w:pPr>
          </w:p>
        </w:tc>
        <w:tc>
          <w:tcPr>
            <w:tcW w:w="160" w:type="dxa"/>
            <w:vAlign w:val="bottom"/>
            <w:tcBorders>
              <w:bottom w:val="single" w:sz="8" w:color="EEECE1"/>
            </w:tcBorders>
            <w:shd w:val="clear" w:color="auto" w:fill="EEECE1"/>
          </w:tcPr>
          <w:p>
            <w:pPr>
              <w:spacing w:after="0"/>
              <w:rPr>
                <w:sz w:val="4"/>
                <w:szCs w:val="4"/>
                <w:color w:val="auto"/>
              </w:rPr>
            </w:pPr>
          </w:p>
        </w:tc>
        <w:tc>
          <w:tcPr>
            <w:tcW w:w="500" w:type="dxa"/>
            <w:vAlign w:val="bottom"/>
            <w:tcBorders>
              <w:bottom w:val="single" w:sz="8" w:color="EEECE1"/>
            </w:tcBorders>
            <w:gridSpan w:val="2"/>
            <w:vMerge w:val="continue"/>
            <w:shd w:val="clear" w:color="auto" w:fill="EEECE1"/>
          </w:tcPr>
          <w:p>
            <w:pPr>
              <w:spacing w:after="0"/>
              <w:rPr>
                <w:sz w:val="4"/>
                <w:szCs w:val="4"/>
                <w:color w:val="auto"/>
              </w:rPr>
            </w:pPr>
          </w:p>
        </w:tc>
        <w:tc>
          <w:tcPr>
            <w:tcW w:w="1060" w:type="dxa"/>
            <w:vAlign w:val="bottom"/>
            <w:tcBorders>
              <w:bottom w:val="single" w:sz="8" w:color="EEECE1"/>
            </w:tcBorders>
            <w:gridSpan w:val="2"/>
            <w:vMerge w:val="continue"/>
            <w:shd w:val="clear" w:color="auto" w:fill="EEECE1"/>
          </w:tcPr>
          <w:p>
            <w:pPr>
              <w:spacing w:after="0"/>
              <w:rPr>
                <w:sz w:val="4"/>
                <w:szCs w:val="4"/>
                <w:color w:val="auto"/>
              </w:rPr>
            </w:pPr>
          </w:p>
        </w:tc>
        <w:tc>
          <w:tcPr>
            <w:tcW w:w="20" w:type="dxa"/>
            <w:vAlign w:val="bottom"/>
            <w:tcBorders>
              <w:bottom w:val="single" w:sz="8" w:color="EEECE1"/>
            </w:tcBorders>
            <w:shd w:val="clear" w:color="auto" w:fill="EEECE1"/>
          </w:tcPr>
          <w:p>
            <w:pPr>
              <w:spacing w:after="0"/>
              <w:rPr>
                <w:sz w:val="4"/>
                <w:szCs w:val="4"/>
                <w:color w:val="auto"/>
              </w:rPr>
            </w:pPr>
          </w:p>
        </w:tc>
        <w:tc>
          <w:tcPr>
            <w:tcW w:w="20" w:type="dxa"/>
            <w:vAlign w:val="bottom"/>
            <w:tcBorders>
              <w:bottom w:val="single" w:sz="8" w:color="EEECE1"/>
            </w:tcBorders>
            <w:shd w:val="clear" w:color="auto" w:fill="EEECE1"/>
          </w:tcPr>
          <w:p>
            <w:pPr>
              <w:spacing w:after="0"/>
              <w:rPr>
                <w:sz w:val="4"/>
                <w:szCs w:val="4"/>
                <w:color w:val="auto"/>
              </w:rPr>
            </w:pPr>
          </w:p>
        </w:tc>
        <w:tc>
          <w:tcPr>
            <w:tcW w:w="160" w:type="dxa"/>
            <w:vAlign w:val="bottom"/>
            <w:tcBorders>
              <w:bottom w:val="single" w:sz="8" w:color="EEECE1"/>
              <w:right w:val="single" w:sz="8" w:color="010101"/>
            </w:tcBorders>
            <w:shd w:val="clear" w:color="auto" w:fill="EEECE1"/>
          </w:tcPr>
          <w:p>
            <w:pPr>
              <w:spacing w:after="0"/>
              <w:rPr>
                <w:sz w:val="4"/>
                <w:szCs w:val="4"/>
                <w:color w:val="auto"/>
              </w:rPr>
            </w:pPr>
          </w:p>
        </w:tc>
        <w:tc>
          <w:tcPr>
            <w:tcW w:w="320" w:type="dxa"/>
            <w:vAlign w:val="bottom"/>
            <w:tcBorders>
              <w:bottom w:val="single" w:sz="8" w:color="EEECE1"/>
              <w:right w:val="single" w:sz="8" w:color="EEECE1"/>
            </w:tcBorders>
            <w:shd w:val="clear" w:color="auto" w:fill="EEECE1"/>
          </w:tcPr>
          <w:p>
            <w:pPr>
              <w:spacing w:after="0"/>
              <w:rPr>
                <w:sz w:val="4"/>
                <w:szCs w:val="4"/>
                <w:color w:val="auto"/>
              </w:rPr>
            </w:pPr>
          </w:p>
        </w:tc>
        <w:tc>
          <w:tcPr>
            <w:tcW w:w="1620" w:type="dxa"/>
            <w:vAlign w:val="bottom"/>
            <w:tcBorders>
              <w:bottom w:val="single" w:sz="8" w:color="EEECE1"/>
              <w:right w:val="single" w:sz="8" w:color="010101"/>
            </w:tcBorders>
            <w:gridSpan w:val="4"/>
            <w:vMerge w:val="restart"/>
            <w:shd w:val="clear" w:color="auto" w:fill="EEECE1"/>
          </w:tcPr>
          <w:p>
            <w:pPr>
              <w:spacing w:after="0" w:line="156" w:lineRule="exact"/>
              <w:rPr>
                <w:sz w:val="20"/>
                <w:szCs w:val="20"/>
                <w:color w:val="auto"/>
              </w:rPr>
            </w:pPr>
            <w:r>
              <w:rPr>
                <w:rFonts w:ascii="Arial" w:cs="Arial" w:eastAsia="Arial" w:hAnsi="Arial"/>
                <w:sz w:val="18"/>
                <w:szCs w:val="18"/>
                <w:color w:val="auto"/>
              </w:rPr>
              <w:t>Initial Revolving</w:t>
            </w:r>
          </w:p>
        </w:tc>
        <w:tc>
          <w:tcPr>
            <w:tcW w:w="0" w:type="dxa"/>
            <w:vAlign w:val="bottom"/>
          </w:tcPr>
          <w:p>
            <w:pPr>
              <w:spacing w:after="0"/>
              <w:rPr>
                <w:sz w:val="1"/>
                <w:szCs w:val="1"/>
                <w:color w:val="auto"/>
              </w:rPr>
            </w:pPr>
          </w:p>
        </w:tc>
      </w:tr>
      <w:tr>
        <w:trPr>
          <w:trHeight w:val="121"/>
        </w:trPr>
        <w:tc>
          <w:tcPr>
            <w:tcW w:w="100" w:type="dxa"/>
            <w:vAlign w:val="bottom"/>
            <w:tcBorders>
              <w:left w:val="single" w:sz="8" w:color="010101"/>
              <w:bottom w:val="single" w:sz="8" w:color="EEECE1"/>
            </w:tcBorders>
            <w:shd w:val="clear" w:color="auto" w:fill="EEECE1"/>
          </w:tcPr>
          <w:p>
            <w:pPr>
              <w:spacing w:after="0"/>
              <w:rPr>
                <w:sz w:val="10"/>
                <w:szCs w:val="10"/>
                <w:color w:val="auto"/>
              </w:rPr>
            </w:pPr>
          </w:p>
        </w:tc>
        <w:tc>
          <w:tcPr>
            <w:tcW w:w="20" w:type="dxa"/>
            <w:vAlign w:val="bottom"/>
            <w:tcBorders>
              <w:bottom w:val="single" w:sz="8" w:color="EEECE1"/>
            </w:tcBorders>
            <w:shd w:val="clear" w:color="auto" w:fill="EEECE1"/>
          </w:tcPr>
          <w:p>
            <w:pPr>
              <w:spacing w:after="0"/>
              <w:rPr>
                <w:sz w:val="10"/>
                <w:szCs w:val="10"/>
                <w:color w:val="auto"/>
              </w:rPr>
            </w:pPr>
          </w:p>
        </w:tc>
        <w:tc>
          <w:tcPr>
            <w:tcW w:w="820" w:type="dxa"/>
            <w:vAlign w:val="bottom"/>
            <w:tcBorders>
              <w:bottom w:val="single" w:sz="8" w:color="EEECE1"/>
            </w:tcBorders>
            <w:shd w:val="clear" w:color="auto" w:fill="EEECE1"/>
          </w:tcPr>
          <w:p>
            <w:pPr>
              <w:spacing w:after="0"/>
              <w:rPr>
                <w:sz w:val="10"/>
                <w:szCs w:val="10"/>
                <w:color w:val="auto"/>
              </w:rPr>
            </w:pPr>
          </w:p>
        </w:tc>
        <w:tc>
          <w:tcPr>
            <w:tcW w:w="640" w:type="dxa"/>
            <w:vAlign w:val="bottom"/>
            <w:tcBorders>
              <w:bottom w:val="single" w:sz="8" w:color="EEECE1"/>
            </w:tcBorders>
            <w:shd w:val="clear" w:color="auto" w:fill="EEECE1"/>
          </w:tcPr>
          <w:p>
            <w:pPr>
              <w:spacing w:after="0"/>
              <w:rPr>
                <w:sz w:val="10"/>
                <w:szCs w:val="10"/>
                <w:color w:val="auto"/>
              </w:rPr>
            </w:pPr>
          </w:p>
        </w:tc>
        <w:tc>
          <w:tcPr>
            <w:tcW w:w="40" w:type="dxa"/>
            <w:vAlign w:val="bottom"/>
            <w:tcBorders>
              <w:bottom w:val="single" w:sz="8" w:color="EEECE1"/>
            </w:tcBorders>
            <w:shd w:val="clear" w:color="auto" w:fill="EEECE1"/>
          </w:tcPr>
          <w:p>
            <w:pPr>
              <w:spacing w:after="0"/>
              <w:rPr>
                <w:sz w:val="10"/>
                <w:szCs w:val="10"/>
                <w:color w:val="auto"/>
              </w:rPr>
            </w:pPr>
          </w:p>
        </w:tc>
        <w:tc>
          <w:tcPr>
            <w:tcW w:w="420" w:type="dxa"/>
            <w:vAlign w:val="bottom"/>
            <w:tcBorders>
              <w:bottom w:val="single" w:sz="8" w:color="EEECE1"/>
            </w:tcBorders>
            <w:shd w:val="clear" w:color="auto" w:fill="EEECE1"/>
          </w:tcPr>
          <w:p>
            <w:pPr>
              <w:spacing w:after="0"/>
              <w:rPr>
                <w:sz w:val="10"/>
                <w:szCs w:val="10"/>
                <w:color w:val="auto"/>
              </w:rPr>
            </w:pPr>
          </w:p>
        </w:tc>
        <w:tc>
          <w:tcPr>
            <w:tcW w:w="200" w:type="dxa"/>
            <w:vAlign w:val="bottom"/>
            <w:tcBorders>
              <w:bottom w:val="single" w:sz="8" w:color="EEECE1"/>
              <w:right w:val="single" w:sz="8" w:color="010101"/>
            </w:tcBorders>
            <w:shd w:val="clear" w:color="auto" w:fill="EEECE1"/>
          </w:tcPr>
          <w:p>
            <w:pPr>
              <w:spacing w:after="0"/>
              <w:rPr>
                <w:sz w:val="10"/>
                <w:szCs w:val="10"/>
                <w:color w:val="auto"/>
              </w:rPr>
            </w:pPr>
          </w:p>
        </w:tc>
        <w:tc>
          <w:tcPr>
            <w:tcW w:w="120" w:type="dxa"/>
            <w:vAlign w:val="bottom"/>
            <w:tcBorders>
              <w:bottom w:val="single" w:sz="8" w:color="EEECE1"/>
            </w:tcBorders>
            <w:shd w:val="clear" w:color="auto" w:fill="EEECE1"/>
          </w:tcPr>
          <w:p>
            <w:pPr>
              <w:spacing w:after="0"/>
              <w:rPr>
                <w:sz w:val="10"/>
                <w:szCs w:val="10"/>
                <w:color w:val="auto"/>
              </w:rPr>
            </w:pPr>
          </w:p>
        </w:tc>
        <w:tc>
          <w:tcPr>
            <w:tcW w:w="1400" w:type="dxa"/>
            <w:vAlign w:val="bottom"/>
            <w:tcBorders>
              <w:bottom w:val="single" w:sz="8" w:color="auto"/>
            </w:tcBorders>
            <w:gridSpan w:val="3"/>
            <w:vMerge w:val="continue"/>
            <w:shd w:val="clear" w:color="auto" w:fill="EEECE1"/>
          </w:tcPr>
          <w:p>
            <w:pPr>
              <w:spacing w:after="0"/>
              <w:rPr>
                <w:sz w:val="10"/>
                <w:szCs w:val="10"/>
                <w:color w:val="auto"/>
              </w:rPr>
            </w:pPr>
          </w:p>
        </w:tc>
        <w:tc>
          <w:tcPr>
            <w:tcW w:w="420" w:type="dxa"/>
            <w:vAlign w:val="bottom"/>
            <w:tcBorders>
              <w:bottom w:val="single" w:sz="8" w:color="EEECE1"/>
              <w:right w:val="single" w:sz="8" w:color="010101"/>
            </w:tcBorders>
            <w:shd w:val="clear" w:color="auto" w:fill="EEECE1"/>
          </w:tcPr>
          <w:p>
            <w:pPr>
              <w:spacing w:after="0"/>
              <w:rPr>
                <w:sz w:val="10"/>
                <w:szCs w:val="10"/>
                <w:color w:val="auto"/>
              </w:rPr>
            </w:pPr>
          </w:p>
        </w:tc>
        <w:tc>
          <w:tcPr>
            <w:tcW w:w="1960" w:type="dxa"/>
            <w:vAlign w:val="bottom"/>
            <w:tcBorders>
              <w:bottom w:val="single" w:sz="8" w:color="EEECE1"/>
              <w:right w:val="single" w:sz="8" w:color="010101"/>
            </w:tcBorders>
            <w:gridSpan w:val="8"/>
            <w:vMerge w:val="restart"/>
            <w:shd w:val="clear" w:color="auto" w:fill="EEECE1"/>
          </w:tcPr>
          <w:p>
            <w:pPr>
              <w:jc w:val="right"/>
              <w:ind w:right="440"/>
              <w:spacing w:after="0" w:line="183" w:lineRule="exact"/>
              <w:rPr>
                <w:sz w:val="20"/>
                <w:szCs w:val="20"/>
                <w:color w:val="auto"/>
              </w:rPr>
            </w:pPr>
            <w:r>
              <w:rPr>
                <w:rFonts w:ascii="Arial" w:cs="Arial" w:eastAsia="Arial" w:hAnsi="Arial"/>
                <w:sz w:val="19"/>
                <w:szCs w:val="19"/>
                <w:color w:val="auto"/>
                <w:w w:val="99"/>
              </w:rPr>
              <w:t>Initial Term Loans</w:t>
            </w:r>
          </w:p>
        </w:tc>
        <w:tc>
          <w:tcPr>
            <w:tcW w:w="160" w:type="dxa"/>
            <w:vAlign w:val="bottom"/>
            <w:tcBorders>
              <w:bottom w:val="single" w:sz="8" w:color="EEECE1"/>
            </w:tcBorders>
            <w:shd w:val="clear" w:color="auto" w:fill="EEECE1"/>
          </w:tcPr>
          <w:p>
            <w:pPr>
              <w:spacing w:after="0"/>
              <w:rPr>
                <w:sz w:val="10"/>
                <w:szCs w:val="10"/>
                <w:color w:val="auto"/>
              </w:rPr>
            </w:pPr>
          </w:p>
        </w:tc>
        <w:tc>
          <w:tcPr>
            <w:tcW w:w="500" w:type="dxa"/>
            <w:vAlign w:val="bottom"/>
            <w:tcBorders>
              <w:bottom w:val="single" w:sz="8" w:color="EEECE1"/>
            </w:tcBorders>
            <w:gridSpan w:val="2"/>
            <w:vMerge w:val="continue"/>
            <w:shd w:val="clear" w:color="auto" w:fill="EEECE1"/>
          </w:tcPr>
          <w:p>
            <w:pPr>
              <w:spacing w:after="0"/>
              <w:rPr>
                <w:sz w:val="10"/>
                <w:szCs w:val="10"/>
                <w:color w:val="auto"/>
              </w:rPr>
            </w:pPr>
          </w:p>
        </w:tc>
        <w:tc>
          <w:tcPr>
            <w:tcW w:w="1060" w:type="dxa"/>
            <w:vAlign w:val="bottom"/>
            <w:tcBorders>
              <w:bottom w:val="single" w:sz="8" w:color="EEECE1"/>
            </w:tcBorders>
            <w:gridSpan w:val="2"/>
            <w:vMerge w:val="continue"/>
            <w:shd w:val="clear" w:color="auto" w:fill="EEECE1"/>
          </w:tcPr>
          <w:p>
            <w:pPr>
              <w:spacing w:after="0"/>
              <w:rPr>
                <w:sz w:val="10"/>
                <w:szCs w:val="10"/>
                <w:color w:val="auto"/>
              </w:rPr>
            </w:pPr>
          </w:p>
        </w:tc>
        <w:tc>
          <w:tcPr>
            <w:tcW w:w="200" w:type="dxa"/>
            <w:vAlign w:val="bottom"/>
            <w:tcBorders>
              <w:bottom w:val="single" w:sz="8" w:color="EEECE1"/>
              <w:right w:val="single" w:sz="8" w:color="010101"/>
            </w:tcBorders>
            <w:gridSpan w:val="3"/>
            <w:shd w:val="clear" w:color="auto" w:fill="EEECE1"/>
          </w:tcPr>
          <w:p>
            <w:pPr>
              <w:spacing w:after="0"/>
              <w:rPr>
                <w:sz w:val="10"/>
                <w:szCs w:val="10"/>
                <w:color w:val="auto"/>
              </w:rPr>
            </w:pPr>
          </w:p>
        </w:tc>
        <w:tc>
          <w:tcPr>
            <w:tcW w:w="320" w:type="dxa"/>
            <w:vAlign w:val="bottom"/>
            <w:tcBorders>
              <w:bottom w:val="single" w:sz="8" w:color="EEECE1"/>
              <w:right w:val="single" w:sz="8" w:color="EEECE1"/>
            </w:tcBorders>
            <w:shd w:val="clear" w:color="auto" w:fill="EEECE1"/>
          </w:tcPr>
          <w:p>
            <w:pPr>
              <w:spacing w:after="0"/>
              <w:rPr>
                <w:sz w:val="10"/>
                <w:szCs w:val="10"/>
                <w:color w:val="auto"/>
              </w:rPr>
            </w:pPr>
          </w:p>
        </w:tc>
        <w:tc>
          <w:tcPr>
            <w:tcW w:w="1620" w:type="dxa"/>
            <w:vAlign w:val="bottom"/>
            <w:tcBorders>
              <w:bottom w:val="single" w:sz="8" w:color="EEECE1"/>
              <w:right w:val="single" w:sz="8" w:color="010101"/>
            </w:tcBorders>
            <w:gridSpan w:val="4"/>
            <w:vMerge w:val="continue"/>
            <w:shd w:val="clear" w:color="auto" w:fill="EEECE1"/>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100" w:type="dxa"/>
            <w:vAlign w:val="bottom"/>
            <w:tcBorders>
              <w:top w:val="single" w:sz="8" w:color="EEECE1"/>
              <w:left w:val="single" w:sz="8" w:color="010101"/>
            </w:tcBorders>
            <w:shd w:val="clear" w:color="auto" w:fill="EEECE1"/>
          </w:tcPr>
          <w:p>
            <w:pPr>
              <w:spacing w:after="0"/>
              <w:rPr>
                <w:sz w:val="3"/>
                <w:szCs w:val="3"/>
                <w:color w:val="auto"/>
              </w:rPr>
            </w:pPr>
          </w:p>
        </w:tc>
        <w:tc>
          <w:tcPr>
            <w:tcW w:w="20" w:type="dxa"/>
            <w:vAlign w:val="bottom"/>
            <w:tcBorders>
              <w:top w:val="single" w:sz="8" w:color="EEECE1"/>
            </w:tcBorders>
            <w:shd w:val="clear" w:color="auto" w:fill="EEECE1"/>
          </w:tcPr>
          <w:p>
            <w:pPr>
              <w:spacing w:after="0"/>
              <w:rPr>
                <w:sz w:val="3"/>
                <w:szCs w:val="3"/>
                <w:color w:val="auto"/>
              </w:rPr>
            </w:pPr>
          </w:p>
        </w:tc>
        <w:tc>
          <w:tcPr>
            <w:tcW w:w="820" w:type="dxa"/>
            <w:vAlign w:val="bottom"/>
            <w:tcBorders>
              <w:top w:val="single" w:sz="8" w:color="EEECE1"/>
            </w:tcBorders>
            <w:shd w:val="clear" w:color="auto" w:fill="EEECE1"/>
          </w:tcPr>
          <w:p>
            <w:pPr>
              <w:spacing w:after="0"/>
              <w:rPr>
                <w:sz w:val="3"/>
                <w:szCs w:val="3"/>
                <w:color w:val="auto"/>
              </w:rPr>
            </w:pPr>
          </w:p>
        </w:tc>
        <w:tc>
          <w:tcPr>
            <w:tcW w:w="640" w:type="dxa"/>
            <w:vAlign w:val="bottom"/>
            <w:tcBorders>
              <w:top w:val="single" w:sz="8" w:color="EEECE1"/>
            </w:tcBorders>
            <w:shd w:val="clear" w:color="auto" w:fill="EEECE1"/>
          </w:tcPr>
          <w:p>
            <w:pPr>
              <w:spacing w:after="0"/>
              <w:rPr>
                <w:sz w:val="3"/>
                <w:szCs w:val="3"/>
                <w:color w:val="auto"/>
              </w:rPr>
            </w:pPr>
          </w:p>
        </w:tc>
        <w:tc>
          <w:tcPr>
            <w:tcW w:w="40" w:type="dxa"/>
            <w:vAlign w:val="bottom"/>
            <w:tcBorders>
              <w:top w:val="single" w:sz="8" w:color="EEECE1"/>
            </w:tcBorders>
            <w:shd w:val="clear" w:color="auto" w:fill="EEECE1"/>
          </w:tcPr>
          <w:p>
            <w:pPr>
              <w:spacing w:after="0"/>
              <w:rPr>
                <w:sz w:val="3"/>
                <w:szCs w:val="3"/>
                <w:color w:val="auto"/>
              </w:rPr>
            </w:pPr>
          </w:p>
        </w:tc>
        <w:tc>
          <w:tcPr>
            <w:tcW w:w="420" w:type="dxa"/>
            <w:vAlign w:val="bottom"/>
            <w:tcBorders>
              <w:top w:val="single" w:sz="8" w:color="EEECE1"/>
            </w:tcBorders>
            <w:shd w:val="clear" w:color="auto" w:fill="EEECE1"/>
          </w:tcPr>
          <w:p>
            <w:pPr>
              <w:spacing w:after="0"/>
              <w:rPr>
                <w:sz w:val="3"/>
                <w:szCs w:val="3"/>
                <w:color w:val="auto"/>
              </w:rPr>
            </w:pPr>
          </w:p>
        </w:tc>
        <w:tc>
          <w:tcPr>
            <w:tcW w:w="200" w:type="dxa"/>
            <w:vAlign w:val="bottom"/>
            <w:tcBorders>
              <w:top w:val="single" w:sz="8" w:color="EEECE1"/>
              <w:right w:val="single" w:sz="8" w:color="010101"/>
            </w:tcBorders>
            <w:shd w:val="clear" w:color="auto" w:fill="EEECE1"/>
          </w:tcPr>
          <w:p>
            <w:pPr>
              <w:spacing w:after="0"/>
              <w:rPr>
                <w:sz w:val="3"/>
                <w:szCs w:val="3"/>
                <w:color w:val="auto"/>
              </w:rPr>
            </w:pPr>
          </w:p>
        </w:tc>
        <w:tc>
          <w:tcPr>
            <w:tcW w:w="120" w:type="dxa"/>
            <w:vAlign w:val="bottom"/>
            <w:tcBorders>
              <w:top w:val="single" w:sz="8" w:color="EEECE1"/>
            </w:tcBorders>
            <w:shd w:val="clear" w:color="auto" w:fill="EEECE1"/>
          </w:tcPr>
          <w:p>
            <w:pPr>
              <w:spacing w:after="0"/>
              <w:rPr>
                <w:sz w:val="3"/>
                <w:szCs w:val="3"/>
                <w:color w:val="auto"/>
              </w:rPr>
            </w:pPr>
          </w:p>
        </w:tc>
        <w:tc>
          <w:tcPr>
            <w:tcW w:w="80" w:type="dxa"/>
            <w:vAlign w:val="bottom"/>
            <w:tcBorders>
              <w:top w:val="single" w:sz="8" w:color="EEECE1"/>
            </w:tcBorders>
            <w:shd w:val="clear" w:color="auto" w:fill="EEECE1"/>
          </w:tcPr>
          <w:p>
            <w:pPr>
              <w:spacing w:after="0"/>
              <w:rPr>
                <w:sz w:val="3"/>
                <w:szCs w:val="3"/>
                <w:color w:val="auto"/>
              </w:rPr>
            </w:pPr>
          </w:p>
        </w:tc>
        <w:tc>
          <w:tcPr>
            <w:tcW w:w="1240" w:type="dxa"/>
            <w:vAlign w:val="bottom"/>
            <w:tcBorders>
              <w:top w:val="single" w:sz="8" w:color="EEECE1"/>
            </w:tcBorders>
            <w:shd w:val="clear" w:color="auto" w:fill="EEECE1"/>
          </w:tcPr>
          <w:p>
            <w:pPr>
              <w:spacing w:after="0"/>
              <w:rPr>
                <w:sz w:val="3"/>
                <w:szCs w:val="3"/>
                <w:color w:val="auto"/>
              </w:rPr>
            </w:pPr>
          </w:p>
        </w:tc>
        <w:tc>
          <w:tcPr>
            <w:tcW w:w="80" w:type="dxa"/>
            <w:vAlign w:val="bottom"/>
            <w:tcBorders>
              <w:top w:val="single" w:sz="8" w:color="EEECE1"/>
            </w:tcBorders>
            <w:shd w:val="clear" w:color="auto" w:fill="EEECE1"/>
          </w:tcPr>
          <w:p>
            <w:pPr>
              <w:spacing w:after="0"/>
              <w:rPr>
                <w:sz w:val="3"/>
                <w:szCs w:val="3"/>
                <w:color w:val="auto"/>
              </w:rPr>
            </w:pPr>
          </w:p>
        </w:tc>
        <w:tc>
          <w:tcPr>
            <w:tcW w:w="420" w:type="dxa"/>
            <w:vAlign w:val="bottom"/>
            <w:tcBorders>
              <w:top w:val="single" w:sz="8" w:color="EEECE1"/>
              <w:right w:val="single" w:sz="8" w:color="010101"/>
            </w:tcBorders>
            <w:shd w:val="clear" w:color="auto" w:fill="EEECE1"/>
          </w:tcPr>
          <w:p>
            <w:pPr>
              <w:spacing w:after="0"/>
              <w:rPr>
                <w:sz w:val="3"/>
                <w:szCs w:val="3"/>
                <w:color w:val="auto"/>
              </w:rPr>
            </w:pPr>
          </w:p>
        </w:tc>
        <w:tc>
          <w:tcPr>
            <w:tcW w:w="1960" w:type="dxa"/>
            <w:vAlign w:val="bottom"/>
            <w:tcBorders>
              <w:top w:val="single" w:sz="8" w:color="EEECE1"/>
              <w:right w:val="single" w:sz="8" w:color="010101"/>
            </w:tcBorders>
            <w:gridSpan w:val="8"/>
            <w:vMerge w:val="continue"/>
            <w:shd w:val="clear" w:color="auto" w:fill="EEECE1"/>
          </w:tcPr>
          <w:p>
            <w:pPr>
              <w:spacing w:after="0"/>
              <w:rPr>
                <w:sz w:val="3"/>
                <w:szCs w:val="3"/>
                <w:color w:val="auto"/>
              </w:rPr>
            </w:pPr>
          </w:p>
        </w:tc>
        <w:tc>
          <w:tcPr>
            <w:tcW w:w="160" w:type="dxa"/>
            <w:vAlign w:val="bottom"/>
            <w:tcBorders>
              <w:top w:val="single" w:sz="8" w:color="EEECE1"/>
            </w:tcBorders>
            <w:shd w:val="clear" w:color="auto" w:fill="EEECE1"/>
          </w:tcPr>
          <w:p>
            <w:pPr>
              <w:spacing w:after="0"/>
              <w:rPr>
                <w:sz w:val="3"/>
                <w:szCs w:val="3"/>
                <w:color w:val="auto"/>
              </w:rPr>
            </w:pPr>
          </w:p>
        </w:tc>
        <w:tc>
          <w:tcPr>
            <w:tcW w:w="1340" w:type="dxa"/>
            <w:vAlign w:val="bottom"/>
            <w:tcBorders>
              <w:top w:val="single" w:sz="8" w:color="auto"/>
            </w:tcBorders>
            <w:gridSpan w:val="3"/>
            <w:vMerge w:val="restart"/>
            <w:shd w:val="clear" w:color="auto" w:fill="EEECE1"/>
          </w:tcPr>
          <w:p>
            <w:pPr>
              <w:spacing w:after="0" w:line="116" w:lineRule="exact"/>
              <w:rPr>
                <w:sz w:val="20"/>
                <w:szCs w:val="20"/>
                <w:color w:val="auto"/>
              </w:rPr>
            </w:pPr>
            <w:r>
              <w:rPr>
                <w:rFonts w:ascii="Arial" w:cs="Arial" w:eastAsia="Arial" w:hAnsi="Arial"/>
                <w:sz w:val="13"/>
                <w:szCs w:val="13"/>
                <w:color w:val="auto"/>
              </w:rPr>
              <w:t>Swingline Loans)</w:t>
            </w:r>
          </w:p>
        </w:tc>
        <w:tc>
          <w:tcPr>
            <w:tcW w:w="220" w:type="dxa"/>
            <w:vAlign w:val="bottom"/>
            <w:tcBorders>
              <w:top w:val="single" w:sz="8" w:color="auto"/>
            </w:tcBorders>
            <w:shd w:val="clear" w:color="auto" w:fill="EEECE1"/>
          </w:tcPr>
          <w:p>
            <w:pPr>
              <w:spacing w:after="0"/>
              <w:rPr>
                <w:sz w:val="3"/>
                <w:szCs w:val="3"/>
                <w:color w:val="auto"/>
              </w:rPr>
            </w:pPr>
          </w:p>
        </w:tc>
        <w:tc>
          <w:tcPr>
            <w:tcW w:w="20" w:type="dxa"/>
            <w:vAlign w:val="bottom"/>
            <w:tcBorders>
              <w:top w:val="single" w:sz="8" w:color="EEECE1"/>
            </w:tcBorders>
            <w:shd w:val="clear" w:color="auto" w:fill="EEECE1"/>
          </w:tcPr>
          <w:p>
            <w:pPr>
              <w:spacing w:after="0"/>
              <w:rPr>
                <w:sz w:val="3"/>
                <w:szCs w:val="3"/>
                <w:color w:val="auto"/>
              </w:rPr>
            </w:pPr>
          </w:p>
        </w:tc>
        <w:tc>
          <w:tcPr>
            <w:tcW w:w="20" w:type="dxa"/>
            <w:vAlign w:val="bottom"/>
            <w:tcBorders>
              <w:top w:val="single" w:sz="8" w:color="EEECE1"/>
            </w:tcBorders>
            <w:shd w:val="clear" w:color="auto" w:fill="EEECE1"/>
          </w:tcPr>
          <w:p>
            <w:pPr>
              <w:spacing w:after="0"/>
              <w:rPr>
                <w:sz w:val="3"/>
                <w:szCs w:val="3"/>
                <w:color w:val="auto"/>
              </w:rPr>
            </w:pPr>
          </w:p>
        </w:tc>
        <w:tc>
          <w:tcPr>
            <w:tcW w:w="160" w:type="dxa"/>
            <w:vAlign w:val="bottom"/>
            <w:tcBorders>
              <w:top w:val="single" w:sz="8" w:color="EEECE1"/>
              <w:right w:val="single" w:sz="8" w:color="010101"/>
            </w:tcBorders>
            <w:shd w:val="clear" w:color="auto" w:fill="EEECE1"/>
          </w:tcPr>
          <w:p>
            <w:pPr>
              <w:spacing w:after="0"/>
              <w:rPr>
                <w:sz w:val="3"/>
                <w:szCs w:val="3"/>
                <w:color w:val="auto"/>
              </w:rPr>
            </w:pPr>
          </w:p>
        </w:tc>
        <w:tc>
          <w:tcPr>
            <w:tcW w:w="320" w:type="dxa"/>
            <w:vAlign w:val="bottom"/>
            <w:tcBorders>
              <w:top w:val="single" w:sz="8" w:color="EEECE1"/>
              <w:right w:val="single" w:sz="8" w:color="EEECE1"/>
            </w:tcBorders>
            <w:shd w:val="clear" w:color="auto" w:fill="EEECE1"/>
          </w:tcPr>
          <w:p>
            <w:pPr>
              <w:spacing w:after="0"/>
              <w:rPr>
                <w:sz w:val="3"/>
                <w:szCs w:val="3"/>
                <w:color w:val="auto"/>
              </w:rPr>
            </w:pPr>
          </w:p>
        </w:tc>
        <w:tc>
          <w:tcPr>
            <w:tcW w:w="420" w:type="dxa"/>
            <w:vAlign w:val="bottom"/>
            <w:tcBorders>
              <w:top w:val="single" w:sz="8" w:color="auto"/>
              <w:right w:val="single" w:sz="8" w:color="EEECE1"/>
            </w:tcBorders>
            <w:shd w:val="clear" w:color="auto" w:fill="EEECE1"/>
          </w:tcPr>
          <w:p>
            <w:pPr>
              <w:spacing w:after="0"/>
              <w:rPr>
                <w:sz w:val="3"/>
                <w:szCs w:val="3"/>
                <w:color w:val="auto"/>
              </w:rPr>
            </w:pPr>
          </w:p>
        </w:tc>
        <w:tc>
          <w:tcPr>
            <w:tcW w:w="840" w:type="dxa"/>
            <w:vAlign w:val="bottom"/>
            <w:tcBorders>
              <w:top w:val="single" w:sz="8" w:color="auto"/>
              <w:right w:val="single" w:sz="8" w:color="EEECE1"/>
            </w:tcBorders>
            <w:gridSpan w:val="2"/>
            <w:vMerge w:val="restart"/>
            <w:shd w:val="clear" w:color="auto" w:fill="EEECE1"/>
          </w:tcPr>
          <w:p>
            <w:pPr>
              <w:spacing w:after="0" w:line="142" w:lineRule="exact"/>
              <w:rPr>
                <w:sz w:val="20"/>
                <w:szCs w:val="20"/>
                <w:color w:val="auto"/>
              </w:rPr>
            </w:pPr>
            <w:r>
              <w:rPr>
                <w:rFonts w:ascii="Arial" w:cs="Arial" w:eastAsia="Arial" w:hAnsi="Arial"/>
                <w:sz w:val="16"/>
                <w:szCs w:val="16"/>
                <w:color w:val="auto"/>
              </w:rPr>
              <w:t>Loans</w:t>
            </w:r>
          </w:p>
        </w:tc>
        <w:tc>
          <w:tcPr>
            <w:tcW w:w="360" w:type="dxa"/>
            <w:vAlign w:val="bottom"/>
            <w:tcBorders>
              <w:top w:val="single" w:sz="8" w:color="EEECE1"/>
              <w:right w:val="single" w:sz="8" w:color="010101"/>
            </w:tcBorders>
            <w:vMerge w:val="restart"/>
            <w:shd w:val="clear" w:color="auto" w:fill="EEECE1"/>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100" w:type="dxa"/>
            <w:vAlign w:val="bottom"/>
            <w:tcBorders>
              <w:top w:val="single" w:sz="8" w:color="EEECE1"/>
              <w:left w:val="single" w:sz="8" w:color="010101"/>
              <w:bottom w:val="single" w:sz="8" w:color="EEECE1"/>
            </w:tcBorders>
            <w:shd w:val="clear" w:color="auto" w:fill="EEECE1"/>
          </w:tcPr>
          <w:p>
            <w:pPr>
              <w:spacing w:after="0"/>
              <w:rPr>
                <w:sz w:val="8"/>
                <w:szCs w:val="8"/>
                <w:color w:val="auto"/>
              </w:rPr>
            </w:pPr>
          </w:p>
        </w:tc>
        <w:tc>
          <w:tcPr>
            <w:tcW w:w="20" w:type="dxa"/>
            <w:vAlign w:val="bottom"/>
            <w:tcBorders>
              <w:top w:val="single" w:sz="8" w:color="EEECE1"/>
              <w:bottom w:val="single" w:sz="8" w:color="EEECE1"/>
            </w:tcBorders>
            <w:shd w:val="clear" w:color="auto" w:fill="EEECE1"/>
          </w:tcPr>
          <w:p>
            <w:pPr>
              <w:spacing w:after="0"/>
              <w:rPr>
                <w:sz w:val="8"/>
                <w:szCs w:val="8"/>
                <w:color w:val="auto"/>
              </w:rPr>
            </w:pPr>
          </w:p>
        </w:tc>
        <w:tc>
          <w:tcPr>
            <w:tcW w:w="820" w:type="dxa"/>
            <w:vAlign w:val="bottom"/>
            <w:tcBorders>
              <w:top w:val="single" w:sz="8" w:color="EEECE1"/>
              <w:bottom w:val="single" w:sz="8" w:color="EEECE1"/>
            </w:tcBorders>
            <w:shd w:val="clear" w:color="auto" w:fill="EEECE1"/>
          </w:tcPr>
          <w:p>
            <w:pPr>
              <w:spacing w:after="0"/>
              <w:rPr>
                <w:sz w:val="8"/>
                <w:szCs w:val="8"/>
                <w:color w:val="auto"/>
              </w:rPr>
            </w:pPr>
          </w:p>
        </w:tc>
        <w:tc>
          <w:tcPr>
            <w:tcW w:w="640" w:type="dxa"/>
            <w:vAlign w:val="bottom"/>
            <w:tcBorders>
              <w:top w:val="single" w:sz="8" w:color="EEECE1"/>
              <w:bottom w:val="single" w:sz="8" w:color="EEECE1"/>
            </w:tcBorders>
            <w:shd w:val="clear" w:color="auto" w:fill="EEECE1"/>
          </w:tcPr>
          <w:p>
            <w:pPr>
              <w:spacing w:after="0"/>
              <w:rPr>
                <w:sz w:val="8"/>
                <w:szCs w:val="8"/>
                <w:color w:val="auto"/>
              </w:rPr>
            </w:pPr>
          </w:p>
        </w:tc>
        <w:tc>
          <w:tcPr>
            <w:tcW w:w="40" w:type="dxa"/>
            <w:vAlign w:val="bottom"/>
            <w:tcBorders>
              <w:top w:val="single" w:sz="8" w:color="EEECE1"/>
              <w:bottom w:val="single" w:sz="8" w:color="EEECE1"/>
            </w:tcBorders>
            <w:shd w:val="clear" w:color="auto" w:fill="EEECE1"/>
          </w:tcPr>
          <w:p>
            <w:pPr>
              <w:spacing w:after="0"/>
              <w:rPr>
                <w:sz w:val="8"/>
                <w:szCs w:val="8"/>
                <w:color w:val="auto"/>
              </w:rPr>
            </w:pPr>
          </w:p>
        </w:tc>
        <w:tc>
          <w:tcPr>
            <w:tcW w:w="420" w:type="dxa"/>
            <w:vAlign w:val="bottom"/>
            <w:tcBorders>
              <w:top w:val="single" w:sz="8" w:color="EEECE1"/>
              <w:bottom w:val="single" w:sz="8" w:color="EEECE1"/>
            </w:tcBorders>
            <w:shd w:val="clear" w:color="auto" w:fill="EEECE1"/>
          </w:tcPr>
          <w:p>
            <w:pPr>
              <w:spacing w:after="0"/>
              <w:rPr>
                <w:sz w:val="8"/>
                <w:szCs w:val="8"/>
                <w:color w:val="auto"/>
              </w:rPr>
            </w:pPr>
          </w:p>
        </w:tc>
        <w:tc>
          <w:tcPr>
            <w:tcW w:w="200" w:type="dxa"/>
            <w:vAlign w:val="bottom"/>
            <w:tcBorders>
              <w:top w:val="single" w:sz="8" w:color="EEECE1"/>
              <w:bottom w:val="single" w:sz="8" w:color="EEECE1"/>
              <w:right w:val="single" w:sz="8" w:color="010101"/>
            </w:tcBorders>
            <w:shd w:val="clear" w:color="auto" w:fill="EEECE1"/>
          </w:tcPr>
          <w:p>
            <w:pPr>
              <w:spacing w:after="0"/>
              <w:rPr>
                <w:sz w:val="8"/>
                <w:szCs w:val="8"/>
                <w:color w:val="auto"/>
              </w:rPr>
            </w:pPr>
          </w:p>
        </w:tc>
        <w:tc>
          <w:tcPr>
            <w:tcW w:w="120" w:type="dxa"/>
            <w:vAlign w:val="bottom"/>
            <w:tcBorders>
              <w:top w:val="single" w:sz="8" w:color="EEECE1"/>
              <w:bottom w:val="single" w:sz="8" w:color="EEECE1"/>
            </w:tcBorders>
            <w:shd w:val="clear" w:color="auto" w:fill="EEECE1"/>
          </w:tcPr>
          <w:p>
            <w:pPr>
              <w:spacing w:after="0"/>
              <w:rPr>
                <w:sz w:val="8"/>
                <w:szCs w:val="8"/>
                <w:color w:val="auto"/>
              </w:rPr>
            </w:pPr>
          </w:p>
        </w:tc>
        <w:tc>
          <w:tcPr>
            <w:tcW w:w="80" w:type="dxa"/>
            <w:vAlign w:val="bottom"/>
            <w:tcBorders>
              <w:top w:val="single" w:sz="8" w:color="EEECE1"/>
              <w:bottom w:val="single" w:sz="8" w:color="EEECE1"/>
            </w:tcBorders>
            <w:shd w:val="clear" w:color="auto" w:fill="EEECE1"/>
          </w:tcPr>
          <w:p>
            <w:pPr>
              <w:spacing w:after="0"/>
              <w:rPr>
                <w:sz w:val="8"/>
                <w:szCs w:val="8"/>
                <w:color w:val="auto"/>
              </w:rPr>
            </w:pPr>
          </w:p>
        </w:tc>
        <w:tc>
          <w:tcPr>
            <w:tcW w:w="1240" w:type="dxa"/>
            <w:vAlign w:val="bottom"/>
            <w:tcBorders>
              <w:top w:val="single" w:sz="8" w:color="EEECE1"/>
              <w:bottom w:val="single" w:sz="8" w:color="EEECE1"/>
            </w:tcBorders>
            <w:shd w:val="clear" w:color="auto" w:fill="EEECE1"/>
          </w:tcPr>
          <w:p>
            <w:pPr>
              <w:spacing w:after="0"/>
              <w:rPr>
                <w:sz w:val="8"/>
                <w:szCs w:val="8"/>
                <w:color w:val="auto"/>
              </w:rPr>
            </w:pPr>
          </w:p>
        </w:tc>
        <w:tc>
          <w:tcPr>
            <w:tcW w:w="80" w:type="dxa"/>
            <w:vAlign w:val="bottom"/>
            <w:tcBorders>
              <w:top w:val="single" w:sz="8" w:color="EEECE1"/>
              <w:bottom w:val="single" w:sz="8" w:color="EEECE1"/>
            </w:tcBorders>
            <w:shd w:val="clear" w:color="auto" w:fill="EEECE1"/>
          </w:tcPr>
          <w:p>
            <w:pPr>
              <w:spacing w:after="0"/>
              <w:rPr>
                <w:sz w:val="8"/>
                <w:szCs w:val="8"/>
                <w:color w:val="auto"/>
              </w:rPr>
            </w:pPr>
          </w:p>
        </w:tc>
        <w:tc>
          <w:tcPr>
            <w:tcW w:w="420" w:type="dxa"/>
            <w:vAlign w:val="bottom"/>
            <w:tcBorders>
              <w:top w:val="single" w:sz="8" w:color="EEECE1"/>
              <w:bottom w:val="single" w:sz="8" w:color="EEECE1"/>
              <w:right w:val="single" w:sz="8" w:color="010101"/>
            </w:tcBorders>
            <w:shd w:val="clear" w:color="auto" w:fill="EEECE1"/>
          </w:tcPr>
          <w:p>
            <w:pPr>
              <w:spacing w:after="0"/>
              <w:rPr>
                <w:sz w:val="8"/>
                <w:szCs w:val="8"/>
                <w:color w:val="auto"/>
              </w:rPr>
            </w:pPr>
          </w:p>
        </w:tc>
        <w:tc>
          <w:tcPr>
            <w:tcW w:w="120" w:type="dxa"/>
            <w:vAlign w:val="bottom"/>
            <w:tcBorders>
              <w:top w:val="single" w:sz="8" w:color="EEECE1"/>
              <w:bottom w:val="single" w:sz="8" w:color="EEECE1"/>
            </w:tcBorders>
            <w:shd w:val="clear" w:color="auto" w:fill="EEECE1"/>
          </w:tcPr>
          <w:p>
            <w:pPr>
              <w:spacing w:after="0"/>
              <w:rPr>
                <w:sz w:val="8"/>
                <w:szCs w:val="8"/>
                <w:color w:val="auto"/>
              </w:rPr>
            </w:pPr>
          </w:p>
        </w:tc>
        <w:tc>
          <w:tcPr>
            <w:tcW w:w="40" w:type="dxa"/>
            <w:vAlign w:val="bottom"/>
            <w:tcBorders>
              <w:top w:val="single" w:sz="8" w:color="auto"/>
              <w:bottom w:val="single" w:sz="8" w:color="EEECE1"/>
            </w:tcBorders>
            <w:shd w:val="clear" w:color="auto" w:fill="EEECE1"/>
          </w:tcPr>
          <w:p>
            <w:pPr>
              <w:spacing w:after="0"/>
              <w:rPr>
                <w:sz w:val="8"/>
                <w:szCs w:val="8"/>
                <w:color w:val="auto"/>
              </w:rPr>
            </w:pPr>
          </w:p>
        </w:tc>
        <w:tc>
          <w:tcPr>
            <w:tcW w:w="440" w:type="dxa"/>
            <w:vAlign w:val="bottom"/>
            <w:tcBorders>
              <w:top w:val="single" w:sz="8" w:color="auto"/>
              <w:bottom w:val="single" w:sz="8" w:color="EEECE1"/>
            </w:tcBorders>
            <w:shd w:val="clear" w:color="auto" w:fill="EEECE1"/>
          </w:tcPr>
          <w:p>
            <w:pPr>
              <w:spacing w:after="0"/>
              <w:rPr>
                <w:sz w:val="8"/>
                <w:szCs w:val="8"/>
                <w:color w:val="auto"/>
              </w:rPr>
            </w:pPr>
          </w:p>
        </w:tc>
        <w:tc>
          <w:tcPr>
            <w:tcW w:w="60" w:type="dxa"/>
            <w:vAlign w:val="bottom"/>
            <w:tcBorders>
              <w:top w:val="single" w:sz="8" w:color="auto"/>
              <w:bottom w:val="single" w:sz="8" w:color="EEECE1"/>
            </w:tcBorders>
            <w:shd w:val="clear" w:color="auto" w:fill="EEECE1"/>
          </w:tcPr>
          <w:p>
            <w:pPr>
              <w:spacing w:after="0"/>
              <w:rPr>
                <w:sz w:val="8"/>
                <w:szCs w:val="8"/>
                <w:color w:val="auto"/>
              </w:rPr>
            </w:pPr>
          </w:p>
        </w:tc>
        <w:tc>
          <w:tcPr>
            <w:tcW w:w="720" w:type="dxa"/>
            <w:vAlign w:val="bottom"/>
            <w:tcBorders>
              <w:top w:val="single" w:sz="8" w:color="auto"/>
              <w:bottom w:val="single" w:sz="8" w:color="EEECE1"/>
            </w:tcBorders>
            <w:shd w:val="clear" w:color="auto" w:fill="EEECE1"/>
          </w:tcPr>
          <w:p>
            <w:pPr>
              <w:spacing w:after="0"/>
              <w:rPr>
                <w:sz w:val="8"/>
                <w:szCs w:val="8"/>
                <w:color w:val="auto"/>
              </w:rPr>
            </w:pPr>
          </w:p>
        </w:tc>
        <w:tc>
          <w:tcPr>
            <w:tcW w:w="140" w:type="dxa"/>
            <w:vAlign w:val="bottom"/>
            <w:tcBorders>
              <w:top w:val="single" w:sz="8" w:color="auto"/>
              <w:bottom w:val="single" w:sz="8" w:color="EEECE1"/>
            </w:tcBorders>
            <w:shd w:val="clear" w:color="auto" w:fill="EEECE1"/>
          </w:tcPr>
          <w:p>
            <w:pPr>
              <w:spacing w:after="0"/>
              <w:rPr>
                <w:sz w:val="8"/>
                <w:szCs w:val="8"/>
                <w:color w:val="auto"/>
              </w:rPr>
            </w:pPr>
          </w:p>
        </w:tc>
        <w:tc>
          <w:tcPr>
            <w:tcW w:w="260" w:type="dxa"/>
            <w:vAlign w:val="bottom"/>
            <w:tcBorders>
              <w:top w:val="single" w:sz="8" w:color="EEECE1"/>
              <w:bottom w:val="single" w:sz="8" w:color="EEECE1"/>
            </w:tcBorders>
            <w:shd w:val="clear" w:color="auto" w:fill="EEECE1"/>
          </w:tcPr>
          <w:p>
            <w:pPr>
              <w:spacing w:after="0"/>
              <w:rPr>
                <w:sz w:val="8"/>
                <w:szCs w:val="8"/>
                <w:color w:val="auto"/>
              </w:rPr>
            </w:pPr>
          </w:p>
        </w:tc>
        <w:tc>
          <w:tcPr>
            <w:tcW w:w="180" w:type="dxa"/>
            <w:vAlign w:val="bottom"/>
            <w:tcBorders>
              <w:top w:val="single" w:sz="8" w:color="EEECE1"/>
              <w:bottom w:val="single" w:sz="8" w:color="EEECE1"/>
              <w:right w:val="single" w:sz="8" w:color="010101"/>
            </w:tcBorders>
            <w:shd w:val="clear" w:color="auto" w:fill="EEECE1"/>
          </w:tcPr>
          <w:p>
            <w:pPr>
              <w:spacing w:after="0"/>
              <w:rPr>
                <w:sz w:val="8"/>
                <w:szCs w:val="8"/>
                <w:color w:val="auto"/>
              </w:rPr>
            </w:pPr>
          </w:p>
        </w:tc>
        <w:tc>
          <w:tcPr>
            <w:tcW w:w="160" w:type="dxa"/>
            <w:vAlign w:val="bottom"/>
            <w:tcBorders>
              <w:top w:val="single" w:sz="8" w:color="EEECE1"/>
              <w:bottom w:val="single" w:sz="8" w:color="EEECE1"/>
            </w:tcBorders>
            <w:shd w:val="clear" w:color="auto" w:fill="EEECE1"/>
          </w:tcPr>
          <w:p>
            <w:pPr>
              <w:spacing w:after="0"/>
              <w:rPr>
                <w:sz w:val="8"/>
                <w:szCs w:val="8"/>
                <w:color w:val="auto"/>
              </w:rPr>
            </w:pPr>
          </w:p>
        </w:tc>
        <w:tc>
          <w:tcPr>
            <w:tcW w:w="1340" w:type="dxa"/>
            <w:vAlign w:val="bottom"/>
            <w:tcBorders>
              <w:top w:val="single" w:sz="8" w:color="auto"/>
              <w:bottom w:val="single" w:sz="8" w:color="auto"/>
            </w:tcBorders>
            <w:gridSpan w:val="3"/>
            <w:vMerge w:val="continue"/>
            <w:shd w:val="clear" w:color="auto" w:fill="EEECE1"/>
          </w:tcPr>
          <w:p>
            <w:pPr>
              <w:spacing w:after="0"/>
              <w:rPr>
                <w:sz w:val="8"/>
                <w:szCs w:val="8"/>
                <w:color w:val="auto"/>
              </w:rPr>
            </w:pPr>
          </w:p>
        </w:tc>
        <w:tc>
          <w:tcPr>
            <w:tcW w:w="420" w:type="dxa"/>
            <w:vAlign w:val="bottom"/>
            <w:tcBorders>
              <w:top w:val="single" w:sz="8" w:color="EEECE1"/>
              <w:bottom w:val="single" w:sz="8" w:color="EEECE1"/>
              <w:right w:val="single" w:sz="8" w:color="010101"/>
            </w:tcBorders>
            <w:gridSpan w:val="4"/>
            <w:shd w:val="clear" w:color="auto" w:fill="EEECE1"/>
          </w:tcPr>
          <w:p>
            <w:pPr>
              <w:spacing w:after="0"/>
              <w:rPr>
                <w:sz w:val="8"/>
                <w:szCs w:val="8"/>
                <w:color w:val="auto"/>
              </w:rPr>
            </w:pPr>
          </w:p>
        </w:tc>
        <w:tc>
          <w:tcPr>
            <w:tcW w:w="320" w:type="dxa"/>
            <w:vAlign w:val="bottom"/>
            <w:tcBorders>
              <w:top w:val="single" w:sz="8" w:color="EEECE1"/>
              <w:bottom w:val="single" w:sz="8" w:color="EEECE1"/>
              <w:right w:val="single" w:sz="8" w:color="EEECE1"/>
            </w:tcBorders>
            <w:shd w:val="clear" w:color="auto" w:fill="EEECE1"/>
          </w:tcPr>
          <w:p>
            <w:pPr>
              <w:spacing w:after="0"/>
              <w:rPr>
                <w:sz w:val="8"/>
                <w:szCs w:val="8"/>
                <w:color w:val="auto"/>
              </w:rPr>
            </w:pPr>
          </w:p>
        </w:tc>
        <w:tc>
          <w:tcPr>
            <w:tcW w:w="420" w:type="dxa"/>
            <w:vAlign w:val="bottom"/>
            <w:tcBorders>
              <w:top w:val="single" w:sz="8" w:color="EEECE1"/>
              <w:bottom w:val="single" w:sz="8" w:color="EEECE1"/>
              <w:right w:val="single" w:sz="8" w:color="EEECE1"/>
            </w:tcBorders>
            <w:shd w:val="clear" w:color="auto" w:fill="EEECE1"/>
          </w:tcPr>
          <w:p>
            <w:pPr>
              <w:spacing w:after="0"/>
              <w:rPr>
                <w:sz w:val="8"/>
                <w:szCs w:val="8"/>
                <w:color w:val="auto"/>
              </w:rPr>
            </w:pPr>
          </w:p>
        </w:tc>
        <w:tc>
          <w:tcPr>
            <w:tcW w:w="840" w:type="dxa"/>
            <w:vAlign w:val="bottom"/>
            <w:tcBorders>
              <w:top w:val="single" w:sz="8" w:color="auto"/>
              <w:bottom w:val="single" w:sz="8" w:color="auto"/>
              <w:right w:val="single" w:sz="8" w:color="EEECE1"/>
            </w:tcBorders>
            <w:gridSpan w:val="2"/>
            <w:vMerge w:val="continue"/>
            <w:shd w:val="clear" w:color="auto" w:fill="EEECE1"/>
          </w:tcPr>
          <w:p>
            <w:pPr>
              <w:spacing w:after="0"/>
              <w:rPr>
                <w:sz w:val="8"/>
                <w:szCs w:val="8"/>
                <w:color w:val="auto"/>
              </w:rPr>
            </w:pPr>
          </w:p>
        </w:tc>
        <w:tc>
          <w:tcPr>
            <w:tcW w:w="360" w:type="dxa"/>
            <w:vAlign w:val="bottom"/>
            <w:tcBorders>
              <w:top w:val="single" w:sz="8" w:color="EEECE1"/>
              <w:bottom w:val="single" w:sz="8" w:color="EEECE1"/>
              <w:right w:val="single" w:sz="8" w:color="010101"/>
            </w:tcBorders>
            <w:vMerge w:val="continue"/>
            <w:shd w:val="clear" w:color="auto" w:fill="EEECE1"/>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100" w:type="dxa"/>
            <w:vAlign w:val="bottom"/>
            <w:tcBorders>
              <w:top w:val="single" w:sz="8" w:color="EEECE1"/>
              <w:left w:val="single" w:sz="8" w:color="010101"/>
              <w:bottom w:val="single" w:sz="8" w:color="010101"/>
            </w:tcBorders>
            <w:shd w:val="clear" w:color="auto" w:fill="EEECE1"/>
          </w:tcPr>
          <w:p>
            <w:pPr>
              <w:spacing w:after="0"/>
              <w:rPr>
                <w:sz w:val="6"/>
                <w:szCs w:val="6"/>
                <w:color w:val="auto"/>
              </w:rPr>
            </w:pPr>
          </w:p>
        </w:tc>
        <w:tc>
          <w:tcPr>
            <w:tcW w:w="20" w:type="dxa"/>
            <w:vAlign w:val="bottom"/>
            <w:tcBorders>
              <w:top w:val="single" w:sz="8" w:color="EEECE1"/>
              <w:bottom w:val="single" w:sz="8" w:color="010101"/>
            </w:tcBorders>
            <w:shd w:val="clear" w:color="auto" w:fill="EEECE1"/>
          </w:tcPr>
          <w:p>
            <w:pPr>
              <w:spacing w:after="0"/>
              <w:rPr>
                <w:sz w:val="6"/>
                <w:szCs w:val="6"/>
                <w:color w:val="auto"/>
              </w:rPr>
            </w:pPr>
          </w:p>
        </w:tc>
        <w:tc>
          <w:tcPr>
            <w:tcW w:w="820" w:type="dxa"/>
            <w:vAlign w:val="bottom"/>
            <w:tcBorders>
              <w:top w:val="single" w:sz="8" w:color="EEECE1"/>
              <w:bottom w:val="single" w:sz="8" w:color="010101"/>
            </w:tcBorders>
            <w:shd w:val="clear" w:color="auto" w:fill="EEECE1"/>
          </w:tcPr>
          <w:p>
            <w:pPr>
              <w:spacing w:after="0"/>
              <w:rPr>
                <w:sz w:val="6"/>
                <w:szCs w:val="6"/>
                <w:color w:val="auto"/>
              </w:rPr>
            </w:pPr>
          </w:p>
        </w:tc>
        <w:tc>
          <w:tcPr>
            <w:tcW w:w="640" w:type="dxa"/>
            <w:vAlign w:val="bottom"/>
            <w:tcBorders>
              <w:top w:val="single" w:sz="8" w:color="EEECE1"/>
              <w:bottom w:val="single" w:sz="8" w:color="010101"/>
            </w:tcBorders>
            <w:shd w:val="clear" w:color="auto" w:fill="EEECE1"/>
          </w:tcPr>
          <w:p>
            <w:pPr>
              <w:spacing w:after="0"/>
              <w:rPr>
                <w:sz w:val="6"/>
                <w:szCs w:val="6"/>
                <w:color w:val="auto"/>
              </w:rPr>
            </w:pPr>
          </w:p>
        </w:tc>
        <w:tc>
          <w:tcPr>
            <w:tcW w:w="40" w:type="dxa"/>
            <w:vAlign w:val="bottom"/>
            <w:tcBorders>
              <w:top w:val="single" w:sz="8" w:color="EEECE1"/>
              <w:bottom w:val="single" w:sz="8" w:color="010101"/>
            </w:tcBorders>
            <w:shd w:val="clear" w:color="auto" w:fill="EEECE1"/>
          </w:tcPr>
          <w:p>
            <w:pPr>
              <w:spacing w:after="0"/>
              <w:rPr>
                <w:sz w:val="6"/>
                <w:szCs w:val="6"/>
                <w:color w:val="auto"/>
              </w:rPr>
            </w:pPr>
          </w:p>
        </w:tc>
        <w:tc>
          <w:tcPr>
            <w:tcW w:w="420" w:type="dxa"/>
            <w:vAlign w:val="bottom"/>
            <w:tcBorders>
              <w:top w:val="single" w:sz="8" w:color="EEECE1"/>
              <w:bottom w:val="single" w:sz="8" w:color="010101"/>
            </w:tcBorders>
            <w:shd w:val="clear" w:color="auto" w:fill="EEECE1"/>
          </w:tcPr>
          <w:p>
            <w:pPr>
              <w:spacing w:after="0"/>
              <w:rPr>
                <w:sz w:val="6"/>
                <w:szCs w:val="6"/>
                <w:color w:val="auto"/>
              </w:rPr>
            </w:pPr>
          </w:p>
        </w:tc>
        <w:tc>
          <w:tcPr>
            <w:tcW w:w="200" w:type="dxa"/>
            <w:vAlign w:val="bottom"/>
            <w:tcBorders>
              <w:top w:val="single" w:sz="8" w:color="EEECE1"/>
              <w:bottom w:val="single" w:sz="8" w:color="010101"/>
              <w:right w:val="single" w:sz="8" w:color="010101"/>
            </w:tcBorders>
            <w:shd w:val="clear" w:color="auto" w:fill="EEECE1"/>
          </w:tcPr>
          <w:p>
            <w:pPr>
              <w:spacing w:after="0"/>
              <w:rPr>
                <w:sz w:val="6"/>
                <w:szCs w:val="6"/>
                <w:color w:val="auto"/>
              </w:rPr>
            </w:pPr>
          </w:p>
        </w:tc>
        <w:tc>
          <w:tcPr>
            <w:tcW w:w="120" w:type="dxa"/>
            <w:vAlign w:val="bottom"/>
            <w:tcBorders>
              <w:top w:val="single" w:sz="8" w:color="EEECE1"/>
              <w:bottom w:val="single" w:sz="8" w:color="010101"/>
            </w:tcBorders>
            <w:shd w:val="clear" w:color="auto" w:fill="EEECE1"/>
          </w:tcPr>
          <w:p>
            <w:pPr>
              <w:spacing w:after="0"/>
              <w:rPr>
                <w:sz w:val="6"/>
                <w:szCs w:val="6"/>
                <w:color w:val="auto"/>
              </w:rPr>
            </w:pPr>
          </w:p>
        </w:tc>
        <w:tc>
          <w:tcPr>
            <w:tcW w:w="80" w:type="dxa"/>
            <w:vAlign w:val="bottom"/>
            <w:tcBorders>
              <w:top w:val="single" w:sz="8" w:color="EEECE1"/>
              <w:bottom w:val="single" w:sz="8" w:color="010101"/>
            </w:tcBorders>
            <w:shd w:val="clear" w:color="auto" w:fill="EEECE1"/>
          </w:tcPr>
          <w:p>
            <w:pPr>
              <w:spacing w:after="0"/>
              <w:rPr>
                <w:sz w:val="6"/>
                <w:szCs w:val="6"/>
                <w:color w:val="auto"/>
              </w:rPr>
            </w:pPr>
          </w:p>
        </w:tc>
        <w:tc>
          <w:tcPr>
            <w:tcW w:w="1240" w:type="dxa"/>
            <w:vAlign w:val="bottom"/>
            <w:tcBorders>
              <w:top w:val="single" w:sz="8" w:color="EEECE1"/>
              <w:bottom w:val="single" w:sz="8" w:color="010101"/>
            </w:tcBorders>
            <w:shd w:val="clear" w:color="auto" w:fill="EEECE1"/>
          </w:tcPr>
          <w:p>
            <w:pPr>
              <w:spacing w:after="0"/>
              <w:rPr>
                <w:sz w:val="6"/>
                <w:szCs w:val="6"/>
                <w:color w:val="auto"/>
              </w:rPr>
            </w:pPr>
          </w:p>
        </w:tc>
        <w:tc>
          <w:tcPr>
            <w:tcW w:w="80" w:type="dxa"/>
            <w:vAlign w:val="bottom"/>
            <w:tcBorders>
              <w:top w:val="single" w:sz="8" w:color="EEECE1"/>
              <w:bottom w:val="single" w:sz="8" w:color="010101"/>
            </w:tcBorders>
            <w:shd w:val="clear" w:color="auto" w:fill="EEECE1"/>
          </w:tcPr>
          <w:p>
            <w:pPr>
              <w:spacing w:after="0"/>
              <w:rPr>
                <w:sz w:val="6"/>
                <w:szCs w:val="6"/>
                <w:color w:val="auto"/>
              </w:rPr>
            </w:pPr>
          </w:p>
        </w:tc>
        <w:tc>
          <w:tcPr>
            <w:tcW w:w="420" w:type="dxa"/>
            <w:vAlign w:val="bottom"/>
            <w:tcBorders>
              <w:top w:val="single" w:sz="8" w:color="EEECE1"/>
              <w:bottom w:val="single" w:sz="8" w:color="010101"/>
              <w:right w:val="single" w:sz="8" w:color="010101"/>
            </w:tcBorders>
            <w:shd w:val="clear" w:color="auto" w:fill="EEECE1"/>
          </w:tcPr>
          <w:p>
            <w:pPr>
              <w:spacing w:after="0"/>
              <w:rPr>
                <w:sz w:val="6"/>
                <w:szCs w:val="6"/>
                <w:color w:val="auto"/>
              </w:rPr>
            </w:pPr>
          </w:p>
        </w:tc>
        <w:tc>
          <w:tcPr>
            <w:tcW w:w="120" w:type="dxa"/>
            <w:vAlign w:val="bottom"/>
            <w:tcBorders>
              <w:top w:val="single" w:sz="8" w:color="EEECE1"/>
              <w:bottom w:val="single" w:sz="8" w:color="010101"/>
            </w:tcBorders>
            <w:shd w:val="clear" w:color="auto" w:fill="EEECE1"/>
          </w:tcPr>
          <w:p>
            <w:pPr>
              <w:spacing w:after="0"/>
              <w:rPr>
                <w:sz w:val="6"/>
                <w:szCs w:val="6"/>
                <w:color w:val="auto"/>
              </w:rPr>
            </w:pPr>
          </w:p>
        </w:tc>
        <w:tc>
          <w:tcPr>
            <w:tcW w:w="40" w:type="dxa"/>
            <w:vAlign w:val="bottom"/>
            <w:tcBorders>
              <w:top w:val="single" w:sz="8" w:color="EEECE1"/>
              <w:bottom w:val="single" w:sz="8" w:color="010101"/>
            </w:tcBorders>
            <w:shd w:val="clear" w:color="auto" w:fill="EEECE1"/>
          </w:tcPr>
          <w:p>
            <w:pPr>
              <w:spacing w:after="0"/>
              <w:rPr>
                <w:sz w:val="6"/>
                <w:szCs w:val="6"/>
                <w:color w:val="auto"/>
              </w:rPr>
            </w:pPr>
          </w:p>
        </w:tc>
        <w:tc>
          <w:tcPr>
            <w:tcW w:w="440" w:type="dxa"/>
            <w:vAlign w:val="bottom"/>
            <w:tcBorders>
              <w:top w:val="single" w:sz="8" w:color="EEECE1"/>
              <w:bottom w:val="single" w:sz="8" w:color="010101"/>
            </w:tcBorders>
            <w:shd w:val="clear" w:color="auto" w:fill="EEECE1"/>
          </w:tcPr>
          <w:p>
            <w:pPr>
              <w:spacing w:after="0"/>
              <w:rPr>
                <w:sz w:val="6"/>
                <w:szCs w:val="6"/>
                <w:color w:val="auto"/>
              </w:rPr>
            </w:pPr>
          </w:p>
        </w:tc>
        <w:tc>
          <w:tcPr>
            <w:tcW w:w="60" w:type="dxa"/>
            <w:vAlign w:val="bottom"/>
            <w:tcBorders>
              <w:top w:val="single" w:sz="8" w:color="EEECE1"/>
              <w:bottom w:val="single" w:sz="8" w:color="010101"/>
            </w:tcBorders>
            <w:shd w:val="clear" w:color="auto" w:fill="EEECE1"/>
          </w:tcPr>
          <w:p>
            <w:pPr>
              <w:spacing w:after="0"/>
              <w:rPr>
                <w:sz w:val="6"/>
                <w:szCs w:val="6"/>
                <w:color w:val="auto"/>
              </w:rPr>
            </w:pPr>
          </w:p>
        </w:tc>
        <w:tc>
          <w:tcPr>
            <w:tcW w:w="720" w:type="dxa"/>
            <w:vAlign w:val="bottom"/>
            <w:tcBorders>
              <w:top w:val="single" w:sz="8" w:color="EEECE1"/>
              <w:bottom w:val="single" w:sz="8" w:color="010101"/>
            </w:tcBorders>
            <w:shd w:val="clear" w:color="auto" w:fill="EEECE1"/>
          </w:tcPr>
          <w:p>
            <w:pPr>
              <w:spacing w:after="0"/>
              <w:rPr>
                <w:sz w:val="6"/>
                <w:szCs w:val="6"/>
                <w:color w:val="auto"/>
              </w:rPr>
            </w:pPr>
          </w:p>
        </w:tc>
        <w:tc>
          <w:tcPr>
            <w:tcW w:w="140" w:type="dxa"/>
            <w:vAlign w:val="bottom"/>
            <w:tcBorders>
              <w:top w:val="single" w:sz="8" w:color="EEECE1"/>
              <w:bottom w:val="single" w:sz="8" w:color="010101"/>
            </w:tcBorders>
            <w:shd w:val="clear" w:color="auto" w:fill="EEECE1"/>
          </w:tcPr>
          <w:p>
            <w:pPr>
              <w:spacing w:after="0"/>
              <w:rPr>
                <w:sz w:val="6"/>
                <w:szCs w:val="6"/>
                <w:color w:val="auto"/>
              </w:rPr>
            </w:pPr>
          </w:p>
        </w:tc>
        <w:tc>
          <w:tcPr>
            <w:tcW w:w="260" w:type="dxa"/>
            <w:vAlign w:val="bottom"/>
            <w:tcBorders>
              <w:top w:val="single" w:sz="8" w:color="EEECE1"/>
              <w:bottom w:val="single" w:sz="8" w:color="010101"/>
            </w:tcBorders>
            <w:shd w:val="clear" w:color="auto" w:fill="EEECE1"/>
          </w:tcPr>
          <w:p>
            <w:pPr>
              <w:spacing w:after="0"/>
              <w:rPr>
                <w:sz w:val="6"/>
                <w:szCs w:val="6"/>
                <w:color w:val="auto"/>
              </w:rPr>
            </w:pPr>
          </w:p>
        </w:tc>
        <w:tc>
          <w:tcPr>
            <w:tcW w:w="180" w:type="dxa"/>
            <w:vAlign w:val="bottom"/>
            <w:tcBorders>
              <w:top w:val="single" w:sz="8" w:color="EEECE1"/>
              <w:bottom w:val="single" w:sz="8" w:color="010101"/>
              <w:right w:val="single" w:sz="8" w:color="010101"/>
            </w:tcBorders>
            <w:shd w:val="clear" w:color="auto" w:fill="EEECE1"/>
          </w:tcPr>
          <w:p>
            <w:pPr>
              <w:spacing w:after="0"/>
              <w:rPr>
                <w:sz w:val="6"/>
                <w:szCs w:val="6"/>
                <w:color w:val="auto"/>
              </w:rPr>
            </w:pPr>
          </w:p>
        </w:tc>
        <w:tc>
          <w:tcPr>
            <w:tcW w:w="160" w:type="dxa"/>
            <w:vAlign w:val="bottom"/>
            <w:tcBorders>
              <w:top w:val="single" w:sz="8" w:color="EEECE1"/>
              <w:bottom w:val="single" w:sz="8" w:color="010101"/>
            </w:tcBorders>
            <w:shd w:val="clear" w:color="auto" w:fill="EEECE1"/>
          </w:tcPr>
          <w:p>
            <w:pPr>
              <w:spacing w:after="0"/>
              <w:rPr>
                <w:sz w:val="6"/>
                <w:szCs w:val="6"/>
                <w:color w:val="auto"/>
              </w:rPr>
            </w:pPr>
          </w:p>
        </w:tc>
        <w:tc>
          <w:tcPr>
            <w:tcW w:w="60" w:type="dxa"/>
            <w:vAlign w:val="bottom"/>
            <w:tcBorders>
              <w:top w:val="single" w:sz="8" w:color="EEECE1"/>
              <w:bottom w:val="single" w:sz="8" w:color="010101"/>
            </w:tcBorders>
            <w:shd w:val="clear" w:color="auto" w:fill="EEECE1"/>
          </w:tcPr>
          <w:p>
            <w:pPr>
              <w:spacing w:after="0"/>
              <w:rPr>
                <w:sz w:val="6"/>
                <w:szCs w:val="6"/>
                <w:color w:val="auto"/>
              </w:rPr>
            </w:pPr>
          </w:p>
        </w:tc>
        <w:tc>
          <w:tcPr>
            <w:tcW w:w="440" w:type="dxa"/>
            <w:vAlign w:val="bottom"/>
            <w:tcBorders>
              <w:top w:val="single" w:sz="8" w:color="EEECE1"/>
              <w:bottom w:val="single" w:sz="8" w:color="010101"/>
            </w:tcBorders>
            <w:shd w:val="clear" w:color="auto" w:fill="EEECE1"/>
          </w:tcPr>
          <w:p>
            <w:pPr>
              <w:spacing w:after="0"/>
              <w:rPr>
                <w:sz w:val="6"/>
                <w:szCs w:val="6"/>
                <w:color w:val="auto"/>
              </w:rPr>
            </w:pPr>
          </w:p>
        </w:tc>
        <w:tc>
          <w:tcPr>
            <w:tcW w:w="840" w:type="dxa"/>
            <w:vAlign w:val="bottom"/>
            <w:tcBorders>
              <w:top w:val="single" w:sz="8" w:color="EEECE1"/>
              <w:bottom w:val="single" w:sz="8" w:color="010101"/>
            </w:tcBorders>
            <w:shd w:val="clear" w:color="auto" w:fill="EEECE1"/>
          </w:tcPr>
          <w:p>
            <w:pPr>
              <w:spacing w:after="0"/>
              <w:rPr>
                <w:sz w:val="6"/>
                <w:szCs w:val="6"/>
                <w:color w:val="auto"/>
              </w:rPr>
            </w:pPr>
          </w:p>
        </w:tc>
        <w:tc>
          <w:tcPr>
            <w:tcW w:w="220" w:type="dxa"/>
            <w:vAlign w:val="bottom"/>
            <w:tcBorders>
              <w:top w:val="single" w:sz="8" w:color="EEECE1"/>
              <w:bottom w:val="single" w:sz="8" w:color="010101"/>
            </w:tcBorders>
            <w:shd w:val="clear" w:color="auto" w:fill="EEECE1"/>
          </w:tcPr>
          <w:p>
            <w:pPr>
              <w:spacing w:after="0"/>
              <w:rPr>
                <w:sz w:val="6"/>
                <w:szCs w:val="6"/>
                <w:color w:val="auto"/>
              </w:rPr>
            </w:pPr>
          </w:p>
        </w:tc>
        <w:tc>
          <w:tcPr>
            <w:tcW w:w="20" w:type="dxa"/>
            <w:vAlign w:val="bottom"/>
            <w:tcBorders>
              <w:top w:val="single" w:sz="8" w:color="EEECE1"/>
              <w:bottom w:val="single" w:sz="8" w:color="010101"/>
            </w:tcBorders>
            <w:shd w:val="clear" w:color="auto" w:fill="EEECE1"/>
          </w:tcPr>
          <w:p>
            <w:pPr>
              <w:spacing w:after="0"/>
              <w:rPr>
                <w:sz w:val="6"/>
                <w:szCs w:val="6"/>
                <w:color w:val="auto"/>
              </w:rPr>
            </w:pPr>
          </w:p>
        </w:tc>
        <w:tc>
          <w:tcPr>
            <w:tcW w:w="20" w:type="dxa"/>
            <w:vAlign w:val="bottom"/>
            <w:tcBorders>
              <w:top w:val="single" w:sz="8" w:color="EEECE1"/>
              <w:bottom w:val="single" w:sz="8" w:color="010101"/>
            </w:tcBorders>
            <w:shd w:val="clear" w:color="auto" w:fill="EEECE1"/>
          </w:tcPr>
          <w:p>
            <w:pPr>
              <w:spacing w:after="0"/>
              <w:rPr>
                <w:sz w:val="6"/>
                <w:szCs w:val="6"/>
                <w:color w:val="auto"/>
              </w:rPr>
            </w:pPr>
          </w:p>
        </w:tc>
        <w:tc>
          <w:tcPr>
            <w:tcW w:w="160" w:type="dxa"/>
            <w:vAlign w:val="bottom"/>
            <w:tcBorders>
              <w:top w:val="single" w:sz="8" w:color="EEECE1"/>
              <w:bottom w:val="single" w:sz="8" w:color="010101"/>
              <w:right w:val="single" w:sz="8" w:color="010101"/>
            </w:tcBorders>
            <w:shd w:val="clear" w:color="auto" w:fill="EEECE1"/>
          </w:tcPr>
          <w:p>
            <w:pPr>
              <w:spacing w:after="0"/>
              <w:rPr>
                <w:sz w:val="6"/>
                <w:szCs w:val="6"/>
                <w:color w:val="auto"/>
              </w:rPr>
            </w:pPr>
          </w:p>
        </w:tc>
        <w:tc>
          <w:tcPr>
            <w:tcW w:w="320" w:type="dxa"/>
            <w:vAlign w:val="bottom"/>
            <w:tcBorders>
              <w:top w:val="single" w:sz="8" w:color="EEECE1"/>
              <w:bottom w:val="single" w:sz="8" w:color="010101"/>
              <w:right w:val="single" w:sz="8" w:color="EEECE1"/>
            </w:tcBorders>
            <w:shd w:val="clear" w:color="auto" w:fill="EEECE1"/>
          </w:tcPr>
          <w:p>
            <w:pPr>
              <w:spacing w:after="0"/>
              <w:rPr>
                <w:sz w:val="6"/>
                <w:szCs w:val="6"/>
                <w:color w:val="auto"/>
              </w:rPr>
            </w:pPr>
          </w:p>
        </w:tc>
        <w:tc>
          <w:tcPr>
            <w:tcW w:w="420" w:type="dxa"/>
            <w:vAlign w:val="bottom"/>
            <w:tcBorders>
              <w:top w:val="single" w:sz="8" w:color="EEECE1"/>
              <w:bottom w:val="single" w:sz="8" w:color="010101"/>
              <w:right w:val="single" w:sz="8" w:color="EEECE1"/>
            </w:tcBorders>
            <w:shd w:val="clear" w:color="auto" w:fill="EEECE1"/>
          </w:tcPr>
          <w:p>
            <w:pPr>
              <w:spacing w:after="0"/>
              <w:rPr>
                <w:sz w:val="6"/>
                <w:szCs w:val="6"/>
                <w:color w:val="auto"/>
              </w:rPr>
            </w:pPr>
          </w:p>
        </w:tc>
        <w:tc>
          <w:tcPr>
            <w:tcW w:w="440" w:type="dxa"/>
            <w:vAlign w:val="bottom"/>
            <w:tcBorders>
              <w:top w:val="single" w:sz="8" w:color="auto"/>
              <w:bottom w:val="single" w:sz="8" w:color="010101"/>
              <w:right w:val="single" w:sz="8" w:color="EEECE1"/>
            </w:tcBorders>
            <w:shd w:val="clear" w:color="auto" w:fill="EEECE1"/>
          </w:tcPr>
          <w:p>
            <w:pPr>
              <w:spacing w:after="0"/>
              <w:rPr>
                <w:sz w:val="6"/>
                <w:szCs w:val="6"/>
                <w:color w:val="auto"/>
              </w:rPr>
            </w:pPr>
          </w:p>
        </w:tc>
        <w:tc>
          <w:tcPr>
            <w:tcW w:w="400" w:type="dxa"/>
            <w:vAlign w:val="bottom"/>
            <w:tcBorders>
              <w:top w:val="single" w:sz="8" w:color="EEECE1"/>
              <w:bottom w:val="single" w:sz="8" w:color="010101"/>
              <w:right w:val="single" w:sz="8" w:color="EEECE1"/>
            </w:tcBorders>
            <w:shd w:val="clear" w:color="auto" w:fill="EEECE1"/>
          </w:tcPr>
          <w:p>
            <w:pPr>
              <w:spacing w:after="0"/>
              <w:rPr>
                <w:sz w:val="6"/>
                <w:szCs w:val="6"/>
                <w:color w:val="auto"/>
              </w:rPr>
            </w:pPr>
          </w:p>
        </w:tc>
        <w:tc>
          <w:tcPr>
            <w:tcW w:w="360" w:type="dxa"/>
            <w:vAlign w:val="bottom"/>
            <w:tcBorders>
              <w:top w:val="single" w:sz="8" w:color="EEECE1"/>
              <w:bottom w:val="single" w:sz="8" w:color="010101"/>
              <w:right w:val="single" w:sz="8" w:color="010101"/>
            </w:tcBorders>
            <w:shd w:val="clear" w:color="auto" w:fill="EEECE1"/>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100" w:type="dxa"/>
            <w:vAlign w:val="bottom"/>
            <w:tcBorders>
              <w:left w:val="single" w:sz="8" w:color="010101"/>
            </w:tcBorders>
          </w:tcPr>
          <w:p>
            <w:pPr>
              <w:spacing w:after="0"/>
              <w:rPr>
                <w:sz w:val="19"/>
                <w:szCs w:val="19"/>
                <w:color w:val="auto"/>
              </w:rPr>
            </w:pPr>
          </w:p>
        </w:tc>
        <w:tc>
          <w:tcPr>
            <w:tcW w:w="2140" w:type="dxa"/>
            <w:vAlign w:val="bottom"/>
            <w:tcBorders>
              <w:right w:val="single" w:sz="8" w:color="010101"/>
            </w:tcBorders>
            <w:gridSpan w:val="6"/>
          </w:tcPr>
          <w:p>
            <w:pPr>
              <w:spacing w:after="0"/>
              <w:rPr>
                <w:sz w:val="20"/>
                <w:szCs w:val="20"/>
                <w:color w:val="auto"/>
              </w:rPr>
            </w:pPr>
            <w:r>
              <w:rPr>
                <w:rFonts w:ascii="Arial" w:cs="Arial" w:eastAsia="Arial" w:hAnsi="Arial"/>
                <w:sz w:val="19"/>
                <w:szCs w:val="19"/>
                <w:color w:val="auto"/>
              </w:rPr>
              <w:t>Category 1 Greater</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right w:val="single" w:sz="8" w:color="010101"/>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right w:val="single" w:sz="8" w:color="010101"/>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right w:val="single" w:sz="8" w:color="010101"/>
            </w:tcBorders>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Borders>
              <w:right w:val="single" w:sz="8" w:color="010101"/>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00" w:type="dxa"/>
            <w:vAlign w:val="bottom"/>
            <w:tcBorders>
              <w:left w:val="single" w:sz="8" w:color="010101"/>
            </w:tcBorders>
          </w:tcPr>
          <w:p>
            <w:pPr>
              <w:spacing w:after="0"/>
              <w:rPr>
                <w:sz w:val="15"/>
                <w:szCs w:val="15"/>
                <w:color w:val="auto"/>
              </w:rPr>
            </w:pPr>
          </w:p>
        </w:tc>
        <w:tc>
          <w:tcPr>
            <w:tcW w:w="840" w:type="dxa"/>
            <w:vAlign w:val="bottom"/>
            <w:tcBorders>
              <w:top w:val="single" w:sz="8" w:color="auto"/>
            </w:tcBorders>
            <w:gridSpan w:val="2"/>
          </w:tcPr>
          <w:p>
            <w:pPr>
              <w:spacing w:after="0" w:line="173" w:lineRule="exact"/>
              <w:rPr>
                <w:sz w:val="20"/>
                <w:szCs w:val="20"/>
                <w:color w:val="auto"/>
              </w:rPr>
            </w:pPr>
            <w:r>
              <w:rPr>
                <w:rFonts w:ascii="Arial" w:cs="Arial" w:eastAsia="Arial" w:hAnsi="Arial"/>
                <w:sz w:val="19"/>
                <w:szCs w:val="19"/>
                <w:color w:val="auto"/>
              </w:rPr>
              <w:t>than</w:t>
            </w:r>
          </w:p>
        </w:tc>
        <w:tc>
          <w:tcPr>
            <w:tcW w:w="1300" w:type="dxa"/>
            <w:vAlign w:val="bottom"/>
            <w:tcBorders>
              <w:right w:val="single" w:sz="8" w:color="010101"/>
            </w:tcBorders>
            <w:gridSpan w:val="4"/>
          </w:tcPr>
          <w:p>
            <w:pPr>
              <w:spacing w:after="0"/>
              <w:rPr>
                <w:sz w:val="15"/>
                <w:szCs w:val="15"/>
                <w:color w:val="auto"/>
              </w:rPr>
            </w:pPr>
          </w:p>
        </w:tc>
        <w:tc>
          <w:tcPr>
            <w:tcW w:w="1440" w:type="dxa"/>
            <w:vAlign w:val="bottom"/>
            <w:gridSpan w:val="3"/>
            <w:vMerge w:val="restart"/>
          </w:tcPr>
          <w:p>
            <w:pPr>
              <w:jc w:val="right"/>
              <w:ind w:right="176"/>
              <w:spacing w:after="0"/>
              <w:rPr>
                <w:sz w:val="20"/>
                <w:szCs w:val="20"/>
                <w:color w:val="auto"/>
              </w:rPr>
            </w:pPr>
            <w:r>
              <w:rPr>
                <w:rFonts w:ascii="Arial" w:cs="Arial" w:eastAsia="Arial" w:hAnsi="Arial"/>
                <w:sz w:val="19"/>
                <w:szCs w:val="19"/>
                <w:color w:val="auto"/>
              </w:rPr>
              <w:t>1.25%</w:t>
            </w:r>
          </w:p>
        </w:tc>
        <w:tc>
          <w:tcPr>
            <w:tcW w:w="80" w:type="dxa"/>
            <w:vAlign w:val="bottom"/>
          </w:tcPr>
          <w:p>
            <w:pPr>
              <w:spacing w:after="0"/>
              <w:rPr>
                <w:sz w:val="15"/>
                <w:szCs w:val="15"/>
                <w:color w:val="auto"/>
              </w:rPr>
            </w:pPr>
          </w:p>
        </w:tc>
        <w:tc>
          <w:tcPr>
            <w:tcW w:w="420" w:type="dxa"/>
            <w:vAlign w:val="bottom"/>
            <w:tcBorders>
              <w:right w:val="single" w:sz="8" w:color="010101"/>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vMerge w:val="restart"/>
          </w:tcPr>
          <w:p>
            <w:pPr>
              <w:jc w:val="right"/>
              <w:ind w:right="86"/>
              <w:spacing w:after="0"/>
              <w:rPr>
                <w:sz w:val="20"/>
                <w:szCs w:val="20"/>
                <w:color w:val="auto"/>
              </w:rPr>
            </w:pPr>
            <w:r>
              <w:rPr>
                <w:rFonts w:ascii="Arial" w:cs="Arial" w:eastAsia="Arial" w:hAnsi="Arial"/>
                <w:sz w:val="19"/>
                <w:szCs w:val="19"/>
                <w:color w:val="auto"/>
                <w:w w:val="96"/>
              </w:rPr>
              <w:t>2.25%</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right w:val="single" w:sz="8" w:color="010101"/>
            </w:tcBorders>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vMerge w:val="restart"/>
          </w:tcPr>
          <w:p>
            <w:pPr>
              <w:jc w:val="right"/>
              <w:ind w:right="229"/>
              <w:spacing w:after="0"/>
              <w:rPr>
                <w:sz w:val="20"/>
                <w:szCs w:val="20"/>
                <w:color w:val="auto"/>
              </w:rPr>
            </w:pPr>
            <w:r>
              <w:rPr>
                <w:rFonts w:ascii="Arial" w:cs="Arial" w:eastAsia="Arial" w:hAnsi="Arial"/>
                <w:sz w:val="19"/>
                <w:szCs w:val="19"/>
                <w:color w:val="auto"/>
                <w:w w:val="92"/>
              </w:rPr>
              <w:t>1.25%</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right w:val="single" w:sz="8" w:color="010101"/>
            </w:tcBorders>
          </w:tcPr>
          <w:p>
            <w:pPr>
              <w:spacing w:after="0"/>
              <w:rPr>
                <w:sz w:val="15"/>
                <w:szCs w:val="15"/>
                <w:color w:val="auto"/>
              </w:rPr>
            </w:pPr>
          </w:p>
        </w:tc>
        <w:tc>
          <w:tcPr>
            <w:tcW w:w="1580" w:type="dxa"/>
            <w:vAlign w:val="bottom"/>
            <w:gridSpan w:val="4"/>
            <w:vMerge w:val="restart"/>
          </w:tcPr>
          <w:p>
            <w:pPr>
              <w:ind w:left="720"/>
              <w:spacing w:after="0"/>
              <w:rPr>
                <w:sz w:val="20"/>
                <w:szCs w:val="20"/>
                <w:color w:val="auto"/>
              </w:rPr>
            </w:pPr>
            <w:r>
              <w:rPr>
                <w:rFonts w:ascii="Arial" w:cs="Arial" w:eastAsia="Arial" w:hAnsi="Arial"/>
                <w:sz w:val="19"/>
                <w:szCs w:val="19"/>
                <w:color w:val="auto"/>
              </w:rPr>
              <w:t>2.25%</w:t>
            </w:r>
          </w:p>
        </w:tc>
        <w:tc>
          <w:tcPr>
            <w:tcW w:w="360" w:type="dxa"/>
            <w:vAlign w:val="bottom"/>
            <w:tcBorders>
              <w:right w:val="single" w:sz="8" w:color="010101"/>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00" w:type="dxa"/>
            <w:vAlign w:val="bottom"/>
            <w:tcBorders>
              <w:left w:val="single" w:sz="8" w:color="010101"/>
            </w:tcBorders>
          </w:tcPr>
          <w:p>
            <w:pPr>
              <w:spacing w:after="0"/>
              <w:rPr>
                <w:sz w:val="12"/>
                <w:szCs w:val="12"/>
                <w:color w:val="auto"/>
              </w:rPr>
            </w:pPr>
          </w:p>
        </w:tc>
        <w:tc>
          <w:tcPr>
            <w:tcW w:w="20" w:type="dxa"/>
            <w:vAlign w:val="bottom"/>
          </w:tcPr>
          <w:p>
            <w:pPr>
              <w:spacing w:after="0"/>
              <w:rPr>
                <w:sz w:val="12"/>
                <w:szCs w:val="12"/>
                <w:color w:val="auto"/>
              </w:rPr>
            </w:pPr>
          </w:p>
        </w:tc>
        <w:tc>
          <w:tcPr>
            <w:tcW w:w="2120" w:type="dxa"/>
            <w:vAlign w:val="bottom"/>
            <w:tcBorders>
              <w:right w:val="single" w:sz="8" w:color="010101"/>
            </w:tcBorders>
            <w:gridSpan w:val="5"/>
            <w:vMerge w:val="restart"/>
          </w:tcPr>
          <w:p>
            <w:pPr>
              <w:ind w:left="180"/>
              <w:spacing w:after="0"/>
              <w:rPr>
                <w:sz w:val="20"/>
                <w:szCs w:val="20"/>
                <w:color w:val="auto"/>
              </w:rPr>
            </w:pPr>
            <w:r>
              <w:rPr>
                <w:rFonts w:ascii="Arial" w:cs="Arial" w:eastAsia="Arial" w:hAnsi="Arial"/>
                <w:sz w:val="19"/>
                <w:szCs w:val="19"/>
                <w:color w:val="auto"/>
              </w:rPr>
              <w:t>2.75 to 1.00</w:t>
            </w:r>
          </w:p>
        </w:tc>
        <w:tc>
          <w:tcPr>
            <w:tcW w:w="14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right w:val="single" w:sz="8" w:color="010101"/>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right w:val="single" w:sz="8" w:color="010101"/>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right w:val="single" w:sz="8" w:color="010101"/>
            </w:tcBorders>
          </w:tcPr>
          <w:p>
            <w:pPr>
              <w:spacing w:after="0"/>
              <w:rPr>
                <w:sz w:val="12"/>
                <w:szCs w:val="12"/>
                <w:color w:val="auto"/>
              </w:rPr>
            </w:pPr>
          </w:p>
        </w:tc>
        <w:tc>
          <w:tcPr>
            <w:tcW w:w="1580" w:type="dxa"/>
            <w:vAlign w:val="bottom"/>
            <w:gridSpan w:val="4"/>
            <w:vMerge w:val="continue"/>
          </w:tcPr>
          <w:p>
            <w:pPr>
              <w:spacing w:after="0"/>
              <w:rPr>
                <w:sz w:val="12"/>
                <w:szCs w:val="12"/>
                <w:color w:val="auto"/>
              </w:rPr>
            </w:pPr>
          </w:p>
        </w:tc>
        <w:tc>
          <w:tcPr>
            <w:tcW w:w="360" w:type="dxa"/>
            <w:vAlign w:val="bottom"/>
            <w:tcBorders>
              <w:right w:val="single" w:sz="8" w:color="010101"/>
            </w:tcBorders>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00" w:type="dxa"/>
            <w:vAlign w:val="bottom"/>
            <w:tcBorders>
              <w:left w:val="single" w:sz="8" w:color="010101"/>
            </w:tcBorders>
          </w:tcPr>
          <w:p>
            <w:pPr>
              <w:spacing w:after="0"/>
              <w:rPr>
                <w:sz w:val="8"/>
                <w:szCs w:val="8"/>
                <w:color w:val="auto"/>
              </w:rPr>
            </w:pPr>
          </w:p>
        </w:tc>
        <w:tc>
          <w:tcPr>
            <w:tcW w:w="20" w:type="dxa"/>
            <w:vAlign w:val="bottom"/>
          </w:tcPr>
          <w:p>
            <w:pPr>
              <w:spacing w:after="0"/>
              <w:rPr>
                <w:sz w:val="8"/>
                <w:szCs w:val="8"/>
                <w:color w:val="auto"/>
              </w:rPr>
            </w:pPr>
          </w:p>
        </w:tc>
        <w:tc>
          <w:tcPr>
            <w:tcW w:w="2120" w:type="dxa"/>
            <w:vAlign w:val="bottom"/>
            <w:tcBorders>
              <w:right w:val="single" w:sz="8" w:color="010101"/>
            </w:tcBorders>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right w:val="single" w:sz="8" w:color="010101"/>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right w:val="single" w:sz="8" w:color="010101"/>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right w:val="single" w:sz="8" w:color="010101"/>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Borders>
              <w:right w:val="single" w:sz="8" w:color="010101"/>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00" w:type="dxa"/>
            <w:vAlign w:val="bottom"/>
            <w:tcBorders>
              <w:left w:val="single" w:sz="8" w:color="010101"/>
              <w:bottom w:val="single" w:sz="8" w:color="010101"/>
            </w:tcBorders>
          </w:tcPr>
          <w:p>
            <w:pPr>
              <w:spacing w:after="0"/>
              <w:rPr>
                <w:sz w:val="8"/>
                <w:szCs w:val="8"/>
                <w:color w:val="auto"/>
              </w:rPr>
            </w:pPr>
          </w:p>
        </w:tc>
        <w:tc>
          <w:tcPr>
            <w:tcW w:w="20" w:type="dxa"/>
            <w:vAlign w:val="bottom"/>
            <w:tcBorders>
              <w:bottom w:val="single" w:sz="8" w:color="010101"/>
            </w:tcBorders>
          </w:tcPr>
          <w:p>
            <w:pPr>
              <w:spacing w:after="0"/>
              <w:rPr>
                <w:sz w:val="8"/>
                <w:szCs w:val="8"/>
                <w:color w:val="auto"/>
              </w:rPr>
            </w:pPr>
          </w:p>
        </w:tc>
        <w:tc>
          <w:tcPr>
            <w:tcW w:w="820" w:type="dxa"/>
            <w:vAlign w:val="bottom"/>
            <w:tcBorders>
              <w:bottom w:val="single" w:sz="8" w:color="010101"/>
            </w:tcBorders>
          </w:tcPr>
          <w:p>
            <w:pPr>
              <w:spacing w:after="0"/>
              <w:rPr>
                <w:sz w:val="8"/>
                <w:szCs w:val="8"/>
                <w:color w:val="auto"/>
              </w:rPr>
            </w:pPr>
          </w:p>
        </w:tc>
        <w:tc>
          <w:tcPr>
            <w:tcW w:w="640" w:type="dxa"/>
            <w:vAlign w:val="bottom"/>
            <w:tcBorders>
              <w:bottom w:val="single" w:sz="8" w:color="010101"/>
            </w:tcBorders>
          </w:tcPr>
          <w:p>
            <w:pPr>
              <w:spacing w:after="0"/>
              <w:rPr>
                <w:sz w:val="8"/>
                <w:szCs w:val="8"/>
                <w:color w:val="auto"/>
              </w:rPr>
            </w:pPr>
          </w:p>
        </w:tc>
        <w:tc>
          <w:tcPr>
            <w:tcW w:w="40" w:type="dxa"/>
            <w:vAlign w:val="bottom"/>
            <w:tcBorders>
              <w:bottom w:val="single" w:sz="8" w:color="010101"/>
            </w:tcBorders>
          </w:tcPr>
          <w:p>
            <w:pPr>
              <w:spacing w:after="0"/>
              <w:rPr>
                <w:sz w:val="8"/>
                <w:szCs w:val="8"/>
                <w:color w:val="auto"/>
              </w:rPr>
            </w:pPr>
          </w:p>
        </w:tc>
        <w:tc>
          <w:tcPr>
            <w:tcW w:w="420" w:type="dxa"/>
            <w:vAlign w:val="bottom"/>
            <w:tcBorders>
              <w:bottom w:val="single" w:sz="8" w:color="010101"/>
            </w:tcBorders>
          </w:tcPr>
          <w:p>
            <w:pPr>
              <w:spacing w:after="0"/>
              <w:rPr>
                <w:sz w:val="8"/>
                <w:szCs w:val="8"/>
                <w:color w:val="auto"/>
              </w:rPr>
            </w:pPr>
          </w:p>
        </w:tc>
        <w:tc>
          <w:tcPr>
            <w:tcW w:w="200" w:type="dxa"/>
            <w:vAlign w:val="bottom"/>
            <w:tcBorders>
              <w:bottom w:val="single" w:sz="8" w:color="010101"/>
              <w:right w:val="single" w:sz="8" w:color="010101"/>
            </w:tcBorders>
          </w:tcPr>
          <w:p>
            <w:pPr>
              <w:spacing w:after="0"/>
              <w:rPr>
                <w:sz w:val="8"/>
                <w:szCs w:val="8"/>
                <w:color w:val="auto"/>
              </w:rPr>
            </w:pPr>
          </w:p>
        </w:tc>
        <w:tc>
          <w:tcPr>
            <w:tcW w:w="120" w:type="dxa"/>
            <w:vAlign w:val="bottom"/>
            <w:tcBorders>
              <w:bottom w:val="single" w:sz="8" w:color="010101"/>
            </w:tcBorders>
          </w:tcPr>
          <w:p>
            <w:pPr>
              <w:spacing w:after="0"/>
              <w:rPr>
                <w:sz w:val="8"/>
                <w:szCs w:val="8"/>
                <w:color w:val="auto"/>
              </w:rPr>
            </w:pPr>
          </w:p>
        </w:tc>
        <w:tc>
          <w:tcPr>
            <w:tcW w:w="80" w:type="dxa"/>
            <w:vAlign w:val="bottom"/>
            <w:tcBorders>
              <w:bottom w:val="single" w:sz="8" w:color="010101"/>
            </w:tcBorders>
          </w:tcPr>
          <w:p>
            <w:pPr>
              <w:spacing w:after="0"/>
              <w:rPr>
                <w:sz w:val="8"/>
                <w:szCs w:val="8"/>
                <w:color w:val="auto"/>
              </w:rPr>
            </w:pPr>
          </w:p>
        </w:tc>
        <w:tc>
          <w:tcPr>
            <w:tcW w:w="1240" w:type="dxa"/>
            <w:vAlign w:val="bottom"/>
            <w:tcBorders>
              <w:bottom w:val="single" w:sz="8" w:color="010101"/>
            </w:tcBorders>
          </w:tcPr>
          <w:p>
            <w:pPr>
              <w:spacing w:after="0"/>
              <w:rPr>
                <w:sz w:val="8"/>
                <w:szCs w:val="8"/>
                <w:color w:val="auto"/>
              </w:rPr>
            </w:pPr>
          </w:p>
        </w:tc>
        <w:tc>
          <w:tcPr>
            <w:tcW w:w="80" w:type="dxa"/>
            <w:vAlign w:val="bottom"/>
            <w:tcBorders>
              <w:bottom w:val="single" w:sz="8" w:color="010101"/>
            </w:tcBorders>
          </w:tcPr>
          <w:p>
            <w:pPr>
              <w:spacing w:after="0"/>
              <w:rPr>
                <w:sz w:val="8"/>
                <w:szCs w:val="8"/>
                <w:color w:val="auto"/>
              </w:rPr>
            </w:pPr>
          </w:p>
        </w:tc>
        <w:tc>
          <w:tcPr>
            <w:tcW w:w="420" w:type="dxa"/>
            <w:vAlign w:val="bottom"/>
            <w:tcBorders>
              <w:bottom w:val="single" w:sz="8" w:color="010101"/>
              <w:right w:val="single" w:sz="8" w:color="010101"/>
            </w:tcBorders>
          </w:tcPr>
          <w:p>
            <w:pPr>
              <w:spacing w:after="0"/>
              <w:rPr>
                <w:sz w:val="8"/>
                <w:szCs w:val="8"/>
                <w:color w:val="auto"/>
              </w:rPr>
            </w:pPr>
          </w:p>
        </w:tc>
        <w:tc>
          <w:tcPr>
            <w:tcW w:w="120" w:type="dxa"/>
            <w:vAlign w:val="bottom"/>
            <w:tcBorders>
              <w:bottom w:val="single" w:sz="8" w:color="010101"/>
            </w:tcBorders>
          </w:tcPr>
          <w:p>
            <w:pPr>
              <w:spacing w:after="0"/>
              <w:rPr>
                <w:sz w:val="8"/>
                <w:szCs w:val="8"/>
                <w:color w:val="auto"/>
              </w:rPr>
            </w:pPr>
          </w:p>
        </w:tc>
        <w:tc>
          <w:tcPr>
            <w:tcW w:w="40" w:type="dxa"/>
            <w:vAlign w:val="bottom"/>
            <w:tcBorders>
              <w:bottom w:val="single" w:sz="8" w:color="010101"/>
            </w:tcBorders>
          </w:tcPr>
          <w:p>
            <w:pPr>
              <w:spacing w:after="0"/>
              <w:rPr>
                <w:sz w:val="8"/>
                <w:szCs w:val="8"/>
                <w:color w:val="auto"/>
              </w:rPr>
            </w:pPr>
          </w:p>
        </w:tc>
        <w:tc>
          <w:tcPr>
            <w:tcW w:w="440" w:type="dxa"/>
            <w:vAlign w:val="bottom"/>
            <w:tcBorders>
              <w:bottom w:val="single" w:sz="8" w:color="010101"/>
            </w:tcBorders>
          </w:tcPr>
          <w:p>
            <w:pPr>
              <w:spacing w:after="0"/>
              <w:rPr>
                <w:sz w:val="8"/>
                <w:szCs w:val="8"/>
                <w:color w:val="auto"/>
              </w:rPr>
            </w:pPr>
          </w:p>
        </w:tc>
        <w:tc>
          <w:tcPr>
            <w:tcW w:w="60" w:type="dxa"/>
            <w:vAlign w:val="bottom"/>
            <w:tcBorders>
              <w:bottom w:val="single" w:sz="8" w:color="010101"/>
            </w:tcBorders>
          </w:tcPr>
          <w:p>
            <w:pPr>
              <w:spacing w:after="0"/>
              <w:rPr>
                <w:sz w:val="8"/>
                <w:szCs w:val="8"/>
                <w:color w:val="auto"/>
              </w:rPr>
            </w:pPr>
          </w:p>
        </w:tc>
        <w:tc>
          <w:tcPr>
            <w:tcW w:w="720" w:type="dxa"/>
            <w:vAlign w:val="bottom"/>
            <w:tcBorders>
              <w:bottom w:val="single" w:sz="8" w:color="010101"/>
            </w:tcBorders>
          </w:tcPr>
          <w:p>
            <w:pPr>
              <w:spacing w:after="0"/>
              <w:rPr>
                <w:sz w:val="8"/>
                <w:szCs w:val="8"/>
                <w:color w:val="auto"/>
              </w:rPr>
            </w:pPr>
          </w:p>
        </w:tc>
        <w:tc>
          <w:tcPr>
            <w:tcW w:w="140" w:type="dxa"/>
            <w:vAlign w:val="bottom"/>
            <w:tcBorders>
              <w:bottom w:val="single" w:sz="8" w:color="010101"/>
            </w:tcBorders>
          </w:tcPr>
          <w:p>
            <w:pPr>
              <w:spacing w:after="0"/>
              <w:rPr>
                <w:sz w:val="8"/>
                <w:szCs w:val="8"/>
                <w:color w:val="auto"/>
              </w:rPr>
            </w:pPr>
          </w:p>
        </w:tc>
        <w:tc>
          <w:tcPr>
            <w:tcW w:w="260" w:type="dxa"/>
            <w:vAlign w:val="bottom"/>
            <w:tcBorders>
              <w:bottom w:val="single" w:sz="8" w:color="010101"/>
            </w:tcBorders>
          </w:tcPr>
          <w:p>
            <w:pPr>
              <w:spacing w:after="0"/>
              <w:rPr>
                <w:sz w:val="8"/>
                <w:szCs w:val="8"/>
                <w:color w:val="auto"/>
              </w:rPr>
            </w:pPr>
          </w:p>
        </w:tc>
        <w:tc>
          <w:tcPr>
            <w:tcW w:w="180" w:type="dxa"/>
            <w:vAlign w:val="bottom"/>
            <w:tcBorders>
              <w:bottom w:val="single" w:sz="8" w:color="010101"/>
              <w:right w:val="single" w:sz="8" w:color="010101"/>
            </w:tcBorders>
          </w:tcPr>
          <w:p>
            <w:pPr>
              <w:spacing w:after="0"/>
              <w:rPr>
                <w:sz w:val="8"/>
                <w:szCs w:val="8"/>
                <w:color w:val="auto"/>
              </w:rPr>
            </w:pPr>
          </w:p>
        </w:tc>
        <w:tc>
          <w:tcPr>
            <w:tcW w:w="160" w:type="dxa"/>
            <w:vAlign w:val="bottom"/>
            <w:tcBorders>
              <w:bottom w:val="single" w:sz="8" w:color="010101"/>
            </w:tcBorders>
          </w:tcPr>
          <w:p>
            <w:pPr>
              <w:spacing w:after="0"/>
              <w:rPr>
                <w:sz w:val="8"/>
                <w:szCs w:val="8"/>
                <w:color w:val="auto"/>
              </w:rPr>
            </w:pPr>
          </w:p>
        </w:tc>
        <w:tc>
          <w:tcPr>
            <w:tcW w:w="60" w:type="dxa"/>
            <w:vAlign w:val="bottom"/>
            <w:tcBorders>
              <w:bottom w:val="single" w:sz="8" w:color="010101"/>
            </w:tcBorders>
          </w:tcPr>
          <w:p>
            <w:pPr>
              <w:spacing w:after="0"/>
              <w:rPr>
                <w:sz w:val="8"/>
                <w:szCs w:val="8"/>
                <w:color w:val="auto"/>
              </w:rPr>
            </w:pPr>
          </w:p>
        </w:tc>
        <w:tc>
          <w:tcPr>
            <w:tcW w:w="440" w:type="dxa"/>
            <w:vAlign w:val="bottom"/>
            <w:tcBorders>
              <w:bottom w:val="single" w:sz="8" w:color="010101"/>
            </w:tcBorders>
          </w:tcPr>
          <w:p>
            <w:pPr>
              <w:spacing w:after="0"/>
              <w:rPr>
                <w:sz w:val="8"/>
                <w:szCs w:val="8"/>
                <w:color w:val="auto"/>
              </w:rPr>
            </w:pPr>
          </w:p>
        </w:tc>
        <w:tc>
          <w:tcPr>
            <w:tcW w:w="840" w:type="dxa"/>
            <w:vAlign w:val="bottom"/>
            <w:tcBorders>
              <w:bottom w:val="single" w:sz="8" w:color="010101"/>
            </w:tcBorders>
          </w:tcPr>
          <w:p>
            <w:pPr>
              <w:spacing w:after="0"/>
              <w:rPr>
                <w:sz w:val="8"/>
                <w:szCs w:val="8"/>
                <w:color w:val="auto"/>
              </w:rPr>
            </w:pPr>
          </w:p>
        </w:tc>
        <w:tc>
          <w:tcPr>
            <w:tcW w:w="220" w:type="dxa"/>
            <w:vAlign w:val="bottom"/>
            <w:tcBorders>
              <w:bottom w:val="single" w:sz="8" w:color="010101"/>
            </w:tcBorders>
          </w:tcPr>
          <w:p>
            <w:pPr>
              <w:spacing w:after="0"/>
              <w:rPr>
                <w:sz w:val="8"/>
                <w:szCs w:val="8"/>
                <w:color w:val="auto"/>
              </w:rPr>
            </w:pPr>
          </w:p>
        </w:tc>
        <w:tc>
          <w:tcPr>
            <w:tcW w:w="20" w:type="dxa"/>
            <w:vAlign w:val="bottom"/>
            <w:tcBorders>
              <w:bottom w:val="single" w:sz="8" w:color="010101"/>
            </w:tcBorders>
          </w:tcPr>
          <w:p>
            <w:pPr>
              <w:spacing w:after="0"/>
              <w:rPr>
                <w:sz w:val="8"/>
                <w:szCs w:val="8"/>
                <w:color w:val="auto"/>
              </w:rPr>
            </w:pPr>
          </w:p>
        </w:tc>
        <w:tc>
          <w:tcPr>
            <w:tcW w:w="20" w:type="dxa"/>
            <w:vAlign w:val="bottom"/>
            <w:tcBorders>
              <w:bottom w:val="single" w:sz="8" w:color="010101"/>
            </w:tcBorders>
          </w:tcPr>
          <w:p>
            <w:pPr>
              <w:spacing w:after="0"/>
              <w:rPr>
                <w:sz w:val="8"/>
                <w:szCs w:val="8"/>
                <w:color w:val="auto"/>
              </w:rPr>
            </w:pPr>
          </w:p>
        </w:tc>
        <w:tc>
          <w:tcPr>
            <w:tcW w:w="160" w:type="dxa"/>
            <w:vAlign w:val="bottom"/>
            <w:tcBorders>
              <w:bottom w:val="single" w:sz="8" w:color="010101"/>
              <w:right w:val="single" w:sz="8" w:color="010101"/>
            </w:tcBorders>
          </w:tcPr>
          <w:p>
            <w:pPr>
              <w:spacing w:after="0"/>
              <w:rPr>
                <w:sz w:val="8"/>
                <w:szCs w:val="8"/>
                <w:color w:val="auto"/>
              </w:rPr>
            </w:pPr>
          </w:p>
        </w:tc>
        <w:tc>
          <w:tcPr>
            <w:tcW w:w="320" w:type="dxa"/>
            <w:vAlign w:val="bottom"/>
            <w:tcBorders>
              <w:bottom w:val="single" w:sz="8" w:color="010101"/>
            </w:tcBorders>
          </w:tcPr>
          <w:p>
            <w:pPr>
              <w:spacing w:after="0"/>
              <w:rPr>
                <w:sz w:val="8"/>
                <w:szCs w:val="8"/>
                <w:color w:val="auto"/>
              </w:rPr>
            </w:pPr>
          </w:p>
        </w:tc>
        <w:tc>
          <w:tcPr>
            <w:tcW w:w="420" w:type="dxa"/>
            <w:vAlign w:val="bottom"/>
            <w:tcBorders>
              <w:bottom w:val="single" w:sz="8" w:color="010101"/>
            </w:tcBorders>
          </w:tcPr>
          <w:p>
            <w:pPr>
              <w:spacing w:after="0"/>
              <w:rPr>
                <w:sz w:val="8"/>
                <w:szCs w:val="8"/>
                <w:color w:val="auto"/>
              </w:rPr>
            </w:pPr>
          </w:p>
        </w:tc>
        <w:tc>
          <w:tcPr>
            <w:tcW w:w="440" w:type="dxa"/>
            <w:vAlign w:val="bottom"/>
            <w:tcBorders>
              <w:bottom w:val="single" w:sz="8" w:color="010101"/>
            </w:tcBorders>
          </w:tcPr>
          <w:p>
            <w:pPr>
              <w:spacing w:after="0"/>
              <w:rPr>
                <w:sz w:val="8"/>
                <w:szCs w:val="8"/>
                <w:color w:val="auto"/>
              </w:rPr>
            </w:pPr>
          </w:p>
        </w:tc>
        <w:tc>
          <w:tcPr>
            <w:tcW w:w="400" w:type="dxa"/>
            <w:vAlign w:val="bottom"/>
            <w:tcBorders>
              <w:bottom w:val="single" w:sz="8" w:color="010101"/>
            </w:tcBorders>
          </w:tcPr>
          <w:p>
            <w:pPr>
              <w:spacing w:after="0"/>
              <w:rPr>
                <w:sz w:val="8"/>
                <w:szCs w:val="8"/>
                <w:color w:val="auto"/>
              </w:rPr>
            </w:pPr>
          </w:p>
        </w:tc>
        <w:tc>
          <w:tcPr>
            <w:tcW w:w="360" w:type="dxa"/>
            <w:vAlign w:val="bottom"/>
            <w:tcBorders>
              <w:bottom w:val="single" w:sz="8" w:color="010101"/>
              <w:right w:val="single" w:sz="8" w:color="010101"/>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00" w:type="dxa"/>
            <w:vAlign w:val="bottom"/>
            <w:tcBorders>
              <w:left w:val="single" w:sz="8" w:color="010101"/>
            </w:tcBorders>
          </w:tcPr>
          <w:p>
            <w:pPr>
              <w:spacing w:after="0"/>
              <w:rPr>
                <w:sz w:val="18"/>
                <w:szCs w:val="18"/>
                <w:color w:val="auto"/>
              </w:rPr>
            </w:pPr>
          </w:p>
        </w:tc>
        <w:tc>
          <w:tcPr>
            <w:tcW w:w="2140" w:type="dxa"/>
            <w:vAlign w:val="bottom"/>
            <w:tcBorders>
              <w:right w:val="single" w:sz="8" w:color="010101"/>
            </w:tcBorders>
            <w:gridSpan w:val="6"/>
          </w:tcPr>
          <w:p>
            <w:pPr>
              <w:spacing w:after="0" w:line="210" w:lineRule="exact"/>
              <w:rPr>
                <w:sz w:val="20"/>
                <w:szCs w:val="20"/>
                <w:color w:val="auto"/>
              </w:rPr>
            </w:pPr>
            <w:r>
              <w:rPr>
                <w:rFonts w:ascii="Arial" w:cs="Arial" w:eastAsia="Arial" w:hAnsi="Arial"/>
                <w:sz w:val="19"/>
                <w:szCs w:val="19"/>
                <w:color w:val="auto"/>
              </w:rPr>
              <w:t>Category 2 Greater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right w:val="single" w:sz="8" w:color="010101"/>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right w:val="single" w:sz="8" w:color="010101"/>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right w:val="single" w:sz="8" w:color="010101"/>
            </w:tcBorders>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Borders>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00" w:type="dxa"/>
            <w:vAlign w:val="bottom"/>
            <w:tcBorders>
              <w:left w:val="single" w:sz="8" w:color="010101"/>
            </w:tcBorders>
          </w:tcPr>
          <w:p>
            <w:pPr>
              <w:spacing w:after="0"/>
              <w:rPr>
                <w:sz w:val="15"/>
                <w:szCs w:val="15"/>
                <w:color w:val="auto"/>
              </w:rPr>
            </w:pPr>
          </w:p>
        </w:tc>
        <w:tc>
          <w:tcPr>
            <w:tcW w:w="840" w:type="dxa"/>
            <w:vAlign w:val="bottom"/>
            <w:tcBorders>
              <w:top w:val="single" w:sz="8" w:color="auto"/>
            </w:tcBorders>
            <w:gridSpan w:val="2"/>
          </w:tcPr>
          <w:p>
            <w:pPr>
              <w:spacing w:after="0" w:line="173" w:lineRule="exact"/>
              <w:rPr>
                <w:sz w:val="20"/>
                <w:szCs w:val="20"/>
                <w:color w:val="auto"/>
              </w:rPr>
            </w:pPr>
            <w:r>
              <w:rPr>
                <w:rFonts w:ascii="Arial" w:cs="Arial" w:eastAsia="Arial" w:hAnsi="Arial"/>
                <w:sz w:val="19"/>
                <w:szCs w:val="19"/>
                <w:color w:val="auto"/>
              </w:rPr>
              <w:t>than</w:t>
            </w:r>
          </w:p>
        </w:tc>
        <w:tc>
          <w:tcPr>
            <w:tcW w:w="1300" w:type="dxa"/>
            <w:vAlign w:val="bottom"/>
            <w:tcBorders>
              <w:right w:val="single" w:sz="8" w:color="010101"/>
            </w:tcBorders>
            <w:gridSpan w:val="4"/>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right w:val="single" w:sz="8" w:color="010101"/>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right w:val="single" w:sz="8" w:color="010101"/>
            </w:tcBorders>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right w:val="single" w:sz="8" w:color="010101"/>
            </w:tcBorders>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Borders>
              <w:right w:val="single" w:sz="8" w:color="010101"/>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0" w:type="dxa"/>
            <w:vAlign w:val="bottom"/>
            <w:tcBorders>
              <w:left w:val="single" w:sz="8" w:color="010101"/>
            </w:tcBorders>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Borders>
              <w:right w:val="single" w:sz="8" w:color="010101"/>
            </w:tcBorders>
            <w:gridSpan w:val="5"/>
          </w:tcPr>
          <w:p>
            <w:pPr>
              <w:ind w:left="180"/>
              <w:spacing w:after="0" w:line="203" w:lineRule="exact"/>
              <w:rPr>
                <w:sz w:val="20"/>
                <w:szCs w:val="20"/>
                <w:color w:val="auto"/>
              </w:rPr>
            </w:pPr>
            <w:r>
              <w:rPr>
                <w:rFonts w:ascii="Arial" w:cs="Arial" w:eastAsia="Arial" w:hAnsi="Arial"/>
                <w:sz w:val="19"/>
                <w:szCs w:val="19"/>
                <w:color w:val="auto"/>
              </w:rPr>
              <w:t>2.25 to 1.00 but less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right w:val="single" w:sz="8" w:color="010101"/>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right w:val="single" w:sz="8" w:color="010101"/>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right w:val="single" w:sz="8" w:color="010101"/>
            </w:tcBorders>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Borders>
              <w:right w:val="single" w:sz="8" w:color="010101"/>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Borders>
              <w:left w:val="single" w:sz="8" w:color="010101"/>
            </w:tcBorders>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Borders>
              <w:right w:val="single" w:sz="8" w:color="010101"/>
            </w:tcBorders>
            <w:gridSpan w:val="5"/>
          </w:tcPr>
          <w:p>
            <w:pPr>
              <w:ind w:left="180"/>
              <w:spacing w:after="0" w:line="203" w:lineRule="exact"/>
              <w:rPr>
                <w:sz w:val="20"/>
                <w:szCs w:val="20"/>
                <w:color w:val="auto"/>
              </w:rPr>
            </w:pPr>
            <w:r>
              <w:rPr>
                <w:rFonts w:ascii="Arial" w:cs="Arial" w:eastAsia="Arial" w:hAnsi="Arial"/>
                <w:sz w:val="19"/>
                <w:szCs w:val="19"/>
                <w:color w:val="auto"/>
              </w:rPr>
              <w:t>than or equal to 2.75</w:t>
            </w:r>
          </w:p>
        </w:tc>
        <w:tc>
          <w:tcPr>
            <w:tcW w:w="1440" w:type="dxa"/>
            <w:vAlign w:val="bottom"/>
            <w:gridSpan w:val="3"/>
          </w:tcPr>
          <w:p>
            <w:pPr>
              <w:jc w:val="right"/>
              <w:ind w:right="176"/>
              <w:spacing w:after="0" w:line="203" w:lineRule="exact"/>
              <w:rPr>
                <w:sz w:val="20"/>
                <w:szCs w:val="20"/>
                <w:color w:val="auto"/>
              </w:rPr>
            </w:pPr>
            <w:r>
              <w:rPr>
                <w:rFonts w:ascii="Arial" w:cs="Arial" w:eastAsia="Arial" w:hAnsi="Arial"/>
                <w:sz w:val="19"/>
                <w:szCs w:val="19"/>
                <w:color w:val="auto"/>
              </w:rPr>
              <w:t>1.00%</w:t>
            </w:r>
          </w:p>
        </w:tc>
        <w:tc>
          <w:tcPr>
            <w:tcW w:w="80" w:type="dxa"/>
            <w:vAlign w:val="bottom"/>
          </w:tcPr>
          <w:p>
            <w:pPr>
              <w:spacing w:after="0"/>
              <w:rPr>
                <w:sz w:val="17"/>
                <w:szCs w:val="17"/>
                <w:color w:val="auto"/>
              </w:rPr>
            </w:pPr>
          </w:p>
        </w:tc>
        <w:tc>
          <w:tcPr>
            <w:tcW w:w="420" w:type="dxa"/>
            <w:vAlign w:val="bottom"/>
            <w:tcBorders>
              <w:right w:val="single" w:sz="8" w:color="010101"/>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jc w:val="right"/>
              <w:ind w:right="86"/>
              <w:spacing w:after="0" w:line="203" w:lineRule="exact"/>
              <w:rPr>
                <w:sz w:val="20"/>
                <w:szCs w:val="20"/>
                <w:color w:val="auto"/>
              </w:rPr>
            </w:pPr>
            <w:r>
              <w:rPr>
                <w:rFonts w:ascii="Arial" w:cs="Arial" w:eastAsia="Arial" w:hAnsi="Arial"/>
                <w:sz w:val="19"/>
                <w:szCs w:val="19"/>
                <w:color w:val="auto"/>
                <w:w w:val="96"/>
              </w:rPr>
              <w:t>2.00%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right w:val="single" w:sz="8" w:color="010101"/>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229"/>
              <w:spacing w:after="0" w:line="203" w:lineRule="exact"/>
              <w:rPr>
                <w:sz w:val="20"/>
                <w:szCs w:val="20"/>
                <w:color w:val="auto"/>
              </w:rPr>
            </w:pPr>
            <w:r>
              <w:rPr>
                <w:rFonts w:ascii="Arial" w:cs="Arial" w:eastAsia="Arial" w:hAnsi="Arial"/>
                <w:sz w:val="19"/>
                <w:szCs w:val="19"/>
                <w:color w:val="auto"/>
                <w:w w:val="92"/>
              </w:rPr>
              <w:t>1.00%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right w:val="single" w:sz="8" w:color="010101"/>
            </w:tcBorders>
          </w:tcPr>
          <w:p>
            <w:pPr>
              <w:spacing w:after="0"/>
              <w:rPr>
                <w:sz w:val="17"/>
                <w:szCs w:val="17"/>
                <w:color w:val="auto"/>
              </w:rPr>
            </w:pPr>
          </w:p>
        </w:tc>
        <w:tc>
          <w:tcPr>
            <w:tcW w:w="1580" w:type="dxa"/>
            <w:vAlign w:val="bottom"/>
            <w:gridSpan w:val="4"/>
          </w:tcPr>
          <w:p>
            <w:pPr>
              <w:ind w:left="720"/>
              <w:spacing w:after="0" w:line="203" w:lineRule="exact"/>
              <w:rPr>
                <w:sz w:val="20"/>
                <w:szCs w:val="20"/>
                <w:color w:val="auto"/>
              </w:rPr>
            </w:pPr>
            <w:r>
              <w:rPr>
                <w:rFonts w:ascii="Arial" w:cs="Arial" w:eastAsia="Arial" w:hAnsi="Arial"/>
                <w:sz w:val="19"/>
                <w:szCs w:val="19"/>
                <w:color w:val="auto"/>
              </w:rPr>
              <w:t>2.00%</w:t>
            </w:r>
          </w:p>
        </w:tc>
        <w:tc>
          <w:tcPr>
            <w:tcW w:w="360" w:type="dxa"/>
            <w:vAlign w:val="bottom"/>
            <w:tcBorders>
              <w:right w:val="single" w:sz="8" w:color="010101"/>
            </w:tcBorders>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00" w:type="dxa"/>
            <w:vAlign w:val="bottom"/>
            <w:tcBorders>
              <w:left w:val="single" w:sz="8" w:color="010101"/>
            </w:tcBorders>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Borders>
              <w:right w:val="single" w:sz="8" w:color="010101"/>
            </w:tcBorders>
            <w:gridSpan w:val="5"/>
          </w:tcPr>
          <w:p>
            <w:pPr>
              <w:ind w:left="180"/>
              <w:spacing w:after="0"/>
              <w:rPr>
                <w:sz w:val="20"/>
                <w:szCs w:val="20"/>
                <w:color w:val="auto"/>
              </w:rPr>
            </w:pPr>
            <w:r>
              <w:rPr>
                <w:rFonts w:ascii="Arial" w:cs="Arial" w:eastAsia="Arial" w:hAnsi="Arial"/>
                <w:sz w:val="19"/>
                <w:szCs w:val="19"/>
                <w:color w:val="auto"/>
              </w:rPr>
              <w:t>to 1.00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right w:val="single" w:sz="8" w:color="010101"/>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right w:val="single" w:sz="8" w:color="010101"/>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right w:val="single" w:sz="8" w:color="010101"/>
            </w:tcBorders>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Borders>
              <w:right w:val="single" w:sz="8" w:color="010101"/>
            </w:tcBorders>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100" w:type="dxa"/>
            <w:vAlign w:val="bottom"/>
            <w:tcBorders>
              <w:left w:val="single" w:sz="8" w:color="010101"/>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2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right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2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right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right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right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right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0" w:type="dxa"/>
            <w:vAlign w:val="bottom"/>
            <w:tcBorders>
              <w:left w:val="single" w:sz="8" w:color="010101"/>
            </w:tcBorders>
          </w:tcPr>
          <w:p>
            <w:pPr>
              <w:spacing w:after="0"/>
              <w:rPr>
                <w:sz w:val="18"/>
                <w:szCs w:val="18"/>
                <w:color w:val="auto"/>
              </w:rPr>
            </w:pPr>
          </w:p>
        </w:tc>
        <w:tc>
          <w:tcPr>
            <w:tcW w:w="2140" w:type="dxa"/>
            <w:vAlign w:val="bottom"/>
            <w:tcBorders>
              <w:right w:val="single" w:sz="8" w:color="010101"/>
            </w:tcBorders>
            <w:gridSpan w:val="6"/>
          </w:tcPr>
          <w:p>
            <w:pPr>
              <w:spacing w:after="0" w:line="210" w:lineRule="exact"/>
              <w:rPr>
                <w:sz w:val="20"/>
                <w:szCs w:val="20"/>
                <w:color w:val="auto"/>
              </w:rPr>
            </w:pPr>
            <w:r>
              <w:rPr>
                <w:rFonts w:ascii="Arial" w:cs="Arial" w:eastAsia="Arial" w:hAnsi="Arial"/>
                <w:sz w:val="19"/>
                <w:szCs w:val="19"/>
                <w:color w:val="auto"/>
              </w:rPr>
              <w:t>Category 3 Less than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right w:val="single" w:sz="8" w:color="010101"/>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right w:val="single" w:sz="8" w:color="010101"/>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right w:val="single" w:sz="8" w:color="010101"/>
            </w:tcBorders>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Borders>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00" w:type="dxa"/>
            <w:vAlign w:val="bottom"/>
            <w:tcBorders>
              <w:left w:val="single" w:sz="8" w:color="010101"/>
            </w:tcBorders>
          </w:tcPr>
          <w:p>
            <w:pPr>
              <w:spacing w:after="0"/>
              <w:rPr>
                <w:sz w:val="16"/>
                <w:szCs w:val="16"/>
                <w:color w:val="auto"/>
              </w:rPr>
            </w:pPr>
          </w:p>
        </w:tc>
        <w:tc>
          <w:tcPr>
            <w:tcW w:w="840" w:type="dxa"/>
            <w:vAlign w:val="bottom"/>
            <w:tcBorders>
              <w:top w:val="single" w:sz="8" w:color="auto"/>
            </w:tcBorders>
            <w:gridSpan w:val="2"/>
          </w:tcPr>
          <w:p>
            <w:pPr>
              <w:spacing w:after="0" w:line="187" w:lineRule="exact"/>
              <w:rPr>
                <w:sz w:val="20"/>
                <w:szCs w:val="20"/>
                <w:color w:val="auto"/>
              </w:rPr>
            </w:pPr>
            <w:r>
              <w:rPr>
                <w:rFonts w:ascii="Arial" w:cs="Arial" w:eastAsia="Arial" w:hAnsi="Arial"/>
                <w:sz w:val="19"/>
                <w:szCs w:val="19"/>
                <w:color w:val="auto"/>
              </w:rPr>
              <w:t>or</w:t>
            </w:r>
          </w:p>
        </w:tc>
        <w:tc>
          <w:tcPr>
            <w:tcW w:w="1300" w:type="dxa"/>
            <w:vAlign w:val="bottom"/>
            <w:tcBorders>
              <w:right w:val="single" w:sz="8" w:color="010101"/>
            </w:tcBorders>
            <w:gridSpan w:val="4"/>
          </w:tcPr>
          <w:p>
            <w:pPr>
              <w:spacing w:after="0"/>
              <w:rPr>
                <w:sz w:val="16"/>
                <w:szCs w:val="16"/>
                <w:color w:val="auto"/>
              </w:rPr>
            </w:pPr>
          </w:p>
        </w:tc>
        <w:tc>
          <w:tcPr>
            <w:tcW w:w="1440" w:type="dxa"/>
            <w:vAlign w:val="bottom"/>
            <w:gridSpan w:val="3"/>
            <w:vMerge w:val="restart"/>
          </w:tcPr>
          <w:p>
            <w:pPr>
              <w:jc w:val="right"/>
              <w:ind w:right="176"/>
              <w:spacing w:after="0"/>
              <w:rPr>
                <w:sz w:val="20"/>
                <w:szCs w:val="20"/>
                <w:color w:val="auto"/>
              </w:rPr>
            </w:pPr>
            <w:r>
              <w:rPr>
                <w:rFonts w:ascii="Arial" w:cs="Arial" w:eastAsia="Arial" w:hAnsi="Arial"/>
                <w:sz w:val="19"/>
                <w:szCs w:val="19"/>
                <w:color w:val="auto"/>
              </w:rPr>
              <w:t>0.75%</w:t>
            </w:r>
          </w:p>
        </w:tc>
        <w:tc>
          <w:tcPr>
            <w:tcW w:w="80" w:type="dxa"/>
            <w:vAlign w:val="bottom"/>
          </w:tcPr>
          <w:p>
            <w:pPr>
              <w:spacing w:after="0"/>
              <w:rPr>
                <w:sz w:val="16"/>
                <w:szCs w:val="16"/>
                <w:color w:val="auto"/>
              </w:rPr>
            </w:pPr>
          </w:p>
        </w:tc>
        <w:tc>
          <w:tcPr>
            <w:tcW w:w="420" w:type="dxa"/>
            <w:vAlign w:val="bottom"/>
            <w:tcBorders>
              <w:right w:val="single" w:sz="8" w:color="010101"/>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vMerge w:val="restart"/>
          </w:tcPr>
          <w:p>
            <w:pPr>
              <w:jc w:val="right"/>
              <w:ind w:right="86"/>
              <w:spacing w:after="0"/>
              <w:rPr>
                <w:sz w:val="20"/>
                <w:szCs w:val="20"/>
                <w:color w:val="auto"/>
              </w:rPr>
            </w:pPr>
            <w:r>
              <w:rPr>
                <w:rFonts w:ascii="Arial" w:cs="Arial" w:eastAsia="Arial" w:hAnsi="Arial"/>
                <w:sz w:val="19"/>
                <w:szCs w:val="19"/>
                <w:color w:val="auto"/>
                <w:w w:val="96"/>
              </w:rPr>
              <w:t>1.75%</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right w:val="single" w:sz="8" w:color="010101"/>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vMerge w:val="restart"/>
          </w:tcPr>
          <w:p>
            <w:pPr>
              <w:jc w:val="right"/>
              <w:ind w:right="229"/>
              <w:spacing w:after="0"/>
              <w:rPr>
                <w:sz w:val="20"/>
                <w:szCs w:val="20"/>
                <w:color w:val="auto"/>
              </w:rPr>
            </w:pPr>
            <w:r>
              <w:rPr>
                <w:rFonts w:ascii="Arial" w:cs="Arial" w:eastAsia="Arial" w:hAnsi="Arial"/>
                <w:sz w:val="19"/>
                <w:szCs w:val="19"/>
                <w:color w:val="auto"/>
                <w:w w:val="92"/>
              </w:rPr>
              <w:t>0.75%</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right w:val="single" w:sz="8" w:color="010101"/>
            </w:tcBorders>
          </w:tcPr>
          <w:p>
            <w:pPr>
              <w:spacing w:after="0"/>
              <w:rPr>
                <w:sz w:val="16"/>
                <w:szCs w:val="16"/>
                <w:color w:val="auto"/>
              </w:rPr>
            </w:pPr>
          </w:p>
        </w:tc>
        <w:tc>
          <w:tcPr>
            <w:tcW w:w="1580" w:type="dxa"/>
            <w:vAlign w:val="bottom"/>
            <w:gridSpan w:val="4"/>
            <w:vMerge w:val="restart"/>
          </w:tcPr>
          <w:p>
            <w:pPr>
              <w:ind w:left="720"/>
              <w:spacing w:after="0"/>
              <w:rPr>
                <w:sz w:val="20"/>
                <w:szCs w:val="20"/>
                <w:color w:val="auto"/>
              </w:rPr>
            </w:pPr>
            <w:r>
              <w:rPr>
                <w:rFonts w:ascii="Arial" w:cs="Arial" w:eastAsia="Arial" w:hAnsi="Arial"/>
                <w:sz w:val="19"/>
                <w:szCs w:val="19"/>
                <w:color w:val="auto"/>
              </w:rPr>
              <w:t>1.75%</w:t>
            </w:r>
          </w:p>
        </w:tc>
        <w:tc>
          <w:tcPr>
            <w:tcW w:w="360" w:type="dxa"/>
            <w:vAlign w:val="bottom"/>
            <w:tcBorders>
              <w:right w:val="single" w:sz="8" w:color="010101"/>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00" w:type="dxa"/>
            <w:vAlign w:val="bottom"/>
            <w:tcBorders>
              <w:left w:val="single" w:sz="8" w:color="010101"/>
            </w:tcBorders>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Borders>
              <w:right w:val="single" w:sz="8" w:color="010101"/>
            </w:tcBorders>
            <w:gridSpan w:val="5"/>
          </w:tcPr>
          <w:p>
            <w:pPr>
              <w:ind w:left="180"/>
              <w:spacing w:after="0"/>
              <w:rPr>
                <w:sz w:val="20"/>
                <w:szCs w:val="20"/>
                <w:color w:val="auto"/>
              </w:rPr>
            </w:pPr>
            <w:r>
              <w:rPr>
                <w:rFonts w:ascii="Arial" w:cs="Arial" w:eastAsia="Arial" w:hAnsi="Arial"/>
                <w:sz w:val="19"/>
                <w:szCs w:val="19"/>
                <w:color w:val="auto"/>
              </w:rPr>
              <w:t>equal to 2.25 to 1.00</w:t>
            </w:r>
          </w:p>
        </w:tc>
        <w:tc>
          <w:tcPr>
            <w:tcW w:w="144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right w:val="single" w:sz="8" w:color="010101"/>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right w:val="single" w:sz="8" w:color="010101"/>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right w:val="single" w:sz="8" w:color="010101"/>
            </w:tcBorders>
          </w:tcPr>
          <w:p>
            <w:pPr>
              <w:spacing w:after="0"/>
              <w:rPr>
                <w:sz w:val="20"/>
                <w:szCs w:val="20"/>
                <w:color w:val="auto"/>
              </w:rPr>
            </w:pPr>
          </w:p>
        </w:tc>
        <w:tc>
          <w:tcPr>
            <w:tcW w:w="1580" w:type="dxa"/>
            <w:vAlign w:val="bottom"/>
            <w:gridSpan w:val="4"/>
            <w:vMerge w:val="continue"/>
          </w:tcPr>
          <w:p>
            <w:pPr>
              <w:spacing w:after="0"/>
              <w:rPr>
                <w:sz w:val="20"/>
                <w:szCs w:val="20"/>
                <w:color w:val="auto"/>
              </w:rPr>
            </w:pPr>
          </w:p>
        </w:tc>
        <w:tc>
          <w:tcPr>
            <w:tcW w:w="360" w:type="dxa"/>
            <w:vAlign w:val="bottom"/>
            <w:tcBorders>
              <w:right w:val="single" w:sz="8" w:color="010101"/>
            </w:tcBorders>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100" w:type="dxa"/>
            <w:vAlign w:val="bottom"/>
            <w:tcBorders>
              <w:left w:val="single" w:sz="8" w:color="010101"/>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2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right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2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right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right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right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right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2818765</wp:posOffset>
            </wp:positionH>
            <wp:positionV relativeFrom="paragraph">
              <wp:posOffset>-2442845</wp:posOffset>
            </wp:positionV>
            <wp:extent cx="77851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778510" cy="8255"/>
                    </a:xfrm>
                    <a:prstGeom prst="rect">
                      <a:avLst/>
                    </a:prstGeom>
                    <a:noFill/>
                  </pic:spPr>
                </pic:pic>
              </a:graphicData>
            </a:graphic>
          </wp:anchor>
        </w:drawing>
      </w:r>
    </w:p>
    <w:p>
      <w:pPr>
        <w:spacing w:after="0" w:line="174" w:lineRule="exact"/>
        <w:rPr>
          <w:sz w:val="20"/>
          <w:szCs w:val="20"/>
          <w:color w:val="auto"/>
        </w:rPr>
      </w:pPr>
    </w:p>
    <w:p>
      <w:pPr>
        <w:jc w:val="both"/>
        <w:ind w:left="100" w:right="59" w:firstLine="749"/>
        <w:spacing w:after="0" w:line="245" w:lineRule="auto"/>
        <w:rPr>
          <w:sz w:val="20"/>
          <w:szCs w:val="20"/>
          <w:color w:val="auto"/>
        </w:rPr>
      </w:pPr>
      <w:r>
        <w:rPr>
          <w:rFonts w:ascii="Arial" w:cs="Arial" w:eastAsia="Arial" w:hAnsi="Arial"/>
          <w:sz w:val="18"/>
          <w:szCs w:val="18"/>
          <w:color w:val="auto"/>
        </w:rPr>
        <w:t xml:space="preserve">The Applicable Rate with respect to any Initial Term Loan and Initial Revolving Loan (including any Swingline Loan) shall be adjusted quarterly on a prospective basis on each Adjustment Date based upon the Total Net Leverage Ratio in accordance with the table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election of the Required Lenders or the Required Revolving Lenders, as applicable, if financial statements are not delivered when required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applicable, the “Applicable Rate” for any Initial Term Loan or Initial Revolving Loan shall be the rate per annum set forth above in Category 1 until such financial statements are delivered in compliance with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as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4</w:t>
      </w:r>
      <w:r>
        <w:rPr>
          <w:rFonts w:ascii="Arial" w:cs="Arial" w:eastAsia="Arial" w:hAnsi="Arial"/>
          <w:sz w:val="18"/>
          <w:szCs w:val="18"/>
          <w:u w:val="single" w:color="auto"/>
          <w:color w:val="0000FF"/>
          <w:strike w:val="1"/>
        </w:rPr>
        <w:t>4</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72" w:name="page73"/>
    <w:bookmarkEnd w:id="72"/>
    <w:p>
      <w:pPr>
        <w:jc w:val="both"/>
        <w:ind w:left="100" w:right="19" w:firstLine="749"/>
        <w:spacing w:after="0" w:line="2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Revolving Credit Percentage</w:t>
      </w:r>
      <w:r>
        <w:rPr>
          <w:rFonts w:ascii="Arial" w:cs="Arial" w:eastAsia="Arial" w:hAnsi="Arial"/>
          <w:sz w:val="19"/>
          <w:szCs w:val="19"/>
          <w:color w:val="auto"/>
        </w:rPr>
        <w:t xml:space="preserve">” means, with respect to any Revolving Lender at any time, the percentage of the Total Revolving Credit Commitment at such time represented by such Revolving Lender’s Revolving Credit Commitments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when there is a Defaulting Lender, any such Defaulting Lender’s Revolving Credit Commitment shall be disregarded in the relevant calculations. In the event that (a) the Revolving Credit Commitments of any Class have expired or been terminated in accordance with the terms hereof (other than pursuant to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the Applicable Revolving Credit Percentage shall be recalculated without giving effect to the Revolving Credit Commitments of such Class or (b) the Revolving Credit Commitments of all Classes have terminated (or the Revolving Credit Commitments of any Class have terminated pursuant to </w:t>
      </w:r>
      <w:r>
        <w:rPr>
          <w:rFonts w:ascii="Arial" w:cs="Arial" w:eastAsia="Arial" w:hAnsi="Arial"/>
          <w:sz w:val="19"/>
          <w:szCs w:val="19"/>
          <w:u w:val="single" w:color="auto"/>
          <w:color w:val="auto"/>
        </w:rPr>
        <w:t>Article 7</w:t>
      </w:r>
      <w:r>
        <w:rPr>
          <w:rFonts w:ascii="Arial" w:cs="Arial" w:eastAsia="Arial" w:hAnsi="Arial"/>
          <w:sz w:val="19"/>
          <w:szCs w:val="19"/>
          <w:color w:val="auto"/>
        </w:rPr>
        <w:t>), the Applicable Revolving Credit Percentage shall be determined based upon the Revolving Credit Commitments (or the Revolving Credit Commitments of such Class) most recently in effect, giving effect to any assignments thereof.</w:t>
      </w:r>
    </w:p>
    <w:p>
      <w:pPr>
        <w:spacing w:after="0" w:line="179" w:lineRule="exact"/>
        <w:rPr>
          <w:sz w:val="20"/>
          <w:szCs w:val="20"/>
          <w:color w:val="auto"/>
        </w:rPr>
      </w:pPr>
    </w:p>
    <w:p>
      <w:pPr>
        <w:jc w:val="both"/>
        <w:ind w:left="100" w:right="19" w:firstLine="74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with respect to any Lender, any Person (other than a natural person (or any holding company, investment vehicle or trust for, or owned and operated by, or for the primary benefit of, one or more natural persons)) that is engaged in making, purchasing, holding or otherwise investing in commercial loans and similar extensions of credit in the ordinary course of its activities and is administered, advised or managed by (a) such Lender, (b) any Affiliate of such Lender or (c) any entity or any Affiliate of any entity that administers, advises or manages such Lender.</w:t>
      </w:r>
    </w:p>
    <w:p>
      <w:pPr>
        <w:spacing w:after="0" w:line="169" w:lineRule="exact"/>
        <w:rPr>
          <w:sz w:val="20"/>
          <w:szCs w:val="20"/>
          <w:color w:val="auto"/>
        </w:rPr>
      </w:pPr>
    </w:p>
    <w:p>
      <w:pPr>
        <w:jc w:val="both"/>
        <w:ind w:left="100" w:right="59" w:firstLine="74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Arrangers</w:t>
      </w:r>
      <w:r>
        <w:rPr>
          <w:rFonts w:ascii="Arial" w:cs="Arial" w:eastAsia="Arial" w:hAnsi="Arial"/>
          <w:sz w:val="19"/>
          <w:szCs w:val="19"/>
          <w:color w:val="auto"/>
        </w:rPr>
        <w:t>” means BofA Securities, Inc., Barclays Bank PLC, Credit Suisse Loan Funding LLC, Deutsche Bank Securities Inc., Goldman Sachs Bank USA, JPMorgan Chase Bank, N.A., Morgan Stanley Senior Funding, Inc. and Stifel Bank &amp; Trust, in their respective capacities as joint lead arrangers and joint bookrunners hereunder.</w:t>
      </w:r>
    </w:p>
    <w:p>
      <w:pPr>
        <w:spacing w:after="0" w:line="179" w:lineRule="exact"/>
        <w:rPr>
          <w:sz w:val="20"/>
          <w:szCs w:val="20"/>
          <w:color w:val="auto"/>
        </w:rPr>
      </w:pPr>
    </w:p>
    <w:p>
      <w:pPr>
        <w:ind w:left="100" w:right="9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Assignment Agreement</w:t>
      </w:r>
      <w:r>
        <w:rPr>
          <w:rFonts w:ascii="Arial" w:cs="Arial" w:eastAsia="Arial" w:hAnsi="Arial"/>
          <w:sz w:val="19"/>
          <w:szCs w:val="19"/>
          <w:color w:val="auto"/>
        </w:rPr>
        <w:t>” means, collectively, each Assignment and Assumption and each Affiliated Lender Assignment and Assumption.</w:t>
      </w:r>
    </w:p>
    <w:p>
      <w:pPr>
        <w:spacing w:after="0" w:line="173" w:lineRule="exact"/>
        <w:rPr>
          <w:sz w:val="20"/>
          <w:szCs w:val="20"/>
          <w:color w:val="auto"/>
        </w:rPr>
      </w:pPr>
    </w:p>
    <w:p>
      <w:pPr>
        <w:jc w:val="both"/>
        <w:ind w:left="100" w:right="59"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 an assignment and assumption entered into by a Lender and an assignee (with the consent of any party whose consent is required by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and accepted by the Administrative Agent in the form of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and/or (b) any other form approved by the Administrative Agent and the Borrower.</w:t>
      </w:r>
    </w:p>
    <w:p>
      <w:pPr>
        <w:spacing w:after="0" w:line="162"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Amount</w:t>
      </w:r>
      <w:r>
        <w:rPr>
          <w:rFonts w:ascii="Arial" w:cs="Arial" w:eastAsia="Arial" w:hAnsi="Arial"/>
          <w:sz w:val="19"/>
          <w:szCs w:val="19"/>
          <w:color w:val="auto"/>
        </w:rPr>
        <w:t>” means, at any time, an amount equal to, without duplication:</w:t>
      </w:r>
    </w:p>
    <w:p>
      <w:pPr>
        <w:spacing w:after="0" w:line="214" w:lineRule="exact"/>
        <w:rPr>
          <w:sz w:val="20"/>
          <w:szCs w:val="20"/>
          <w:color w:val="auto"/>
        </w:rPr>
      </w:pPr>
    </w:p>
    <w:p>
      <w:pPr>
        <w:ind w:left="2340" w:hanging="748"/>
        <w:spacing w:after="0"/>
        <w:tabs>
          <w:tab w:leader="none" w:pos="23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sum of:</w:t>
      </w:r>
    </w:p>
    <w:p>
      <w:pPr>
        <w:spacing w:after="0" w:line="213" w:lineRule="exact"/>
        <w:rPr>
          <w:rFonts w:ascii="Arial" w:cs="Arial" w:eastAsia="Arial" w:hAnsi="Arial"/>
          <w:sz w:val="19"/>
          <w:szCs w:val="19"/>
          <w:color w:val="auto"/>
        </w:rPr>
      </w:pPr>
    </w:p>
    <w:p>
      <w:pPr>
        <w:ind w:left="3100" w:hanging="760"/>
        <w:spacing w:after="0"/>
        <w:tabs>
          <w:tab w:leader="none" w:pos="3100" w:val="left"/>
        </w:tabs>
        <w:numPr>
          <w:ilvl w:val="1"/>
          <w:numId w:val="32"/>
        </w:numPr>
        <w:rPr>
          <w:rFonts w:ascii="Arial" w:cs="Arial" w:eastAsia="Arial" w:hAnsi="Arial"/>
          <w:sz w:val="19"/>
          <w:szCs w:val="19"/>
          <w:color w:val="auto"/>
        </w:rPr>
      </w:pPr>
      <w:r>
        <w:rPr>
          <w:rFonts w:ascii="Arial" w:cs="Arial" w:eastAsia="Arial" w:hAnsi="Arial"/>
          <w:sz w:val="19"/>
          <w:szCs w:val="19"/>
          <w:color w:val="auto"/>
        </w:rPr>
        <w:t xml:space="preserve">[reserved]; </w:t>
      </w:r>
      <w:r>
        <w:rPr>
          <w:rFonts w:ascii="Arial" w:cs="Arial" w:eastAsia="Arial" w:hAnsi="Arial"/>
          <w:sz w:val="19"/>
          <w:szCs w:val="19"/>
          <w:u w:val="single" w:color="auto"/>
          <w:color w:val="auto"/>
        </w:rPr>
        <w:t>plus</w:t>
      </w:r>
    </w:p>
    <w:p>
      <w:pPr>
        <w:spacing w:after="0" w:line="294" w:lineRule="exact"/>
        <w:rPr>
          <w:rFonts w:ascii="Arial" w:cs="Arial" w:eastAsia="Arial" w:hAnsi="Arial"/>
          <w:sz w:val="19"/>
          <w:szCs w:val="19"/>
          <w:color w:val="auto"/>
        </w:rPr>
      </w:pPr>
    </w:p>
    <w:p>
      <w:pPr>
        <w:jc w:val="both"/>
        <w:ind w:left="1600" w:right="19" w:firstLine="741"/>
        <w:spacing w:after="0" w:line="263" w:lineRule="auto"/>
        <w:tabs>
          <w:tab w:leader="none" w:pos="3067"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 amount, not less than zero for any period, equal to the CNI Growth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amount shall be available pursuant to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(x) unless the Total Net Leverage Ratio does not exceed 3.25:1.00 on a Pro Forma Basis and (y) for any Restricted Payment made in reliance on </w:t>
      </w:r>
      <w:r>
        <w:rPr>
          <w:rFonts w:ascii="Arial" w:cs="Arial" w:eastAsia="Arial" w:hAnsi="Arial"/>
          <w:sz w:val="18"/>
          <w:szCs w:val="18"/>
          <w:u w:val="single" w:color="auto"/>
          <w:color w:val="auto"/>
        </w:rPr>
        <w:t>Section 6.04(a)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(iii)(A)</w:t>
      </w:r>
      <w:r>
        <w:rPr>
          <w:rFonts w:ascii="Arial" w:cs="Arial" w:eastAsia="Arial" w:hAnsi="Arial"/>
          <w:sz w:val="18"/>
          <w:szCs w:val="18"/>
          <w:color w:val="auto"/>
        </w:rPr>
        <w:t xml:space="preserve"> if an Event of Default under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exists); </w:t>
      </w:r>
      <w:r>
        <w:rPr>
          <w:rFonts w:ascii="Arial" w:cs="Arial" w:eastAsia="Arial" w:hAnsi="Arial"/>
          <w:sz w:val="18"/>
          <w:szCs w:val="18"/>
          <w:u w:val="single" w:color="auto"/>
          <w:color w:val="auto"/>
        </w:rPr>
        <w:t>plus</w:t>
      </w:r>
    </w:p>
    <w:p>
      <w:pPr>
        <w:spacing w:after="0" w:line="253" w:lineRule="exact"/>
        <w:rPr>
          <w:rFonts w:ascii="Arial" w:cs="Arial" w:eastAsia="Arial" w:hAnsi="Arial"/>
          <w:sz w:val="18"/>
          <w:szCs w:val="18"/>
          <w:color w:val="auto"/>
        </w:rPr>
      </w:pPr>
    </w:p>
    <w:p>
      <w:pPr>
        <w:jc w:val="both"/>
        <w:ind w:left="1600" w:right="19" w:firstLine="741"/>
        <w:spacing w:after="0" w:line="258" w:lineRule="auto"/>
        <w:tabs>
          <w:tab w:leader="none" w:pos="3065"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(A) the amount of any capital contribution in respect of Qualified Capital Stock or the proceeds of any issuance of Qualified Capital Stock after the Closing Date that are Not Otherwise Applied (other than any amount (1) constituting a Cure Amount or an Available Excluded Contribution Amount, (2) received from the Borrower or any Restricted Subsidiary or (3) consisting of the proceeds of any loan or advance made pursuant to </w:t>
      </w:r>
      <w:r>
        <w:rPr>
          <w:rFonts w:ascii="Arial" w:cs="Arial" w:eastAsia="Arial" w:hAnsi="Arial"/>
          <w:sz w:val="18"/>
          <w:szCs w:val="18"/>
          <w:u w:val="single" w:color="auto"/>
          <w:color w:val="auto"/>
        </w:rPr>
        <w:t>Section 6.06(h)(ii)</w:t>
      </w:r>
      <w:r>
        <w:rPr>
          <w:rFonts w:ascii="Arial" w:cs="Arial" w:eastAsia="Arial" w:hAnsi="Arial"/>
          <w:sz w:val="18"/>
          <w:szCs w:val="18"/>
          <w:color w:val="auto"/>
        </w:rPr>
        <w:t xml:space="preserve">) received or deemed to be received as Cash equity by the Borrower or any of its Restricted Subsidiaries),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fair market value, as determined by the Borrower in good faith, of Cash Equivalents, marketable securities or other property received or deemed to be received by the Borrower as a capital contribution in respect of Qualified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5</w:t>
      </w:r>
      <w:r>
        <w:rPr>
          <w:rFonts w:ascii="Arial" w:cs="Arial" w:eastAsia="Arial" w:hAnsi="Arial"/>
          <w:sz w:val="18"/>
          <w:szCs w:val="18"/>
          <w:u w:val="single" w:color="auto"/>
          <w:color w:val="0000FF"/>
          <w:strike w:val="1"/>
        </w:rPr>
        <w:t>5</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73" w:name="page74"/>
    <w:bookmarkEnd w:id="73"/>
    <w:p>
      <w:pPr>
        <w:jc w:val="both"/>
        <w:ind w:left="1600" w:right="59"/>
        <w:spacing w:after="0" w:line="252" w:lineRule="auto"/>
        <w:rPr>
          <w:sz w:val="20"/>
          <w:szCs w:val="20"/>
          <w:color w:val="auto"/>
        </w:rPr>
      </w:pPr>
      <w:r>
        <w:rPr>
          <w:rFonts w:ascii="Arial" w:cs="Arial" w:eastAsia="Arial" w:hAnsi="Arial"/>
          <w:sz w:val="18"/>
          <w:szCs w:val="18"/>
          <w:color w:val="auto"/>
        </w:rPr>
        <w:t xml:space="preserve">Capital Stock or in return for any issuance of Qualified Capital Stock that are Not Otherwise Applied (other than any amount (1) constituting a Cure Amount or an Available Excluded Contribution Amount or (2) received from the Borrower or any Restricted Subsidiary), in each case, during the period from and including the day immediately following the Closing Date through and including such time; </w:t>
      </w:r>
      <w:r>
        <w:rPr>
          <w:rFonts w:ascii="Arial" w:cs="Arial" w:eastAsia="Arial" w:hAnsi="Arial"/>
          <w:sz w:val="18"/>
          <w:szCs w:val="18"/>
          <w:u w:val="single" w:color="auto"/>
          <w:color w:val="auto"/>
        </w:rPr>
        <w:t>plus</w:t>
      </w:r>
    </w:p>
    <w:p>
      <w:pPr>
        <w:spacing w:after="0" w:line="265" w:lineRule="exact"/>
        <w:rPr>
          <w:sz w:val="20"/>
          <w:szCs w:val="20"/>
          <w:color w:val="auto"/>
        </w:rPr>
      </w:pPr>
    </w:p>
    <w:p>
      <w:pPr>
        <w:jc w:val="both"/>
        <w:ind w:left="1600" w:right="39" w:firstLine="741"/>
        <w:spacing w:after="0" w:line="273" w:lineRule="auto"/>
        <w:tabs>
          <w:tab w:leader="none" w:pos="3063" w:val="left"/>
        </w:tabs>
        <w:numPr>
          <w:ilvl w:val="1"/>
          <w:numId w:val="33"/>
        </w:numPr>
        <w:rPr>
          <w:rFonts w:ascii="Arial" w:cs="Arial" w:eastAsia="Arial" w:hAnsi="Arial"/>
          <w:sz w:val="17"/>
          <w:szCs w:val="17"/>
          <w:color w:val="auto"/>
        </w:rPr>
      </w:pPr>
      <w:r>
        <w:rPr>
          <w:rFonts w:ascii="Arial" w:cs="Arial" w:eastAsia="Arial" w:hAnsi="Arial"/>
          <w:sz w:val="17"/>
          <w:szCs w:val="17"/>
          <w:color w:val="auto"/>
        </w:rPr>
        <w:t xml:space="preserve">the aggregate principal amount of any Indebtedness (including any Disqualified Capital Stock), of the Borrower or any Restricted Subsidiary issued after the Closing Date (other than Indebtedness or such Disqualified Capital Stock issued to the Borrower or any Restricted Subsidiary), which has been converted into or exchanged for Capital Stock of the Borrower or any Parent Company that does not constitute Disqualified Capital Stock, together with the fair market value of any Cash Equivalents and the fair market value (as determined by the Borrower in good faith) of any assets received by the Borrower or such Restricted Subsidiary upon such exchange or conversion, in each case, during the period from and including the day immediately following the Closing Date through and including such time; </w:t>
      </w:r>
      <w:r>
        <w:rPr>
          <w:rFonts w:ascii="Arial" w:cs="Arial" w:eastAsia="Arial" w:hAnsi="Arial"/>
          <w:sz w:val="17"/>
          <w:szCs w:val="17"/>
          <w:u w:val="single" w:color="auto"/>
          <w:color w:val="auto"/>
        </w:rPr>
        <w:t>plus</w:t>
      </w:r>
    </w:p>
    <w:p>
      <w:pPr>
        <w:spacing w:after="0" w:line="259" w:lineRule="exact"/>
        <w:rPr>
          <w:rFonts w:ascii="Arial" w:cs="Arial" w:eastAsia="Arial" w:hAnsi="Arial"/>
          <w:sz w:val="17"/>
          <w:szCs w:val="17"/>
          <w:color w:val="auto"/>
        </w:rPr>
      </w:pPr>
    </w:p>
    <w:p>
      <w:pPr>
        <w:jc w:val="both"/>
        <w:ind w:left="1600" w:right="39" w:firstLine="741"/>
        <w:spacing w:after="0" w:line="243" w:lineRule="auto"/>
        <w:tabs>
          <w:tab w:leader="none" w:pos="3065" w:val="left"/>
        </w:tabs>
        <w:numPr>
          <w:ilvl w:val="1"/>
          <w:numId w:val="33"/>
        </w:numPr>
        <w:rPr>
          <w:rFonts w:ascii="Arial" w:cs="Arial" w:eastAsia="Arial" w:hAnsi="Arial"/>
          <w:sz w:val="19"/>
          <w:szCs w:val="19"/>
          <w:color w:val="auto"/>
        </w:rPr>
      </w:pPr>
      <w:r>
        <w:rPr>
          <w:rFonts w:ascii="Arial" w:cs="Arial" w:eastAsia="Arial" w:hAnsi="Arial"/>
          <w:sz w:val="19"/>
          <w:szCs w:val="19"/>
          <w:color w:val="auto"/>
        </w:rPr>
        <w:t xml:space="preserve">the Net Proceeds received by the Borrower or any Restricted Subsidiary during the period from and including the day immediately following the Closing Date through and including such time in connection with the Disposition to any Person (other than the Borrower or any Restricted Subsidiary) of any Investment made pursuant to </w:t>
      </w:r>
      <w:r>
        <w:rPr>
          <w:rFonts w:ascii="Arial" w:cs="Arial" w:eastAsia="Arial" w:hAnsi="Arial"/>
          <w:sz w:val="19"/>
          <w:szCs w:val="19"/>
          <w:u w:val="single" w:color="auto"/>
          <w:color w:val="auto"/>
        </w:rPr>
        <w:t>Section 6.06(r)(i)</w:t>
      </w:r>
      <w:r>
        <w:rPr>
          <w:rFonts w:ascii="Arial" w:cs="Arial" w:eastAsia="Arial" w:hAnsi="Arial"/>
          <w:sz w:val="19"/>
          <w:szCs w:val="19"/>
          <w:color w:val="auto"/>
        </w:rPr>
        <w:t xml:space="preserve"> (up to the original amount of the Investment permitted in reliance on such clause); </w:t>
      </w:r>
      <w:r>
        <w:rPr>
          <w:rFonts w:ascii="Arial" w:cs="Arial" w:eastAsia="Arial" w:hAnsi="Arial"/>
          <w:sz w:val="19"/>
          <w:szCs w:val="19"/>
          <w:u w:val="single" w:color="auto"/>
          <w:color w:val="auto"/>
        </w:rPr>
        <w:t>plus</w:t>
      </w:r>
    </w:p>
    <w:p>
      <w:pPr>
        <w:spacing w:after="0" w:line="270" w:lineRule="exact"/>
        <w:rPr>
          <w:rFonts w:ascii="Arial" w:cs="Arial" w:eastAsia="Arial" w:hAnsi="Arial"/>
          <w:sz w:val="19"/>
          <w:szCs w:val="19"/>
          <w:color w:val="auto"/>
        </w:rPr>
      </w:pPr>
    </w:p>
    <w:p>
      <w:pPr>
        <w:jc w:val="both"/>
        <w:ind w:left="1600" w:right="59" w:firstLine="741"/>
        <w:spacing w:after="0" w:line="242" w:lineRule="auto"/>
        <w:tabs>
          <w:tab w:leader="none" w:pos="3063" w:val="left"/>
        </w:tabs>
        <w:numPr>
          <w:ilvl w:val="1"/>
          <w:numId w:val="33"/>
        </w:numPr>
        <w:rPr>
          <w:rFonts w:ascii="Arial" w:cs="Arial" w:eastAsia="Arial" w:hAnsi="Arial"/>
          <w:sz w:val="19"/>
          <w:szCs w:val="19"/>
          <w:color w:val="auto"/>
        </w:rPr>
      </w:pPr>
      <w:r>
        <w:rPr>
          <w:rFonts w:ascii="Arial" w:cs="Arial" w:eastAsia="Arial" w:hAnsi="Arial"/>
          <w:sz w:val="19"/>
          <w:szCs w:val="19"/>
          <w:color w:val="auto"/>
        </w:rPr>
        <w:t xml:space="preserve">to the extent not already reflected as a return of capital with respect to such Investment for purposes of determining the amount of such Investment (pursuant to the definition thereof), the proceeds received (or deemed to be received) by the Borrower or any Restricted Subsidiary during the period from and including the day immediately following the Closing Date through and including such time in connection with cash returns, cash profits, cash distributions and similar cash amounts, including cash principal repayments and interest payments of loans, in each case, received in respect of any Investment made after the Closing Date pursuant to </w:t>
      </w:r>
      <w:r>
        <w:rPr>
          <w:rFonts w:ascii="Arial" w:cs="Arial" w:eastAsia="Arial" w:hAnsi="Arial"/>
          <w:sz w:val="19"/>
          <w:szCs w:val="19"/>
          <w:u w:val="single" w:color="auto"/>
          <w:color w:val="auto"/>
        </w:rPr>
        <w:t>Section 6.06(r)(i)</w:t>
      </w:r>
      <w:r>
        <w:rPr>
          <w:rFonts w:ascii="Arial" w:cs="Arial" w:eastAsia="Arial" w:hAnsi="Arial"/>
          <w:sz w:val="19"/>
          <w:szCs w:val="19"/>
          <w:color w:val="auto"/>
        </w:rPr>
        <w:t xml:space="preserve"> (up to the original amount of the Investment permitted in reliance on such clause); </w:t>
      </w:r>
      <w:r>
        <w:rPr>
          <w:rFonts w:ascii="Arial" w:cs="Arial" w:eastAsia="Arial" w:hAnsi="Arial"/>
          <w:sz w:val="19"/>
          <w:szCs w:val="19"/>
          <w:u w:val="single" w:color="auto"/>
          <w:color w:val="auto"/>
        </w:rPr>
        <w:t>plus</w:t>
      </w:r>
    </w:p>
    <w:p>
      <w:pPr>
        <w:spacing w:after="0" w:line="276" w:lineRule="exact"/>
        <w:rPr>
          <w:rFonts w:ascii="Arial" w:cs="Arial" w:eastAsia="Arial" w:hAnsi="Arial"/>
          <w:sz w:val="19"/>
          <w:szCs w:val="19"/>
          <w:color w:val="auto"/>
        </w:rPr>
      </w:pPr>
    </w:p>
    <w:p>
      <w:pPr>
        <w:jc w:val="both"/>
        <w:ind w:left="1600" w:right="19" w:firstLine="741"/>
        <w:spacing w:after="0" w:line="269" w:lineRule="auto"/>
        <w:tabs>
          <w:tab w:leader="none" w:pos="3067" w:val="left"/>
        </w:tabs>
        <w:numPr>
          <w:ilvl w:val="1"/>
          <w:numId w:val="33"/>
        </w:numPr>
        <w:rPr>
          <w:rFonts w:ascii="Arial" w:cs="Arial" w:eastAsia="Arial" w:hAnsi="Arial"/>
          <w:sz w:val="17"/>
          <w:szCs w:val="17"/>
          <w:color w:val="auto"/>
        </w:rPr>
      </w:pPr>
      <w:r>
        <w:rPr>
          <w:rFonts w:ascii="Arial" w:cs="Arial" w:eastAsia="Arial" w:hAnsi="Arial"/>
          <w:sz w:val="17"/>
          <w:szCs w:val="17"/>
          <w:color w:val="auto"/>
        </w:rPr>
        <w:t>an amount equal to the sum of (A) the amount of any Investment made by the Borrower or any Restricted Subsidiary in any Unrestricted Subsidiary or any other Person (other than the Borrower or any Restricted Subsidiary) that has been re-designated as or has become, as applicable, a Restricted Subsidiary or has been merged, consolidated or amalgamated with or into, or is liquidated, wound up or dissolved into, the Borrower or any Restricted Subsidiary and (B) an amount equal to the fair market value (as determined by the Borrower in good faith) of the assets (including cash or Cash Equivalents) of any Unrestricted Subsidiary or any other Person (other than the Borrower or any Restricted Subsidiary) that have been distributed, conveyed or otherwise transferred to the Borrower or any Restricted Subsidiary, in each case, during the period from and including the day immediately following the Closing Date through and including such time, in case of clauses</w:t>
      </w:r>
    </w:p>
    <w:p>
      <w:pPr>
        <w:spacing w:after="0" w:line="1" w:lineRule="exact"/>
        <w:rPr>
          <w:rFonts w:ascii="Arial" w:cs="Arial" w:eastAsia="Arial" w:hAnsi="Arial"/>
          <w:sz w:val="17"/>
          <w:szCs w:val="17"/>
          <w:color w:val="auto"/>
        </w:rPr>
      </w:pPr>
    </w:p>
    <w:p>
      <w:pPr>
        <w:ind w:left="1600" w:right="59" w:hanging="7"/>
        <w:spacing w:after="0" w:line="234" w:lineRule="auto"/>
        <w:tabs>
          <w:tab w:leader="none" w:pos="1924"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and (B), to the extent the original Investment in such Person was made pursuant </w:t>
      </w:r>
      <w:r>
        <w:rPr>
          <w:rFonts w:ascii="Arial" w:cs="Arial" w:eastAsia="Arial" w:hAnsi="Arial"/>
          <w:sz w:val="19"/>
          <w:szCs w:val="19"/>
          <w:u w:val="single" w:color="auto"/>
          <w:color w:val="auto"/>
        </w:rPr>
        <w:t>Section 6.06(r)(i)</w:t>
      </w:r>
      <w:r>
        <w:rPr>
          <w:rFonts w:ascii="Arial" w:cs="Arial" w:eastAsia="Arial" w:hAnsi="Arial"/>
          <w:sz w:val="19"/>
          <w:szCs w:val="19"/>
          <w:color w:val="auto"/>
        </w:rPr>
        <w:t xml:space="preserve"> (up to the original amount of the Investment permitted in reliance on such clause); </w:t>
      </w:r>
      <w:r>
        <w:rPr>
          <w:rFonts w:ascii="Arial" w:cs="Arial" w:eastAsia="Arial" w:hAnsi="Arial"/>
          <w:sz w:val="19"/>
          <w:szCs w:val="19"/>
          <w:u w:val="single" w:color="auto"/>
          <w:color w:val="auto"/>
        </w:rPr>
        <w:t>plus</w:t>
      </w:r>
    </w:p>
    <w:p>
      <w:pPr>
        <w:spacing w:after="0" w:line="259" w:lineRule="exact"/>
        <w:rPr>
          <w:rFonts w:ascii="Arial" w:cs="Arial" w:eastAsia="Arial" w:hAnsi="Arial"/>
          <w:sz w:val="19"/>
          <w:szCs w:val="19"/>
          <w:color w:val="auto"/>
        </w:rPr>
      </w:pPr>
    </w:p>
    <w:p>
      <w:pPr>
        <w:jc w:val="both"/>
        <w:ind w:left="1600" w:right="19" w:firstLine="741"/>
        <w:spacing w:after="0" w:line="256" w:lineRule="auto"/>
        <w:tabs>
          <w:tab w:leader="none" w:pos="3066" w:val="left"/>
        </w:tabs>
        <w:numPr>
          <w:ilvl w:val="1"/>
          <w:numId w:val="34"/>
        </w:numPr>
        <w:rPr>
          <w:rFonts w:ascii="Arial" w:cs="Arial" w:eastAsia="Arial" w:hAnsi="Arial"/>
          <w:sz w:val="19"/>
          <w:szCs w:val="19"/>
          <w:color w:val="auto"/>
        </w:rPr>
      </w:pPr>
      <w:r>
        <w:rPr>
          <w:rFonts w:ascii="Arial" w:cs="Arial" w:eastAsia="Arial" w:hAnsi="Arial"/>
          <w:sz w:val="19"/>
          <w:szCs w:val="19"/>
          <w:color w:val="auto"/>
        </w:rPr>
        <w:t>to the extent not already included in the CNI Growth Amount, the aggregate amount of any Cash dividend or other Cash distribution received (or deemed received) by the Borrower or any Restricted Subsidiary from any Unrestricted Subsidiary after the Closing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6</w:t>
      </w:r>
      <w:r>
        <w:rPr>
          <w:rFonts w:ascii="Arial" w:cs="Arial" w:eastAsia="Arial" w:hAnsi="Arial"/>
          <w:sz w:val="18"/>
          <w:szCs w:val="18"/>
          <w:u w:val="single" w:color="auto"/>
          <w:color w:val="0000FF"/>
          <w:strike w:val="1"/>
        </w:rPr>
        <w:t>6</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74" w:name="page75"/>
    <w:bookmarkEnd w:id="74"/>
    <w:p>
      <w:pPr>
        <w:ind w:left="1600"/>
        <w:spacing w:after="0"/>
        <w:rPr>
          <w:sz w:val="20"/>
          <w:szCs w:val="20"/>
          <w:color w:val="auto"/>
        </w:rPr>
      </w:pPr>
      <w:r>
        <w:rPr>
          <w:rFonts w:ascii="Arial" w:cs="Arial" w:eastAsia="Arial" w:hAnsi="Arial"/>
          <w:sz w:val="19"/>
          <w:szCs w:val="19"/>
          <w:color w:val="auto"/>
        </w:rPr>
        <w:t xml:space="preserve">Date (up to the original amount of the Investment permitted in reliance on </w:t>
      </w:r>
      <w:r>
        <w:rPr>
          <w:rFonts w:ascii="Arial" w:cs="Arial" w:eastAsia="Arial" w:hAnsi="Arial"/>
          <w:sz w:val="19"/>
          <w:szCs w:val="19"/>
          <w:u w:val="single" w:color="auto"/>
          <w:color w:val="auto"/>
        </w:rPr>
        <w:t>Section 6.06(r)(i)</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w:t>
      </w:r>
    </w:p>
    <w:p>
      <w:pPr>
        <w:spacing w:after="0" w:line="295" w:lineRule="exact"/>
        <w:rPr>
          <w:sz w:val="20"/>
          <w:szCs w:val="20"/>
          <w:color w:val="auto"/>
        </w:rPr>
      </w:pPr>
    </w:p>
    <w:p>
      <w:pPr>
        <w:ind w:left="3100" w:hanging="760"/>
        <w:spacing w:after="0"/>
        <w:tabs>
          <w:tab w:leader="none" w:pos="31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the amount of any Declined Proceeds; </w:t>
      </w:r>
      <w:r>
        <w:rPr>
          <w:rFonts w:ascii="Arial" w:cs="Arial" w:eastAsia="Arial" w:hAnsi="Arial"/>
          <w:sz w:val="19"/>
          <w:szCs w:val="19"/>
          <w:u w:val="single" w:color="auto"/>
          <w:color w:val="auto"/>
        </w:rPr>
        <w:t>plus</w:t>
      </w:r>
    </w:p>
    <w:p>
      <w:pPr>
        <w:spacing w:after="0" w:line="294" w:lineRule="exact"/>
        <w:rPr>
          <w:rFonts w:ascii="Arial" w:cs="Arial" w:eastAsia="Arial" w:hAnsi="Arial"/>
          <w:sz w:val="19"/>
          <w:szCs w:val="19"/>
          <w:color w:val="auto"/>
        </w:rPr>
      </w:pPr>
    </w:p>
    <w:p>
      <w:pPr>
        <w:ind w:left="3100" w:hanging="760"/>
        <w:spacing w:after="0"/>
        <w:tabs>
          <w:tab w:leader="none" w:pos="31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[reserved]; </w:t>
      </w:r>
      <w:r>
        <w:rPr>
          <w:rFonts w:ascii="Arial" w:cs="Arial" w:eastAsia="Arial" w:hAnsi="Arial"/>
          <w:sz w:val="19"/>
          <w:szCs w:val="19"/>
          <w:u w:val="single" w:color="auto"/>
          <w:color w:val="auto"/>
        </w:rPr>
        <w:t>plus</w:t>
      </w:r>
    </w:p>
    <w:p>
      <w:pPr>
        <w:spacing w:after="0" w:line="294" w:lineRule="exact"/>
        <w:rPr>
          <w:rFonts w:ascii="Arial" w:cs="Arial" w:eastAsia="Arial" w:hAnsi="Arial"/>
          <w:sz w:val="19"/>
          <w:szCs w:val="19"/>
          <w:color w:val="auto"/>
        </w:rPr>
      </w:pPr>
    </w:p>
    <w:p>
      <w:pPr>
        <w:ind w:left="3100" w:hanging="760"/>
        <w:spacing w:after="0"/>
        <w:tabs>
          <w:tab w:leader="none" w:pos="31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[reserved]; </w:t>
      </w:r>
      <w:r>
        <w:rPr>
          <w:rFonts w:ascii="Arial" w:cs="Arial" w:eastAsia="Arial" w:hAnsi="Arial"/>
          <w:sz w:val="19"/>
          <w:szCs w:val="19"/>
          <w:u w:val="single" w:color="auto"/>
          <w:color w:val="auto"/>
        </w:rPr>
        <w:t>plus</w:t>
      </w:r>
    </w:p>
    <w:p>
      <w:pPr>
        <w:spacing w:after="0" w:line="294" w:lineRule="exact"/>
        <w:rPr>
          <w:rFonts w:ascii="Arial" w:cs="Arial" w:eastAsia="Arial" w:hAnsi="Arial"/>
          <w:sz w:val="19"/>
          <w:szCs w:val="19"/>
          <w:color w:val="auto"/>
        </w:rPr>
      </w:pPr>
    </w:p>
    <w:p>
      <w:pPr>
        <w:jc w:val="both"/>
        <w:ind w:left="1600" w:firstLine="741"/>
        <w:spacing w:after="0" w:line="250" w:lineRule="auto"/>
        <w:tabs>
          <w:tab w:leader="none" w:pos="3067"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the fair market value of any First Lien Debt and/or Junior Lien Debt that has been contributed to the Borrower and/or any of its Restricted Subsidiaries in accordance with </w:t>
      </w:r>
      <w:r>
        <w:rPr>
          <w:rFonts w:ascii="Arial" w:cs="Arial" w:eastAsia="Arial" w:hAnsi="Arial"/>
          <w:sz w:val="19"/>
          <w:szCs w:val="19"/>
          <w:u w:val="single" w:color="auto"/>
          <w:color w:val="auto"/>
        </w:rPr>
        <w:t>Section 9.05(g)</w:t>
      </w:r>
      <w:r>
        <w:rPr>
          <w:rFonts w:ascii="Arial" w:cs="Arial" w:eastAsia="Arial" w:hAnsi="Arial"/>
          <w:sz w:val="19"/>
          <w:szCs w:val="19"/>
          <w:color w:val="auto"/>
        </w:rPr>
        <w:t xml:space="preserve"> (or any comparable provision under any definitive documentation governing such First Lien Debt or Junior Lien Debt, as applicable); </w:t>
      </w:r>
      <w:r>
        <w:rPr>
          <w:rFonts w:ascii="Arial" w:cs="Arial" w:eastAsia="Arial" w:hAnsi="Arial"/>
          <w:sz w:val="19"/>
          <w:szCs w:val="19"/>
          <w:u w:val="single" w:color="auto"/>
          <w:color w:val="auto"/>
        </w:rPr>
        <w:t>plus</w:t>
      </w:r>
    </w:p>
    <w:p>
      <w:pPr>
        <w:spacing w:after="0" w:line="264" w:lineRule="exact"/>
        <w:rPr>
          <w:rFonts w:ascii="Arial" w:cs="Arial" w:eastAsia="Arial" w:hAnsi="Arial"/>
          <w:sz w:val="19"/>
          <w:szCs w:val="19"/>
          <w:color w:val="auto"/>
        </w:rPr>
      </w:pPr>
    </w:p>
    <w:p>
      <w:pPr>
        <w:jc w:val="both"/>
        <w:ind w:left="1600" w:right="20" w:firstLine="741"/>
        <w:spacing w:after="0" w:line="245" w:lineRule="auto"/>
        <w:tabs>
          <w:tab w:leader="none" w:pos="3066"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the aggregate face amount of any Indebtedness of the Borrower and/or any Restricted Subsidiary that is cancelled, released or otherwise terminated by virtue of the incurrence or assumption by any Unrestricted Subsidiary of any such Indebtedness, including by way of an “exchange” or similar transaction; </w:t>
      </w:r>
      <w:r>
        <w:rPr>
          <w:rFonts w:ascii="Arial" w:cs="Arial" w:eastAsia="Arial" w:hAnsi="Arial"/>
          <w:sz w:val="19"/>
          <w:szCs w:val="19"/>
          <w:u w:val="single" w:color="auto"/>
          <w:color w:val="auto"/>
        </w:rPr>
        <w:t>plus</w:t>
      </w:r>
    </w:p>
    <w:p>
      <w:pPr>
        <w:spacing w:after="0" w:line="268" w:lineRule="exact"/>
        <w:rPr>
          <w:rFonts w:ascii="Arial" w:cs="Arial" w:eastAsia="Arial" w:hAnsi="Arial"/>
          <w:sz w:val="19"/>
          <w:szCs w:val="19"/>
          <w:color w:val="auto"/>
        </w:rPr>
      </w:pPr>
    </w:p>
    <w:p>
      <w:pPr>
        <w:jc w:val="both"/>
        <w:ind w:left="1600" w:right="20" w:firstLine="741"/>
        <w:spacing w:after="0" w:line="245" w:lineRule="auto"/>
        <w:tabs>
          <w:tab w:leader="none" w:pos="3066"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the value of any transaction consideration in any Permitted Acquisition or other Investment attributable in the good faith determination of the Borrower to the Qualified Capital Stock of the Borrower or its applicable Parent Company issued in connection with such Permitted Acquisition or other Investment that is Not Otherwise Applied up to the fair market value (as determined by the Borrower in good faith) of the assets acquired by the Borrower and its Restricted Subsidiaries as a result of such Permitted Acquisition or other Investment; </w:t>
      </w:r>
      <w:r>
        <w:rPr>
          <w:rFonts w:ascii="Arial" w:cs="Arial" w:eastAsia="Arial" w:hAnsi="Arial"/>
          <w:sz w:val="19"/>
          <w:szCs w:val="19"/>
          <w:u w:val="single" w:color="auto"/>
          <w:color w:val="auto"/>
        </w:rPr>
        <w:t>minus</w:t>
      </w:r>
    </w:p>
    <w:p>
      <w:pPr>
        <w:spacing w:after="0" w:line="268" w:lineRule="exact"/>
        <w:rPr>
          <w:sz w:val="20"/>
          <w:szCs w:val="20"/>
          <w:color w:val="auto"/>
        </w:rPr>
      </w:pPr>
    </w:p>
    <w:p>
      <w:pPr>
        <w:ind w:left="2220" w:hanging="629"/>
        <w:spacing w:after="0"/>
        <w:tabs>
          <w:tab w:leader="none" w:pos="22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an amount equal to the sum of (i) Restricted Payments made pursuant to </w:t>
      </w:r>
      <w:r>
        <w:rPr>
          <w:rFonts w:ascii="Arial" w:cs="Arial" w:eastAsia="Arial" w:hAnsi="Arial"/>
          <w:sz w:val="17"/>
          <w:szCs w:val="17"/>
          <w:u w:val="single" w:color="auto"/>
          <w:color w:val="auto"/>
        </w:rPr>
        <w:t>Section 6.04(a)(iii)(A)</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p>
    <w:p>
      <w:pPr>
        <w:spacing w:after="0" w:line="36" w:lineRule="exact"/>
        <w:rPr>
          <w:rFonts w:ascii="Arial" w:cs="Arial" w:eastAsia="Arial" w:hAnsi="Arial"/>
          <w:sz w:val="17"/>
          <w:szCs w:val="17"/>
          <w:color w:val="auto"/>
        </w:rPr>
      </w:pPr>
    </w:p>
    <w:p>
      <w:pPr>
        <w:ind w:left="840" w:right="60" w:firstLine="3"/>
        <w:spacing w:after="0" w:line="270" w:lineRule="auto"/>
        <w:tabs>
          <w:tab w:leader="none" w:pos="11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Restricted Debt Payments made pursuant to </w:t>
      </w:r>
      <w:r>
        <w:rPr>
          <w:rFonts w:ascii="Arial" w:cs="Arial" w:eastAsia="Arial" w:hAnsi="Arial"/>
          <w:sz w:val="18"/>
          <w:szCs w:val="18"/>
          <w:u w:val="single" w:color="auto"/>
          <w:color w:val="auto"/>
        </w:rPr>
        <w:t>Section 6.04(b)(vi)(A)</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Investments made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6.06(r)(i)</w:t>
      </w:r>
      <w:r>
        <w:rPr>
          <w:rFonts w:ascii="Arial" w:cs="Arial" w:eastAsia="Arial" w:hAnsi="Arial"/>
          <w:sz w:val="18"/>
          <w:szCs w:val="18"/>
          <w:color w:val="auto"/>
        </w:rPr>
        <w:t>, in each case, after the Closing Date and prior to such time or contemporaneously therewith.</w:t>
      </w:r>
    </w:p>
    <w:p>
      <w:pPr>
        <w:spacing w:after="0" w:line="166" w:lineRule="exact"/>
        <w:rPr>
          <w:sz w:val="20"/>
          <w:szCs w:val="20"/>
          <w:color w:val="auto"/>
        </w:rPr>
      </w:pPr>
    </w:p>
    <w:p>
      <w:pPr>
        <w:jc w:val="both"/>
        <w:ind w:left="100" w:right="60" w:firstLine="74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Excluded Contribution Amount</w:t>
      </w:r>
      <w:r>
        <w:rPr>
          <w:rFonts w:ascii="Arial" w:cs="Arial" w:eastAsia="Arial" w:hAnsi="Arial"/>
          <w:sz w:val="19"/>
          <w:szCs w:val="19"/>
          <w:color w:val="auto"/>
        </w:rPr>
        <w:t>” means the aggregate amount of Cash or Cash Equivalents or the fair market value of other assets (as determined by the Borrower in good faith, but excluding any Cure Amount) received (or deemed received) by the Borrower or any of its Restricted Subsidiaries after the Closing Date from:</w:t>
      </w:r>
    </w:p>
    <w:p>
      <w:pPr>
        <w:spacing w:after="0" w:line="179" w:lineRule="exact"/>
        <w:rPr>
          <w:sz w:val="20"/>
          <w:szCs w:val="20"/>
          <w:color w:val="auto"/>
        </w:rPr>
      </w:pPr>
    </w:p>
    <w:p>
      <w:pPr>
        <w:ind w:left="840" w:right="60" w:firstLine="751"/>
        <w:spacing w:after="0" w:line="320" w:lineRule="auto"/>
        <w:tabs>
          <w:tab w:leader="none" w:pos="2209"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contributions (or deemed contributions) of assets (including cash) in respect of Qualified Capital Stock of the Borrower (other than any amount received from any Restricted Subsidiary) that are Not Otherwise Applied; and</w:t>
      </w:r>
    </w:p>
    <w:p>
      <w:pPr>
        <w:spacing w:after="0" w:line="126" w:lineRule="exact"/>
        <w:rPr>
          <w:rFonts w:ascii="Arial" w:cs="Arial" w:eastAsia="Arial" w:hAnsi="Arial"/>
          <w:sz w:val="17"/>
          <w:szCs w:val="17"/>
          <w:color w:val="auto"/>
        </w:rPr>
      </w:pPr>
    </w:p>
    <w:p>
      <w:pPr>
        <w:jc w:val="both"/>
        <w:ind w:left="840" w:right="60" w:firstLine="751"/>
        <w:spacing w:after="0" w:line="245" w:lineRule="auto"/>
        <w:tabs>
          <w:tab w:leader="none" w:pos="2209"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the sale or issuance of Qualified Capital Stock of the Borrower that are Not Otherwise Applied (other than (x) to any Restricted Subsidiary, (y) pursuant to any management equity plan or stock option plan or any other management or employee benefit plan or (z) with the proceeds of any loan or advance made pursuant to </w:t>
      </w:r>
      <w:r>
        <w:rPr>
          <w:rFonts w:ascii="Arial" w:cs="Arial" w:eastAsia="Arial" w:hAnsi="Arial"/>
          <w:sz w:val="19"/>
          <w:szCs w:val="19"/>
          <w:u w:val="single" w:color="auto"/>
          <w:color w:val="auto"/>
        </w:rPr>
        <w:t>Section 6.06(h)</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w:t>
      </w:r>
    </w:p>
    <w:p>
      <w:pPr>
        <w:spacing w:after="0" w:line="201" w:lineRule="exact"/>
        <w:rPr>
          <w:sz w:val="20"/>
          <w:szCs w:val="20"/>
          <w:color w:val="auto"/>
        </w:rPr>
      </w:pPr>
    </w:p>
    <w:p>
      <w:pPr>
        <w:jc w:val="both"/>
        <w:ind w:left="100" w:right="40"/>
        <w:spacing w:after="0" w:line="236" w:lineRule="auto"/>
        <w:rPr>
          <w:sz w:val="20"/>
          <w:szCs w:val="20"/>
          <w:color w:val="auto"/>
        </w:rPr>
      </w:pPr>
      <w:r>
        <w:rPr>
          <w:rFonts w:ascii="Arial" w:cs="Arial" w:eastAsia="Arial" w:hAnsi="Arial"/>
          <w:sz w:val="19"/>
          <w:szCs w:val="19"/>
          <w:color w:val="auto"/>
        </w:rPr>
        <w:t>in each case, designated by the Borrower as an Available Excluded Contribution Amount on or promptly after the date on which the relevant capital contribution is made (or deemed to be made) or the relevant proceeds are received (or deemed to be received), as the case may be, and which are excluded from the calculation of the Available Amount.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7</w:t>
      </w:r>
      <w:r>
        <w:rPr>
          <w:rFonts w:ascii="Arial" w:cs="Arial" w:eastAsia="Arial" w:hAnsi="Arial"/>
          <w:sz w:val="18"/>
          <w:szCs w:val="18"/>
          <w:u w:val="single" w:color="auto"/>
          <w:color w:val="0000FF"/>
          <w:strike w:val="1"/>
        </w:rPr>
        <w:t>7</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85" w:right="1439" w:bottom="1440" w:gutter="0" w:footer="0" w:header="0"/>
        </w:sectPr>
      </w:pPr>
    </w:p>
    <w:bookmarkStart w:id="75" w:name="page76"/>
    <w:bookmarkEnd w:id="75"/>
    <w:p>
      <w:pPr>
        <w:ind w:left="100" w:right="99" w:firstLine="74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Action</w:t>
      </w:r>
      <w:r>
        <w:rPr>
          <w:rFonts w:ascii="Arial" w:cs="Arial" w:eastAsia="Arial" w:hAnsi="Arial"/>
          <w:sz w:val="19"/>
          <w:szCs w:val="19"/>
          <w:color w:val="auto"/>
        </w:rPr>
        <w:t>” means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left="100" w:right="59" w:firstLine="749"/>
        <w:spacing w:after="0" w:line="23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 (other than through liquidation, administration or other insolvency proceedings).</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 of America</w:t>
      </w:r>
      <w:r>
        <w:rPr>
          <w:rFonts w:ascii="Arial" w:cs="Arial" w:eastAsia="Arial" w:hAnsi="Arial"/>
          <w:sz w:val="17"/>
          <w:szCs w:val="17"/>
          <w:color w:val="auto"/>
        </w:rPr>
        <w:t>” has the meaning assigned to such term in the preamble to this Agreement. “</w:t>
      </w:r>
      <w:r>
        <w:rPr>
          <w:rFonts w:ascii="Arial" w:cs="Arial" w:eastAsia="Arial" w:hAnsi="Arial"/>
          <w:sz w:val="17"/>
          <w:szCs w:val="17"/>
          <w:u w:val="single" w:color="auto"/>
          <w:color w:val="auto"/>
        </w:rPr>
        <w:t>Banking Services</w:t>
      </w:r>
      <w:r>
        <w:rPr>
          <w:rFonts w:ascii="Arial" w:cs="Arial" w:eastAsia="Arial" w:hAnsi="Arial"/>
          <w:sz w:val="17"/>
          <w:szCs w:val="17"/>
          <w:color w:val="auto"/>
        </w:rPr>
        <w:t>” means</w:t>
      </w:r>
    </w:p>
    <w:p>
      <w:pPr>
        <w:spacing w:after="0" w:line="237" w:lineRule="exact"/>
        <w:rPr>
          <w:sz w:val="20"/>
          <w:szCs w:val="20"/>
          <w:color w:val="auto"/>
        </w:rPr>
      </w:pPr>
    </w:p>
    <w:p>
      <w:pPr>
        <w:ind w:left="840"/>
        <w:spacing w:after="0"/>
        <w:rPr>
          <w:sz w:val="20"/>
          <w:szCs w:val="20"/>
          <w:color w:val="auto"/>
        </w:rPr>
      </w:pPr>
      <w:r>
        <w:rPr>
          <w:rFonts w:ascii="Arial" w:cs="Arial" w:eastAsia="Arial" w:hAnsi="Arial"/>
          <w:sz w:val="19"/>
          <w:szCs w:val="19"/>
          <w:color w:val="auto"/>
        </w:rPr>
        <w:t>each and any of the following services: commercial credit cards, stored</w:t>
      </w:r>
    </w:p>
    <w:p>
      <w:pPr>
        <w:spacing w:after="0" w:line="65" w:lineRule="exact"/>
        <w:rPr>
          <w:sz w:val="20"/>
          <w:szCs w:val="20"/>
          <w:color w:val="auto"/>
        </w:rPr>
      </w:pPr>
    </w:p>
    <w:p>
      <w:pPr>
        <w:ind w:left="100"/>
        <w:spacing w:after="0"/>
        <w:rPr>
          <w:sz w:val="20"/>
          <w:szCs w:val="20"/>
          <w:color w:val="auto"/>
        </w:rPr>
      </w:pPr>
      <w:r>
        <w:rPr>
          <w:rFonts w:ascii="Arial" w:cs="Arial" w:eastAsia="Arial" w:hAnsi="Arial"/>
          <w:sz w:val="19"/>
          <w:szCs w:val="19"/>
          <w:color w:val="auto"/>
        </w:rPr>
        <w:t>value cards, purchasing cards, treasury management services, netting services, overdraft protections, check</w:t>
      </w:r>
    </w:p>
    <w:p>
      <w:pPr>
        <w:jc w:val="both"/>
        <w:ind w:left="100" w:right="59"/>
        <w:spacing w:after="0" w:line="232" w:lineRule="auto"/>
        <w:rPr>
          <w:sz w:val="20"/>
          <w:szCs w:val="20"/>
          <w:color w:val="auto"/>
        </w:rPr>
      </w:pPr>
      <w:r>
        <w:rPr>
          <w:rFonts w:ascii="Arial" w:cs="Arial" w:eastAsia="Arial" w:hAnsi="Arial"/>
          <w:sz w:val="19"/>
          <w:szCs w:val="19"/>
          <w:color w:val="auto"/>
        </w:rPr>
        <w:t>drawing services, automated payment services (including depository, overdraft, controlled disbursement, ACH transactions, return items and interstate depository network services), employee credit card programs, cash pooling services, supply chain and/or supplier financing services and any arrangement and/or service similar to any of the foregoing and/or otherwise in connection with Cash management and Deposit Accounts.</w:t>
      </w:r>
    </w:p>
    <w:p>
      <w:pPr>
        <w:spacing w:after="0" w:line="192" w:lineRule="exact"/>
        <w:rPr>
          <w:sz w:val="20"/>
          <w:szCs w:val="20"/>
          <w:color w:val="auto"/>
        </w:rPr>
      </w:pPr>
    </w:p>
    <w:p>
      <w:pPr>
        <w:jc w:val="both"/>
        <w:ind w:left="100" w:right="39" w:firstLine="749"/>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Banking Services Obligations</w:t>
      </w:r>
      <w:r>
        <w:rPr>
          <w:rFonts w:ascii="Arial" w:cs="Arial" w:eastAsia="Arial" w:hAnsi="Arial"/>
          <w:sz w:val="17"/>
          <w:szCs w:val="17"/>
          <w:color w:val="auto"/>
        </w:rPr>
        <w:t xml:space="preserve">” means any and all obligations of any Loan Party, whether absolute or contingent and however and whenever created, arising, evidenced or acquired (including all renewals, extensions and modifications thereof and substitutions therefor), under any arrangement in connection with Banking Services that is in effect on the Closing Date or entered into at any time on or after the Closing Date between any Loan Party and (a) a counterparty that is (or is an Affiliate of) the Administrative Agent, any Lender or any Arranger as of the Closing Date or at the time such arrangement is entered into and/or (b) any other Person, in each case of the Persons described in the foregoing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that is designated in writing by the Borrower to the Administrative Agent as a provider of Banking Services Obligations for purposes of the Loan Documents, it being understood that each counterparty provider of Banking Services Obligations shall be deemed (A) to appoint the Administrative Agent as its agent under the applicable Loan Documents and (B) to agree to be bound by the provisions of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9.10</w:t>
      </w:r>
      <w:r>
        <w:rPr>
          <w:rFonts w:ascii="Arial" w:cs="Arial" w:eastAsia="Arial" w:hAnsi="Arial"/>
          <w:sz w:val="17"/>
          <w:szCs w:val="17"/>
          <w:color w:val="auto"/>
        </w:rPr>
        <w:t xml:space="preserve"> and any applicable Intercreditor Agreement as if it were a Lender.</w:t>
      </w:r>
    </w:p>
    <w:p>
      <w:pPr>
        <w:spacing w:after="0" w:line="180" w:lineRule="exact"/>
        <w:rPr>
          <w:sz w:val="20"/>
          <w:szCs w:val="20"/>
          <w:color w:val="auto"/>
        </w:rPr>
      </w:pPr>
    </w:p>
    <w:p>
      <w:pPr>
        <w:ind w:left="100" w:right="7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Code</w:t>
      </w:r>
      <w:r>
        <w:rPr>
          <w:rFonts w:ascii="Arial" w:cs="Arial" w:eastAsia="Arial" w:hAnsi="Arial"/>
          <w:sz w:val="19"/>
          <w:szCs w:val="19"/>
          <w:color w:val="auto"/>
        </w:rPr>
        <w:t xml:space="preserve">” means Title 11 of the United States Code (11 USC § 101 </w:t>
      </w:r>
      <w:r>
        <w:rPr>
          <w:rFonts w:ascii="Arial" w:cs="Arial" w:eastAsia="Arial" w:hAnsi="Arial"/>
          <w:sz w:val="19"/>
          <w:szCs w:val="19"/>
          <w:i w:val="1"/>
          <w:iCs w:val="1"/>
          <w:color w:val="auto"/>
        </w:rPr>
        <w:t>et seq</w:t>
      </w:r>
      <w:r>
        <w:rPr>
          <w:rFonts w:ascii="Arial" w:cs="Arial" w:eastAsia="Arial" w:hAnsi="Arial"/>
          <w:sz w:val="19"/>
          <w:szCs w:val="19"/>
          <w:color w:val="auto"/>
        </w:rPr>
        <w:t>.), as it has been, or may be, amended, from time to time.</w:t>
      </w:r>
    </w:p>
    <w:p>
      <w:pPr>
        <w:spacing w:after="0" w:line="173" w:lineRule="exact"/>
        <w:rPr>
          <w:sz w:val="20"/>
          <w:szCs w:val="20"/>
          <w:color w:val="auto"/>
        </w:rPr>
      </w:pPr>
    </w:p>
    <w:p>
      <w:pPr>
        <w:ind w:left="100" w:right="99" w:firstLine="74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Ownership Certification</w:t>
      </w:r>
      <w:r>
        <w:rPr>
          <w:rFonts w:ascii="Arial" w:cs="Arial" w:eastAsia="Arial" w:hAnsi="Arial"/>
          <w:sz w:val="19"/>
          <w:szCs w:val="19"/>
          <w:color w:val="auto"/>
        </w:rPr>
        <w:t>” means a certification regarding beneficial ownership required by the Beneficial Ownership Regulation.</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Ownership Regulation</w:t>
      </w:r>
      <w:r>
        <w:rPr>
          <w:rFonts w:ascii="Arial" w:cs="Arial" w:eastAsia="Arial" w:hAnsi="Arial"/>
          <w:sz w:val="19"/>
          <w:szCs w:val="19"/>
          <w:color w:val="auto"/>
        </w:rPr>
        <w:t>” means 31 C.F.R. § 1010.230.</w:t>
      </w:r>
    </w:p>
    <w:p>
      <w:pPr>
        <w:spacing w:after="0" w:line="200"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 Plan</w:t>
      </w:r>
      <w:r>
        <w:rPr>
          <w:rFonts w:ascii="Arial" w:cs="Arial" w:eastAsia="Arial" w:hAnsi="Arial"/>
          <w:sz w:val="19"/>
          <w:szCs w:val="19"/>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Governors of the Federal Reserve System of the US.</w:t>
      </w:r>
    </w:p>
    <w:p>
      <w:pPr>
        <w:spacing w:after="0" w:line="214" w:lineRule="exact"/>
        <w:rPr>
          <w:sz w:val="20"/>
          <w:szCs w:val="20"/>
          <w:color w:val="auto"/>
        </w:rPr>
      </w:pPr>
    </w:p>
    <w:p>
      <w:pPr>
        <w:ind w:left="100" w:right="9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w:t>
      </w:r>
      <w:r>
        <w:rPr>
          <w:rFonts w:ascii="Arial" w:cs="Arial" w:eastAsia="Arial" w:hAnsi="Arial"/>
          <w:sz w:val="19"/>
          <w:szCs w:val="19"/>
          <w:color w:val="auto"/>
        </w:rPr>
        <w:t>” has the meaning assigned to such term in the preamble to this Agreement and shall, for the avoidance of doubt, include any Successor Borrower.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8</w:t>
      </w:r>
      <w:r>
        <w:rPr>
          <w:rFonts w:ascii="Arial" w:cs="Arial" w:eastAsia="Arial" w:hAnsi="Arial"/>
          <w:sz w:val="18"/>
          <w:szCs w:val="18"/>
          <w:u w:val="single" w:color="auto"/>
          <w:color w:val="0000FF"/>
          <w:strike w:val="1"/>
        </w:rPr>
        <w:t>8</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76" w:name="page77"/>
    <w:bookmarkEnd w:id="76"/>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 Materials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9.01(d)</w:t>
      </w:r>
      <w:r>
        <w:rPr>
          <w:rFonts w:ascii="Arial" w:cs="Arial" w:eastAsia="Arial" w:hAnsi="Arial"/>
          <w:sz w:val="19"/>
          <w:szCs w:val="19"/>
          <w:color w:val="auto"/>
        </w:rPr>
        <w:t>.</w:t>
      </w:r>
    </w:p>
    <w:p>
      <w:pPr>
        <w:spacing w:after="0" w:line="214" w:lineRule="exact"/>
        <w:rPr>
          <w:sz w:val="20"/>
          <w:szCs w:val="20"/>
          <w:color w:val="auto"/>
        </w:rPr>
      </w:pPr>
    </w:p>
    <w:p>
      <w:pPr>
        <w:ind w:left="100" w:right="35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w:t>
      </w:r>
      <w:r>
        <w:rPr>
          <w:rFonts w:ascii="Arial" w:cs="Arial" w:eastAsia="Arial" w:hAnsi="Arial"/>
          <w:sz w:val="19"/>
          <w:szCs w:val="19"/>
          <w:color w:val="auto"/>
        </w:rPr>
        <w:t xml:space="preserve">” means any Loans of the same Type and Class made, converted or continued on the same date and, in the case of </w:t>
      </w:r>
      <w:r>
        <w:rPr>
          <w:rFonts w:ascii="Arial" w:cs="Arial" w:eastAsia="Arial" w:hAnsi="Arial"/>
          <w:sz w:val="19"/>
          <w:szCs w:val="19"/>
          <w:color w:val="FF0000"/>
          <w:strike w:val="1"/>
        </w:rPr>
        <w:t>LIBO Rate</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Loans, as to which a single Interest Period is in effect.</w:t>
      </w:r>
    </w:p>
    <w:p>
      <w:pPr>
        <w:spacing w:after="0" w:line="254"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 Request</w:t>
      </w:r>
      <w:r>
        <w:rPr>
          <w:rFonts w:ascii="Arial" w:cs="Arial" w:eastAsia="Arial" w:hAnsi="Arial"/>
          <w:sz w:val="19"/>
          <w:szCs w:val="19"/>
          <w:color w:val="auto"/>
        </w:rPr>
        <w:t xml:space="preserve">” means a request by the Borrower for a Borrowing in accordance with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and substantially in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or such other form that is reasonably acceptable to the Administrative Agent and the Borrower, including any form on an electronic platform or electronic transmission system as shall be approved by the Administrative Agent and the Borrower, in each case, appropriately completed and signed by a Responsible Officer of the Borrower.</w:t>
      </w:r>
    </w:p>
    <w:p>
      <w:pPr>
        <w:spacing w:after="0" w:line="181"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Burdensome Agreement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6.05</w:t>
      </w:r>
      <w:r>
        <w:rPr>
          <w:rFonts w:ascii="Arial" w:cs="Arial" w:eastAsia="Arial" w:hAnsi="Arial"/>
          <w:sz w:val="19"/>
          <w:szCs w:val="19"/>
          <w:color w:val="auto"/>
        </w:rPr>
        <w:t>.</w:t>
      </w:r>
    </w:p>
    <w:p>
      <w:pPr>
        <w:spacing w:after="0" w:line="200" w:lineRule="exact"/>
        <w:rPr>
          <w:sz w:val="20"/>
          <w:szCs w:val="20"/>
          <w:color w:val="auto"/>
        </w:rPr>
      </w:pPr>
    </w:p>
    <w:p>
      <w:pPr>
        <w:jc w:val="both"/>
        <w:ind w:left="100" w:right="39" w:firstLine="74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that is not a Saturday, Sunday or other day on which commercial banks in New York City are authorized or required by law to remain closed</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provided</w:t>
      </w:r>
      <w:r>
        <w:rPr>
          <w:rFonts w:ascii="Arial" w:cs="Arial" w:eastAsia="Arial" w:hAnsi="Arial"/>
          <w:sz w:val="17"/>
          <w:szCs w:val="17"/>
          <w:color w:val="auto"/>
        </w:rPr>
        <w:t xml:space="preserve"> </w:t>
      </w:r>
      <w:r>
        <w:rPr>
          <w:rFonts w:ascii="Arial" w:cs="Arial" w:eastAsia="Arial" w:hAnsi="Arial"/>
          <w:sz w:val="17"/>
          <w:szCs w:val="17"/>
          <w:color w:val="FF0000"/>
          <w:strike w:val="1"/>
        </w:rPr>
        <w:t>that when used in connection with a LIBO Rate Loan, the term</w:t>
      </w:r>
    </w:p>
    <w:p>
      <w:pPr>
        <w:spacing w:after="0" w:line="1" w:lineRule="exact"/>
        <w:rPr>
          <w:sz w:val="20"/>
          <w:szCs w:val="20"/>
          <w:color w:val="auto"/>
        </w:rPr>
      </w:pPr>
    </w:p>
    <w:p>
      <w:pPr>
        <w:jc w:val="both"/>
        <w:ind w:left="100" w:right="59"/>
        <w:spacing w:after="0" w:line="234" w:lineRule="auto"/>
        <w:rPr>
          <w:sz w:val="20"/>
          <w:szCs w:val="20"/>
          <w:color w:val="auto"/>
        </w:rPr>
      </w:pPr>
      <w:r>
        <w:rPr>
          <w:rFonts w:ascii="Arial" w:cs="Arial" w:eastAsia="Arial" w:hAnsi="Arial"/>
          <w:sz w:val="19"/>
          <w:szCs w:val="19"/>
          <w:color w:val="FF0000"/>
          <w:strike w:val="1"/>
        </w:rPr>
        <w:t>“Business Day” shall also exclude any day on which banks are not open for dealings in Dollar deposits (or deposits in the applicable Alternate Currency) in the London interbank market.</w:t>
      </w:r>
      <w:r>
        <w:rPr>
          <w:rFonts w:ascii="Arial" w:cs="Arial" w:eastAsia="Arial" w:hAnsi="Arial"/>
          <w:sz w:val="19"/>
          <w:szCs w:val="19"/>
          <w:color w:val="0000FF"/>
          <w:strike w:val="1"/>
        </w:rPr>
        <w:t>.</w:t>
      </w:r>
    </w:p>
    <w:p>
      <w:pPr>
        <w:spacing w:after="0" w:line="273" w:lineRule="exact"/>
        <w:rPr>
          <w:sz w:val="20"/>
          <w:szCs w:val="20"/>
          <w:color w:val="auto"/>
        </w:rPr>
      </w:pPr>
    </w:p>
    <w:p>
      <w:pPr>
        <w:ind w:left="100" w:right="9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Optimization Initiative</w:t>
      </w:r>
      <w:r>
        <w:rPr>
          <w:rFonts w:ascii="Arial" w:cs="Arial" w:eastAsia="Arial" w:hAnsi="Arial"/>
          <w:sz w:val="19"/>
          <w:szCs w:val="19"/>
          <w:color w:val="auto"/>
        </w:rPr>
        <w:t>” has the meaning assigned to such term in the definition of “Consolidated Adjusted EBITDA”.</w:t>
      </w:r>
    </w:p>
    <w:p>
      <w:pPr>
        <w:spacing w:after="0" w:line="173" w:lineRule="exact"/>
        <w:rPr>
          <w:sz w:val="20"/>
          <w:szCs w:val="20"/>
          <w:color w:val="auto"/>
        </w:rPr>
      </w:pPr>
    </w:p>
    <w:p>
      <w:pPr>
        <w:jc w:val="both"/>
        <w:ind w:left="100" w:right="59" w:firstLine="74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Expenditures</w:t>
      </w:r>
      <w:r>
        <w:rPr>
          <w:rFonts w:ascii="Arial" w:cs="Arial" w:eastAsia="Arial" w:hAnsi="Arial"/>
          <w:sz w:val="17"/>
          <w:szCs w:val="17"/>
          <w:color w:val="auto"/>
        </w:rPr>
        <w:t>” means, with respect to the Borrower and its Restricted Subsidiaries for any period, the aggregate amount, without duplication, of all expenditures (whether paid in cash or accrued as liabilities and including in all events all amounts expended or capitalized under Capital Leases) that would, in accordance with GAAP, are, or are required to be included as, capital expenditures on the consolidated statement of cash flows of the Borrower and its Restricted Subsidiaries for such period.</w:t>
      </w:r>
    </w:p>
    <w:p>
      <w:pPr>
        <w:spacing w:after="0" w:line="153" w:lineRule="exact"/>
        <w:rPr>
          <w:sz w:val="20"/>
          <w:szCs w:val="20"/>
          <w:color w:val="auto"/>
        </w:rPr>
      </w:pPr>
    </w:p>
    <w:p>
      <w:pPr>
        <w:ind w:left="100" w:right="9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w:t>
      </w:r>
      <w:r>
        <w:rPr>
          <w:rFonts w:ascii="Arial" w:cs="Arial" w:eastAsia="Arial" w:hAnsi="Arial"/>
          <w:sz w:val="19"/>
          <w:szCs w:val="19"/>
          <w:color w:val="auto"/>
        </w:rPr>
        <w:t xml:space="preserve">” means, as applied to any Person, any lease of any property (whether real, personal or mixed) by that Person as lessee that, in conformity with GAAP, is or should be accounted for as a capital lease on the balance sheet of that Person; </w:t>
      </w:r>
      <w:r>
        <w:rPr>
          <w:rFonts w:ascii="Arial" w:cs="Arial" w:eastAsia="Arial" w:hAnsi="Arial"/>
          <w:sz w:val="19"/>
          <w:szCs w:val="19"/>
          <w:u w:val="single" w:color="auto"/>
          <w:color w:val="auto"/>
        </w:rPr>
        <w:t>provided</w:t>
      </w:r>
      <w:r>
        <w:rPr>
          <w:rFonts w:ascii="Arial" w:cs="Arial" w:eastAsia="Arial" w:hAnsi="Arial"/>
          <w:sz w:val="19"/>
          <w:szCs w:val="19"/>
          <w:color w:val="auto"/>
        </w:rPr>
        <w:t>, that for the avoidance of doubt, the amount of obligations attributable to any Capital Lease shall be the amount thereof accounted for as a liability in accordance with GAAP.</w:t>
      </w:r>
    </w:p>
    <w:p>
      <w:pPr>
        <w:spacing w:after="0" w:line="180" w:lineRule="exact"/>
        <w:rPr>
          <w:sz w:val="20"/>
          <w:szCs w:val="20"/>
          <w:color w:val="auto"/>
        </w:rPr>
      </w:pPr>
    </w:p>
    <w:p>
      <w:pPr>
        <w:jc w:val="both"/>
        <w:ind w:left="100" w:right="39" w:firstLine="74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any and all shares, interests, participations, preferred equity certificates, convertible preferred equity certificates or other equivalents (however designated) of capital stock of a corporation, any and all equivalent ownership interests in a Person (other than a corporation), including partnership interests and membership interests, and any and all warrants, rights or options to purchase or other arrangements or rights to acquire any of the foregoing, but excluding for the avoidance of doubt any Indebtedness convertible into or exchangeable for any of the foregoing.</w:t>
      </w:r>
    </w:p>
    <w:p>
      <w:pPr>
        <w:spacing w:after="0" w:line="169" w:lineRule="exact"/>
        <w:rPr>
          <w:sz w:val="20"/>
          <w:szCs w:val="20"/>
          <w:color w:val="auto"/>
        </w:rPr>
      </w:pPr>
    </w:p>
    <w:p>
      <w:pPr>
        <w:ind w:left="100" w:right="9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Captive Insurance Subsidiary</w:t>
      </w:r>
      <w:r>
        <w:rPr>
          <w:rFonts w:ascii="Arial" w:cs="Arial" w:eastAsia="Arial" w:hAnsi="Arial"/>
          <w:sz w:val="19"/>
          <w:szCs w:val="19"/>
          <w:color w:val="auto"/>
        </w:rPr>
        <w:t>” means any Restricted Subsidiary of the Borrower that is subject to regulation as an insurance company (or any Restricted Subsidiary thereof).</w:t>
      </w:r>
    </w:p>
    <w:p>
      <w:pPr>
        <w:spacing w:after="0" w:line="18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w:t>
      </w:r>
      <w:r>
        <w:rPr>
          <w:rFonts w:ascii="Arial" w:cs="Arial" w:eastAsia="Arial" w:hAnsi="Arial"/>
          <w:sz w:val="17"/>
          <w:szCs w:val="17"/>
          <w:color w:val="auto"/>
        </w:rPr>
        <w:t>” means money, currency or a credit balance in any Deposit Account, in each case determined in accordance with</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9"/>
          <w:szCs w:val="19"/>
          <w:color w:val="auto"/>
        </w:rPr>
        <w:t>GAAP.</w:t>
      </w:r>
    </w:p>
    <w:p>
      <w:pPr>
        <w:spacing w:after="0" w:line="184" w:lineRule="exact"/>
        <w:rPr>
          <w:sz w:val="20"/>
          <w:szCs w:val="20"/>
          <w:color w:val="auto"/>
        </w:rPr>
      </w:pPr>
    </w:p>
    <w:p>
      <w:pPr>
        <w:jc w:val="both"/>
        <w:ind w:left="100" w:right="59" w:firstLine="749"/>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Equivalents</w:t>
      </w:r>
      <w:r>
        <w:rPr>
          <w:rFonts w:ascii="Arial" w:cs="Arial" w:eastAsia="Arial" w:hAnsi="Arial"/>
          <w:sz w:val="19"/>
          <w:szCs w:val="19"/>
          <w:color w:val="auto"/>
        </w:rPr>
        <w:t>” means, as at any date of determination, (a) readily marketable securities (i) issued or directly and unconditionally guaranteed or insured as to interest and principal by the US government or (ii) issued by any agency or instrumentality of the US the obligations of which are backed by the full faith and credit of the US, in each case maturing within one year after such date and, in each case, repurchase agreements and reverse repurchase agreements relating thereto, (b) readily marketable direct obligations issued by any state of the US or any political subdivision of any such state or any public instrumentality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9</w:t>
      </w:r>
      <w:r>
        <w:rPr>
          <w:rFonts w:ascii="Arial" w:cs="Arial" w:eastAsia="Arial" w:hAnsi="Arial"/>
          <w:sz w:val="18"/>
          <w:szCs w:val="18"/>
          <w:u w:val="single" w:color="auto"/>
          <w:color w:val="0000FF"/>
          <w:strike w:val="1"/>
        </w:rPr>
        <w:t>9</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77" w:name="page78"/>
    <w:bookmarkEnd w:id="77"/>
    <w:p>
      <w:pPr>
        <w:ind w:left="100" w:right="19"/>
        <w:spacing w:after="0"/>
        <w:rPr>
          <w:sz w:val="20"/>
          <w:szCs w:val="20"/>
          <w:color w:val="auto"/>
        </w:rPr>
      </w:pPr>
      <w:r>
        <w:rPr>
          <w:rFonts w:ascii="Arial" w:cs="Arial" w:eastAsia="Arial" w:hAnsi="Arial"/>
          <w:sz w:val="18"/>
          <w:szCs w:val="18"/>
          <w:color w:val="auto"/>
        </w:rPr>
        <w:t xml:space="preserve">thereof or by any foreign government, in each case maturing within one year after such date and having, at the time of the acquisition thereof, a rating of at least A-2 from S&amp;P or at least P-2 from Moody’s or at least “A” from Fitch (or, if at any time none of S&amp;P, Moody’s or Fitch rates such obligations, an equivalent rating from another nationally recognized statistical rating agency) and, in each case, repurchase agreements and reverse repurchase agreements relating thereto, (c) commercial paper maturing no more than one year from the date of creation thereof and having, at the time of the acquisition thereof, a rating of at least A-2 from S&amp;P, at least P-2 from Moody’s or at least “F2” from Fitch (or, if at any time none of S&amp;P, Moody’s or Fitch rates such obligations, an equivalent rating from another nationally recognized statistical rating agency), (d) deposits, money market deposits, time deposit accounts, certificates of deposit or bankers’ acceptances (or similar instruments) maturing within one year after such date and issued or accepted by any Lender or by any bank organized under, or authorized to operate as a bank under, the laws of the US, any state thereof or the District of Columbia or any political subdivision thereof or any foreign bank or its branches or agencies in each case organized under, or authorized to operate as bank under, the laws of any jurisdiction in which any subsidiary is organized or has operations and that has capital and surplus of not less than $100,000,000 and, in each case, repurchase agreements and reverse repurchase agreements relating thereto, (e) securities with maturities of six months or less from the date of acquisition backed by standby letters of credit issued by any commercial bank having capital and surplus of not less than $100,000,000, (f) shares of any investment fund that has (i) substantially all of its assets invested in the types of investments referred to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(e)</w:t>
      </w:r>
      <w:r>
        <w:rPr>
          <w:rFonts w:ascii="Arial" w:cs="Arial" w:eastAsia="Arial" w:hAnsi="Arial"/>
          <w:sz w:val="18"/>
          <w:szCs w:val="18"/>
          <w:color w:val="auto"/>
        </w:rPr>
        <w:t xml:space="preserve"> above,</w:t>
      </w:r>
    </w:p>
    <w:p>
      <w:pPr>
        <w:spacing w:after="0" w:line="12" w:lineRule="exact"/>
        <w:rPr>
          <w:sz w:val="20"/>
          <w:szCs w:val="20"/>
          <w:color w:val="auto"/>
        </w:rPr>
      </w:pPr>
    </w:p>
    <w:p>
      <w:pPr>
        <w:ind w:left="100" w:right="59" w:hanging="7"/>
        <w:spacing w:after="0" w:line="260" w:lineRule="auto"/>
        <w:tabs>
          <w:tab w:leader="none" w:pos="378"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net assets of not less than $250,000,000 and (iii) a rating of at least A-2 from S&amp;P, at least P-2 from Moody’s or at least “A” from Fitch (or, if at any time either S&amp;P, Moody’s or Fitch are not rating such fund, an equivalent rating from another nationally recognized statistical rating agency) and (g) solely with respect to any Captive Insurance Subsidiary, any investment that such Captive Insurance Subsidiary is not prohibited to make in accordance with applicable law. “Cash Equivalents” shall also include (x) Investments of the type and maturity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(g)</w:t>
      </w:r>
      <w:r>
        <w:rPr>
          <w:rFonts w:ascii="Arial" w:cs="Arial" w:eastAsia="Arial" w:hAnsi="Arial"/>
          <w:sz w:val="17"/>
          <w:szCs w:val="17"/>
          <w:color w:val="auto"/>
        </w:rPr>
        <w:t xml:space="preserve"> above of foreign obligors, which Investments or obligors (or the parent companies thereof) have the ratings described in such clauses or equivalent ratings from comparable foreign rating agencies and (y) other short-term Investments utilized by Foreign Subsidiaries in accordance with normal investment practices for cash management in Investments that are analogous to the Investments described in clauses (a) through (g) and in this paragraph.</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means (a) the adoption of any law, treaty, rule or regulation after the Closing Date,</w:t>
      </w:r>
    </w:p>
    <w:p>
      <w:pPr>
        <w:jc w:val="both"/>
        <w:ind w:left="100" w:right="39" w:hanging="7"/>
        <w:spacing w:after="0" w:line="270" w:lineRule="auto"/>
        <w:tabs>
          <w:tab w:leader="none" w:pos="369"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any change in any law, treaty, rule or regulation or in the interpretation or application thereof by any Governmental Authority after the Closing Date or (c) compliance by any Lender or any Issuing Bank (or, for purposes of </w:t>
      </w:r>
      <w:r>
        <w:rPr>
          <w:rFonts w:ascii="Arial" w:cs="Arial" w:eastAsia="Arial" w:hAnsi="Arial"/>
          <w:sz w:val="17"/>
          <w:szCs w:val="17"/>
          <w:u w:val="single" w:color="auto"/>
          <w:color w:val="auto"/>
        </w:rPr>
        <w:t>Section 2.15(b)</w:t>
      </w:r>
      <w:r>
        <w:rPr>
          <w:rFonts w:ascii="Arial" w:cs="Arial" w:eastAsia="Arial" w:hAnsi="Arial"/>
          <w:sz w:val="17"/>
          <w:szCs w:val="17"/>
          <w:color w:val="auto"/>
        </w:rPr>
        <w:t xml:space="preserve">, by any lending office of such Lender or such Issuing Bank or by such Lender’s or such Issuing Bank’s holding company, if any) with any request, guideline or directive (whether or not having the force of law) of any Governmental Authority made or issued after the Closing Date (other than any such request, guideline or directive to comply with any law, rule or regulation that was in effect on the Closing Date). For purposes of this definition and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(x) the Dodd-Frank Wall Street Reform and Consumer Protection Act and all requests, rules, guidelines, requirements and directives thereunder or issued in connection therewith or in implementation thereof and (y) all requests, rules, guidelines, requirements or directives promulgated by the Bank for International Settlements, the Basel Committee on Banking Supervision (or any successor or similar authority) or US or foreign regulatory authorities, in each case pursuant to Basel III, shall in each case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above, be deemed to be a Change in Law, regardless of the date enacted, adopted, issued or implemented.</w:t>
      </w:r>
    </w:p>
    <w:p>
      <w:pPr>
        <w:spacing w:after="0" w:line="171"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means:</w:t>
      </w:r>
    </w:p>
    <w:p>
      <w:pPr>
        <w:spacing w:after="0" w:line="200" w:lineRule="exact"/>
        <w:rPr>
          <w:sz w:val="20"/>
          <w:szCs w:val="20"/>
          <w:color w:val="auto"/>
        </w:rPr>
      </w:pPr>
    </w:p>
    <w:p>
      <w:pPr>
        <w:jc w:val="both"/>
        <w:ind w:left="840" w:right="59" w:firstLine="751"/>
        <w:spacing w:after="0" w:line="279" w:lineRule="auto"/>
        <w:tabs>
          <w:tab w:leader="none" w:pos="2254"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Responsible Officer of the Borrower becomes aware of the acquisition of the beneficial ownership by any Person or group (as used in this definition, within the meaning of Section 13(d)(3) or Section 14(d)(2) of the Exchange Act) (including any group acting for the purpose of acquiring, holding or disposing of Securities (within the meaning of Rule 13d-5(b)(1) under the Exchange Act), but excluding (i) any employee benefit plan and/or Person acting as the trustee, agent or other fiduciary or administrator therefor, (ii) one or more Permitted Holders and (iii) underwriters in connection with any offering of Capital Stock), of voting common stock representing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w:t>
      </w:r>
      <w:r>
        <w:rPr>
          <w:rFonts w:ascii="Arial" w:cs="Arial" w:eastAsia="Arial" w:hAnsi="Arial"/>
          <w:sz w:val="18"/>
          <w:szCs w:val="18"/>
          <w:u w:val="single" w:color="auto"/>
          <w:color w:val="0000FF"/>
          <w:strike w:val="1"/>
        </w:rPr>
        <w:t>10</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78" w:name="page79"/>
    <w:bookmarkEnd w:id="78"/>
    <w:p>
      <w:pPr>
        <w:jc w:val="both"/>
        <w:ind w:left="840" w:right="60"/>
        <w:spacing w:after="0" w:line="260" w:lineRule="auto"/>
        <w:rPr>
          <w:sz w:val="20"/>
          <w:szCs w:val="20"/>
          <w:color w:val="auto"/>
        </w:rPr>
      </w:pPr>
      <w:r>
        <w:rPr>
          <w:rFonts w:ascii="Arial" w:cs="Arial" w:eastAsia="Arial" w:hAnsi="Arial"/>
          <w:sz w:val="17"/>
          <w:szCs w:val="17"/>
          <w:color w:val="auto"/>
        </w:rPr>
        <w:t xml:space="preserve">more than the greater of (x) 35% of the total voting power of all of the outstanding voting common stock of the Parent and (y) the percentage of the total voting power of all of the outstanding voting common stock of the Parent owned, directly or indirectly, beneficially by the Permitted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provisions of this </w:t>
      </w:r>
      <w:r>
        <w:rPr>
          <w:rFonts w:ascii="Arial" w:cs="Arial" w:eastAsia="Arial" w:hAnsi="Arial"/>
          <w:sz w:val="17"/>
          <w:szCs w:val="17"/>
          <w:u w:val="single" w:color="auto"/>
          <w:color w:val="auto"/>
        </w:rPr>
        <w:t>clause</w:t>
      </w:r>
    </w:p>
    <w:p>
      <w:pPr>
        <w:spacing w:after="0" w:line="2" w:lineRule="exact"/>
        <w:rPr>
          <w:sz w:val="20"/>
          <w:szCs w:val="20"/>
          <w:color w:val="auto"/>
        </w:rPr>
      </w:pPr>
    </w:p>
    <w:p>
      <w:pPr>
        <w:jc w:val="both"/>
        <w:ind w:left="840" w:right="60"/>
        <w:spacing w:after="0" w:line="235" w:lineRule="auto"/>
        <w:rPr>
          <w:sz w:val="20"/>
          <w:szCs w:val="20"/>
          <w:color w:val="auto"/>
        </w:rPr>
      </w:pPr>
      <w:r>
        <w:rPr>
          <w:rFonts w:ascii="Arial" w:cs="Arial" w:eastAsia="Arial" w:hAnsi="Arial"/>
          <w:sz w:val="19"/>
          <w:szCs w:val="19"/>
          <w:u w:val="single" w:color="auto"/>
          <w:color w:val="auto"/>
        </w:rPr>
        <w:t>(a)</w:t>
      </w:r>
      <w:r>
        <w:rPr>
          <w:rFonts w:ascii="Arial" w:cs="Arial" w:eastAsia="Arial" w:hAnsi="Arial"/>
          <w:sz w:val="19"/>
          <w:szCs w:val="19"/>
          <w:color w:val="auto"/>
        </w:rPr>
        <w:t xml:space="preserve">, no “Change of Control” shall be deemed to have occurred under this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if the Permitted Holders have the right, by voting power, contract or otherwise, to elect or designate for election at least a majority of the board of directors of the Parent; and</w:t>
      </w:r>
    </w:p>
    <w:p>
      <w:pPr>
        <w:spacing w:after="0" w:line="179" w:lineRule="exact"/>
        <w:rPr>
          <w:sz w:val="20"/>
          <w:szCs w:val="20"/>
          <w:color w:val="auto"/>
        </w:rPr>
      </w:pPr>
    </w:p>
    <w:p>
      <w:pPr>
        <w:ind w:left="840" w:firstLine="751"/>
        <w:spacing w:after="0" w:line="289" w:lineRule="auto"/>
        <w:tabs>
          <w:tab w:leader="none" w:pos="225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Parent ceasing to control, directly or indirectly, 100% of the voting Capital Stock of the Borrower (other than as a result of a merger of the Borrower into the Parent or of the Parent into the Borrower).</w:t>
      </w:r>
    </w:p>
    <w:p>
      <w:pPr>
        <w:spacing w:after="0" w:line="150" w:lineRule="exact"/>
        <w:rPr>
          <w:sz w:val="20"/>
          <w:szCs w:val="20"/>
          <w:color w:val="auto"/>
        </w:rPr>
      </w:pPr>
    </w:p>
    <w:p>
      <w:pPr>
        <w:jc w:val="both"/>
        <w:ind w:left="100" w:right="20" w:firstLine="749"/>
        <w:spacing w:after="0" w:line="259" w:lineRule="auto"/>
        <w:rPr>
          <w:sz w:val="20"/>
          <w:szCs w:val="20"/>
          <w:color w:val="auto"/>
        </w:rPr>
      </w:pPr>
      <w:r>
        <w:rPr>
          <w:rFonts w:ascii="Arial" w:cs="Arial" w:eastAsia="Arial" w:hAnsi="Arial"/>
          <w:sz w:val="17"/>
          <w:szCs w:val="17"/>
          <w:color w:val="auto"/>
        </w:rPr>
        <w:t>For purposes of this definition, (1) a Person or group shall not be deemed to beneficially own Capital Stock or voting power subject to a stock or asset purchase agreement, merger agreement or similar agreement (or voting or similar agreement related thereto) until the consummation of the acquisition of the Capital Stock or voting power pursuant to the transactions contemplated by such agreement, (2) if any group includes one or more Permitted Holders, the issued and outstanding Capital Stock of the relevant Person that is directly or indirectly owned by the Permitted Holders that are part of such group shall not be treated as being beneficially owned by such group or any other member of such group for purposes of this definition, (3) a Person or group will not be deemed to beneficially own the Capital Stock of another Person as a result of its ownership of the Capital Stock or other securities of such other Person’s parent company (or any related contractual right) unless it beneficially owns or controls 50% or more of the total voting power of the Capital Stock entitled to vote for the election of directors of such Person’s parent company having a majority of the aggregate votes on the board of directors (or equivalent governing body) of such Person’s parent company and (4) it is understood and agreed that any transaction resulting in a Successor Borrower or Successor Holdings in accordance with the terms hereof shall not give rise to a Change of Control.</w:t>
      </w:r>
    </w:p>
    <w:p>
      <w:pPr>
        <w:spacing w:after="0" w:line="263" w:lineRule="exact"/>
        <w:rPr>
          <w:sz w:val="20"/>
          <w:szCs w:val="20"/>
          <w:color w:val="auto"/>
        </w:rPr>
      </w:pPr>
    </w:p>
    <w:p>
      <w:pPr>
        <w:ind w:left="840" w:right="1660"/>
        <w:spacing w:after="0" w:line="40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Charge</w:t>
      </w:r>
      <w:r>
        <w:rPr>
          <w:rFonts w:ascii="Arial" w:cs="Arial" w:eastAsia="Arial" w:hAnsi="Arial"/>
          <w:sz w:val="19"/>
          <w:szCs w:val="19"/>
          <w:color w:val="auto"/>
        </w:rPr>
        <w:t>” means any fee, charge, expense, cost, accrual, reserve or loss of any kind. “</w:t>
      </w:r>
      <w:r>
        <w:rPr>
          <w:rFonts w:ascii="Arial" w:cs="Arial" w:eastAsia="Arial" w:hAnsi="Arial"/>
          <w:sz w:val="19"/>
          <w:szCs w:val="19"/>
          <w:u w:val="single" w:color="auto"/>
          <w:color w:val="auto"/>
        </w:rPr>
        <w:t>Charged</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9.19</w:t>
      </w:r>
      <w:r>
        <w:rPr>
          <w:rFonts w:ascii="Arial" w:cs="Arial" w:eastAsia="Arial" w:hAnsi="Arial"/>
          <w:sz w:val="19"/>
          <w:szCs w:val="19"/>
          <w:color w:val="auto"/>
        </w:rPr>
        <w:t>.</w:t>
      </w:r>
    </w:p>
    <w:p>
      <w:pPr>
        <w:spacing w:after="0" w:line="1" w:lineRule="exact"/>
        <w:rPr>
          <w:sz w:val="20"/>
          <w:szCs w:val="20"/>
          <w:color w:val="auto"/>
        </w:rPr>
      </w:pPr>
    </w:p>
    <w:p>
      <w:pPr>
        <w:jc w:val="both"/>
        <w:ind w:left="100" w:right="60" w:firstLine="74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xml:space="preserve">”, when used with respect to (a) any Loan or Borrowing, refers to whether such Loan, or the Loans comprising such Borrowing, are Initial Term Loans, Additional Term Loans of any series established as a separate “Class”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2.23</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9.02(c)(i)</w:t>
      </w:r>
      <w:r>
        <w:rPr>
          <w:rFonts w:ascii="Arial" w:cs="Arial" w:eastAsia="Arial" w:hAnsi="Arial"/>
          <w:sz w:val="18"/>
          <w:szCs w:val="18"/>
          <w:color w:val="auto"/>
        </w:rPr>
        <w:t xml:space="preserve">, Initial Revolving Loans, Additional Revolving Loans of any series established as a separate “Class” pursuant to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2.23</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9.02(c)(ii)</w:t>
      </w:r>
      <w:r>
        <w:rPr>
          <w:rFonts w:ascii="Arial" w:cs="Arial" w:eastAsia="Arial" w:hAnsi="Arial"/>
          <w:sz w:val="18"/>
          <w:szCs w:val="18"/>
          <w:color w:val="auto"/>
        </w:rPr>
        <w:t xml:space="preserve"> or Swingline Loans, (b) any Commitment, refers to whether such Commitment is an Initial Term Loan Commitment, an Additional Term Loan Commitment of any series established as a separate “Class” pursuant to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2.23</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9.02(c)(i)</w:t>
      </w:r>
      <w:r>
        <w:rPr>
          <w:rFonts w:ascii="Arial" w:cs="Arial" w:eastAsia="Arial" w:hAnsi="Arial"/>
          <w:sz w:val="18"/>
          <w:szCs w:val="18"/>
          <w:color w:val="auto"/>
        </w:rPr>
        <w:t xml:space="preserve">, an Initial Revolving Credit Commitment, an Additional Revolving Credit Commitment of any series established as a separate “Class” pursuant to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2.23</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9.02(c)(ii)</w:t>
      </w:r>
      <w:r>
        <w:rPr>
          <w:rFonts w:ascii="Arial" w:cs="Arial" w:eastAsia="Arial" w:hAnsi="Arial"/>
          <w:sz w:val="18"/>
          <w:szCs w:val="18"/>
          <w:color w:val="auto"/>
        </w:rPr>
        <w:t xml:space="preserve"> or a commitment to make Swingline Loans, (c) any Lender, refers to whether such Lender has a Loan or Commitment of a particular Class and (d) any Revolving Credit Exposure, refers to whether such Revolving Credit Exposure is attributable to a Revolving Credit Commitment of a particular Class.</w:t>
      </w:r>
    </w:p>
    <w:p>
      <w:pPr>
        <w:spacing w:after="0" w:line="177" w:lineRule="exact"/>
        <w:rPr>
          <w:sz w:val="20"/>
          <w:szCs w:val="20"/>
          <w:color w:val="auto"/>
        </w:rPr>
      </w:pPr>
    </w:p>
    <w:p>
      <w:pPr>
        <w:jc w:val="both"/>
        <w:ind w:left="100" w:right="40"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Date</w:t>
      </w:r>
      <w:r>
        <w:rPr>
          <w:rFonts w:ascii="Arial" w:cs="Arial" w:eastAsia="Arial" w:hAnsi="Arial"/>
          <w:sz w:val="19"/>
          <w:szCs w:val="19"/>
          <w:color w:val="auto"/>
        </w:rPr>
        <w:t xml:space="preserve">” means September 17, 2021, the date on which the conditions specified in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were satisfied (or waived in accordance with </w:t>
      </w:r>
      <w:r>
        <w:rPr>
          <w:rFonts w:ascii="Arial" w:cs="Arial" w:eastAsia="Arial" w:hAnsi="Arial"/>
          <w:sz w:val="19"/>
          <w:szCs w:val="19"/>
          <w:u w:val="single" w:color="auto"/>
          <w:color w:val="auto"/>
        </w:rPr>
        <w:t>Section 9.02</w:t>
      </w:r>
      <w:r>
        <w:rPr>
          <w:rFonts w:ascii="Arial" w:cs="Arial" w:eastAsia="Arial" w:hAnsi="Arial"/>
          <w:sz w:val="19"/>
          <w:szCs w:val="19"/>
          <w:color w:val="auto"/>
        </w:rPr>
        <w:t>).</w:t>
      </w:r>
    </w:p>
    <w:p>
      <w:pPr>
        <w:spacing w:after="0" w:line="187"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Date Refinancing</w:t>
      </w:r>
      <w:r>
        <w:rPr>
          <w:rFonts w:ascii="Arial" w:cs="Arial" w:eastAsia="Arial" w:hAnsi="Arial"/>
          <w:sz w:val="19"/>
          <w:szCs w:val="19"/>
          <w:color w:val="auto"/>
        </w:rPr>
        <w:t>” has the meaning assigned to such term in the recitals to this Agreement.</w:t>
      </w:r>
    </w:p>
    <w:p>
      <w:pPr>
        <w:spacing w:after="0" w:line="200" w:lineRule="exact"/>
        <w:rPr>
          <w:sz w:val="20"/>
          <w:szCs w:val="20"/>
          <w:color w:val="auto"/>
        </w:rPr>
      </w:pPr>
    </w:p>
    <w:p>
      <w:pPr>
        <w:ind w:left="840"/>
        <w:spacing w:after="0"/>
        <w:rPr>
          <w:sz w:val="20"/>
          <w:szCs w:val="20"/>
          <w:color w:val="auto"/>
        </w:rPr>
      </w:pPr>
      <w:r>
        <w:rPr>
          <w:rFonts w:ascii="Arial" w:cs="Arial" w:eastAsia="Arial" w:hAnsi="Arial"/>
          <w:sz w:val="19"/>
          <w:szCs w:val="19"/>
          <w:u w:val="single" w:color="auto"/>
          <w:color w:val="0000FF"/>
        </w:rPr>
        <w:t>“CME” means CME Group Benchmark Administration Limited.</w:t>
      </w:r>
    </w:p>
    <w:p>
      <w:pPr>
        <w:spacing w:after="0" w:line="281" w:lineRule="exact"/>
        <w:rPr>
          <w:sz w:val="20"/>
          <w:szCs w:val="20"/>
          <w:color w:val="auto"/>
        </w:rPr>
      </w:pPr>
    </w:p>
    <w:p>
      <w:pPr>
        <w:jc w:val="both"/>
        <w:ind w:left="100" w:right="60" w:firstLine="74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CNI Growth Amount</w:t>
      </w:r>
      <w:r>
        <w:rPr>
          <w:rFonts w:ascii="Arial" w:cs="Arial" w:eastAsia="Arial" w:hAnsi="Arial"/>
          <w:sz w:val="19"/>
          <w:szCs w:val="19"/>
          <w:color w:val="auto"/>
        </w:rPr>
        <w:t>” means, at any date of determination, for the period (treated as one accounting period) from the first day of the Fiscal Quarter of the Borrower during which the Closing Date occurs and ending with the last Fiscal Quarter of the Borrower included in the most recently ended Test Period, an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11</w:t>
      </w:r>
      <w:r>
        <w:rPr>
          <w:rFonts w:ascii="Arial" w:cs="Arial" w:eastAsia="Arial" w:hAnsi="Arial"/>
          <w:sz w:val="18"/>
          <w:szCs w:val="18"/>
          <w:u w:val="single" w:color="auto"/>
          <w:color w:val="0000FF"/>
          <w:strike w:val="1"/>
        </w:rPr>
        <w:t>11</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85" w:right="1439" w:bottom="1440" w:gutter="0" w:footer="0" w:header="0"/>
        </w:sectPr>
      </w:pPr>
    </w:p>
    <w:bookmarkStart w:id="79" w:name="page80"/>
    <w:bookmarkEnd w:id="79"/>
    <w:p>
      <w:pPr>
        <w:jc w:val="both"/>
        <w:ind w:left="100" w:right="59"/>
        <w:spacing w:after="0" w:line="241" w:lineRule="auto"/>
        <w:rPr>
          <w:sz w:val="20"/>
          <w:szCs w:val="20"/>
          <w:color w:val="auto"/>
        </w:rPr>
      </w:pPr>
      <w:r>
        <w:rPr>
          <w:rFonts w:ascii="Arial" w:cs="Arial" w:eastAsia="Arial" w:hAnsi="Arial"/>
          <w:sz w:val="19"/>
          <w:szCs w:val="19"/>
          <w:color w:val="auto"/>
        </w:rPr>
        <w:t>amount (which amount shall not be less than zero for any Fiscal Quarter) determined on a cumulative basis equal to 50% of Adjusted Consolidated Net Income for each such Fiscal Quarter included in such period (if Adjusted Consolidated Net Income for such Fiscal Quarter is positive).</w:t>
      </w:r>
    </w:p>
    <w:p>
      <w:pPr>
        <w:spacing w:after="0" w:line="179"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w:t>
      </w:r>
    </w:p>
    <w:p>
      <w:pPr>
        <w:spacing w:after="0" w:line="214"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means any and all property of any Loan Party subject (or purported to be subject) to a Lien under any Collateral Document and any and all other property of any Loan Party, now existing or hereafter acquired, that is or becomes subject (or purported to be subject) to a Lien pursuant to any Collateral Document to secure the Secured Obligations. For the avoidance of doubt, in no event shall “Collateral” include any Excluded Asset.</w:t>
      </w:r>
    </w:p>
    <w:p>
      <w:pPr>
        <w:spacing w:after="0" w:line="180" w:lineRule="exact"/>
        <w:rPr>
          <w:sz w:val="20"/>
          <w:szCs w:val="20"/>
          <w:color w:val="auto"/>
        </w:rPr>
      </w:pPr>
    </w:p>
    <w:p>
      <w:pPr>
        <w:jc w:val="both"/>
        <w:ind w:left="100" w:right="59" w:firstLine="749"/>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and Guarantee Requirement</w:t>
      </w:r>
      <w:r>
        <w:rPr>
          <w:rFonts w:ascii="Arial" w:cs="Arial" w:eastAsia="Arial" w:hAnsi="Arial"/>
          <w:sz w:val="18"/>
          <w:szCs w:val="18"/>
          <w:color w:val="auto"/>
        </w:rPr>
        <w:t xml:space="preserve">” means, at any time, subject to (x) the applicable limitations set forth in this Agreement and/or any other Loan Document and the terms of any applicable Intercreditor Agreement and (y) the time periods (and extensions thereof) set forth in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Section 5.15</w:t>
      </w:r>
      <w:r>
        <w:rPr>
          <w:rFonts w:ascii="Arial" w:cs="Arial" w:eastAsia="Arial" w:hAnsi="Arial"/>
          <w:sz w:val="18"/>
          <w:szCs w:val="18"/>
          <w:color w:val="auto"/>
        </w:rPr>
        <w:t>, as applicable, the requirement that:</w:t>
      </w:r>
    </w:p>
    <w:p>
      <w:pPr>
        <w:spacing w:after="0" w:line="180" w:lineRule="exact"/>
        <w:rPr>
          <w:sz w:val="20"/>
          <w:szCs w:val="20"/>
          <w:color w:val="auto"/>
        </w:rPr>
      </w:pPr>
    </w:p>
    <w:p>
      <w:pPr>
        <w:jc w:val="both"/>
        <w:ind w:left="840" w:right="59" w:firstLine="751"/>
        <w:spacing w:after="0"/>
        <w:tabs>
          <w:tab w:leader="none" w:pos="2209"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on the Closing Date, the Administrative Agent shall have received (A) each Collateral Document and Loan Guaranty listed on </w:t>
      </w:r>
      <w:r>
        <w:rPr>
          <w:rFonts w:ascii="Arial" w:cs="Arial" w:eastAsia="Arial" w:hAnsi="Arial"/>
          <w:sz w:val="19"/>
          <w:szCs w:val="19"/>
          <w:u w:val="single" w:color="auto"/>
          <w:color w:val="auto"/>
        </w:rPr>
        <w:t>Schedule 1.01(d)</w:t>
      </w:r>
      <w:r>
        <w:rPr>
          <w:rFonts w:ascii="Arial" w:cs="Arial" w:eastAsia="Arial" w:hAnsi="Arial"/>
          <w:sz w:val="19"/>
          <w:szCs w:val="19"/>
          <w:color w:val="auto"/>
        </w:rPr>
        <w:t xml:space="preserve">, duly executed by each Loan Party party thereto, (B) a pledge of all of the Capital Stock (together, in the case of Capital Stock that is certificated, with undated stock or similar powers for each such certificate executed in blank by a Responsible Officer of the pledgor thereof) listed on </w:t>
      </w:r>
      <w:r>
        <w:rPr>
          <w:rFonts w:ascii="Arial" w:cs="Arial" w:eastAsia="Arial" w:hAnsi="Arial"/>
          <w:sz w:val="19"/>
          <w:szCs w:val="19"/>
          <w:u w:val="single" w:color="auto"/>
          <w:color w:val="auto"/>
        </w:rPr>
        <w:t>Schedule 3</w:t>
      </w:r>
      <w:r>
        <w:rPr>
          <w:rFonts w:ascii="Arial" w:cs="Arial" w:eastAsia="Arial" w:hAnsi="Arial"/>
          <w:sz w:val="19"/>
          <w:szCs w:val="19"/>
          <w:color w:val="auto"/>
        </w:rPr>
        <w:t xml:space="preserve"> to the Perfection Certificate, (C) each Material Debt Instrument listed on </w:t>
      </w:r>
      <w:r>
        <w:rPr>
          <w:rFonts w:ascii="Arial" w:cs="Arial" w:eastAsia="Arial" w:hAnsi="Arial"/>
          <w:sz w:val="19"/>
          <w:szCs w:val="19"/>
          <w:u w:val="single" w:color="auto"/>
          <w:color w:val="auto"/>
        </w:rPr>
        <w:t>Schedule 4</w:t>
      </w:r>
      <w:r>
        <w:rPr>
          <w:rFonts w:ascii="Arial" w:cs="Arial" w:eastAsia="Arial" w:hAnsi="Arial"/>
          <w:sz w:val="19"/>
          <w:szCs w:val="19"/>
          <w:color w:val="auto"/>
        </w:rPr>
        <w:t xml:space="preserve"> to the Perfection Certificate, endorsed (without recourse) in blank or accompanied by executed transfer form in blank by the pledgor thereof and (D) Uniform Commercial Code financing statements in appropriate form for filing in the jurisdiction of organization of each Loan Party; and</w:t>
      </w:r>
    </w:p>
    <w:p>
      <w:pPr>
        <w:spacing w:after="0" w:line="196" w:lineRule="exact"/>
        <w:rPr>
          <w:rFonts w:ascii="Arial" w:cs="Arial" w:eastAsia="Arial" w:hAnsi="Arial"/>
          <w:sz w:val="19"/>
          <w:szCs w:val="19"/>
          <w:color w:val="auto"/>
        </w:rPr>
      </w:pPr>
    </w:p>
    <w:p>
      <w:pPr>
        <w:ind w:left="840" w:right="59" w:firstLine="751"/>
        <w:spacing w:after="0" w:line="261" w:lineRule="auto"/>
        <w:tabs>
          <w:tab w:leader="none" w:pos="2209" w:val="left"/>
        </w:tabs>
        <w:numPr>
          <w:ilvl w:val="0"/>
          <w:numId w:val="43"/>
        </w:numPr>
        <w:rPr>
          <w:rFonts w:ascii="Arial" w:cs="Arial" w:eastAsia="Arial" w:hAnsi="Arial"/>
          <w:sz w:val="19"/>
          <w:szCs w:val="19"/>
          <w:color w:val="auto"/>
        </w:rPr>
      </w:pPr>
      <w:r>
        <w:rPr>
          <w:rFonts w:ascii="Arial" w:cs="Arial" w:eastAsia="Arial" w:hAnsi="Arial"/>
          <w:sz w:val="19"/>
          <w:szCs w:val="19"/>
          <w:color w:val="auto"/>
        </w:rPr>
        <w:t>after the Closing Date, in the case of any Restricted Subsidiary that is required to become (or otherwise becomes) a Loan Party after the Closing Date the Administrative Agent shall have received:</w:t>
      </w:r>
    </w:p>
    <w:p>
      <w:pPr>
        <w:spacing w:after="0" w:line="186" w:lineRule="exact"/>
        <w:rPr>
          <w:rFonts w:ascii="Arial" w:cs="Arial" w:eastAsia="Arial" w:hAnsi="Arial"/>
          <w:sz w:val="19"/>
          <w:szCs w:val="19"/>
          <w:color w:val="auto"/>
        </w:rPr>
      </w:pPr>
    </w:p>
    <w:p>
      <w:pPr>
        <w:jc w:val="both"/>
        <w:ind w:left="1600" w:right="39" w:firstLine="741"/>
        <w:spacing w:after="0" w:line="269" w:lineRule="auto"/>
        <w:tabs>
          <w:tab w:leader="none" w:pos="3064" w:val="left"/>
        </w:tabs>
        <w:numPr>
          <w:ilvl w:val="2"/>
          <w:numId w:val="43"/>
        </w:numPr>
        <w:rPr>
          <w:rFonts w:ascii="Arial" w:cs="Arial" w:eastAsia="Arial" w:hAnsi="Arial"/>
          <w:sz w:val="17"/>
          <w:szCs w:val="17"/>
          <w:color w:val="auto"/>
        </w:rPr>
      </w:pPr>
      <w:r>
        <w:rPr>
          <w:rFonts w:ascii="Arial" w:cs="Arial" w:eastAsia="Arial" w:hAnsi="Arial"/>
          <w:sz w:val="17"/>
          <w:szCs w:val="17"/>
          <w:color w:val="auto"/>
        </w:rPr>
        <w:t xml:space="preserve">(A) a Joinder Agreement, (B) if the respective Restricted Subsidiary required to comply with the requirements set forth in this definition pursuant to </w:t>
      </w:r>
      <w:r>
        <w:rPr>
          <w:rFonts w:ascii="Arial" w:cs="Arial" w:eastAsia="Arial" w:hAnsi="Arial"/>
          <w:sz w:val="17"/>
          <w:szCs w:val="17"/>
          <w:u w:val="single" w:color="auto"/>
          <w:color w:val="auto"/>
        </w:rPr>
        <w:t>Section 5.12</w:t>
      </w:r>
      <w:r>
        <w:rPr>
          <w:rFonts w:ascii="Arial" w:cs="Arial" w:eastAsia="Arial" w:hAnsi="Arial"/>
          <w:sz w:val="17"/>
          <w:szCs w:val="17"/>
          <w:color w:val="auto"/>
        </w:rPr>
        <w:t xml:space="preserve"> owns registrations of or applications for US Patents, Trademarks and/or Copyrights that constitute Collateral, an Intellectual Property Security Agreement, (C) a completed Perfection Certificate, (D) Uniform Commercial Code financing statements in appropriate form for filing in such jurisdictions as the Administrative Agent may reasonably request and</w:t>
      </w:r>
    </w:p>
    <w:p>
      <w:pPr>
        <w:ind w:left="1600" w:right="59" w:hanging="7"/>
        <w:spacing w:after="0" w:line="234" w:lineRule="auto"/>
        <w:tabs>
          <w:tab w:leader="none" w:pos="1916" w:val="left"/>
        </w:tabs>
        <w:numPr>
          <w:ilvl w:val="1"/>
          <w:numId w:val="43"/>
        </w:numPr>
        <w:rPr>
          <w:rFonts w:ascii="Arial" w:cs="Arial" w:eastAsia="Arial" w:hAnsi="Arial"/>
          <w:sz w:val="19"/>
          <w:szCs w:val="19"/>
          <w:color w:val="auto"/>
        </w:rPr>
      </w:pPr>
      <w:r>
        <w:rPr>
          <w:rFonts w:ascii="Arial" w:cs="Arial" w:eastAsia="Arial" w:hAnsi="Arial"/>
          <w:sz w:val="19"/>
          <w:szCs w:val="19"/>
          <w:color w:val="auto"/>
        </w:rPr>
        <w:t>an executed joinder to each applicable Intercreditor Agreement in substantially the form attached as an exhibit thereto or such other form to which the Administrative Agent may reasonably agree;</w:t>
      </w:r>
    </w:p>
    <w:p>
      <w:pPr>
        <w:spacing w:after="0" w:line="192" w:lineRule="exact"/>
        <w:rPr>
          <w:rFonts w:ascii="Arial" w:cs="Arial" w:eastAsia="Arial" w:hAnsi="Arial"/>
          <w:sz w:val="19"/>
          <w:szCs w:val="19"/>
          <w:color w:val="auto"/>
        </w:rPr>
      </w:pPr>
    </w:p>
    <w:p>
      <w:pPr>
        <w:jc w:val="both"/>
        <w:ind w:left="1600" w:right="59" w:firstLine="741"/>
        <w:spacing w:after="0" w:line="249" w:lineRule="auto"/>
        <w:tabs>
          <w:tab w:leader="none" w:pos="3063" w:val="left"/>
        </w:tabs>
        <w:numPr>
          <w:ilvl w:val="2"/>
          <w:numId w:val="44"/>
        </w:numPr>
        <w:rPr>
          <w:rFonts w:ascii="Arial" w:cs="Arial" w:eastAsia="Arial" w:hAnsi="Arial"/>
          <w:sz w:val="19"/>
          <w:szCs w:val="19"/>
          <w:color w:val="auto"/>
        </w:rPr>
      </w:pPr>
      <w:r>
        <w:rPr>
          <w:rFonts w:ascii="Arial" w:cs="Arial" w:eastAsia="Arial" w:hAnsi="Arial"/>
          <w:sz w:val="19"/>
          <w:szCs w:val="19"/>
          <w:color w:val="auto"/>
        </w:rPr>
        <w:t xml:space="preserve">each item of Collateral that such Restricted Subsidiary is required to deliver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4.02</w:t>
      </w:r>
      <w:r>
        <w:rPr>
          <w:rFonts w:ascii="Arial" w:cs="Arial" w:eastAsia="Arial" w:hAnsi="Arial"/>
          <w:sz w:val="19"/>
          <w:szCs w:val="19"/>
          <w:color w:val="auto"/>
        </w:rPr>
        <w:t xml:space="preserve"> of the Security Agreement (which, for the avoidance of doubt, shall be delivered within the time periods set forth in </w:t>
      </w:r>
      <w:r>
        <w:rPr>
          <w:rFonts w:ascii="Arial" w:cs="Arial" w:eastAsia="Arial" w:hAnsi="Arial"/>
          <w:sz w:val="19"/>
          <w:szCs w:val="19"/>
          <w:u w:val="single" w:color="auto"/>
          <w:color w:val="auto"/>
        </w:rPr>
        <w:t>Section 5.12(a)</w:t>
      </w:r>
      <w:r>
        <w:rPr>
          <w:rFonts w:ascii="Arial" w:cs="Arial" w:eastAsia="Arial" w:hAnsi="Arial"/>
          <w:sz w:val="19"/>
          <w:szCs w:val="19"/>
          <w:color w:val="auto"/>
        </w:rPr>
        <w:t>); and</w:t>
      </w:r>
    </w:p>
    <w:p>
      <w:pPr>
        <w:spacing w:after="0" w:line="183" w:lineRule="exact"/>
        <w:rPr>
          <w:rFonts w:ascii="Arial" w:cs="Arial" w:eastAsia="Arial" w:hAnsi="Arial"/>
          <w:sz w:val="19"/>
          <w:szCs w:val="19"/>
          <w:color w:val="auto"/>
        </w:rPr>
      </w:pPr>
    </w:p>
    <w:p>
      <w:pPr>
        <w:jc w:val="both"/>
        <w:ind w:left="1600" w:right="19" w:firstLine="741"/>
        <w:spacing w:after="0" w:line="275" w:lineRule="auto"/>
        <w:tabs>
          <w:tab w:leader="none" w:pos="3067" w:val="left"/>
        </w:tabs>
        <w:numPr>
          <w:ilvl w:val="2"/>
          <w:numId w:val="44"/>
        </w:numPr>
        <w:rPr>
          <w:rFonts w:ascii="Arial" w:cs="Arial" w:eastAsia="Arial" w:hAnsi="Arial"/>
          <w:sz w:val="17"/>
          <w:szCs w:val="17"/>
          <w:color w:val="auto"/>
        </w:rPr>
      </w:pPr>
      <w:r>
        <w:rPr>
          <w:rFonts w:ascii="Arial" w:cs="Arial" w:eastAsia="Arial" w:hAnsi="Arial"/>
          <w:sz w:val="17"/>
          <w:szCs w:val="17"/>
          <w:color w:val="auto"/>
        </w:rPr>
        <w:t xml:space="preserve">in the case of any subsidiary that has been designated as a Discretionary Guarantor (A) with respect to any such subsidiary that is a Domestic Subsidiary, the documents described in </w:t>
      </w:r>
      <w:r>
        <w:rPr>
          <w:rFonts w:ascii="Arial" w:cs="Arial" w:eastAsia="Arial" w:hAnsi="Arial"/>
          <w:sz w:val="17"/>
          <w:szCs w:val="17"/>
          <w:u w:val="single" w:color="auto"/>
          <w:color w:val="auto"/>
        </w:rPr>
        <w:t>clause (b)(i)</w:t>
      </w:r>
      <w:r>
        <w:rPr>
          <w:rFonts w:ascii="Arial" w:cs="Arial" w:eastAsia="Arial" w:hAnsi="Arial"/>
          <w:sz w:val="17"/>
          <w:szCs w:val="17"/>
          <w:color w:val="auto"/>
        </w:rPr>
        <w:t xml:space="preserve"> above and</w:t>
      </w:r>
    </w:p>
    <w:p>
      <w:pPr>
        <w:jc w:val="both"/>
        <w:ind w:left="1600" w:right="19" w:hanging="7"/>
        <w:spacing w:after="0"/>
        <w:tabs>
          <w:tab w:leader="none" w:pos="1904" w:val="left"/>
        </w:tabs>
        <w:numPr>
          <w:ilvl w:val="1"/>
          <w:numId w:val="45"/>
        </w:numPr>
        <w:rPr>
          <w:rFonts w:ascii="Arial" w:cs="Arial" w:eastAsia="Arial" w:hAnsi="Arial"/>
          <w:sz w:val="19"/>
          <w:szCs w:val="19"/>
          <w:color w:val="auto"/>
        </w:rPr>
      </w:pPr>
      <w:r>
        <w:rPr>
          <w:rFonts w:ascii="Arial" w:cs="Arial" w:eastAsia="Arial" w:hAnsi="Arial"/>
          <w:sz w:val="19"/>
          <w:szCs w:val="19"/>
          <w:color w:val="auto"/>
        </w:rPr>
        <w:t>with respect to any such subsidiary that is a Foreign Subsidiary, (1) a Joinder Agreement and (2) such other documentation relating to such categories of assets (other than Excluded Assets) as the Borrower and Administrative Agent may reasonably agree;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12</w:t>
      </w:r>
      <w:r>
        <w:rPr>
          <w:rFonts w:ascii="Arial" w:cs="Arial" w:eastAsia="Arial" w:hAnsi="Arial"/>
          <w:sz w:val="18"/>
          <w:szCs w:val="18"/>
          <w:u w:val="single" w:color="auto"/>
          <w:color w:val="0000FF"/>
          <w:strike w:val="1"/>
        </w:rPr>
        <w:t>12</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80" w:name="page81"/>
    <w:bookmarkEnd w:id="80"/>
    <w:p>
      <w:pPr>
        <w:jc w:val="both"/>
        <w:ind w:left="100" w:right="3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Documents</w:t>
      </w:r>
      <w:r>
        <w:rPr>
          <w:rFonts w:ascii="Arial" w:cs="Arial" w:eastAsia="Arial" w:hAnsi="Arial"/>
          <w:sz w:val="19"/>
          <w:szCs w:val="19"/>
          <w:color w:val="auto"/>
        </w:rPr>
        <w:t>” means, collectively, (a) the Security Agreement (and any supplement thereto delivered to the Administrative Agent), (b) each Intellectual Property Security Agreement, and (c) each of the other instruments and documents pursuant to which any Loan Party grants (or purports to grant) a Lien on any Collateral as security for payment of the Secured Obligations.</w:t>
      </w:r>
    </w:p>
    <w:p>
      <w:pPr>
        <w:spacing w:after="0" w:line="194"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Commercial Letter of Credit</w:t>
      </w:r>
      <w:r>
        <w:rPr>
          <w:rFonts w:ascii="Arial" w:cs="Arial" w:eastAsia="Arial" w:hAnsi="Arial"/>
          <w:sz w:val="19"/>
          <w:szCs w:val="19"/>
          <w:color w:val="auto"/>
        </w:rPr>
        <w:t>” means any letter of credit issued pursuant to this Agreement for the purpose of providing the primary payment mechanism in connection with the purchase of any materials, goods or services by the Borrower or any of its subsidiaries in the ordinary course of business of such Person.</w:t>
      </w:r>
    </w:p>
    <w:p>
      <w:pPr>
        <w:spacing w:after="0" w:line="179"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Commercial Tort Claim</w:t>
      </w:r>
      <w:r>
        <w:rPr>
          <w:rFonts w:ascii="Arial" w:cs="Arial" w:eastAsia="Arial" w:hAnsi="Arial"/>
          <w:sz w:val="19"/>
          <w:szCs w:val="19"/>
          <w:color w:val="auto"/>
        </w:rPr>
        <w:t>” has the meaning set forth in Article 9 of the UCC.</w:t>
      </w:r>
    </w:p>
    <w:p>
      <w:pPr>
        <w:spacing w:after="0" w:line="214" w:lineRule="exact"/>
        <w:rPr>
          <w:sz w:val="20"/>
          <w:szCs w:val="20"/>
          <w:color w:val="auto"/>
        </w:rPr>
      </w:pPr>
    </w:p>
    <w:p>
      <w:pPr>
        <w:jc w:val="both"/>
        <w:ind w:left="100" w:right="7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w:t>
      </w:r>
      <w:r>
        <w:rPr>
          <w:rFonts w:ascii="Arial" w:cs="Arial" w:eastAsia="Arial" w:hAnsi="Arial"/>
          <w:sz w:val="19"/>
          <w:szCs w:val="19"/>
          <w:color w:val="auto"/>
        </w:rPr>
        <w:t>” means, with respect to each Lender, such Lender’s Initial Term Loan Commitment, Initial Revolving Credit Commitment and any Additional Commitment, as applicable, in effect as of such time.</w:t>
      </w:r>
    </w:p>
    <w:p>
      <w:pPr>
        <w:spacing w:after="0" w:line="173" w:lineRule="exact"/>
        <w:rPr>
          <w:sz w:val="20"/>
          <w:szCs w:val="20"/>
          <w:color w:val="auto"/>
        </w:rPr>
      </w:pPr>
    </w:p>
    <w:p>
      <w:pPr>
        <w:jc w:val="both"/>
        <w:ind w:left="100" w:right="59" w:firstLine="74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 Fee Rate</w:t>
      </w:r>
      <w:r>
        <w:rPr>
          <w:rFonts w:ascii="Arial" w:cs="Arial" w:eastAsia="Arial" w:hAnsi="Arial"/>
          <w:sz w:val="17"/>
          <w:szCs w:val="17"/>
          <w:color w:val="auto"/>
        </w:rPr>
        <w:t xml:space="preserve">” means, on any date (a) with respect to the Initial Revolving Credit Commitments, the applicable rate per annum set forth below based upon the Total Net Leverage Ratio;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until the first Adjustment Date following the completion of at least three full Fiscal Quarters after the Closing Date, “Commitment Fee Rate” shall be the applicable rate per annum set forth below in </w:t>
      </w:r>
      <w:r>
        <w:rPr>
          <w:rFonts w:ascii="Arial" w:cs="Arial" w:eastAsia="Arial" w:hAnsi="Arial"/>
          <w:sz w:val="17"/>
          <w:szCs w:val="17"/>
          <w:u w:val="single" w:color="auto"/>
          <w:color w:val="auto"/>
        </w:rPr>
        <w:t>Category 1</w:t>
      </w:r>
      <w:r>
        <w:rPr>
          <w:rFonts w:ascii="Arial" w:cs="Arial" w:eastAsia="Arial" w:hAnsi="Arial"/>
          <w:sz w:val="17"/>
          <w:szCs w:val="17"/>
          <w:color w:val="auto"/>
        </w:rPr>
        <w:t xml:space="preserve"> and (b) with respect to Additional Revolving Credit Commitments of any Class, the rate or rates per annum specified in the applicable Refinancing Amendment, Incremental Facility Amendment or Extension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100330</wp:posOffset>
            </wp:positionV>
            <wp:extent cx="3068320" cy="2482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3068320" cy="248285"/>
                    </a:xfrm>
                    <a:prstGeom prst="rect">
                      <a:avLst/>
                    </a:prstGeom>
                    <a:noFill/>
                  </pic:spPr>
                </pic:pic>
              </a:graphicData>
            </a:graphic>
          </wp:anchor>
        </w:drawing>
      </w:r>
    </w:p>
    <w:p>
      <w:pPr>
        <w:spacing w:after="0" w:line="138" w:lineRule="exact"/>
        <w:rPr>
          <w:sz w:val="20"/>
          <w:szCs w:val="20"/>
          <w:color w:val="auto"/>
        </w:rPr>
      </w:pPr>
    </w:p>
    <w:tbl>
      <w:tblPr>
        <w:tblLayout w:type="fixed"/>
        <w:tblInd w:w="1330" w:type="dxa"/>
        <w:tblCellMar>
          <w:top w:w="0" w:type="dxa"/>
          <w:left w:w="0" w:type="dxa"/>
          <w:bottom w:w="0" w:type="dxa"/>
          <w:right w:w="0" w:type="dxa"/>
        </w:tblCellMar>
      </w:tblPr>
      <w:tr>
        <w:trPr>
          <w:trHeight w:val="336"/>
        </w:trPr>
        <w:tc>
          <w:tcPr>
            <w:tcW w:w="120" w:type="dxa"/>
            <w:vAlign w:val="bottom"/>
            <w:tcBorders>
              <w:top w:val="single" w:sz="8" w:color="EEECE1"/>
              <w:left w:val="single" w:sz="8" w:color="EEECE1"/>
              <w:bottom w:val="single" w:sz="8" w:color="EEECE1"/>
            </w:tcBorders>
            <w:shd w:val="clear" w:color="auto" w:fill="EEECE1"/>
          </w:tcPr>
          <w:p>
            <w:pPr>
              <w:spacing w:after="0"/>
              <w:rPr>
                <w:sz w:val="24"/>
                <w:szCs w:val="24"/>
                <w:color w:val="auto"/>
              </w:rPr>
            </w:pPr>
          </w:p>
        </w:tc>
        <w:tc>
          <w:tcPr>
            <w:tcW w:w="1900" w:type="dxa"/>
            <w:vAlign w:val="bottom"/>
            <w:tcBorders>
              <w:top w:val="single" w:sz="8" w:color="EEECE1"/>
              <w:bottom w:val="single" w:sz="8" w:color="auto"/>
            </w:tcBorders>
            <w:gridSpan w:val="3"/>
            <w:shd w:val="clear" w:color="auto" w:fill="EEECE1"/>
          </w:tcPr>
          <w:p>
            <w:pPr>
              <w:spacing w:after="0"/>
              <w:rPr>
                <w:sz w:val="20"/>
                <w:szCs w:val="20"/>
                <w:color w:val="auto"/>
              </w:rPr>
            </w:pPr>
            <w:r>
              <w:rPr>
                <w:rFonts w:ascii="Arial" w:cs="Arial" w:eastAsia="Arial" w:hAnsi="Arial"/>
                <w:sz w:val="19"/>
                <w:szCs w:val="19"/>
                <w:color w:val="auto"/>
                <w:w w:val="88"/>
              </w:rPr>
              <w:t>Total Net Leverage Ratio</w:t>
            </w:r>
          </w:p>
        </w:tc>
        <w:tc>
          <w:tcPr>
            <w:tcW w:w="2780" w:type="dxa"/>
            <w:vAlign w:val="bottom"/>
            <w:tcBorders>
              <w:top w:val="single" w:sz="8" w:color="EEECE1"/>
              <w:bottom w:val="single" w:sz="8" w:color="EEECE1"/>
              <w:right w:val="single" w:sz="8" w:color="EEECE1"/>
            </w:tcBorders>
            <w:shd w:val="clear" w:color="auto" w:fill="EEECE1"/>
          </w:tcPr>
          <w:p>
            <w:pPr>
              <w:spacing w:after="0"/>
              <w:rPr>
                <w:sz w:val="24"/>
                <w:szCs w:val="24"/>
                <w:color w:val="auto"/>
              </w:rPr>
            </w:pPr>
          </w:p>
        </w:tc>
        <w:tc>
          <w:tcPr>
            <w:tcW w:w="280" w:type="dxa"/>
            <w:vAlign w:val="bottom"/>
            <w:tcBorders>
              <w:top w:val="single" w:sz="8" w:color="010101"/>
              <w:bottom w:val="single" w:sz="8" w:color="010101"/>
            </w:tcBorders>
            <w:shd w:val="clear" w:color="auto" w:fill="EEECE1"/>
          </w:tcPr>
          <w:p>
            <w:pPr>
              <w:spacing w:after="0"/>
              <w:rPr>
                <w:sz w:val="24"/>
                <w:szCs w:val="24"/>
                <w:color w:val="auto"/>
              </w:rPr>
            </w:pPr>
          </w:p>
        </w:tc>
        <w:tc>
          <w:tcPr>
            <w:tcW w:w="2000" w:type="dxa"/>
            <w:vAlign w:val="bottom"/>
            <w:tcBorders>
              <w:top w:val="single" w:sz="8" w:color="010101"/>
              <w:bottom w:val="single" w:sz="8" w:color="010101"/>
              <w:right w:val="single" w:sz="8" w:color="010101"/>
            </w:tcBorders>
            <w:gridSpan w:val="2"/>
            <w:shd w:val="clear" w:color="auto" w:fill="EEECE1"/>
          </w:tcPr>
          <w:p>
            <w:pPr>
              <w:jc w:val="center"/>
              <w:ind w:right="280"/>
              <w:spacing w:after="0"/>
              <w:rPr>
                <w:sz w:val="20"/>
                <w:szCs w:val="20"/>
                <w:color w:val="auto"/>
              </w:rPr>
            </w:pPr>
            <w:r>
              <w:rPr>
                <w:rFonts w:ascii="Arial" w:cs="Arial" w:eastAsia="Arial" w:hAnsi="Arial"/>
                <w:sz w:val="19"/>
                <w:szCs w:val="19"/>
                <w:color w:val="auto"/>
                <w:w w:val="89"/>
              </w:rPr>
              <w:t>Commitment Fee Rate</w:t>
            </w:r>
          </w:p>
        </w:tc>
        <w:tc>
          <w:tcPr>
            <w:tcW w:w="0" w:type="dxa"/>
            <w:vAlign w:val="bottom"/>
          </w:tcPr>
          <w:p>
            <w:pPr>
              <w:spacing w:after="0"/>
              <w:rPr>
                <w:sz w:val="1"/>
                <w:szCs w:val="1"/>
                <w:color w:val="auto"/>
              </w:rPr>
            </w:pPr>
          </w:p>
        </w:tc>
      </w:tr>
      <w:tr>
        <w:trPr>
          <w:trHeight w:val="230"/>
        </w:trPr>
        <w:tc>
          <w:tcPr>
            <w:tcW w:w="120" w:type="dxa"/>
            <w:vAlign w:val="bottom"/>
            <w:tcBorders>
              <w:top w:val="single" w:sz="8" w:color="EEECE1"/>
              <w:left w:val="single" w:sz="8" w:color="010101"/>
            </w:tcBorders>
          </w:tcPr>
          <w:p>
            <w:pPr>
              <w:spacing w:after="0"/>
              <w:rPr>
                <w:sz w:val="19"/>
                <w:szCs w:val="19"/>
                <w:color w:val="auto"/>
              </w:rPr>
            </w:pPr>
          </w:p>
        </w:tc>
        <w:tc>
          <w:tcPr>
            <w:tcW w:w="4680" w:type="dxa"/>
            <w:vAlign w:val="bottom"/>
            <w:tcBorders>
              <w:top w:val="single" w:sz="8" w:color="EEECE1"/>
              <w:right w:val="single" w:sz="8" w:color="010101"/>
            </w:tcBorders>
            <w:gridSpan w:val="4"/>
          </w:tcPr>
          <w:p>
            <w:pPr>
              <w:spacing w:after="0"/>
              <w:rPr>
                <w:sz w:val="20"/>
                <w:szCs w:val="20"/>
                <w:color w:val="auto"/>
              </w:rPr>
            </w:pPr>
            <w:r>
              <w:rPr>
                <w:rFonts w:ascii="Arial" w:cs="Arial" w:eastAsia="Arial" w:hAnsi="Arial"/>
                <w:sz w:val="19"/>
                <w:szCs w:val="19"/>
                <w:color w:val="auto"/>
              </w:rPr>
              <w:t>Category 1</w:t>
            </w:r>
          </w:p>
        </w:tc>
        <w:tc>
          <w:tcPr>
            <w:tcW w:w="280" w:type="dxa"/>
            <w:vAlign w:val="bottom"/>
            <w:tcBorders>
              <w:top w:val="single" w:sz="8" w:color="010101"/>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300" w:type="dxa"/>
            <w:vAlign w:val="bottom"/>
            <w:tcBorders>
              <w:top w:val="single" w:sz="8" w:color="010101"/>
              <w:right w:val="single" w:sz="8" w:color="010101"/>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0" w:type="dxa"/>
            <w:vAlign w:val="bottom"/>
            <w:tcBorders>
              <w:left w:val="single" w:sz="8" w:color="010101"/>
            </w:tcBorders>
          </w:tcPr>
          <w:p>
            <w:pPr>
              <w:spacing w:after="0"/>
              <w:rPr>
                <w:sz w:val="20"/>
                <w:szCs w:val="20"/>
                <w:color w:val="auto"/>
              </w:rPr>
            </w:pPr>
          </w:p>
        </w:tc>
        <w:tc>
          <w:tcPr>
            <w:tcW w:w="840" w:type="dxa"/>
            <w:vAlign w:val="bottom"/>
            <w:tcBorders>
              <w:top w:val="single" w:sz="8" w:color="auto"/>
            </w:tcBorders>
            <w:gridSpan w:val="2"/>
          </w:tcPr>
          <w:p>
            <w:pPr>
              <w:ind w:left="180"/>
              <w:spacing w:after="0"/>
              <w:rPr>
                <w:sz w:val="20"/>
                <w:szCs w:val="20"/>
                <w:color w:val="auto"/>
              </w:rPr>
            </w:pPr>
            <w:r>
              <w:rPr>
                <w:rFonts w:ascii="Arial" w:cs="Arial" w:eastAsia="Arial" w:hAnsi="Arial"/>
                <w:sz w:val="19"/>
                <w:szCs w:val="19"/>
                <w:color w:val="auto"/>
                <w:w w:val="99"/>
              </w:rPr>
              <w:t>Greater</w:t>
            </w:r>
          </w:p>
        </w:tc>
        <w:tc>
          <w:tcPr>
            <w:tcW w:w="3840" w:type="dxa"/>
            <w:vAlign w:val="bottom"/>
            <w:tcBorders>
              <w:right w:val="single" w:sz="8" w:color="010101"/>
            </w:tcBorders>
            <w:gridSpan w:val="2"/>
          </w:tcPr>
          <w:p>
            <w:pPr>
              <w:spacing w:after="0"/>
              <w:rPr>
                <w:sz w:val="20"/>
                <w:szCs w:val="20"/>
                <w:color w:val="auto"/>
              </w:rPr>
            </w:pPr>
            <w:r>
              <w:rPr>
                <w:rFonts w:ascii="Arial" w:cs="Arial" w:eastAsia="Arial" w:hAnsi="Arial"/>
                <w:sz w:val="19"/>
                <w:szCs w:val="19"/>
                <w:color w:val="auto"/>
              </w:rPr>
              <w:t>than 2.75 to 1.00</w:t>
            </w:r>
          </w:p>
        </w:tc>
        <w:tc>
          <w:tcPr>
            <w:tcW w:w="1980" w:type="dxa"/>
            <w:vAlign w:val="bottom"/>
            <w:gridSpan w:val="2"/>
          </w:tcPr>
          <w:p>
            <w:pPr>
              <w:jc w:val="center"/>
              <w:ind w:left="186"/>
              <w:spacing w:after="0"/>
              <w:rPr>
                <w:sz w:val="20"/>
                <w:szCs w:val="20"/>
                <w:color w:val="auto"/>
              </w:rPr>
            </w:pPr>
            <w:r>
              <w:rPr>
                <w:rFonts w:ascii="Arial" w:cs="Arial" w:eastAsia="Arial" w:hAnsi="Arial"/>
                <w:sz w:val="19"/>
                <w:szCs w:val="19"/>
                <w:color w:val="auto"/>
                <w:w w:val="92"/>
              </w:rPr>
              <w:t>0.30%</w:t>
            </w:r>
          </w:p>
        </w:tc>
        <w:tc>
          <w:tcPr>
            <w:tcW w:w="300" w:type="dxa"/>
            <w:vAlign w:val="bottom"/>
            <w:tcBorders>
              <w:right w:val="single" w:sz="8" w:color="010101"/>
            </w:tcBorders>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120" w:type="dxa"/>
            <w:vAlign w:val="bottom"/>
            <w:tcBorders>
              <w:left w:val="single" w:sz="8" w:color="010101"/>
              <w:bottom w:val="single" w:sz="8" w:color="010101"/>
            </w:tcBorders>
          </w:tcPr>
          <w:p>
            <w:pPr>
              <w:spacing w:after="0"/>
              <w:rPr>
                <w:sz w:val="3"/>
                <w:szCs w:val="3"/>
                <w:color w:val="auto"/>
              </w:rPr>
            </w:pPr>
          </w:p>
        </w:tc>
        <w:tc>
          <w:tcPr>
            <w:tcW w:w="820" w:type="dxa"/>
            <w:vAlign w:val="bottom"/>
            <w:tcBorders>
              <w:bottom w:val="single" w:sz="8" w:color="010101"/>
            </w:tcBorders>
          </w:tcPr>
          <w:p>
            <w:pPr>
              <w:spacing w:after="0"/>
              <w:rPr>
                <w:sz w:val="3"/>
                <w:szCs w:val="3"/>
                <w:color w:val="auto"/>
              </w:rPr>
            </w:pPr>
          </w:p>
        </w:tc>
        <w:tc>
          <w:tcPr>
            <w:tcW w:w="20" w:type="dxa"/>
            <w:vAlign w:val="bottom"/>
            <w:tcBorders>
              <w:bottom w:val="single" w:sz="8" w:color="010101"/>
            </w:tcBorders>
          </w:tcPr>
          <w:p>
            <w:pPr>
              <w:spacing w:after="0"/>
              <w:rPr>
                <w:sz w:val="3"/>
                <w:szCs w:val="3"/>
                <w:color w:val="auto"/>
              </w:rPr>
            </w:pPr>
          </w:p>
        </w:tc>
        <w:tc>
          <w:tcPr>
            <w:tcW w:w="1060" w:type="dxa"/>
            <w:vAlign w:val="bottom"/>
            <w:tcBorders>
              <w:bottom w:val="single" w:sz="8" w:color="010101"/>
            </w:tcBorders>
          </w:tcPr>
          <w:p>
            <w:pPr>
              <w:spacing w:after="0"/>
              <w:rPr>
                <w:sz w:val="3"/>
                <w:szCs w:val="3"/>
                <w:color w:val="auto"/>
              </w:rPr>
            </w:pPr>
          </w:p>
        </w:tc>
        <w:tc>
          <w:tcPr>
            <w:tcW w:w="2780" w:type="dxa"/>
            <w:vAlign w:val="bottom"/>
            <w:tcBorders>
              <w:bottom w:val="single" w:sz="8" w:color="010101"/>
              <w:right w:val="single" w:sz="8" w:color="010101"/>
            </w:tcBorders>
          </w:tcPr>
          <w:p>
            <w:pPr>
              <w:spacing w:after="0"/>
              <w:rPr>
                <w:sz w:val="3"/>
                <w:szCs w:val="3"/>
                <w:color w:val="auto"/>
              </w:rPr>
            </w:pPr>
          </w:p>
        </w:tc>
        <w:tc>
          <w:tcPr>
            <w:tcW w:w="280" w:type="dxa"/>
            <w:vAlign w:val="bottom"/>
            <w:tcBorders>
              <w:bottom w:val="single" w:sz="8" w:color="010101"/>
            </w:tcBorders>
          </w:tcPr>
          <w:p>
            <w:pPr>
              <w:spacing w:after="0"/>
              <w:rPr>
                <w:sz w:val="3"/>
                <w:szCs w:val="3"/>
                <w:color w:val="auto"/>
              </w:rPr>
            </w:pPr>
          </w:p>
        </w:tc>
        <w:tc>
          <w:tcPr>
            <w:tcW w:w="1700" w:type="dxa"/>
            <w:vAlign w:val="bottom"/>
            <w:tcBorders>
              <w:bottom w:val="single" w:sz="8" w:color="010101"/>
            </w:tcBorders>
          </w:tcPr>
          <w:p>
            <w:pPr>
              <w:spacing w:after="0"/>
              <w:rPr>
                <w:sz w:val="3"/>
                <w:szCs w:val="3"/>
                <w:color w:val="auto"/>
              </w:rPr>
            </w:pPr>
          </w:p>
        </w:tc>
        <w:tc>
          <w:tcPr>
            <w:tcW w:w="300" w:type="dxa"/>
            <w:vAlign w:val="bottom"/>
            <w:tcBorders>
              <w:bottom w:val="single" w:sz="8" w:color="010101"/>
              <w:right w:val="single" w:sz="8" w:color="010101"/>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20" w:type="dxa"/>
            <w:vAlign w:val="bottom"/>
            <w:tcBorders>
              <w:left w:val="single" w:sz="8" w:color="010101"/>
            </w:tcBorders>
          </w:tcPr>
          <w:p>
            <w:pPr>
              <w:spacing w:after="0"/>
              <w:rPr>
                <w:sz w:val="18"/>
                <w:szCs w:val="18"/>
                <w:color w:val="auto"/>
              </w:rPr>
            </w:pPr>
          </w:p>
        </w:tc>
        <w:tc>
          <w:tcPr>
            <w:tcW w:w="4680" w:type="dxa"/>
            <w:vAlign w:val="bottom"/>
            <w:tcBorders>
              <w:right w:val="single" w:sz="8" w:color="010101"/>
            </w:tcBorders>
            <w:gridSpan w:val="4"/>
          </w:tcPr>
          <w:p>
            <w:pPr>
              <w:spacing w:after="0" w:line="210" w:lineRule="exact"/>
              <w:rPr>
                <w:sz w:val="20"/>
                <w:szCs w:val="20"/>
                <w:color w:val="auto"/>
              </w:rPr>
            </w:pPr>
            <w:r>
              <w:rPr>
                <w:rFonts w:ascii="Arial" w:cs="Arial" w:eastAsia="Arial" w:hAnsi="Arial"/>
                <w:sz w:val="19"/>
                <w:szCs w:val="19"/>
                <w:color w:val="auto"/>
              </w:rPr>
              <w:t>Category 2</w:t>
            </w:r>
          </w:p>
        </w:tc>
        <w:tc>
          <w:tcPr>
            <w:tcW w:w="1980" w:type="dxa"/>
            <w:vAlign w:val="bottom"/>
            <w:gridSpan w:val="2"/>
            <w:vMerge w:val="restart"/>
          </w:tcPr>
          <w:p>
            <w:pPr>
              <w:jc w:val="center"/>
              <w:ind w:left="186"/>
              <w:spacing w:after="0"/>
              <w:rPr>
                <w:sz w:val="20"/>
                <w:szCs w:val="20"/>
                <w:color w:val="auto"/>
              </w:rPr>
            </w:pPr>
            <w:r>
              <w:rPr>
                <w:rFonts w:ascii="Arial" w:cs="Arial" w:eastAsia="Arial" w:hAnsi="Arial"/>
                <w:sz w:val="19"/>
                <w:szCs w:val="19"/>
                <w:color w:val="auto"/>
                <w:w w:val="92"/>
              </w:rPr>
              <w:t>0.25%</w:t>
            </w:r>
          </w:p>
        </w:tc>
        <w:tc>
          <w:tcPr>
            <w:tcW w:w="300" w:type="dxa"/>
            <w:vAlign w:val="bottom"/>
            <w:tcBorders>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Borders>
              <w:left w:val="single" w:sz="8" w:color="010101"/>
            </w:tcBorders>
          </w:tcPr>
          <w:p>
            <w:pPr>
              <w:spacing w:after="0"/>
              <w:rPr>
                <w:sz w:val="20"/>
                <w:szCs w:val="20"/>
                <w:color w:val="auto"/>
              </w:rPr>
            </w:pPr>
          </w:p>
        </w:tc>
        <w:tc>
          <w:tcPr>
            <w:tcW w:w="820" w:type="dxa"/>
            <w:vAlign w:val="bottom"/>
            <w:tcBorders>
              <w:top w:val="single" w:sz="8" w:color="auto"/>
            </w:tcBorders>
          </w:tcPr>
          <w:p>
            <w:pPr>
              <w:ind w:left="180"/>
              <w:spacing w:after="0"/>
              <w:rPr>
                <w:sz w:val="20"/>
                <w:szCs w:val="20"/>
                <w:color w:val="auto"/>
              </w:rPr>
            </w:pPr>
            <w:r>
              <w:rPr>
                <w:rFonts w:ascii="Arial" w:cs="Arial" w:eastAsia="Arial" w:hAnsi="Arial"/>
                <w:sz w:val="19"/>
                <w:szCs w:val="19"/>
                <w:color w:val="auto"/>
                <w:w w:val="88"/>
              </w:rPr>
              <w:t>Equal to</w:t>
            </w:r>
          </w:p>
        </w:tc>
        <w:tc>
          <w:tcPr>
            <w:tcW w:w="3860" w:type="dxa"/>
            <w:vAlign w:val="bottom"/>
            <w:tcBorders>
              <w:right w:val="single" w:sz="8" w:color="010101"/>
            </w:tcBorders>
            <w:gridSpan w:val="3"/>
          </w:tcPr>
          <w:p>
            <w:pPr>
              <w:ind w:left="60"/>
              <w:spacing w:after="0"/>
              <w:rPr>
                <w:sz w:val="20"/>
                <w:szCs w:val="20"/>
                <w:color w:val="auto"/>
              </w:rPr>
            </w:pPr>
            <w:r>
              <w:rPr>
                <w:rFonts w:ascii="Arial" w:cs="Arial" w:eastAsia="Arial" w:hAnsi="Arial"/>
                <w:sz w:val="19"/>
                <w:szCs w:val="19"/>
                <w:color w:val="auto"/>
              </w:rPr>
              <w:t>or less than 2.75 to 1.00</w:t>
            </w:r>
          </w:p>
        </w:tc>
        <w:tc>
          <w:tcPr>
            <w:tcW w:w="1980" w:type="dxa"/>
            <w:vAlign w:val="bottom"/>
            <w:gridSpan w:val="2"/>
            <w:vMerge w:val="continue"/>
          </w:tcPr>
          <w:p>
            <w:pPr>
              <w:spacing w:after="0"/>
              <w:rPr>
                <w:sz w:val="20"/>
                <w:szCs w:val="20"/>
                <w:color w:val="auto"/>
              </w:rPr>
            </w:pPr>
          </w:p>
        </w:tc>
        <w:tc>
          <w:tcPr>
            <w:tcW w:w="300" w:type="dxa"/>
            <w:vAlign w:val="bottom"/>
            <w:tcBorders>
              <w:right w:val="single" w:sz="8" w:color="010101"/>
            </w:tcBorders>
          </w:tcPr>
          <w:p>
            <w:pPr>
              <w:spacing w:after="0"/>
              <w:rPr>
                <w:sz w:val="20"/>
                <w:szCs w:val="20"/>
                <w:color w:val="auto"/>
              </w:rPr>
            </w:pPr>
          </w:p>
        </w:tc>
        <w:tc>
          <w:tcPr>
            <w:tcW w:w="0" w:type="dxa"/>
            <w:vAlign w:val="bottom"/>
          </w:tcPr>
          <w:p>
            <w:pPr>
              <w:spacing w:after="0"/>
              <w:rPr>
                <w:sz w:val="1"/>
                <w:szCs w:val="1"/>
                <w:color w:val="auto"/>
              </w:rPr>
            </w:pPr>
          </w:p>
        </w:tc>
      </w:tr>
      <w:tr>
        <w:trPr>
          <w:trHeight w:val="57"/>
        </w:trPr>
        <w:tc>
          <w:tcPr>
            <w:tcW w:w="120" w:type="dxa"/>
            <w:vAlign w:val="bottom"/>
            <w:tcBorders>
              <w:left w:val="single" w:sz="8" w:color="010101"/>
              <w:bottom w:val="single" w:sz="8" w:color="010101"/>
            </w:tcBorders>
          </w:tcPr>
          <w:p>
            <w:pPr>
              <w:spacing w:after="0"/>
              <w:rPr>
                <w:sz w:val="4"/>
                <w:szCs w:val="4"/>
                <w:color w:val="auto"/>
              </w:rPr>
            </w:pPr>
          </w:p>
        </w:tc>
        <w:tc>
          <w:tcPr>
            <w:tcW w:w="820" w:type="dxa"/>
            <w:vAlign w:val="bottom"/>
            <w:tcBorders>
              <w:bottom w:val="single" w:sz="8" w:color="010101"/>
            </w:tcBorders>
          </w:tcPr>
          <w:p>
            <w:pPr>
              <w:spacing w:after="0"/>
              <w:rPr>
                <w:sz w:val="4"/>
                <w:szCs w:val="4"/>
                <w:color w:val="auto"/>
              </w:rPr>
            </w:pPr>
          </w:p>
        </w:tc>
        <w:tc>
          <w:tcPr>
            <w:tcW w:w="20" w:type="dxa"/>
            <w:vAlign w:val="bottom"/>
            <w:tcBorders>
              <w:bottom w:val="single" w:sz="8" w:color="010101"/>
            </w:tcBorders>
          </w:tcPr>
          <w:p>
            <w:pPr>
              <w:spacing w:after="0"/>
              <w:rPr>
                <w:sz w:val="4"/>
                <w:szCs w:val="4"/>
                <w:color w:val="auto"/>
              </w:rPr>
            </w:pPr>
          </w:p>
        </w:tc>
        <w:tc>
          <w:tcPr>
            <w:tcW w:w="1060" w:type="dxa"/>
            <w:vAlign w:val="bottom"/>
            <w:tcBorders>
              <w:bottom w:val="single" w:sz="8" w:color="010101"/>
            </w:tcBorders>
          </w:tcPr>
          <w:p>
            <w:pPr>
              <w:spacing w:after="0"/>
              <w:rPr>
                <w:sz w:val="4"/>
                <w:szCs w:val="4"/>
                <w:color w:val="auto"/>
              </w:rPr>
            </w:pPr>
          </w:p>
        </w:tc>
        <w:tc>
          <w:tcPr>
            <w:tcW w:w="2780" w:type="dxa"/>
            <w:vAlign w:val="bottom"/>
            <w:tcBorders>
              <w:bottom w:val="single" w:sz="8" w:color="010101"/>
              <w:right w:val="single" w:sz="8" w:color="010101"/>
            </w:tcBorders>
          </w:tcPr>
          <w:p>
            <w:pPr>
              <w:spacing w:after="0"/>
              <w:rPr>
                <w:sz w:val="4"/>
                <w:szCs w:val="4"/>
                <w:color w:val="auto"/>
              </w:rPr>
            </w:pPr>
          </w:p>
        </w:tc>
        <w:tc>
          <w:tcPr>
            <w:tcW w:w="280" w:type="dxa"/>
            <w:vAlign w:val="bottom"/>
            <w:tcBorders>
              <w:bottom w:val="single" w:sz="8" w:color="010101"/>
            </w:tcBorders>
          </w:tcPr>
          <w:p>
            <w:pPr>
              <w:spacing w:after="0"/>
              <w:rPr>
                <w:sz w:val="4"/>
                <w:szCs w:val="4"/>
                <w:color w:val="auto"/>
              </w:rPr>
            </w:pPr>
          </w:p>
        </w:tc>
        <w:tc>
          <w:tcPr>
            <w:tcW w:w="1700" w:type="dxa"/>
            <w:vAlign w:val="bottom"/>
            <w:tcBorders>
              <w:bottom w:val="single" w:sz="8" w:color="010101"/>
            </w:tcBorders>
          </w:tcPr>
          <w:p>
            <w:pPr>
              <w:spacing w:after="0"/>
              <w:rPr>
                <w:sz w:val="4"/>
                <w:szCs w:val="4"/>
                <w:color w:val="auto"/>
              </w:rPr>
            </w:pPr>
          </w:p>
        </w:tc>
        <w:tc>
          <w:tcPr>
            <w:tcW w:w="300" w:type="dxa"/>
            <w:vAlign w:val="bottom"/>
            <w:tcBorders>
              <w:bottom w:val="single" w:sz="8" w:color="010101"/>
              <w:right w:val="single" w:sz="8" w:color="010101"/>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100" w:right="39" w:firstLine="749"/>
        <w:spacing w:after="0" w:line="248" w:lineRule="auto"/>
        <w:rPr>
          <w:sz w:val="20"/>
          <w:szCs w:val="20"/>
          <w:color w:val="auto"/>
        </w:rPr>
      </w:pPr>
      <w:r>
        <w:rPr>
          <w:rFonts w:ascii="Arial" w:cs="Arial" w:eastAsia="Arial" w:hAnsi="Arial"/>
          <w:sz w:val="18"/>
          <w:szCs w:val="18"/>
          <w:color w:val="auto"/>
        </w:rPr>
        <w:t xml:space="preserve">The Commitment Fee Rate with respect to the Initial Revolving Credit Commitment shall be adjusted quarterly on a prospective basis on each Adjustment Date based upon the Total Net Leverage Ratio in accordance with the table set forth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financial statements are not delivered when required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applicable, at the election of the Required Revolving Lenders, the Commitment Fee Rate shall be the rate per annum set forth above in Category 1 until such financial statements are delivered in compliance with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as applicable.</w:t>
      </w:r>
    </w:p>
    <w:p>
      <w:pPr>
        <w:spacing w:after="0" w:line="28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Schedule</w:t>
      </w:r>
      <w:r>
        <w:rPr>
          <w:rFonts w:ascii="Arial" w:cs="Arial" w:eastAsia="Arial" w:hAnsi="Arial"/>
          <w:sz w:val="18"/>
          <w:szCs w:val="18"/>
          <w:color w:val="auto"/>
        </w:rPr>
        <w:t xml:space="preserve">” means the Schedule attached hereto as </w:t>
      </w:r>
      <w:r>
        <w:rPr>
          <w:rFonts w:ascii="Arial" w:cs="Arial" w:eastAsia="Arial" w:hAnsi="Arial"/>
          <w:sz w:val="18"/>
          <w:szCs w:val="18"/>
          <w:u w:val="single" w:color="auto"/>
          <w:color w:val="auto"/>
        </w:rPr>
        <w:t>Schedule 1.01(a)</w:t>
      </w:r>
      <w:r>
        <w:rPr>
          <w:rFonts w:ascii="Arial" w:cs="Arial" w:eastAsia="Arial" w:hAnsi="Arial"/>
          <w:sz w:val="18"/>
          <w:szCs w:val="18"/>
          <w:color w:val="auto"/>
        </w:rPr>
        <w:t>. “</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w:t>
      </w:r>
    </w:p>
    <w:p>
      <w:pPr>
        <w:spacing w:after="0" w:line="19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means the Commodity Exchange Act (7 USC. § 1 </w:t>
      </w:r>
      <w:r>
        <w:rPr>
          <w:rFonts w:ascii="Arial" w:cs="Arial" w:eastAsia="Arial" w:hAnsi="Arial"/>
          <w:sz w:val="18"/>
          <w:szCs w:val="18"/>
          <w:i w:val="1"/>
          <w:iCs w:val="1"/>
          <w:color w:val="auto"/>
        </w:rPr>
        <w:t>et seq</w:t>
      </w:r>
      <w:r>
        <w:rPr>
          <w:rFonts w:ascii="Arial" w:cs="Arial" w:eastAsia="Arial" w:hAnsi="Arial"/>
          <w:sz w:val="18"/>
          <w:szCs w:val="18"/>
          <w:color w:val="auto"/>
        </w:rPr>
        <w:t>.). “</w:t>
      </w:r>
      <w:r>
        <w:rPr>
          <w:rFonts w:ascii="Arial" w:cs="Arial" w:eastAsia="Arial" w:hAnsi="Arial"/>
          <w:sz w:val="18"/>
          <w:szCs w:val="18"/>
          <w:u w:val="single" w:color="auto"/>
          <w:color w:val="auto"/>
        </w:rPr>
        <w:t>Company Competitor</w:t>
      </w:r>
      <w:r>
        <w:rPr>
          <w:rFonts w:ascii="Arial" w:cs="Arial" w:eastAsia="Arial" w:hAnsi="Arial"/>
          <w:sz w:val="18"/>
          <w:szCs w:val="18"/>
          <w:color w:val="auto"/>
        </w:rPr>
        <w:t>” means any competitor of the</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9"/>
          <w:szCs w:val="19"/>
          <w:color w:val="auto"/>
        </w:rPr>
        <w:t>Borrower and/or any of its subsidiaries.</w:t>
      </w:r>
    </w:p>
    <w:p>
      <w:pPr>
        <w:spacing w:after="0" w:line="92" w:lineRule="exact"/>
        <w:rPr>
          <w:sz w:val="20"/>
          <w:szCs w:val="20"/>
          <w:color w:val="auto"/>
        </w:rPr>
      </w:pPr>
    </w:p>
    <w:p>
      <w:pPr>
        <w:jc w:val="both"/>
        <w:ind w:left="100" w:right="59" w:firstLine="749"/>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 Debt Fund Affiliate</w:t>
      </w:r>
      <w:r>
        <w:rPr>
          <w:rFonts w:ascii="Arial" w:cs="Arial" w:eastAsia="Arial" w:hAnsi="Arial"/>
          <w:sz w:val="18"/>
          <w:szCs w:val="18"/>
          <w:color w:val="auto"/>
        </w:rPr>
        <w:t>” means, with respect to any Company Competitor or any Affiliate thereof, any debt fund, investment vehicle, regulated bank entity or unregulated lending entity (in each case, other than any Disqualified Lending Institution or any Excluded Party) that is (a) primarily engaged in making, purchasing, holding or otherwise investing in commercial loans and similar extensions of credit in the ordinary course of business for financial investment purposes (but not with a view towards (i) owning the borrower or issuer of any such loan or similar extension of credit or (ii) investing in special or opportunistic situations) and (b) managed, sponsored or advised by any person that is controlling, controlled by or under common control with the relevant Company Competitor or Affiliate thereof, but only to the extent that no personnel involved with the investment in the relevant Company Competitor or its Affiliates, or the management, control or operation thereof, (i) makes (or has the right to make or participate with others in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13</w:t>
      </w:r>
      <w:r>
        <w:rPr>
          <w:rFonts w:ascii="Arial" w:cs="Arial" w:eastAsia="Arial" w:hAnsi="Arial"/>
          <w:sz w:val="18"/>
          <w:szCs w:val="18"/>
          <w:u w:val="single" w:color="auto"/>
          <w:color w:val="0000FF"/>
          <w:strike w:val="1"/>
        </w:rPr>
        <w:t>13</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81" w:name="page82"/>
    <w:bookmarkEnd w:id="81"/>
    <w:p>
      <w:pPr>
        <w:jc w:val="both"/>
        <w:ind w:left="100" w:right="19"/>
        <w:spacing w:after="0" w:line="284" w:lineRule="auto"/>
        <w:rPr>
          <w:sz w:val="20"/>
          <w:szCs w:val="20"/>
          <w:color w:val="auto"/>
        </w:rPr>
      </w:pPr>
      <w:r>
        <w:rPr>
          <w:rFonts w:ascii="Arial" w:cs="Arial" w:eastAsia="Arial" w:hAnsi="Arial"/>
          <w:sz w:val="17"/>
          <w:szCs w:val="17"/>
          <w:color w:val="auto"/>
        </w:rPr>
        <w:t>making) investment decisions on behalf of, or otherwise cause the direction of the investment policies of, such debt fund, investment vehicle, regulated bank entity or unregulated entity or (ii) has access to any information (other than information that is publicly available) relating to the Borrower and/or any entity that forms part of its business (including any of its subsidiaries).</w:t>
      </w:r>
    </w:p>
    <w:p>
      <w:pPr>
        <w:spacing w:after="0" w:line="143" w:lineRule="exact"/>
        <w:rPr>
          <w:sz w:val="20"/>
          <w:szCs w:val="20"/>
          <w:color w:val="auto"/>
        </w:rPr>
      </w:pPr>
    </w:p>
    <w:p>
      <w:pPr>
        <w:ind w:left="100" w:right="99" w:firstLine="74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Compliance Certificate</w:t>
      </w:r>
      <w:r>
        <w:rPr>
          <w:rFonts w:ascii="Arial" w:cs="Arial" w:eastAsia="Arial" w:hAnsi="Arial"/>
          <w:sz w:val="19"/>
          <w:szCs w:val="19"/>
          <w:color w:val="auto"/>
        </w:rPr>
        <w:t xml:space="preserve">” means a Compliance Certificate substantially in the form of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or such other form to which the Borrower and the Administrative Agent may reasonably agree.</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9.13</w:t>
      </w:r>
      <w:r>
        <w:rPr>
          <w:rFonts w:ascii="Arial" w:cs="Arial" w:eastAsia="Arial" w:hAnsi="Arial"/>
          <w:sz w:val="19"/>
          <w:szCs w:val="19"/>
          <w:color w:val="auto"/>
        </w:rPr>
        <w:t>.</w:t>
      </w:r>
    </w:p>
    <w:p>
      <w:pPr>
        <w:spacing w:after="0" w:line="200" w:lineRule="exact"/>
        <w:rPr>
          <w:sz w:val="20"/>
          <w:szCs w:val="20"/>
          <w:color w:val="auto"/>
        </w:rPr>
      </w:pPr>
    </w:p>
    <w:p>
      <w:pPr>
        <w:jc w:val="both"/>
        <w:ind w:left="100" w:right="59" w:firstLine="749"/>
        <w:spacing w:after="0" w:line="266" w:lineRule="auto"/>
        <w:rPr>
          <w:sz w:val="20"/>
          <w:szCs w:val="20"/>
          <w:color w:val="auto"/>
        </w:rPr>
      </w:pPr>
      <w:r>
        <w:rPr>
          <w:rFonts w:ascii="Arial" w:cs="Arial" w:eastAsia="Arial" w:hAnsi="Arial"/>
          <w:sz w:val="17"/>
          <w:szCs w:val="17"/>
          <w:u w:val="single" w:color="auto"/>
          <w:color w:val="0000FF"/>
        </w:rPr>
        <w:t>“Conforming Changes” means, with respect to the use, administration of or any conventions associated with SOFR or any proposed Successor Rate or Term SOFR, as applicable, any conforming changes to the definitions of “Alternate Base Rate”,</w:t>
      </w:r>
    </w:p>
    <w:p>
      <w:pPr>
        <w:spacing w:after="0" w:line="1" w:lineRule="exact"/>
        <w:rPr>
          <w:sz w:val="20"/>
          <w:szCs w:val="20"/>
          <w:color w:val="auto"/>
        </w:rPr>
      </w:pPr>
    </w:p>
    <w:p>
      <w:pPr>
        <w:jc w:val="both"/>
        <w:ind w:left="100" w:right="59"/>
        <w:spacing w:after="0" w:line="254" w:lineRule="auto"/>
        <w:rPr>
          <w:sz w:val="20"/>
          <w:szCs w:val="20"/>
          <w:color w:val="auto"/>
        </w:rPr>
      </w:pPr>
      <w:r>
        <w:rPr>
          <w:rFonts w:ascii="Arial" w:cs="Arial" w:eastAsia="Arial" w:hAnsi="Arial"/>
          <w:sz w:val="17"/>
          <w:szCs w:val="17"/>
          <w:u w:val="single" w:color="auto"/>
          <w:color w:val="0000FF"/>
        </w:rPr>
        <w:t>“SOFR”, “Term SOFR” and “Interest Per iod”</w:t>
      </w:r>
      <w:r>
        <w:rPr>
          <w:rFonts w:ascii="Arial" w:cs="Arial" w:eastAsia="Arial" w:hAnsi="Arial"/>
          <w:sz w:val="17"/>
          <w:szCs w:val="17"/>
          <w:i w:val="1"/>
          <w:iCs w:val="1"/>
          <w:color w:val="008000"/>
        </w:rPr>
        <w:t>,</w:t>
      </w:r>
      <w:r>
        <w:rPr>
          <w:rFonts w:ascii="Arial" w:cs="Arial" w:eastAsia="Arial" w:hAnsi="Arial"/>
          <w:sz w:val="17"/>
          <w:szCs w:val="17"/>
          <w:color w:val="0000FF"/>
        </w:rPr>
        <w:t xml:space="preserve"> </w:t>
      </w:r>
      <w:r>
        <w:rPr>
          <w:rFonts w:ascii="Arial" w:cs="Arial" w:eastAsia="Arial" w:hAnsi="Arial"/>
          <w:sz w:val="17"/>
          <w:szCs w:val="17"/>
          <w:i w:val="1"/>
          <w:iCs w:val="1"/>
          <w:u w:val="single" w:color="auto"/>
          <w:color w:val="008000"/>
        </w:rPr>
        <w:t>timing and frequency of determining rates and making payments of interest and</w:t>
      </w:r>
      <w:r>
        <w:rPr>
          <w:rFonts w:ascii="Arial" w:cs="Arial" w:eastAsia="Arial" w:hAnsi="Arial"/>
          <w:sz w:val="17"/>
          <w:szCs w:val="17"/>
          <w:color w:val="0000FF"/>
        </w:rPr>
        <w:t xml:space="preserve"> </w:t>
      </w:r>
      <w:r>
        <w:rPr>
          <w:rFonts w:ascii="Arial" w:cs="Arial" w:eastAsia="Arial" w:hAnsi="Arial"/>
          <w:sz w:val="17"/>
          <w:szCs w:val="17"/>
          <w:i w:val="1"/>
          <w:iCs w:val="1"/>
          <w:u w:val="single" w:color="auto"/>
          <w:color w:val="008000"/>
        </w:rPr>
        <w:t>other technical,</w:t>
      </w:r>
      <w:r>
        <w:rPr>
          <w:rFonts w:ascii="Arial" w:cs="Arial" w:eastAsia="Arial" w:hAnsi="Arial"/>
          <w:sz w:val="17"/>
          <w:szCs w:val="17"/>
          <w:i w:val="1"/>
          <w:iCs w:val="1"/>
          <w:color w:val="008000"/>
        </w:rPr>
        <w:t xml:space="preserve"> administrative or operational matters (including, for the avoidance of doubt, the </w:t>
      </w:r>
      <w:r>
        <w:rPr>
          <w:rFonts w:ascii="Arial" w:cs="Arial" w:eastAsia="Arial" w:hAnsi="Arial"/>
          <w:sz w:val="17"/>
          <w:szCs w:val="17"/>
          <w:u w:val="single" w:color="auto"/>
          <w:color w:val="0000FF"/>
        </w:rPr>
        <w:t>definitions of “Business Day” and</w:t>
      </w:r>
      <w:r>
        <w:rPr>
          <w:rFonts w:ascii="Arial" w:cs="Arial" w:eastAsia="Arial" w:hAnsi="Arial"/>
          <w:sz w:val="17"/>
          <w:szCs w:val="17"/>
          <w:i w:val="1"/>
          <w:iCs w:val="1"/>
          <w:color w:val="008000"/>
        </w:rPr>
        <w:t xml:space="preserve"> </w:t>
      </w:r>
      <w:r>
        <w:rPr>
          <w:rFonts w:ascii="Arial" w:cs="Arial" w:eastAsia="Arial" w:hAnsi="Arial"/>
          <w:sz w:val="17"/>
          <w:szCs w:val="17"/>
          <w:u w:val="single" w:color="auto"/>
          <w:color w:val="0000FF"/>
        </w:rPr>
        <w:t>“U.S. Government Secur ities Business Day”</w:t>
      </w:r>
      <w:r>
        <w:rPr>
          <w:rFonts w:ascii="Arial" w:cs="Arial" w:eastAsia="Arial" w:hAnsi="Arial"/>
          <w:sz w:val="17"/>
          <w:szCs w:val="17"/>
          <w:i w:val="1"/>
          <w:iCs w:val="1"/>
          <w:color w:val="008000"/>
        </w:rPr>
        <w:t>, timing of borrowing requests or prepayment, conversion or continuation notices and</w:t>
      </w:r>
    </w:p>
    <w:p>
      <w:pPr>
        <w:jc w:val="both"/>
        <w:ind w:left="100" w:right="59"/>
        <w:spacing w:after="0"/>
        <w:rPr>
          <w:sz w:val="20"/>
          <w:szCs w:val="20"/>
          <w:color w:val="auto"/>
        </w:rPr>
      </w:pPr>
      <w:r>
        <w:rPr>
          <w:rFonts w:ascii="Arial" w:cs="Arial" w:eastAsia="Arial" w:hAnsi="Arial"/>
          <w:sz w:val="18"/>
          <w:szCs w:val="18"/>
          <w:i w:val="1"/>
          <w:iCs w:val="1"/>
          <w:color w:val="008000"/>
        </w:rPr>
        <w:t xml:space="preserve">length of lookback periods) as may be appropriate, in the </w:t>
      </w:r>
      <w:r>
        <w:rPr>
          <w:rFonts w:ascii="Arial" w:cs="Arial" w:eastAsia="Arial" w:hAnsi="Arial"/>
          <w:sz w:val="18"/>
          <w:szCs w:val="18"/>
          <w:u w:val="single" w:color="auto"/>
          <w:color w:val="0000FF"/>
        </w:rPr>
        <w:t>discretion of the Administrative Agent, to reflect the adoption and</w:t>
      </w:r>
      <w:r>
        <w:rPr>
          <w:rFonts w:ascii="Arial" w:cs="Arial" w:eastAsia="Arial" w:hAnsi="Arial"/>
          <w:sz w:val="18"/>
          <w:szCs w:val="18"/>
          <w:i w:val="1"/>
          <w:iCs w:val="1"/>
          <w:color w:val="008000"/>
        </w:rPr>
        <w:t xml:space="preserve"> </w:t>
      </w:r>
      <w:r>
        <w:rPr>
          <w:rFonts w:ascii="Arial" w:cs="Arial" w:eastAsia="Arial" w:hAnsi="Arial"/>
          <w:sz w:val="18"/>
          <w:szCs w:val="18"/>
          <w:u w:val="single" w:color="auto"/>
          <w:color w:val="0000FF"/>
        </w:rPr>
        <w:t>implementation of such applicable rate(s)</w:t>
      </w:r>
      <w:r>
        <w:rPr>
          <w:rFonts w:ascii="Arial" w:cs="Arial" w:eastAsia="Arial" w:hAnsi="Arial"/>
          <w:sz w:val="18"/>
          <w:szCs w:val="18"/>
          <w:color w:val="0000FF"/>
        </w:rPr>
        <w:t xml:space="preserve"> </w:t>
      </w:r>
      <w:r>
        <w:rPr>
          <w:rFonts w:ascii="Arial" w:cs="Arial" w:eastAsia="Arial" w:hAnsi="Arial"/>
          <w:sz w:val="18"/>
          <w:szCs w:val="18"/>
          <w:i w:val="1"/>
          <w:iCs w:val="1"/>
          <w:color w:val="008000"/>
        </w:rPr>
        <w:t>and</w:t>
      </w:r>
      <w:r>
        <w:rPr>
          <w:rFonts w:ascii="Arial" w:cs="Arial" w:eastAsia="Arial" w:hAnsi="Arial"/>
          <w:sz w:val="18"/>
          <w:szCs w:val="18"/>
          <w:color w:val="0000FF"/>
        </w:rPr>
        <w:t xml:space="preserve"> </w:t>
      </w:r>
      <w:r>
        <w:rPr>
          <w:rFonts w:ascii="Arial" w:cs="Arial" w:eastAsia="Arial" w:hAnsi="Arial"/>
          <w:sz w:val="18"/>
          <w:szCs w:val="18"/>
          <w:i w:val="1"/>
          <w:iCs w:val="1"/>
          <w:u w:val="single" w:color="auto"/>
          <w:color w:val="008000"/>
        </w:rPr>
        <w:t>to permit the administration thereof by the Administrative Agent in a manner</w:t>
      </w:r>
      <w:r>
        <w:rPr>
          <w:rFonts w:ascii="Arial" w:cs="Arial" w:eastAsia="Arial" w:hAnsi="Arial"/>
          <w:sz w:val="18"/>
          <w:szCs w:val="18"/>
          <w:color w:val="0000FF"/>
        </w:rPr>
        <w:t xml:space="preserve"> </w:t>
      </w:r>
      <w:r>
        <w:rPr>
          <w:rFonts w:ascii="Arial" w:cs="Arial" w:eastAsia="Arial" w:hAnsi="Arial"/>
          <w:sz w:val="18"/>
          <w:szCs w:val="18"/>
          <w:i w:val="1"/>
          <w:iCs w:val="1"/>
          <w:u w:val="single" w:color="auto"/>
          <w:color w:val="008000"/>
        </w:rPr>
        <w:t>substantially consistent with market practice (or, if the Administrative Agent determines that adoption of any portion of such</w:t>
      </w:r>
    </w:p>
    <w:p>
      <w:pPr>
        <w:jc w:val="both"/>
        <w:ind w:left="100" w:right="59"/>
        <w:spacing w:after="0" w:line="230" w:lineRule="auto"/>
        <w:rPr>
          <w:sz w:val="20"/>
          <w:szCs w:val="20"/>
          <w:color w:val="auto"/>
        </w:rPr>
      </w:pPr>
      <w:r>
        <w:rPr>
          <w:rFonts w:ascii="Arial" w:cs="Arial" w:eastAsia="Arial" w:hAnsi="Arial"/>
          <w:sz w:val="19"/>
          <w:szCs w:val="19"/>
          <w:i w:val="1"/>
          <w:iCs w:val="1"/>
          <w:u w:val="single" w:color="auto"/>
          <w:color w:val="008000"/>
        </w:rPr>
        <w:t>market</w:t>
      </w:r>
      <w:r>
        <w:rPr>
          <w:rFonts w:ascii="Arial" w:cs="Arial" w:eastAsia="Arial" w:hAnsi="Arial"/>
          <w:sz w:val="19"/>
          <w:szCs w:val="19"/>
          <w:i w:val="1"/>
          <w:iCs w:val="1"/>
          <w:color w:val="008000"/>
        </w:rPr>
        <w:t xml:space="preserve"> practice is not administratively feasible or that no market practice for </w:t>
      </w:r>
      <w:r>
        <w:rPr>
          <w:rFonts w:ascii="Arial" w:cs="Arial" w:eastAsia="Arial" w:hAnsi="Arial"/>
          <w:sz w:val="19"/>
          <w:szCs w:val="19"/>
          <w:u w:val="single" w:color="auto"/>
          <w:color w:val="0000FF"/>
        </w:rPr>
        <w:t>the administration of such rate exists, in such other</w:t>
      </w:r>
      <w:r>
        <w:rPr>
          <w:rFonts w:ascii="Arial" w:cs="Arial" w:eastAsia="Arial" w:hAnsi="Arial"/>
          <w:sz w:val="19"/>
          <w:szCs w:val="19"/>
          <w:i w:val="1"/>
          <w:iCs w:val="1"/>
          <w:color w:val="008000"/>
        </w:rPr>
        <w:t xml:space="preserve"> </w:t>
      </w:r>
      <w:r>
        <w:rPr>
          <w:rFonts w:ascii="Arial" w:cs="Arial" w:eastAsia="Arial" w:hAnsi="Arial"/>
          <w:sz w:val="19"/>
          <w:szCs w:val="19"/>
          <w:u w:val="single" w:color="auto"/>
          <w:color w:val="0000FF"/>
        </w:rPr>
        <w:t>manner of administration as the Administrative Agent determines</w:t>
      </w:r>
      <w:r>
        <w:rPr>
          <w:rFonts w:ascii="Arial" w:cs="Arial" w:eastAsia="Arial" w:hAnsi="Arial"/>
          <w:sz w:val="19"/>
          <w:szCs w:val="19"/>
          <w:color w:val="0000FF"/>
        </w:rPr>
        <w:t xml:space="preserve"> </w:t>
      </w:r>
      <w:r>
        <w:rPr>
          <w:rFonts w:ascii="Arial" w:cs="Arial" w:eastAsia="Arial" w:hAnsi="Arial"/>
          <w:sz w:val="19"/>
          <w:szCs w:val="19"/>
          <w:i w:val="1"/>
          <w:iCs w:val="1"/>
          <w:color w:val="008000"/>
        </w:rPr>
        <w:t>is reasonably</w:t>
      </w:r>
      <w:r>
        <w:rPr>
          <w:rFonts w:ascii="Arial" w:cs="Arial" w:eastAsia="Arial" w:hAnsi="Arial"/>
          <w:sz w:val="19"/>
          <w:szCs w:val="19"/>
          <w:color w:val="0000FF"/>
        </w:rPr>
        <w:t xml:space="preserve"> </w:t>
      </w:r>
      <w:r>
        <w:rPr>
          <w:rFonts w:ascii="Arial" w:cs="Arial" w:eastAsia="Arial" w:hAnsi="Arial"/>
          <w:sz w:val="19"/>
          <w:szCs w:val="19"/>
          <w:i w:val="1"/>
          <w:iCs w:val="1"/>
          <w:u w:val="single" w:color="auto"/>
          <w:color w:val="008000"/>
        </w:rPr>
        <w:t>necessary in connection with the administration of</w:t>
      </w:r>
      <w:r>
        <w:rPr>
          <w:rFonts w:ascii="Arial" w:cs="Arial" w:eastAsia="Arial" w:hAnsi="Arial"/>
          <w:sz w:val="19"/>
          <w:szCs w:val="19"/>
          <w:color w:val="0000FF"/>
        </w:rPr>
        <w:t xml:space="preserve"> </w:t>
      </w:r>
      <w:r>
        <w:rPr>
          <w:rFonts w:ascii="Arial" w:cs="Arial" w:eastAsia="Arial" w:hAnsi="Arial"/>
          <w:sz w:val="19"/>
          <w:szCs w:val="19"/>
          <w:i w:val="1"/>
          <w:iCs w:val="1"/>
          <w:u w:val="single" w:color="auto"/>
          <w:color w:val="008000"/>
        </w:rPr>
        <w:t>this Agreement and any other Loan Document).</w:t>
      </w:r>
    </w:p>
    <w:p>
      <w:pPr>
        <w:spacing w:after="0" w:line="27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Adjusted EBITDA</w:t>
      </w:r>
      <w:r>
        <w:rPr>
          <w:rFonts w:ascii="Arial" w:cs="Arial" w:eastAsia="Arial" w:hAnsi="Arial"/>
          <w:sz w:val="17"/>
          <w:szCs w:val="17"/>
          <w:color w:val="auto"/>
        </w:rPr>
        <w:t>” means, with respect to any Person on a consolidated basis for any period, the sum of:</w:t>
      </w:r>
    </w:p>
    <w:p>
      <w:pPr>
        <w:spacing w:after="0" w:line="223" w:lineRule="exact"/>
        <w:rPr>
          <w:sz w:val="20"/>
          <w:szCs w:val="20"/>
          <w:color w:val="auto"/>
        </w:rPr>
      </w:pPr>
    </w:p>
    <w:p>
      <w:pPr>
        <w:ind w:left="2340" w:hanging="748"/>
        <w:spacing w:after="0"/>
        <w:tabs>
          <w:tab w:leader="none" w:pos="2340"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Consolidated Net Income for such period; </w:t>
      </w:r>
      <w:r>
        <w:rPr>
          <w:rFonts w:ascii="Arial" w:cs="Arial" w:eastAsia="Arial" w:hAnsi="Arial"/>
          <w:sz w:val="19"/>
          <w:szCs w:val="19"/>
          <w:u w:val="single" w:color="auto"/>
          <w:color w:val="auto"/>
        </w:rPr>
        <w:t>plus</w:t>
      </w:r>
    </w:p>
    <w:p>
      <w:pPr>
        <w:spacing w:after="0" w:line="294" w:lineRule="exact"/>
        <w:rPr>
          <w:rFonts w:ascii="Arial" w:cs="Arial" w:eastAsia="Arial" w:hAnsi="Arial"/>
          <w:sz w:val="19"/>
          <w:szCs w:val="19"/>
          <w:color w:val="auto"/>
        </w:rPr>
      </w:pPr>
    </w:p>
    <w:p>
      <w:pPr>
        <w:jc w:val="both"/>
        <w:ind w:left="840" w:right="59" w:firstLine="751"/>
        <w:spacing w:after="0" w:line="249" w:lineRule="auto"/>
        <w:tabs>
          <w:tab w:leader="none" w:pos="2209"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to the extent not otherwise included in the determination of Consolidated Net Income for such period, the amount of any proceeds of any business interruption insurance policy (whether or not then received so long as such Person in good faith expects to receive such proceeds); </w:t>
      </w:r>
      <w:r>
        <w:rPr>
          <w:rFonts w:ascii="Arial" w:cs="Arial" w:eastAsia="Arial" w:hAnsi="Arial"/>
          <w:sz w:val="19"/>
          <w:szCs w:val="19"/>
          <w:u w:val="single" w:color="auto"/>
          <w:color w:val="auto"/>
        </w:rPr>
        <w:t>plus</w:t>
      </w:r>
    </w:p>
    <w:p>
      <w:pPr>
        <w:spacing w:after="0" w:line="264" w:lineRule="exact"/>
        <w:rPr>
          <w:rFonts w:ascii="Arial" w:cs="Arial" w:eastAsia="Arial" w:hAnsi="Arial"/>
          <w:sz w:val="19"/>
          <w:szCs w:val="19"/>
          <w:color w:val="auto"/>
        </w:rPr>
      </w:pPr>
    </w:p>
    <w:p>
      <w:pPr>
        <w:ind w:left="840" w:right="279" w:firstLine="751"/>
        <w:spacing w:after="0" w:line="276" w:lineRule="auto"/>
        <w:tabs>
          <w:tab w:leader="none" w:pos="2209" w:val="left"/>
        </w:tabs>
        <w:numPr>
          <w:ilvl w:val="0"/>
          <w:numId w:val="46"/>
        </w:numPr>
        <w:rPr>
          <w:rFonts w:ascii="Arial" w:cs="Arial" w:eastAsia="Arial" w:hAnsi="Arial"/>
          <w:sz w:val="19"/>
          <w:szCs w:val="19"/>
          <w:color w:val="auto"/>
        </w:rPr>
      </w:pPr>
      <w:r>
        <w:rPr>
          <w:rFonts w:ascii="Arial" w:cs="Arial" w:eastAsia="Arial" w:hAnsi="Arial"/>
          <w:sz w:val="19"/>
          <w:szCs w:val="19"/>
          <w:color w:val="auto"/>
        </w:rPr>
        <w:t>without duplication, those amounts which, in the determination of Consolidated Net Income for such period, have been deducted for:</w:t>
      </w:r>
    </w:p>
    <w:p>
      <w:pPr>
        <w:spacing w:after="0" w:line="158" w:lineRule="exact"/>
        <w:rPr>
          <w:rFonts w:ascii="Arial" w:cs="Arial" w:eastAsia="Arial" w:hAnsi="Arial"/>
          <w:sz w:val="19"/>
          <w:szCs w:val="19"/>
          <w:color w:val="auto"/>
        </w:rPr>
      </w:pPr>
    </w:p>
    <w:p>
      <w:pPr>
        <w:ind w:left="3100" w:hanging="760"/>
        <w:spacing w:after="0"/>
        <w:tabs>
          <w:tab w:leader="none" w:pos="3100" w:val="left"/>
        </w:tabs>
        <w:numPr>
          <w:ilvl w:val="1"/>
          <w:numId w:val="46"/>
        </w:numPr>
        <w:rPr>
          <w:rFonts w:ascii="Arial" w:cs="Arial" w:eastAsia="Arial" w:hAnsi="Arial"/>
          <w:sz w:val="19"/>
          <w:szCs w:val="19"/>
          <w:color w:val="auto"/>
        </w:rPr>
      </w:pPr>
      <w:r>
        <w:rPr>
          <w:rFonts w:ascii="Arial" w:cs="Arial" w:eastAsia="Arial" w:hAnsi="Arial"/>
          <w:sz w:val="19"/>
          <w:szCs w:val="19"/>
          <w:color w:val="auto"/>
        </w:rPr>
        <w:t xml:space="preserve">Consolidated Interest Expense; </w:t>
      </w:r>
      <w:r>
        <w:rPr>
          <w:rFonts w:ascii="Arial" w:cs="Arial" w:eastAsia="Arial" w:hAnsi="Arial"/>
          <w:sz w:val="19"/>
          <w:szCs w:val="19"/>
          <w:u w:val="single" w:color="auto"/>
          <w:color w:val="auto"/>
        </w:rPr>
        <w:t>plus</w:t>
      </w:r>
    </w:p>
    <w:p>
      <w:pPr>
        <w:spacing w:after="0" w:line="294" w:lineRule="exact"/>
        <w:rPr>
          <w:rFonts w:ascii="Arial" w:cs="Arial" w:eastAsia="Arial" w:hAnsi="Arial"/>
          <w:sz w:val="19"/>
          <w:szCs w:val="19"/>
          <w:color w:val="auto"/>
        </w:rPr>
      </w:pPr>
    </w:p>
    <w:p>
      <w:pPr>
        <w:ind w:left="1600" w:right="179" w:firstLine="741"/>
        <w:spacing w:after="0" w:line="261" w:lineRule="auto"/>
        <w:tabs>
          <w:tab w:leader="none" w:pos="3063" w:val="left"/>
        </w:tabs>
        <w:numPr>
          <w:ilvl w:val="1"/>
          <w:numId w:val="46"/>
        </w:numPr>
        <w:rPr>
          <w:rFonts w:ascii="Arial" w:cs="Arial" w:eastAsia="Arial" w:hAnsi="Arial"/>
          <w:sz w:val="19"/>
          <w:szCs w:val="19"/>
          <w:color w:val="auto"/>
        </w:rPr>
      </w:pPr>
      <w:r>
        <w:rPr>
          <w:rFonts w:ascii="Arial" w:cs="Arial" w:eastAsia="Arial" w:hAnsi="Arial"/>
          <w:sz w:val="19"/>
          <w:szCs w:val="19"/>
          <w:color w:val="auto"/>
        </w:rPr>
        <w:t xml:space="preserve">losses or discounts on sales or other payments of Receivables Facility Assets in connection with any Receivables Facility or similar arrangement; </w:t>
      </w:r>
      <w:r>
        <w:rPr>
          <w:rFonts w:ascii="Arial" w:cs="Arial" w:eastAsia="Arial" w:hAnsi="Arial"/>
          <w:sz w:val="19"/>
          <w:szCs w:val="19"/>
          <w:u w:val="single" w:color="auto"/>
          <w:color w:val="auto"/>
        </w:rPr>
        <w:t>plus</w:t>
      </w:r>
    </w:p>
    <w:p>
      <w:pPr>
        <w:spacing w:after="0" w:line="253" w:lineRule="exact"/>
        <w:rPr>
          <w:rFonts w:ascii="Arial" w:cs="Arial" w:eastAsia="Arial" w:hAnsi="Arial"/>
          <w:sz w:val="19"/>
          <w:szCs w:val="19"/>
          <w:color w:val="auto"/>
        </w:rPr>
      </w:pPr>
    </w:p>
    <w:p>
      <w:pPr>
        <w:jc w:val="both"/>
        <w:ind w:left="1600" w:right="59" w:firstLine="741"/>
        <w:spacing w:after="0" w:line="260" w:lineRule="auto"/>
        <w:tabs>
          <w:tab w:leader="none" w:pos="3063"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Taxes paid and any provision for Taxes, including income, capital, federal, provincial, state, franchise, excise, value added and similar Taxes, property Taxes, foreign withholding Taxes and foreign unreimbursed value added Taxes (including penalties and interest related to any such Tax or arising from any Tax examination, and including pursuant to any Tax sharing arrangement or as a result of any intercompany distribution) of such Person paid or accrued during such period; </w:t>
      </w:r>
      <w:r>
        <w:rPr>
          <w:rFonts w:ascii="Arial" w:cs="Arial" w:eastAsia="Arial" w:hAnsi="Arial"/>
          <w:sz w:val="18"/>
          <w:szCs w:val="18"/>
          <w:u w:val="single" w:color="auto"/>
          <w:color w:val="auto"/>
        </w:rPr>
        <w:t>plus</w:t>
      </w:r>
    </w:p>
    <w:p>
      <w:pPr>
        <w:spacing w:after="0" w:line="269" w:lineRule="exact"/>
        <w:rPr>
          <w:rFonts w:ascii="Arial" w:cs="Arial" w:eastAsia="Arial" w:hAnsi="Arial"/>
          <w:sz w:val="18"/>
          <w:szCs w:val="18"/>
          <w:color w:val="auto"/>
        </w:rPr>
      </w:pPr>
    </w:p>
    <w:p>
      <w:pPr>
        <w:jc w:val="both"/>
        <w:ind w:left="1600" w:right="59" w:firstLine="741"/>
        <w:spacing w:after="0" w:line="245" w:lineRule="auto"/>
        <w:tabs>
          <w:tab w:leader="none" w:pos="3063" w:val="left"/>
        </w:tabs>
        <w:numPr>
          <w:ilvl w:val="1"/>
          <w:numId w:val="46"/>
        </w:numPr>
        <w:rPr>
          <w:rFonts w:ascii="Arial" w:cs="Arial" w:eastAsia="Arial" w:hAnsi="Arial"/>
          <w:sz w:val="19"/>
          <w:szCs w:val="19"/>
          <w:color w:val="auto"/>
        </w:rPr>
      </w:pPr>
      <w:r>
        <w:rPr>
          <w:rFonts w:ascii="Arial" w:cs="Arial" w:eastAsia="Arial" w:hAnsi="Arial"/>
          <w:sz w:val="19"/>
          <w:szCs w:val="19"/>
          <w:color w:val="auto"/>
        </w:rPr>
        <w:t>(A) all depreciation and amortization (including, without limitation, amortization of goodwill, software and other intangible assets), (B) all impairment Charges, including any bad debt expense, and (C) all asset write-offs and/or write-downs, including any amortization or write-off of (1) intangible assets and non-cash organization costs,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14</w:t>
      </w:r>
      <w:r>
        <w:rPr>
          <w:rFonts w:ascii="Arial" w:cs="Arial" w:eastAsia="Arial" w:hAnsi="Arial"/>
          <w:sz w:val="18"/>
          <w:szCs w:val="18"/>
          <w:u w:val="single" w:color="auto"/>
          <w:color w:val="0000FF"/>
          <w:strike w:val="1"/>
        </w:rPr>
        <w:t>14</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82" w:name="page83"/>
    <w:bookmarkEnd w:id="82"/>
    <w:p>
      <w:pPr>
        <w:jc w:val="both"/>
        <w:ind w:left="1600" w:right="19" w:hanging="7"/>
        <w:spacing w:after="0" w:line="270" w:lineRule="auto"/>
        <w:tabs>
          <w:tab w:leader="none" w:pos="1912"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deferred financing and debt issuance fees, costs and expenses, (3) capitalized expenditures (including capitalized software expenditures), customer acquisition costs and incentive payments, (4) media development costs, conversion costs and contract acquisition costs, (5) the amortization of original issue discount resulting from the issuance or incurrence of Indebtedness at less than par, (6) the amortization of favorable or unfavorable lease assets or liabilities and/or (7) capitalized fees relating to any Receivables Facility; </w:t>
      </w:r>
      <w:r>
        <w:rPr>
          <w:rFonts w:ascii="Arial" w:cs="Arial" w:eastAsia="Arial" w:hAnsi="Arial"/>
          <w:sz w:val="17"/>
          <w:szCs w:val="17"/>
          <w:u w:val="single" w:color="auto"/>
          <w:color w:val="auto"/>
        </w:rPr>
        <w:t>plus</w:t>
      </w:r>
    </w:p>
    <w:p>
      <w:pPr>
        <w:spacing w:after="0" w:line="236" w:lineRule="exact"/>
        <w:rPr>
          <w:rFonts w:ascii="Arial" w:cs="Arial" w:eastAsia="Arial" w:hAnsi="Arial"/>
          <w:sz w:val="17"/>
          <w:szCs w:val="17"/>
          <w:color w:val="auto"/>
        </w:rPr>
      </w:pPr>
    </w:p>
    <w:p>
      <w:pPr>
        <w:jc w:val="both"/>
        <w:ind w:left="1600" w:right="19" w:firstLine="741"/>
        <w:spacing w:after="0" w:line="245" w:lineRule="auto"/>
        <w:tabs>
          <w:tab w:leader="none" w:pos="3066" w:val="left"/>
        </w:tabs>
        <w:numPr>
          <w:ilvl w:val="1"/>
          <w:numId w:val="47"/>
        </w:numPr>
        <w:rPr>
          <w:rFonts w:ascii="Arial" w:cs="Arial" w:eastAsia="Arial" w:hAnsi="Arial"/>
          <w:sz w:val="19"/>
          <w:szCs w:val="19"/>
          <w:color w:val="auto"/>
        </w:rPr>
      </w:pPr>
      <w:r>
        <w:rPr>
          <w:rFonts w:ascii="Arial" w:cs="Arial" w:eastAsia="Arial" w:hAnsi="Arial"/>
          <w:sz w:val="19"/>
          <w:szCs w:val="19"/>
          <w:color w:val="auto"/>
        </w:rPr>
        <w:t xml:space="preserve">any earn-out and/or contingent consideration obligation (including those accounted for as bonuses, compensation or otherwise) and any adjustment thereof incurred in connection with the Transactions and/or any acquisition and/or other Investment (whether or not consummated) which is paid or accrued during such period and, in each case, adjustments thereof; </w:t>
      </w:r>
      <w:r>
        <w:rPr>
          <w:rFonts w:ascii="Arial" w:cs="Arial" w:eastAsia="Arial" w:hAnsi="Arial"/>
          <w:sz w:val="19"/>
          <w:szCs w:val="19"/>
          <w:u w:val="single" w:color="auto"/>
          <w:color w:val="auto"/>
        </w:rPr>
        <w:t>plus</w:t>
      </w:r>
    </w:p>
    <w:p>
      <w:pPr>
        <w:spacing w:after="0" w:line="268" w:lineRule="exact"/>
        <w:rPr>
          <w:rFonts w:ascii="Arial" w:cs="Arial" w:eastAsia="Arial" w:hAnsi="Arial"/>
          <w:sz w:val="19"/>
          <w:szCs w:val="19"/>
          <w:color w:val="auto"/>
        </w:rPr>
      </w:pPr>
    </w:p>
    <w:p>
      <w:pPr>
        <w:jc w:val="both"/>
        <w:ind w:left="1600" w:right="39" w:firstLine="741"/>
        <w:spacing w:after="0" w:line="279" w:lineRule="auto"/>
        <w:tabs>
          <w:tab w:leader="none" w:pos="3064" w:val="left"/>
        </w:tabs>
        <w:numPr>
          <w:ilvl w:val="1"/>
          <w:numId w:val="47"/>
        </w:numPr>
        <w:rPr>
          <w:rFonts w:ascii="Arial" w:cs="Arial" w:eastAsia="Arial" w:hAnsi="Arial"/>
          <w:sz w:val="17"/>
          <w:szCs w:val="17"/>
          <w:color w:val="auto"/>
        </w:rPr>
      </w:pPr>
      <w:r>
        <w:rPr>
          <w:rFonts w:ascii="Arial" w:cs="Arial" w:eastAsia="Arial" w:hAnsi="Arial"/>
          <w:sz w:val="17"/>
          <w:szCs w:val="17"/>
          <w:color w:val="auto"/>
        </w:rPr>
        <w:t>any non-cash Charge, including the excess of GAAP rent expense over actual cash rent paid during such period due to the use of straight line rent for GAAP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any such non-cash Charge represents an accrual or reserve for any potential cash item in any future period, (A) such Person may elect not to add back such non-cash Charge in the current period and (B) to the extent such Person elects to add back such non-cash Charge in the current period, the cash payment in respect thereof in such future period shall not be added back to Consolidated Adjusted EBITDA to such extent); </w:t>
      </w:r>
      <w:r>
        <w:rPr>
          <w:rFonts w:ascii="Arial" w:cs="Arial" w:eastAsia="Arial" w:hAnsi="Arial"/>
          <w:sz w:val="17"/>
          <w:szCs w:val="17"/>
          <w:u w:val="single" w:color="auto"/>
          <w:color w:val="auto"/>
        </w:rPr>
        <w:t>plus</w:t>
      </w:r>
    </w:p>
    <w:p>
      <w:pPr>
        <w:spacing w:after="0" w:line="243" w:lineRule="exact"/>
        <w:rPr>
          <w:rFonts w:ascii="Arial" w:cs="Arial" w:eastAsia="Arial" w:hAnsi="Arial"/>
          <w:sz w:val="17"/>
          <w:szCs w:val="17"/>
          <w:color w:val="auto"/>
        </w:rPr>
      </w:pPr>
    </w:p>
    <w:p>
      <w:pPr>
        <w:jc w:val="both"/>
        <w:ind w:left="1600" w:right="59" w:firstLine="741"/>
        <w:spacing w:after="0" w:line="283" w:lineRule="auto"/>
        <w:tabs>
          <w:tab w:leader="none" w:pos="3063" w:val="left"/>
        </w:tabs>
        <w:numPr>
          <w:ilvl w:val="1"/>
          <w:numId w:val="47"/>
        </w:numPr>
        <w:rPr>
          <w:rFonts w:ascii="Arial" w:cs="Arial" w:eastAsia="Arial" w:hAnsi="Arial"/>
          <w:sz w:val="17"/>
          <w:szCs w:val="17"/>
          <w:color w:val="auto"/>
        </w:rPr>
      </w:pPr>
      <w:r>
        <w:rPr>
          <w:rFonts w:ascii="Arial" w:cs="Arial" w:eastAsia="Arial" w:hAnsi="Arial"/>
          <w:sz w:val="17"/>
          <w:szCs w:val="17"/>
          <w:color w:val="auto"/>
        </w:rPr>
        <w:t xml:space="preserve">any non-cash compensation Charge and/or any other non-cash Charge arising from the granting of any stock option or similar arrangement (including any profits interest), the granting of any stock appreciation right and/or similar arrangement (including any repricing, amendment, modification, substitution or change of any such stock option, stock appreciation right, profits interest or similar arrangement); </w:t>
      </w:r>
      <w:r>
        <w:rPr>
          <w:rFonts w:ascii="Arial" w:cs="Arial" w:eastAsia="Arial" w:hAnsi="Arial"/>
          <w:sz w:val="17"/>
          <w:szCs w:val="17"/>
          <w:u w:val="single" w:color="auto"/>
          <w:color w:val="auto"/>
        </w:rPr>
        <w:t>plus</w:t>
      </w:r>
    </w:p>
    <w:p>
      <w:pPr>
        <w:spacing w:after="0" w:line="252" w:lineRule="exact"/>
        <w:rPr>
          <w:rFonts w:ascii="Arial" w:cs="Arial" w:eastAsia="Arial" w:hAnsi="Arial"/>
          <w:sz w:val="17"/>
          <w:szCs w:val="17"/>
          <w:color w:val="auto"/>
        </w:rPr>
      </w:pPr>
    </w:p>
    <w:p>
      <w:pPr>
        <w:jc w:val="both"/>
        <w:ind w:left="1600" w:right="19" w:firstLine="741"/>
        <w:spacing w:after="0" w:line="253" w:lineRule="auto"/>
        <w:tabs>
          <w:tab w:leader="none" w:pos="3066"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Transaction Costs, (B) any Charge incurred in connection with any transaction (in each case, whether or not consummated and whether or not permitted under this Agreement), including (1) any issuance and/or incurrence of Indebtedness (including any Charge that would constitute a Public Company Cost), any Receivables Facility (including commissions, discounts, yield, interest expense and similar fees and charges relating thereto) and/or any issuance and/or offering of Capital Stock (including, in each case, by any Parent Company), any acquisition or other Investment, any Disposition, any recapitalization, any merger, consolidation or amalgamation, any option buyout or any repayment, redemption, refinancing, amendment or modification of Indebtedness (including any amortization or write-off of debt issuance or deferred financing costs, premiums and prepayment penalties) or any similar transaction, (2) in connection with the IPO, including any Charge that would constitute a Public Company Cost and/or (3) equipment leases and/or equipment financings,</w:t>
      </w:r>
    </w:p>
    <w:p>
      <w:pPr>
        <w:jc w:val="both"/>
        <w:ind w:left="1600" w:right="39"/>
        <w:spacing w:after="0" w:line="262" w:lineRule="auto"/>
        <w:rPr>
          <w:rFonts w:ascii="Arial" w:cs="Arial" w:eastAsia="Arial" w:hAnsi="Arial"/>
          <w:sz w:val="18"/>
          <w:szCs w:val="18"/>
          <w:color w:val="auto"/>
        </w:rPr>
      </w:pPr>
      <w:r>
        <w:rPr>
          <w:rFonts w:ascii="Arial" w:cs="Arial" w:eastAsia="Arial" w:hAnsi="Arial"/>
          <w:sz w:val="17"/>
          <w:szCs w:val="17"/>
          <w:color w:val="auto"/>
        </w:rPr>
        <w:t xml:space="preserve">(C) the amount of any Charge that is actually reimbursed or reimbursable by any third party pursuant to any indemnification or reimbursement provision or similar agreement (including any purchase price adjustment) or insurance;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respect of any Charge that is added back in reliance on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the relevant Person in good faith expects to receive reimbursement for such Charge and/or (D) Public Company Costs; </w:t>
      </w:r>
      <w:r>
        <w:rPr>
          <w:rFonts w:ascii="Arial" w:cs="Arial" w:eastAsia="Arial" w:hAnsi="Arial"/>
          <w:sz w:val="17"/>
          <w:szCs w:val="17"/>
          <w:u w:val="single" w:color="auto"/>
          <w:color w:val="auto"/>
        </w:rPr>
        <w:t>plus</w:t>
      </w:r>
    </w:p>
    <w:p>
      <w:pPr>
        <w:spacing w:after="0" w:line="256" w:lineRule="exact"/>
        <w:rPr>
          <w:rFonts w:ascii="Arial" w:cs="Arial" w:eastAsia="Arial" w:hAnsi="Arial"/>
          <w:sz w:val="18"/>
          <w:szCs w:val="18"/>
          <w:color w:val="auto"/>
        </w:rPr>
      </w:pPr>
    </w:p>
    <w:p>
      <w:pPr>
        <w:ind w:left="1600" w:right="59" w:firstLine="741"/>
        <w:spacing w:after="0" w:line="261" w:lineRule="auto"/>
        <w:tabs>
          <w:tab w:leader="none" w:pos="3063" w:val="left"/>
        </w:tabs>
        <w:numPr>
          <w:ilvl w:val="1"/>
          <w:numId w:val="47"/>
        </w:numPr>
        <w:rPr>
          <w:rFonts w:ascii="Arial" w:cs="Arial" w:eastAsia="Arial" w:hAnsi="Arial"/>
          <w:sz w:val="19"/>
          <w:szCs w:val="19"/>
          <w:color w:val="auto"/>
        </w:rPr>
      </w:pPr>
      <w:r>
        <w:rPr>
          <w:rFonts w:ascii="Arial" w:cs="Arial" w:eastAsia="Arial" w:hAnsi="Arial"/>
          <w:sz w:val="19"/>
          <w:szCs w:val="19"/>
          <w:color w:val="auto"/>
        </w:rPr>
        <w:t xml:space="preserve">any Charge or deduction that is associated with any Restricted Subsidiary and attributable to any non-controlling interest and/or minority interest of any third party; </w:t>
      </w:r>
      <w:r>
        <w:rPr>
          <w:rFonts w:ascii="Arial" w:cs="Arial" w:eastAsia="Arial" w:hAnsi="Arial"/>
          <w:sz w:val="19"/>
          <w:szCs w:val="19"/>
          <w:u w:val="single" w:color="auto"/>
          <w:color w:val="auto"/>
        </w:rPr>
        <w:t>plus</w:t>
      </w:r>
    </w:p>
    <w:p>
      <w:pPr>
        <w:spacing w:after="0" w:line="253" w:lineRule="exact"/>
        <w:rPr>
          <w:rFonts w:ascii="Arial" w:cs="Arial" w:eastAsia="Arial" w:hAnsi="Arial"/>
          <w:sz w:val="19"/>
          <w:szCs w:val="19"/>
          <w:color w:val="auto"/>
        </w:rPr>
      </w:pPr>
    </w:p>
    <w:p>
      <w:pPr>
        <w:jc w:val="both"/>
        <w:ind w:left="1600" w:right="59" w:firstLine="741"/>
        <w:spacing w:after="0" w:line="249" w:lineRule="auto"/>
        <w:tabs>
          <w:tab w:leader="none" w:pos="3063" w:val="left"/>
        </w:tabs>
        <w:numPr>
          <w:ilvl w:val="1"/>
          <w:numId w:val="47"/>
        </w:numPr>
        <w:rPr>
          <w:rFonts w:ascii="Arial" w:cs="Arial" w:eastAsia="Arial" w:hAnsi="Arial"/>
          <w:sz w:val="19"/>
          <w:szCs w:val="19"/>
          <w:color w:val="auto"/>
        </w:rPr>
      </w:pPr>
      <w:r>
        <w:rPr>
          <w:rFonts w:ascii="Arial" w:cs="Arial" w:eastAsia="Arial" w:hAnsi="Arial"/>
          <w:sz w:val="19"/>
          <w:szCs w:val="19"/>
          <w:color w:val="auto"/>
        </w:rPr>
        <w:t xml:space="preserve">without duplication of any amount referred to in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the amount of (A) any Charge to the extent that a corresponding amount is received in cash by such Person from a Person other than such Person or any Restricted Subsidiary of such</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15</w:t>
      </w:r>
      <w:r>
        <w:rPr>
          <w:rFonts w:ascii="Arial" w:cs="Arial" w:eastAsia="Arial" w:hAnsi="Arial"/>
          <w:sz w:val="18"/>
          <w:szCs w:val="18"/>
          <w:u w:val="single" w:color="auto"/>
          <w:color w:val="0000FF"/>
          <w:strike w:val="1"/>
        </w:rPr>
        <w:t>15</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83" w:name="page84"/>
    <w:bookmarkEnd w:id="83"/>
    <w:p>
      <w:pPr>
        <w:jc w:val="both"/>
        <w:ind w:left="1600" w:right="59"/>
        <w:spacing w:after="0" w:line="263" w:lineRule="auto"/>
        <w:rPr>
          <w:sz w:val="20"/>
          <w:szCs w:val="20"/>
          <w:color w:val="auto"/>
        </w:rPr>
      </w:pPr>
      <w:r>
        <w:rPr>
          <w:rFonts w:ascii="Arial" w:cs="Arial" w:eastAsia="Arial" w:hAnsi="Arial"/>
          <w:sz w:val="17"/>
          <w:szCs w:val="17"/>
          <w:color w:val="auto"/>
        </w:rPr>
        <w:t xml:space="preserve">Person under any agreement providing for reimbursement of such Charge or (B) any Charge with respect to any liability or casualty event, business interruption or any product recall, (i) so long as such Person has submitted in good faith, and reasonably expects to receive payment in connection with, a claim for reimbursement of such amounts under its relevant insurance policy or (ii) without duplication of any amount included in a prior period under </w:t>
      </w:r>
      <w:r>
        <w:rPr>
          <w:rFonts w:ascii="Arial" w:cs="Arial" w:eastAsia="Arial" w:hAnsi="Arial"/>
          <w:sz w:val="17"/>
          <w:szCs w:val="17"/>
          <w:u w:val="single" w:color="auto"/>
          <w:color w:val="auto"/>
        </w:rPr>
        <w:t>clause (B)(i)</w:t>
      </w:r>
      <w:r>
        <w:rPr>
          <w:rFonts w:ascii="Arial" w:cs="Arial" w:eastAsia="Arial" w:hAnsi="Arial"/>
          <w:sz w:val="17"/>
          <w:szCs w:val="17"/>
          <w:color w:val="auto"/>
        </w:rPr>
        <w:t xml:space="preserve"> above, to the extent such Charge is covered by insurance proceeds received in cash during such period (it being understood that if the amount received in cash under any such agreement in any period exceeds the amount of any Charge paid during such period such excess amounts received may be carried forward and applied against any Charge in any future period); </w:t>
      </w:r>
      <w:r>
        <w:rPr>
          <w:rFonts w:ascii="Arial" w:cs="Arial" w:eastAsia="Arial" w:hAnsi="Arial"/>
          <w:sz w:val="17"/>
          <w:szCs w:val="17"/>
          <w:u w:val="single" w:color="auto"/>
          <w:color w:val="auto"/>
        </w:rPr>
        <w:t>plus</w:t>
      </w:r>
    </w:p>
    <w:p>
      <w:pPr>
        <w:spacing w:after="0" w:line="244" w:lineRule="exact"/>
        <w:rPr>
          <w:sz w:val="20"/>
          <w:szCs w:val="20"/>
          <w:color w:val="auto"/>
        </w:rPr>
      </w:pPr>
    </w:p>
    <w:p>
      <w:pPr>
        <w:jc w:val="both"/>
        <w:ind w:left="1600" w:right="19" w:firstLine="741"/>
        <w:spacing w:after="0" w:line="255" w:lineRule="auto"/>
        <w:tabs>
          <w:tab w:leader="none" w:pos="3065"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(A) the amount of management, monitoring, consulting, transaction and advisory fees and related indemnities and/or expenses (including reimbursements) pursuant to any sponsor management agreement (including prior to the Closing Date) and any payment made to any Investor (and/or its Affiliates or management companies) for any financial advisory, financing, underwriting or placement services or in respect of other investment banking activities and/or payments to outside directors of the Borrower, Holdings or any other Parent Company actually paid by or on behalf of, or accrued by, such Person or any of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such payment is permitted under this Agreement and (B) to the extent the relevant payment is permitted hereunder, the amount of any payment to any holder of any option in respect of the Capital Stock of the Borrower, Holdings and/or any other Parent Company in lieu of a Restricted Payment, which payment is made to compensate such optionholder as if it was an equity holder at the time of the relevant Restricted Payment; </w:t>
      </w:r>
      <w:r>
        <w:rPr>
          <w:rFonts w:ascii="Arial" w:cs="Arial" w:eastAsia="Arial" w:hAnsi="Arial"/>
          <w:sz w:val="18"/>
          <w:szCs w:val="18"/>
          <w:u w:val="single" w:color="auto"/>
          <w:color w:val="auto"/>
        </w:rPr>
        <w:t>plus</w:t>
      </w:r>
    </w:p>
    <w:p>
      <w:pPr>
        <w:spacing w:after="0" w:line="267" w:lineRule="exact"/>
        <w:rPr>
          <w:rFonts w:ascii="Arial" w:cs="Arial" w:eastAsia="Arial" w:hAnsi="Arial"/>
          <w:sz w:val="18"/>
          <w:szCs w:val="18"/>
          <w:color w:val="auto"/>
        </w:rPr>
      </w:pPr>
    </w:p>
    <w:p>
      <w:pPr>
        <w:jc w:val="both"/>
        <w:ind w:left="1600" w:right="19" w:firstLine="741"/>
        <w:spacing w:after="0" w:line="270" w:lineRule="auto"/>
        <w:tabs>
          <w:tab w:leader="none" w:pos="3066"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any Charge attributable to the undertaking and/or implementation of new initiatives, business optimization activities, cost savings initiatives, cost rationalization programs, operating improvements and/or expense reductions and/or synergies and/or similar initiatives and/or programs (including, in connection with any integration, operational improvement, restructuring or transition, any reconstruction, decommissioning, recommissioning or reconfiguration of fixed assets for alternative uses), any inventory optimization program and/or any curtailment, any business optimization Charge, any Charge relating to the destruction of equipment, any restructuring Charge and/or integration Charge (including any Charge relating to any tax restructuring), any Charge relating to the closure or consolidation of any facility (including but not limited to rent termination costs, moving costs and legal costs), any severance Charge, any Charge relating to any non-ordinary course retention or completion bonus, any Charge associated with any modification to any pension and post-retirement employee benefit plan, any Charge in connection with unused warehouse space, any non-software Charge relating to a new contract, any non-software consulting Charge, any Charge in connection with any exit from, wind down or termination of any line of business and/or any Charge related to any customer dispute, in each case, other than any such Charge incurred in the ordinary course of business of the Borrower and its Restricted Subsidiaries (as determined by the Borrower in good faith); </w:t>
      </w:r>
      <w:r>
        <w:rPr>
          <w:rFonts w:ascii="Arial" w:cs="Arial" w:eastAsia="Arial" w:hAnsi="Arial"/>
          <w:sz w:val="17"/>
          <w:szCs w:val="17"/>
          <w:u w:val="single" w:color="auto"/>
          <w:color w:val="auto"/>
        </w:rPr>
        <w:t>plus</w:t>
      </w:r>
    </w:p>
    <w:p>
      <w:pPr>
        <w:spacing w:after="0" w:line="251" w:lineRule="exact"/>
        <w:rPr>
          <w:rFonts w:ascii="Arial" w:cs="Arial" w:eastAsia="Arial" w:hAnsi="Arial"/>
          <w:sz w:val="17"/>
          <w:szCs w:val="17"/>
          <w:color w:val="auto"/>
        </w:rPr>
      </w:pPr>
    </w:p>
    <w:p>
      <w:pPr>
        <w:jc w:val="both"/>
        <w:ind w:left="1600" w:right="59" w:firstLine="741"/>
        <w:spacing w:after="0" w:line="245" w:lineRule="auto"/>
        <w:tabs>
          <w:tab w:leader="none" w:pos="3063"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any Charge incurred or accrued in connection with any single or one-time event, including in connection with (A) any acquisition or similar Investment consummated after the Closing Date, (B) the closing, consolidation, opening or reconfiguration of any facility during such period, (C) any restructuring Charge, (D) one-time consulting costs or expenses, (E) any non-ordinary course litigation or other legal matter (including actual or prospective legal settlements, fines judgments or orders) and/or (F) Charges arising from non-ordinary course insurance claims and settlements; </w:t>
      </w:r>
      <w:r>
        <w:rPr>
          <w:rFonts w:ascii="Arial" w:cs="Arial" w:eastAsia="Arial" w:hAnsi="Arial"/>
          <w:sz w:val="19"/>
          <w:szCs w:val="19"/>
          <w:u w:val="single" w:color="auto"/>
          <w:color w:val="auto"/>
        </w:rPr>
        <w:t>plus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16</w:t>
      </w:r>
      <w:r>
        <w:rPr>
          <w:rFonts w:ascii="Arial" w:cs="Arial" w:eastAsia="Arial" w:hAnsi="Arial"/>
          <w:sz w:val="18"/>
          <w:szCs w:val="18"/>
          <w:u w:val="single" w:color="auto"/>
          <w:color w:val="0000FF"/>
          <w:strike w:val="1"/>
        </w:rPr>
        <w:t>16</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84" w:name="page85"/>
    <w:bookmarkEnd w:id="84"/>
    <w:p>
      <w:pPr>
        <w:ind w:left="3100" w:hanging="760"/>
        <w:spacing w:after="0"/>
        <w:tabs>
          <w:tab w:leader="none" w:pos="3100" w:val="left"/>
        </w:tabs>
        <w:numPr>
          <w:ilvl w:val="2"/>
          <w:numId w:val="49"/>
        </w:numPr>
        <w:rPr>
          <w:rFonts w:ascii="Arial" w:cs="Arial" w:eastAsia="Arial" w:hAnsi="Arial"/>
          <w:sz w:val="19"/>
          <w:szCs w:val="19"/>
          <w:color w:val="auto"/>
        </w:rPr>
      </w:pPr>
      <w:r>
        <w:rPr>
          <w:rFonts w:ascii="Arial" w:cs="Arial" w:eastAsia="Arial" w:hAnsi="Arial"/>
          <w:sz w:val="19"/>
          <w:szCs w:val="19"/>
          <w:color w:val="auto"/>
        </w:rPr>
        <w:t xml:space="preserve">[reserved]; </w:t>
      </w:r>
      <w:r>
        <w:rPr>
          <w:rFonts w:ascii="Arial" w:cs="Arial" w:eastAsia="Arial" w:hAnsi="Arial"/>
          <w:sz w:val="19"/>
          <w:szCs w:val="19"/>
          <w:u w:val="single" w:color="auto"/>
          <w:color w:val="auto"/>
        </w:rPr>
        <w:t>plus</w:t>
      </w:r>
    </w:p>
    <w:p>
      <w:pPr>
        <w:spacing w:after="0" w:line="308" w:lineRule="exact"/>
        <w:rPr>
          <w:rFonts w:ascii="Arial" w:cs="Arial" w:eastAsia="Arial" w:hAnsi="Arial"/>
          <w:sz w:val="19"/>
          <w:szCs w:val="19"/>
          <w:color w:val="auto"/>
        </w:rPr>
      </w:pPr>
    </w:p>
    <w:p>
      <w:pPr>
        <w:ind w:left="3100" w:hanging="760"/>
        <w:spacing w:after="0"/>
        <w:tabs>
          <w:tab w:leader="none" w:pos="3100" w:val="left"/>
        </w:tabs>
        <w:numPr>
          <w:ilvl w:val="2"/>
          <w:numId w:val="49"/>
        </w:numPr>
        <w:rPr>
          <w:rFonts w:ascii="Arial" w:cs="Arial" w:eastAsia="Arial" w:hAnsi="Arial"/>
          <w:sz w:val="19"/>
          <w:szCs w:val="19"/>
          <w:color w:val="auto"/>
        </w:rPr>
      </w:pPr>
      <w:r>
        <w:rPr>
          <w:rFonts w:ascii="Arial" w:cs="Arial" w:eastAsia="Arial" w:hAnsi="Arial"/>
          <w:sz w:val="19"/>
          <w:szCs w:val="19"/>
          <w:color w:val="auto"/>
        </w:rPr>
        <w:t xml:space="preserve">[reserved]; </w:t>
      </w:r>
      <w:r>
        <w:rPr>
          <w:rFonts w:ascii="Arial" w:cs="Arial" w:eastAsia="Arial" w:hAnsi="Arial"/>
          <w:sz w:val="19"/>
          <w:szCs w:val="19"/>
          <w:u w:val="single" w:color="auto"/>
          <w:color w:val="auto"/>
        </w:rPr>
        <w:t>plus</w:t>
      </w:r>
    </w:p>
    <w:p>
      <w:pPr>
        <w:spacing w:after="0" w:line="294" w:lineRule="exact"/>
        <w:rPr>
          <w:rFonts w:ascii="Arial" w:cs="Arial" w:eastAsia="Arial" w:hAnsi="Arial"/>
          <w:sz w:val="19"/>
          <w:szCs w:val="19"/>
          <w:color w:val="auto"/>
        </w:rPr>
      </w:pPr>
    </w:p>
    <w:p>
      <w:pPr>
        <w:jc w:val="both"/>
        <w:ind w:left="1600" w:right="59" w:firstLine="741"/>
        <w:spacing w:after="0" w:line="258" w:lineRule="auto"/>
        <w:tabs>
          <w:tab w:leader="none" w:pos="3063" w:val="left"/>
        </w:tabs>
        <w:numPr>
          <w:ilvl w:val="2"/>
          <w:numId w:val="49"/>
        </w:numPr>
        <w:rPr>
          <w:rFonts w:ascii="Arial" w:cs="Arial" w:eastAsia="Arial" w:hAnsi="Arial"/>
          <w:sz w:val="18"/>
          <w:szCs w:val="18"/>
          <w:color w:val="auto"/>
        </w:rPr>
      </w:pPr>
      <w:r>
        <w:rPr>
          <w:rFonts w:ascii="Arial" w:cs="Arial" w:eastAsia="Arial" w:hAnsi="Arial"/>
          <w:sz w:val="18"/>
          <w:szCs w:val="18"/>
          <w:color w:val="auto"/>
        </w:rPr>
        <w:t xml:space="preserve">any add-back, adjustment and/or exclusion reflected in (A) the Financial Model and/or (B) subject to the cap described in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below with respect to Run Rate Synergies, any quality of earnings report prepared by any independent registered public accountant of recognized national standing or any other accounting firm reasonably acceptable to the Administrative Agent (a “</w:t>
      </w:r>
      <w:r>
        <w:rPr>
          <w:rFonts w:ascii="Arial" w:cs="Arial" w:eastAsia="Arial" w:hAnsi="Arial"/>
          <w:sz w:val="18"/>
          <w:szCs w:val="18"/>
          <w:u w:val="single" w:color="auto"/>
          <w:color w:val="auto"/>
        </w:rPr>
        <w:t>Quality of Earnings Report</w:t>
      </w:r>
      <w:r>
        <w:rPr>
          <w:rFonts w:ascii="Arial" w:cs="Arial" w:eastAsia="Arial" w:hAnsi="Arial"/>
          <w:sz w:val="18"/>
          <w:szCs w:val="18"/>
          <w:color w:val="auto"/>
        </w:rPr>
        <w:t xml:space="preserve">”), in each case, delivered to the Administrative Agent (including, for the avoidance of doubt, in connection with any acquisition or similar investment after the Closing Date); </w:t>
      </w:r>
      <w:r>
        <w:rPr>
          <w:rFonts w:ascii="Arial" w:cs="Arial" w:eastAsia="Arial" w:hAnsi="Arial"/>
          <w:sz w:val="18"/>
          <w:szCs w:val="18"/>
          <w:u w:val="single" w:color="auto"/>
          <w:color w:val="auto"/>
        </w:rPr>
        <w:t>plus</w:t>
      </w:r>
    </w:p>
    <w:p>
      <w:pPr>
        <w:spacing w:after="0" w:line="257" w:lineRule="exact"/>
        <w:rPr>
          <w:rFonts w:ascii="Arial" w:cs="Arial" w:eastAsia="Arial" w:hAnsi="Arial"/>
          <w:sz w:val="18"/>
          <w:szCs w:val="18"/>
          <w:color w:val="auto"/>
        </w:rPr>
      </w:pPr>
    </w:p>
    <w:p>
      <w:pPr>
        <w:jc w:val="both"/>
        <w:ind w:left="840" w:right="19" w:firstLine="752"/>
        <w:spacing w:after="0" w:line="250" w:lineRule="auto"/>
        <w:tabs>
          <w:tab w:leader="none" w:pos="2212" w:val="left"/>
        </w:tabs>
        <w:numPr>
          <w:ilvl w:val="1"/>
          <w:numId w:val="50"/>
        </w:numPr>
        <w:rPr>
          <w:rFonts w:ascii="Arial" w:cs="Arial" w:eastAsia="Arial" w:hAnsi="Arial"/>
          <w:sz w:val="19"/>
          <w:szCs w:val="19"/>
          <w:color w:val="auto"/>
        </w:rPr>
      </w:pPr>
      <w:r>
        <w:rPr>
          <w:rFonts w:ascii="Arial" w:cs="Arial" w:eastAsia="Arial" w:hAnsi="Arial"/>
          <w:sz w:val="19"/>
          <w:szCs w:val="19"/>
          <w:color w:val="auto"/>
        </w:rPr>
        <w:t xml:space="preserve">to the extent not included in Consolidated Net Income for such period, cash actually received (or any netting arrangement resulting in reduced cash expenditures) during such period in respect of any non-cash income or gain that was deducted in the calculation of Consolidated Adjusted EBITDA (including any component definition) pursuant to </w:t>
      </w:r>
      <w:r>
        <w:rPr>
          <w:rFonts w:ascii="Arial" w:cs="Arial" w:eastAsia="Arial" w:hAnsi="Arial"/>
          <w:sz w:val="19"/>
          <w:szCs w:val="19"/>
          <w:u w:val="single" w:color="auto"/>
          <w:color w:val="auto"/>
        </w:rPr>
        <w:t>clause (j)</w:t>
      </w:r>
      <w:r>
        <w:rPr>
          <w:rFonts w:ascii="Arial" w:cs="Arial" w:eastAsia="Arial" w:hAnsi="Arial"/>
          <w:sz w:val="19"/>
          <w:szCs w:val="19"/>
          <w:color w:val="auto"/>
        </w:rPr>
        <w:t xml:space="preserve"> below for any previous period and not added back; </w:t>
      </w:r>
      <w:r>
        <w:rPr>
          <w:rFonts w:ascii="Arial" w:cs="Arial" w:eastAsia="Arial" w:hAnsi="Arial"/>
          <w:sz w:val="19"/>
          <w:szCs w:val="19"/>
          <w:u w:val="single" w:color="auto"/>
          <w:color w:val="auto"/>
        </w:rPr>
        <w:t>plus</w:t>
      </w:r>
    </w:p>
    <w:p>
      <w:pPr>
        <w:spacing w:after="0" w:line="264" w:lineRule="exact"/>
        <w:rPr>
          <w:rFonts w:ascii="Arial" w:cs="Arial" w:eastAsia="Arial" w:hAnsi="Arial"/>
          <w:sz w:val="19"/>
          <w:szCs w:val="19"/>
          <w:color w:val="auto"/>
        </w:rPr>
      </w:pPr>
    </w:p>
    <w:p>
      <w:pPr>
        <w:ind w:left="840" w:right="19" w:firstLine="751"/>
        <w:spacing w:after="0" w:line="268" w:lineRule="auto"/>
        <w:tabs>
          <w:tab w:leader="none" w:pos="2212" w:val="left"/>
        </w:tabs>
        <w:numPr>
          <w:ilvl w:val="1"/>
          <w:numId w:val="50"/>
        </w:numPr>
        <w:rPr>
          <w:rFonts w:ascii="Arial" w:cs="Arial" w:eastAsia="Arial" w:hAnsi="Arial"/>
          <w:sz w:val="17"/>
          <w:szCs w:val="17"/>
          <w:color w:val="auto"/>
        </w:rPr>
      </w:pPr>
      <w:r>
        <w:rPr>
          <w:rFonts w:ascii="Arial" w:cs="Arial" w:eastAsia="Arial" w:hAnsi="Arial"/>
          <w:sz w:val="17"/>
          <w:szCs w:val="17"/>
          <w:color w:val="auto"/>
        </w:rPr>
        <w:t>the full pro forma “run rate” expected cost savings, operating expense reductions, operational improvements, business optimization, restructurings and/or cost synergies (collectively, “</w:t>
      </w:r>
      <w:r>
        <w:rPr>
          <w:rFonts w:ascii="Arial" w:cs="Arial" w:eastAsia="Arial" w:hAnsi="Arial"/>
          <w:sz w:val="17"/>
          <w:szCs w:val="17"/>
          <w:u w:val="single" w:color="auto"/>
          <w:color w:val="auto"/>
        </w:rPr>
        <w:t>Run-Rate Synergies</w:t>
      </w:r>
      <w:r>
        <w:rPr>
          <w:rFonts w:ascii="Arial" w:cs="Arial" w:eastAsia="Arial" w:hAnsi="Arial"/>
          <w:sz w:val="17"/>
          <w:szCs w:val="17"/>
          <w:color w:val="auto"/>
        </w:rPr>
        <w:t>”) (net of actual amounts realized) that are reasonably identifiable (in the good faith determination of such Person) related to (A) the Transactions, (B) any asset sale, merger or other business combination, Investment, Disposition, operating improvement, expense reduction, restructuring, cost savings initiative and/or any initiative similar to any of the foregoing and/or specified transaction (each, a “</w:t>
      </w:r>
      <w:r>
        <w:rPr>
          <w:rFonts w:ascii="Arial" w:cs="Arial" w:eastAsia="Arial" w:hAnsi="Arial"/>
          <w:sz w:val="17"/>
          <w:szCs w:val="17"/>
          <w:u w:val="single" w:color="auto"/>
          <w:color w:val="auto"/>
        </w:rPr>
        <w:t>Business Optimization Initiative</w:t>
      </w:r>
      <w:r>
        <w:rPr>
          <w:rFonts w:ascii="Arial" w:cs="Arial" w:eastAsia="Arial" w:hAnsi="Arial"/>
          <w:sz w:val="17"/>
          <w:szCs w:val="17"/>
          <w:color w:val="auto"/>
        </w:rPr>
        <w:t xml:space="preserve">”), in each case, consummated or implemented prior to or on the Closing Date and (C) any Business Optimization Initiative consummated or implemented after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this </w:t>
      </w:r>
      <w:r>
        <w:rPr>
          <w:rFonts w:ascii="Arial" w:cs="Arial" w:eastAsia="Arial" w:hAnsi="Arial"/>
          <w:sz w:val="17"/>
          <w:szCs w:val="17"/>
          <w:u w:val="single" w:color="auto"/>
          <w:color w:val="auto"/>
        </w:rPr>
        <w:t>clause (C)</w:t>
      </w:r>
      <w:r>
        <w:rPr>
          <w:rFonts w:ascii="Arial" w:cs="Arial" w:eastAsia="Arial" w:hAnsi="Arial"/>
          <w:sz w:val="17"/>
          <w:szCs w:val="17"/>
          <w:color w:val="auto"/>
        </w:rPr>
        <w:t>, the relevant Business Optimization Initiative resulting in (or substantial steps toward the relevant Business Optimization Initiative that would result in) such Run-Rate Synergies (x) must either be taken or expected to be taken within 18 months following the applicable date of determination and</w:t>
      </w:r>
    </w:p>
    <w:p>
      <w:pPr>
        <w:spacing w:after="0" w:line="6" w:lineRule="exact"/>
        <w:rPr>
          <w:rFonts w:ascii="Arial" w:cs="Arial" w:eastAsia="Arial" w:hAnsi="Arial"/>
          <w:sz w:val="17"/>
          <w:szCs w:val="17"/>
          <w:color w:val="auto"/>
        </w:rPr>
      </w:pPr>
    </w:p>
    <w:p>
      <w:pPr>
        <w:jc w:val="both"/>
        <w:ind w:left="840" w:right="39" w:firstLine="3"/>
        <w:spacing w:after="0" w:line="254" w:lineRule="auto"/>
        <w:tabs>
          <w:tab w:leader="none" w:pos="1088"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amounts added back in any four Fiscal Quarter period in reliance on (1)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and (2) with respect to any Run Rate Synergies included in any Quality of Earnings Report, </w:t>
      </w:r>
      <w:r>
        <w:rPr>
          <w:rFonts w:ascii="Arial" w:cs="Arial" w:eastAsia="Arial" w:hAnsi="Arial"/>
          <w:sz w:val="18"/>
          <w:szCs w:val="18"/>
          <w:u w:val="single" w:color="auto"/>
          <w:color w:val="auto"/>
        </w:rPr>
        <w:t>clause (c)(xvi)(B)</w:t>
      </w:r>
      <w:r>
        <w:rPr>
          <w:rFonts w:ascii="Arial" w:cs="Arial" w:eastAsia="Arial" w:hAnsi="Arial"/>
          <w:sz w:val="18"/>
          <w:szCs w:val="18"/>
          <w:color w:val="auto"/>
        </w:rPr>
        <w:t xml:space="preserve"> above, in each case, shall not exceed 25% of the Consolidated Adjusted EBITDA (calculated after giving full effect to the adjustments contemplated by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 (c)(xvi)(B)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such cap shall not apply to (x) any adjustment identified in the Financial Model (without regard to the amounts or time period therein), or (y) any amount relating to any pro forma adjustment consistent with Regulation S-X under the Securities Act; </w:t>
      </w:r>
      <w:r>
        <w:rPr>
          <w:rFonts w:ascii="Arial" w:cs="Arial" w:eastAsia="Arial" w:hAnsi="Arial"/>
          <w:sz w:val="18"/>
          <w:szCs w:val="18"/>
          <w:u w:val="single" w:color="auto"/>
          <w:color w:val="auto"/>
        </w:rPr>
        <w:t>plus</w:t>
      </w:r>
    </w:p>
    <w:p>
      <w:pPr>
        <w:spacing w:after="0" w:line="262" w:lineRule="exact"/>
        <w:rPr>
          <w:rFonts w:ascii="Arial" w:cs="Arial" w:eastAsia="Arial" w:hAnsi="Arial"/>
          <w:sz w:val="18"/>
          <w:szCs w:val="18"/>
          <w:color w:val="auto"/>
        </w:rPr>
      </w:pPr>
    </w:p>
    <w:p>
      <w:pPr>
        <w:jc w:val="both"/>
        <w:ind w:left="840" w:right="59" w:firstLine="752"/>
        <w:spacing w:after="0" w:line="250" w:lineRule="auto"/>
        <w:tabs>
          <w:tab w:leader="none" w:pos="2254" w:val="left"/>
        </w:tabs>
        <w:numPr>
          <w:ilvl w:val="1"/>
          <w:numId w:val="51"/>
        </w:numPr>
        <w:rPr>
          <w:rFonts w:ascii="Arial" w:cs="Arial" w:eastAsia="Arial" w:hAnsi="Arial"/>
          <w:sz w:val="19"/>
          <w:szCs w:val="19"/>
          <w:color w:val="auto"/>
        </w:rPr>
      </w:pPr>
      <w:r>
        <w:rPr>
          <w:rFonts w:ascii="Arial" w:cs="Arial" w:eastAsia="Arial" w:hAnsi="Arial"/>
          <w:sz w:val="19"/>
          <w:szCs w:val="19"/>
          <w:color w:val="auto"/>
        </w:rPr>
        <w:t xml:space="preserve">the full “run rate” impact of Consolidated Adjusted EBITDA attributable to the bookings of new contracts for the next four Fiscal Quarters after the end of the of the relevant Test Period (calculated on a Pro Forma Basis as though such adjustments had been realized on the first day of the applicable period (net of actual amounts realized)); </w:t>
      </w:r>
      <w:r>
        <w:rPr>
          <w:rFonts w:ascii="Arial" w:cs="Arial" w:eastAsia="Arial" w:hAnsi="Arial"/>
          <w:sz w:val="19"/>
          <w:szCs w:val="19"/>
          <w:u w:val="single" w:color="auto"/>
          <w:color w:val="auto"/>
        </w:rPr>
        <w:t>plus</w:t>
      </w:r>
    </w:p>
    <w:p>
      <w:pPr>
        <w:spacing w:after="0" w:line="264" w:lineRule="exact"/>
        <w:rPr>
          <w:rFonts w:ascii="Arial" w:cs="Arial" w:eastAsia="Arial" w:hAnsi="Arial"/>
          <w:sz w:val="19"/>
          <w:szCs w:val="19"/>
          <w:color w:val="auto"/>
        </w:rPr>
      </w:pPr>
    </w:p>
    <w:p>
      <w:pPr>
        <w:ind w:left="840" w:right="179" w:firstLine="752"/>
        <w:spacing w:after="0" w:line="261" w:lineRule="auto"/>
        <w:tabs>
          <w:tab w:leader="none" w:pos="2257" w:val="left"/>
        </w:tabs>
        <w:numPr>
          <w:ilvl w:val="1"/>
          <w:numId w:val="51"/>
        </w:numPr>
        <w:rPr>
          <w:rFonts w:ascii="Arial" w:cs="Arial" w:eastAsia="Arial" w:hAnsi="Arial"/>
          <w:sz w:val="19"/>
          <w:szCs w:val="19"/>
          <w:color w:val="auto"/>
        </w:rPr>
      </w:pPr>
      <w:r>
        <w:rPr>
          <w:rFonts w:ascii="Arial" w:cs="Arial" w:eastAsia="Arial" w:hAnsi="Arial"/>
          <w:sz w:val="19"/>
          <w:szCs w:val="19"/>
          <w:color w:val="auto"/>
        </w:rPr>
        <w:t xml:space="preserve">to the extent not otherwise included in calculating Consolidated Net Income for such period, any year over year increase in deferred revenue (if positive); </w:t>
      </w:r>
      <w:r>
        <w:rPr>
          <w:rFonts w:ascii="Arial" w:cs="Arial" w:eastAsia="Arial" w:hAnsi="Arial"/>
          <w:sz w:val="19"/>
          <w:szCs w:val="19"/>
          <w:u w:val="single" w:color="auto"/>
          <w:color w:val="auto"/>
        </w:rPr>
        <w:t>plus</w:t>
      </w:r>
    </w:p>
    <w:p>
      <w:pPr>
        <w:spacing w:after="0" w:line="253" w:lineRule="exact"/>
        <w:rPr>
          <w:rFonts w:ascii="Arial" w:cs="Arial" w:eastAsia="Arial" w:hAnsi="Arial"/>
          <w:sz w:val="19"/>
          <w:szCs w:val="19"/>
          <w:color w:val="auto"/>
        </w:rPr>
      </w:pPr>
    </w:p>
    <w:p>
      <w:pPr>
        <w:ind w:left="840" w:right="639" w:firstLine="751"/>
        <w:spacing w:after="0" w:line="261" w:lineRule="auto"/>
        <w:tabs>
          <w:tab w:leader="none" w:pos="2254" w:val="left"/>
        </w:tabs>
        <w:numPr>
          <w:ilvl w:val="1"/>
          <w:numId w:val="51"/>
        </w:numPr>
        <w:rPr>
          <w:rFonts w:ascii="Arial" w:cs="Arial" w:eastAsia="Arial" w:hAnsi="Arial"/>
          <w:sz w:val="19"/>
          <w:szCs w:val="19"/>
          <w:color w:val="auto"/>
        </w:rPr>
      </w:pPr>
      <w:r>
        <w:rPr>
          <w:rFonts w:ascii="Arial" w:cs="Arial" w:eastAsia="Arial" w:hAnsi="Arial"/>
          <w:sz w:val="19"/>
          <w:szCs w:val="19"/>
          <w:color w:val="auto"/>
        </w:rPr>
        <w:t xml:space="preserve">to the extent not otherwise included in calculating Consolidated Net Income, the amount of any distribution received by such Person from any Unrestricted Subsidiary; </w:t>
      </w:r>
      <w:r>
        <w:rPr>
          <w:rFonts w:ascii="Arial" w:cs="Arial" w:eastAsia="Arial" w:hAnsi="Arial"/>
          <w:sz w:val="19"/>
          <w:szCs w:val="19"/>
          <w:u w:val="single" w:color="auto"/>
          <w:color w:val="auto"/>
        </w:rPr>
        <w:t>plus</w:t>
      </w:r>
    </w:p>
    <w:p>
      <w:pPr>
        <w:spacing w:after="0" w:line="253" w:lineRule="exact"/>
        <w:rPr>
          <w:rFonts w:ascii="Arial" w:cs="Arial" w:eastAsia="Arial" w:hAnsi="Arial"/>
          <w:sz w:val="19"/>
          <w:szCs w:val="19"/>
          <w:color w:val="auto"/>
        </w:rPr>
      </w:pPr>
    </w:p>
    <w:p>
      <w:pPr>
        <w:ind w:left="2340" w:hanging="748"/>
        <w:spacing w:after="0"/>
        <w:tabs>
          <w:tab w:leader="none" w:pos="2340" w:val="left"/>
        </w:tabs>
        <w:numPr>
          <w:ilvl w:val="1"/>
          <w:numId w:val="51"/>
        </w:numPr>
        <w:rPr>
          <w:rFonts w:ascii="Arial" w:cs="Arial" w:eastAsia="Arial" w:hAnsi="Arial"/>
          <w:sz w:val="19"/>
          <w:szCs w:val="19"/>
          <w:color w:val="auto"/>
        </w:rPr>
      </w:pPr>
      <w:r>
        <w:rPr>
          <w:rFonts w:ascii="Arial" w:cs="Arial" w:eastAsia="Arial" w:hAnsi="Arial"/>
          <w:sz w:val="19"/>
          <w:szCs w:val="19"/>
          <w:color w:val="auto"/>
        </w:rPr>
        <w:t xml:space="preserve">[reserved]; </w:t>
      </w:r>
      <w:r>
        <w:rPr>
          <w:rFonts w:ascii="Arial" w:cs="Arial" w:eastAsia="Arial" w:hAnsi="Arial"/>
          <w:sz w:val="19"/>
          <w:szCs w:val="19"/>
          <w:u w:val="single" w:color="auto"/>
          <w:color w:val="auto"/>
        </w:rPr>
        <w:t>minus</w:t>
      </w:r>
    </w:p>
    <w:p>
      <w:pPr>
        <w:spacing w:after="0" w:line="308" w:lineRule="exact"/>
        <w:rPr>
          <w:rFonts w:ascii="Arial" w:cs="Arial" w:eastAsia="Arial" w:hAnsi="Arial"/>
          <w:sz w:val="19"/>
          <w:szCs w:val="19"/>
          <w:color w:val="auto"/>
        </w:rPr>
      </w:pPr>
    </w:p>
    <w:p>
      <w:pPr>
        <w:ind w:left="840" w:right="219" w:firstLine="751"/>
        <w:spacing w:after="0" w:line="261" w:lineRule="auto"/>
        <w:tabs>
          <w:tab w:leader="none" w:pos="2258" w:val="left"/>
        </w:tabs>
        <w:numPr>
          <w:ilvl w:val="1"/>
          <w:numId w:val="51"/>
        </w:numPr>
        <w:rPr>
          <w:rFonts w:ascii="Arial" w:cs="Arial" w:eastAsia="Arial" w:hAnsi="Arial"/>
          <w:sz w:val="19"/>
          <w:szCs w:val="19"/>
          <w:color w:val="auto"/>
        </w:rPr>
      </w:pPr>
      <w:r>
        <w:rPr>
          <w:rFonts w:ascii="Arial" w:cs="Arial" w:eastAsia="Arial" w:hAnsi="Arial"/>
          <w:sz w:val="19"/>
          <w:szCs w:val="19"/>
          <w:color w:val="auto"/>
        </w:rPr>
        <w:t>any amount which, in the determination of Consolidated Net Income for such period, has been added for any non-cash income or non-cash gain, all as determined in accordance with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17</w:t>
      </w:r>
      <w:r>
        <w:rPr>
          <w:rFonts w:ascii="Arial" w:cs="Arial" w:eastAsia="Arial" w:hAnsi="Arial"/>
          <w:sz w:val="18"/>
          <w:szCs w:val="18"/>
          <w:u w:val="single" w:color="auto"/>
          <w:color w:val="0000FF"/>
          <w:strike w:val="1"/>
        </w:rPr>
        <w:t>17</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85" w:name="page86"/>
    <w:bookmarkEnd w:id="85"/>
    <w:p>
      <w:pPr>
        <w:jc w:val="both"/>
        <w:ind w:left="840" w:right="59"/>
        <w:spacing w:after="0" w:line="241" w:lineRule="auto"/>
        <w:rPr>
          <w:sz w:val="20"/>
          <w:szCs w:val="20"/>
          <w:color w:val="auto"/>
        </w:rPr>
      </w:pPr>
      <w:r>
        <w:rPr>
          <w:rFonts w:ascii="Arial" w:cs="Arial" w:eastAsia="Arial" w:hAnsi="Arial"/>
          <w:sz w:val="19"/>
          <w:szCs w:val="19"/>
          <w:color w:val="auto"/>
        </w:rPr>
        <w:t xml:space="preserve">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non-cash income or non-cash gain represents an accrual or deferred income in respect of potential cash items in any future period, such Person may determine not to deduct the relevant non-cash gain or income in the then-current period; </w:t>
      </w:r>
      <w:r>
        <w:rPr>
          <w:rFonts w:ascii="Arial" w:cs="Arial" w:eastAsia="Arial" w:hAnsi="Arial"/>
          <w:sz w:val="19"/>
          <w:szCs w:val="19"/>
          <w:u w:val="single" w:color="auto"/>
          <w:color w:val="auto"/>
        </w:rPr>
        <w:t>minus</w:t>
      </w:r>
    </w:p>
    <w:p>
      <w:pPr>
        <w:spacing w:after="0" w:line="260" w:lineRule="exact"/>
        <w:rPr>
          <w:sz w:val="20"/>
          <w:szCs w:val="20"/>
          <w:color w:val="auto"/>
        </w:rPr>
      </w:pPr>
    </w:p>
    <w:p>
      <w:pPr>
        <w:jc w:val="both"/>
        <w:ind w:left="840" w:right="39" w:firstLine="752"/>
        <w:spacing w:after="0" w:line="250" w:lineRule="auto"/>
        <w:tabs>
          <w:tab w:leader="none" w:pos="2256"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the amount of any cash payment made during such period in respect of any non-cash accrual, reserve or other non-cash Charge that (A) is accounted for in a prior period, (B) was added to Consolidated Net Income to determine Consolidated Adjusted EBITDA for such prior period and (C) does not otherwise reduce Consolidated Net Income for the current period; </w:t>
      </w:r>
      <w:r>
        <w:rPr>
          <w:rFonts w:ascii="Arial" w:cs="Arial" w:eastAsia="Arial" w:hAnsi="Arial"/>
          <w:sz w:val="19"/>
          <w:szCs w:val="19"/>
          <w:u w:val="single" w:color="auto"/>
          <w:color w:val="auto"/>
        </w:rPr>
        <w:t>minus</w:t>
      </w:r>
    </w:p>
    <w:p>
      <w:pPr>
        <w:spacing w:after="0" w:line="264" w:lineRule="exact"/>
        <w:rPr>
          <w:rFonts w:ascii="Arial" w:cs="Arial" w:eastAsia="Arial" w:hAnsi="Arial"/>
          <w:sz w:val="19"/>
          <w:szCs w:val="19"/>
          <w:color w:val="auto"/>
        </w:rPr>
      </w:pPr>
    </w:p>
    <w:p>
      <w:pPr>
        <w:ind w:left="840" w:right="179" w:firstLine="752"/>
        <w:spacing w:after="0" w:line="261" w:lineRule="auto"/>
        <w:tabs>
          <w:tab w:leader="none" w:pos="2257" w:val="left"/>
        </w:tabs>
        <w:numPr>
          <w:ilvl w:val="0"/>
          <w:numId w:val="52"/>
        </w:numPr>
        <w:rPr>
          <w:rFonts w:ascii="Arial" w:cs="Arial" w:eastAsia="Arial" w:hAnsi="Arial"/>
          <w:sz w:val="19"/>
          <w:szCs w:val="19"/>
          <w:color w:val="auto"/>
        </w:rPr>
      </w:pPr>
      <w:r>
        <w:rPr>
          <w:rFonts w:ascii="Arial" w:cs="Arial" w:eastAsia="Arial" w:hAnsi="Arial"/>
          <w:sz w:val="19"/>
          <w:szCs w:val="19"/>
          <w:color w:val="auto"/>
        </w:rPr>
        <w:t>to the extent not otherwise included in calculating Consolidated Net Income for such period, any year over year decrease in deferred revenue (if negative).</w:t>
      </w:r>
    </w:p>
    <w:p>
      <w:pPr>
        <w:spacing w:after="0" w:line="173" w:lineRule="exact"/>
        <w:rPr>
          <w:sz w:val="20"/>
          <w:szCs w:val="20"/>
          <w:color w:val="auto"/>
        </w:rPr>
      </w:pPr>
    </w:p>
    <w:p>
      <w:pPr>
        <w:jc w:val="both"/>
        <w:ind w:left="100" w:right="59" w:firstLine="749"/>
        <w:spacing w:after="0" w:line="263" w:lineRule="auto"/>
        <w:rPr>
          <w:sz w:val="20"/>
          <w:szCs w:val="20"/>
          <w:color w:val="auto"/>
        </w:rPr>
      </w:pPr>
      <w:r>
        <w:rPr>
          <w:rFonts w:ascii="Arial" w:cs="Arial" w:eastAsia="Arial" w:hAnsi="Arial"/>
          <w:sz w:val="17"/>
          <w:szCs w:val="17"/>
          <w:color w:val="auto"/>
        </w:rPr>
        <w:t>Notwithstanding anything to the contrary herein, it is agreed that for the purpose of calculating the First Lien Net Leverage Ratio, the Secured Net Leverage Ratio, the Total Net Leverage Ratio and/or the amount of any basket based on a percentage of Consolidated Adjusted EBITDA for any period that includes any Fiscal Quarter listed in the table set forth below, Consolidated Adjusted EBITDA for any Fiscal Quarter referenced in the table set forth below shall be the amount set forth opposite such Fiscal Quarter in the table set forth below, in each case as such amount may be adjusted on a Pro Forma Basis. It is understood and agreed for the avoidance of doubt that the “deemed” Consolidated Adjusted EBITDA numbers set forth below shall not reduce the amount available under any cap set forth in this definition of “Consolidated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103505</wp:posOffset>
            </wp:positionV>
            <wp:extent cx="2459990" cy="2228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2459990" cy="222885"/>
                    </a:xfrm>
                    <a:prstGeom prst="rect">
                      <a:avLst/>
                    </a:prstGeom>
                    <a:noFill/>
                  </pic:spPr>
                </pic:pic>
              </a:graphicData>
            </a:graphic>
          </wp:anchor>
        </w:drawing>
      </w:r>
    </w:p>
    <w:p>
      <w:pPr>
        <w:spacing w:after="0" w:line="143" w:lineRule="exact"/>
        <w:rPr>
          <w:sz w:val="20"/>
          <w:szCs w:val="20"/>
          <w:color w:val="auto"/>
        </w:rPr>
      </w:pPr>
    </w:p>
    <w:tbl>
      <w:tblPr>
        <w:tblLayout w:type="fixed"/>
        <w:tblInd w:w="1290" w:type="dxa"/>
        <w:tblCellMar>
          <w:top w:w="0" w:type="dxa"/>
          <w:left w:w="0" w:type="dxa"/>
          <w:bottom w:w="0" w:type="dxa"/>
          <w:right w:w="0" w:type="dxa"/>
        </w:tblCellMar>
      </w:tblPr>
      <w:tr>
        <w:trPr>
          <w:trHeight w:val="264"/>
        </w:trPr>
        <w:tc>
          <w:tcPr>
            <w:tcW w:w="3840" w:type="dxa"/>
            <w:vAlign w:val="bottom"/>
            <w:tcBorders>
              <w:top w:val="single" w:sz="8" w:color="F2F2F2"/>
              <w:left w:val="single" w:sz="8" w:color="F2F2F2"/>
              <w:right w:val="single" w:sz="8" w:color="F2F2F2"/>
            </w:tcBorders>
            <w:gridSpan w:val="3"/>
            <w:shd w:val="clear" w:color="auto" w:fill="F2F2F2"/>
          </w:tcPr>
          <w:p>
            <w:pPr>
              <w:ind w:left="120"/>
              <w:spacing w:after="0"/>
              <w:rPr>
                <w:sz w:val="20"/>
                <w:szCs w:val="20"/>
                <w:color w:val="auto"/>
              </w:rPr>
            </w:pPr>
            <w:r>
              <w:rPr>
                <w:rFonts w:ascii="Arial" w:cs="Arial" w:eastAsia="Arial" w:hAnsi="Arial"/>
                <w:sz w:val="19"/>
                <w:szCs w:val="19"/>
                <w:color w:val="auto"/>
              </w:rPr>
              <w:t>Fiscal Quarter Ended</w:t>
            </w:r>
          </w:p>
        </w:tc>
        <w:tc>
          <w:tcPr>
            <w:tcW w:w="100" w:type="dxa"/>
            <w:vAlign w:val="bottom"/>
            <w:tcBorders>
              <w:top w:val="single" w:sz="8" w:color="010101"/>
            </w:tcBorders>
            <w:shd w:val="clear" w:color="auto" w:fill="F2F2F2"/>
          </w:tcPr>
          <w:p>
            <w:pPr>
              <w:spacing w:after="0"/>
              <w:rPr>
                <w:sz w:val="22"/>
                <w:szCs w:val="22"/>
                <w:color w:val="auto"/>
              </w:rPr>
            </w:pPr>
          </w:p>
        </w:tc>
        <w:tc>
          <w:tcPr>
            <w:tcW w:w="3240" w:type="dxa"/>
            <w:vAlign w:val="bottom"/>
            <w:tcBorders>
              <w:top w:val="single" w:sz="8" w:color="010101"/>
              <w:right w:val="single" w:sz="8" w:color="010101"/>
            </w:tcBorders>
            <w:gridSpan w:val="2"/>
            <w:shd w:val="clear" w:color="auto" w:fill="F2F2F2"/>
          </w:tcPr>
          <w:p>
            <w:pPr>
              <w:spacing w:after="0"/>
              <w:rPr>
                <w:sz w:val="20"/>
                <w:szCs w:val="20"/>
                <w:color w:val="auto"/>
              </w:rPr>
            </w:pPr>
            <w:r>
              <w:rPr>
                <w:rFonts w:ascii="Arial" w:cs="Arial" w:eastAsia="Arial" w:hAnsi="Arial"/>
                <w:sz w:val="19"/>
                <w:szCs w:val="19"/>
                <w:color w:val="auto"/>
              </w:rPr>
              <w:t>Consolidated Adjusted EBITDA</w:t>
            </w:r>
          </w:p>
        </w:tc>
      </w:tr>
      <w:tr>
        <w:trPr>
          <w:trHeight w:val="27"/>
        </w:trPr>
        <w:tc>
          <w:tcPr>
            <w:tcW w:w="120" w:type="dxa"/>
            <w:vAlign w:val="bottom"/>
            <w:tcBorders>
              <w:top w:val="single" w:sz="8" w:color="F2F2F2"/>
              <w:left w:val="single" w:sz="8" w:color="F2F2F2"/>
            </w:tcBorders>
            <w:shd w:val="clear" w:color="auto" w:fill="F2F2F2"/>
          </w:tcPr>
          <w:p>
            <w:pPr>
              <w:spacing w:after="0"/>
              <w:rPr>
                <w:sz w:val="2"/>
                <w:szCs w:val="2"/>
                <w:color w:val="auto"/>
              </w:rPr>
            </w:pPr>
          </w:p>
        </w:tc>
        <w:tc>
          <w:tcPr>
            <w:tcW w:w="1600" w:type="dxa"/>
            <w:vAlign w:val="bottom"/>
            <w:tcBorders>
              <w:top w:val="single" w:sz="8" w:color="auto"/>
            </w:tcBorders>
            <w:shd w:val="clear" w:color="auto" w:fill="F2F2F2"/>
          </w:tcPr>
          <w:p>
            <w:pPr>
              <w:spacing w:after="0"/>
              <w:rPr>
                <w:sz w:val="2"/>
                <w:szCs w:val="2"/>
                <w:color w:val="auto"/>
              </w:rPr>
            </w:pPr>
          </w:p>
        </w:tc>
        <w:tc>
          <w:tcPr>
            <w:tcW w:w="2120" w:type="dxa"/>
            <w:vAlign w:val="bottom"/>
            <w:tcBorders>
              <w:top w:val="single" w:sz="8" w:color="F2F2F2"/>
              <w:right w:val="single" w:sz="8" w:color="010101"/>
            </w:tcBorders>
            <w:shd w:val="clear" w:color="auto" w:fill="F2F2F2"/>
          </w:tcPr>
          <w:p>
            <w:pPr>
              <w:spacing w:after="0"/>
              <w:rPr>
                <w:sz w:val="2"/>
                <w:szCs w:val="2"/>
                <w:color w:val="auto"/>
              </w:rPr>
            </w:pPr>
          </w:p>
        </w:tc>
        <w:tc>
          <w:tcPr>
            <w:tcW w:w="100" w:type="dxa"/>
            <w:vAlign w:val="bottom"/>
            <w:tcBorders>
              <w:top w:val="single" w:sz="8" w:color="F2F2F2"/>
            </w:tcBorders>
            <w:shd w:val="clear" w:color="auto" w:fill="010101"/>
          </w:tcPr>
          <w:p>
            <w:pPr>
              <w:spacing w:after="0"/>
              <w:rPr>
                <w:sz w:val="2"/>
                <w:szCs w:val="2"/>
                <w:color w:val="auto"/>
              </w:rPr>
            </w:pPr>
          </w:p>
        </w:tc>
        <w:tc>
          <w:tcPr>
            <w:tcW w:w="2460" w:type="dxa"/>
            <w:vAlign w:val="bottom"/>
            <w:tcBorders>
              <w:top w:val="single" w:sz="8" w:color="auto"/>
            </w:tcBorders>
            <w:shd w:val="clear" w:color="auto" w:fill="010101"/>
          </w:tcPr>
          <w:p>
            <w:pPr>
              <w:spacing w:after="0"/>
              <w:rPr>
                <w:sz w:val="2"/>
                <w:szCs w:val="2"/>
                <w:color w:val="auto"/>
              </w:rPr>
            </w:pPr>
          </w:p>
        </w:tc>
        <w:tc>
          <w:tcPr>
            <w:tcW w:w="780" w:type="dxa"/>
            <w:vAlign w:val="bottom"/>
            <w:tcBorders>
              <w:top w:val="single" w:sz="8" w:color="F2F2F2"/>
              <w:right w:val="single" w:sz="8" w:color="010101"/>
            </w:tcBorders>
            <w:shd w:val="clear" w:color="auto" w:fill="010101"/>
          </w:tcPr>
          <w:p>
            <w:pPr>
              <w:spacing w:after="0"/>
              <w:rPr>
                <w:sz w:val="2"/>
                <w:szCs w:val="2"/>
                <w:color w:val="auto"/>
              </w:rPr>
            </w:pPr>
          </w:p>
        </w:tc>
      </w:tr>
      <w:tr>
        <w:trPr>
          <w:trHeight w:val="272"/>
        </w:trPr>
        <w:tc>
          <w:tcPr>
            <w:tcW w:w="3840" w:type="dxa"/>
            <w:vAlign w:val="bottom"/>
            <w:tcBorders>
              <w:left w:val="single" w:sz="8" w:color="010101"/>
              <w:right w:val="single" w:sz="8" w:color="010101"/>
            </w:tcBorders>
            <w:gridSpan w:val="3"/>
          </w:tcPr>
          <w:p>
            <w:pPr>
              <w:ind w:left="120"/>
              <w:spacing w:after="0"/>
              <w:rPr>
                <w:sz w:val="20"/>
                <w:szCs w:val="20"/>
                <w:color w:val="auto"/>
              </w:rPr>
            </w:pPr>
            <w:r>
              <w:rPr>
                <w:rFonts w:ascii="Arial" w:cs="Arial" w:eastAsia="Arial" w:hAnsi="Arial"/>
                <w:sz w:val="19"/>
                <w:szCs w:val="19"/>
                <w:color w:val="auto"/>
              </w:rPr>
              <w:t>September 30, 2020</w:t>
            </w:r>
          </w:p>
        </w:tc>
        <w:tc>
          <w:tcPr>
            <w:tcW w:w="2560" w:type="dxa"/>
            <w:vAlign w:val="bottom"/>
            <w:gridSpan w:val="2"/>
          </w:tcPr>
          <w:p>
            <w:pPr>
              <w:ind w:left="940"/>
              <w:spacing w:after="0"/>
              <w:rPr>
                <w:sz w:val="20"/>
                <w:szCs w:val="20"/>
                <w:color w:val="auto"/>
              </w:rPr>
            </w:pPr>
            <w:r>
              <w:rPr>
                <w:rFonts w:ascii="Arial" w:cs="Arial" w:eastAsia="Arial" w:hAnsi="Arial"/>
                <w:sz w:val="19"/>
                <w:szCs w:val="19"/>
                <w:color w:val="auto"/>
              </w:rPr>
              <w:t>$15,767,000</w:t>
            </w:r>
          </w:p>
        </w:tc>
        <w:tc>
          <w:tcPr>
            <w:tcW w:w="780" w:type="dxa"/>
            <w:vAlign w:val="bottom"/>
            <w:tcBorders>
              <w:right w:val="single" w:sz="8" w:color="010101"/>
            </w:tcBorders>
          </w:tcPr>
          <w:p>
            <w:pPr>
              <w:spacing w:after="0"/>
              <w:rPr>
                <w:sz w:val="23"/>
                <w:szCs w:val="23"/>
                <w:color w:val="auto"/>
              </w:rPr>
            </w:pPr>
          </w:p>
        </w:tc>
      </w:tr>
      <w:tr>
        <w:trPr>
          <w:trHeight w:val="39"/>
        </w:trPr>
        <w:tc>
          <w:tcPr>
            <w:tcW w:w="120" w:type="dxa"/>
            <w:vAlign w:val="bottom"/>
            <w:tcBorders>
              <w:left w:val="single" w:sz="8" w:color="010101"/>
              <w:bottom w:val="single" w:sz="8" w:color="010101"/>
            </w:tcBorders>
          </w:tcPr>
          <w:p>
            <w:pPr>
              <w:spacing w:after="0"/>
              <w:rPr>
                <w:sz w:val="3"/>
                <w:szCs w:val="3"/>
                <w:color w:val="auto"/>
              </w:rPr>
            </w:pPr>
          </w:p>
        </w:tc>
        <w:tc>
          <w:tcPr>
            <w:tcW w:w="1600" w:type="dxa"/>
            <w:vAlign w:val="bottom"/>
            <w:tcBorders>
              <w:bottom w:val="single" w:sz="8" w:color="010101"/>
            </w:tcBorders>
          </w:tcPr>
          <w:p>
            <w:pPr>
              <w:spacing w:after="0"/>
              <w:rPr>
                <w:sz w:val="3"/>
                <w:szCs w:val="3"/>
                <w:color w:val="auto"/>
              </w:rPr>
            </w:pPr>
          </w:p>
        </w:tc>
        <w:tc>
          <w:tcPr>
            <w:tcW w:w="2120" w:type="dxa"/>
            <w:vAlign w:val="bottom"/>
            <w:tcBorders>
              <w:bottom w:val="single" w:sz="8" w:color="010101"/>
              <w:right w:val="single" w:sz="8" w:color="010101"/>
            </w:tcBorders>
          </w:tcPr>
          <w:p>
            <w:pPr>
              <w:spacing w:after="0"/>
              <w:rPr>
                <w:sz w:val="3"/>
                <w:szCs w:val="3"/>
                <w:color w:val="auto"/>
              </w:rPr>
            </w:pPr>
          </w:p>
        </w:tc>
        <w:tc>
          <w:tcPr>
            <w:tcW w:w="100" w:type="dxa"/>
            <w:vAlign w:val="bottom"/>
            <w:tcBorders>
              <w:bottom w:val="single" w:sz="8" w:color="010101"/>
            </w:tcBorders>
          </w:tcPr>
          <w:p>
            <w:pPr>
              <w:spacing w:after="0"/>
              <w:rPr>
                <w:sz w:val="3"/>
                <w:szCs w:val="3"/>
                <w:color w:val="auto"/>
              </w:rPr>
            </w:pPr>
          </w:p>
        </w:tc>
        <w:tc>
          <w:tcPr>
            <w:tcW w:w="2460" w:type="dxa"/>
            <w:vAlign w:val="bottom"/>
            <w:tcBorders>
              <w:bottom w:val="single" w:sz="8" w:color="010101"/>
            </w:tcBorders>
          </w:tcPr>
          <w:p>
            <w:pPr>
              <w:spacing w:after="0"/>
              <w:rPr>
                <w:sz w:val="3"/>
                <w:szCs w:val="3"/>
                <w:color w:val="auto"/>
              </w:rPr>
            </w:pPr>
          </w:p>
        </w:tc>
        <w:tc>
          <w:tcPr>
            <w:tcW w:w="780" w:type="dxa"/>
            <w:vAlign w:val="bottom"/>
            <w:tcBorders>
              <w:bottom w:val="single" w:sz="8" w:color="010101"/>
              <w:right w:val="single" w:sz="8" w:color="010101"/>
            </w:tcBorders>
          </w:tcPr>
          <w:p>
            <w:pPr>
              <w:spacing w:after="0"/>
              <w:rPr>
                <w:sz w:val="3"/>
                <w:szCs w:val="3"/>
                <w:color w:val="auto"/>
              </w:rPr>
            </w:pPr>
          </w:p>
        </w:tc>
      </w:tr>
      <w:tr>
        <w:trPr>
          <w:trHeight w:val="252"/>
        </w:trPr>
        <w:tc>
          <w:tcPr>
            <w:tcW w:w="3840" w:type="dxa"/>
            <w:vAlign w:val="bottom"/>
            <w:tcBorders>
              <w:left w:val="single" w:sz="8" w:color="010101"/>
              <w:right w:val="single" w:sz="8" w:color="010101"/>
            </w:tcBorders>
            <w:gridSpan w:val="3"/>
          </w:tcPr>
          <w:p>
            <w:pPr>
              <w:ind w:left="120"/>
              <w:spacing w:after="0"/>
              <w:rPr>
                <w:sz w:val="20"/>
                <w:szCs w:val="20"/>
                <w:color w:val="auto"/>
              </w:rPr>
            </w:pPr>
            <w:r>
              <w:rPr>
                <w:rFonts w:ascii="Arial" w:cs="Arial" w:eastAsia="Arial" w:hAnsi="Arial"/>
                <w:sz w:val="19"/>
                <w:szCs w:val="19"/>
                <w:color w:val="auto"/>
              </w:rPr>
              <w:t>December 31, 2020</w:t>
            </w:r>
          </w:p>
        </w:tc>
        <w:tc>
          <w:tcPr>
            <w:tcW w:w="2560" w:type="dxa"/>
            <w:vAlign w:val="bottom"/>
            <w:gridSpan w:val="2"/>
          </w:tcPr>
          <w:p>
            <w:pPr>
              <w:ind w:left="940"/>
              <w:spacing w:after="0"/>
              <w:rPr>
                <w:sz w:val="20"/>
                <w:szCs w:val="20"/>
                <w:color w:val="auto"/>
              </w:rPr>
            </w:pPr>
            <w:r>
              <w:rPr>
                <w:rFonts w:ascii="Arial" w:cs="Arial" w:eastAsia="Arial" w:hAnsi="Arial"/>
                <w:sz w:val="19"/>
                <w:szCs w:val="19"/>
                <w:color w:val="auto"/>
              </w:rPr>
              <w:t>$29,857,000</w:t>
            </w:r>
          </w:p>
        </w:tc>
        <w:tc>
          <w:tcPr>
            <w:tcW w:w="780" w:type="dxa"/>
            <w:vAlign w:val="bottom"/>
            <w:tcBorders>
              <w:right w:val="single" w:sz="8" w:color="010101"/>
            </w:tcBorders>
          </w:tcPr>
          <w:p>
            <w:pPr>
              <w:spacing w:after="0"/>
              <w:rPr>
                <w:sz w:val="21"/>
                <w:szCs w:val="21"/>
                <w:color w:val="auto"/>
              </w:rPr>
            </w:pPr>
          </w:p>
        </w:tc>
      </w:tr>
      <w:tr>
        <w:trPr>
          <w:trHeight w:val="38"/>
        </w:trPr>
        <w:tc>
          <w:tcPr>
            <w:tcW w:w="120" w:type="dxa"/>
            <w:vAlign w:val="bottom"/>
            <w:tcBorders>
              <w:left w:val="single" w:sz="8" w:color="010101"/>
              <w:bottom w:val="single" w:sz="8" w:color="010101"/>
            </w:tcBorders>
          </w:tcPr>
          <w:p>
            <w:pPr>
              <w:spacing w:after="0"/>
              <w:rPr>
                <w:sz w:val="3"/>
                <w:szCs w:val="3"/>
                <w:color w:val="auto"/>
              </w:rPr>
            </w:pPr>
          </w:p>
        </w:tc>
        <w:tc>
          <w:tcPr>
            <w:tcW w:w="1600" w:type="dxa"/>
            <w:vAlign w:val="bottom"/>
            <w:tcBorders>
              <w:bottom w:val="single" w:sz="8" w:color="010101"/>
            </w:tcBorders>
          </w:tcPr>
          <w:p>
            <w:pPr>
              <w:spacing w:after="0"/>
              <w:rPr>
                <w:sz w:val="3"/>
                <w:szCs w:val="3"/>
                <w:color w:val="auto"/>
              </w:rPr>
            </w:pPr>
          </w:p>
        </w:tc>
        <w:tc>
          <w:tcPr>
            <w:tcW w:w="2120" w:type="dxa"/>
            <w:vAlign w:val="bottom"/>
            <w:tcBorders>
              <w:bottom w:val="single" w:sz="8" w:color="010101"/>
              <w:right w:val="single" w:sz="8" w:color="010101"/>
            </w:tcBorders>
          </w:tcPr>
          <w:p>
            <w:pPr>
              <w:spacing w:after="0"/>
              <w:rPr>
                <w:sz w:val="3"/>
                <w:szCs w:val="3"/>
                <w:color w:val="auto"/>
              </w:rPr>
            </w:pPr>
          </w:p>
        </w:tc>
        <w:tc>
          <w:tcPr>
            <w:tcW w:w="100" w:type="dxa"/>
            <w:vAlign w:val="bottom"/>
            <w:tcBorders>
              <w:bottom w:val="single" w:sz="8" w:color="010101"/>
            </w:tcBorders>
          </w:tcPr>
          <w:p>
            <w:pPr>
              <w:spacing w:after="0"/>
              <w:rPr>
                <w:sz w:val="3"/>
                <w:szCs w:val="3"/>
                <w:color w:val="auto"/>
              </w:rPr>
            </w:pPr>
          </w:p>
        </w:tc>
        <w:tc>
          <w:tcPr>
            <w:tcW w:w="2460" w:type="dxa"/>
            <w:vAlign w:val="bottom"/>
            <w:tcBorders>
              <w:bottom w:val="single" w:sz="8" w:color="010101"/>
            </w:tcBorders>
          </w:tcPr>
          <w:p>
            <w:pPr>
              <w:spacing w:after="0"/>
              <w:rPr>
                <w:sz w:val="3"/>
                <w:szCs w:val="3"/>
                <w:color w:val="auto"/>
              </w:rPr>
            </w:pPr>
          </w:p>
        </w:tc>
        <w:tc>
          <w:tcPr>
            <w:tcW w:w="780" w:type="dxa"/>
            <w:vAlign w:val="bottom"/>
            <w:tcBorders>
              <w:bottom w:val="single" w:sz="8" w:color="010101"/>
              <w:right w:val="single" w:sz="8" w:color="010101"/>
            </w:tcBorders>
          </w:tcPr>
          <w:p>
            <w:pPr>
              <w:spacing w:after="0"/>
              <w:rPr>
                <w:sz w:val="3"/>
                <w:szCs w:val="3"/>
                <w:color w:val="auto"/>
              </w:rPr>
            </w:pPr>
          </w:p>
        </w:tc>
      </w:tr>
      <w:tr>
        <w:trPr>
          <w:trHeight w:val="266"/>
        </w:trPr>
        <w:tc>
          <w:tcPr>
            <w:tcW w:w="3840" w:type="dxa"/>
            <w:vAlign w:val="bottom"/>
            <w:tcBorders>
              <w:left w:val="single" w:sz="8" w:color="010101"/>
              <w:right w:val="single" w:sz="8" w:color="010101"/>
            </w:tcBorders>
            <w:gridSpan w:val="3"/>
          </w:tcPr>
          <w:p>
            <w:pPr>
              <w:ind w:left="120"/>
              <w:spacing w:after="0"/>
              <w:rPr>
                <w:sz w:val="20"/>
                <w:szCs w:val="20"/>
                <w:color w:val="auto"/>
              </w:rPr>
            </w:pPr>
            <w:r>
              <w:rPr>
                <w:rFonts w:ascii="Arial" w:cs="Arial" w:eastAsia="Arial" w:hAnsi="Arial"/>
                <w:sz w:val="19"/>
                <w:szCs w:val="19"/>
                <w:color w:val="auto"/>
              </w:rPr>
              <w:t>March 31, 2021</w:t>
            </w:r>
          </w:p>
        </w:tc>
        <w:tc>
          <w:tcPr>
            <w:tcW w:w="2560" w:type="dxa"/>
            <w:vAlign w:val="bottom"/>
            <w:gridSpan w:val="2"/>
          </w:tcPr>
          <w:p>
            <w:pPr>
              <w:ind w:left="940"/>
              <w:spacing w:after="0"/>
              <w:rPr>
                <w:sz w:val="20"/>
                <w:szCs w:val="20"/>
                <w:color w:val="auto"/>
              </w:rPr>
            </w:pPr>
            <w:r>
              <w:rPr>
                <w:rFonts w:ascii="Arial" w:cs="Arial" w:eastAsia="Arial" w:hAnsi="Arial"/>
                <w:sz w:val="19"/>
                <w:szCs w:val="19"/>
                <w:color w:val="auto"/>
              </w:rPr>
              <w:t>$23,849,000</w:t>
            </w:r>
          </w:p>
        </w:tc>
        <w:tc>
          <w:tcPr>
            <w:tcW w:w="780" w:type="dxa"/>
            <w:vAlign w:val="bottom"/>
            <w:tcBorders>
              <w:right w:val="single" w:sz="8" w:color="010101"/>
            </w:tcBorders>
          </w:tcPr>
          <w:p>
            <w:pPr>
              <w:spacing w:after="0"/>
              <w:rPr>
                <w:sz w:val="23"/>
                <w:szCs w:val="23"/>
                <w:color w:val="auto"/>
              </w:rPr>
            </w:pPr>
          </w:p>
        </w:tc>
      </w:tr>
      <w:tr>
        <w:trPr>
          <w:trHeight w:val="25"/>
        </w:trPr>
        <w:tc>
          <w:tcPr>
            <w:tcW w:w="120" w:type="dxa"/>
            <w:vAlign w:val="bottom"/>
            <w:tcBorders>
              <w:left w:val="single" w:sz="8" w:color="010101"/>
              <w:bottom w:val="single" w:sz="8" w:color="010101"/>
            </w:tcBorders>
          </w:tcPr>
          <w:p>
            <w:pPr>
              <w:spacing w:after="0"/>
              <w:rPr>
                <w:sz w:val="2"/>
                <w:szCs w:val="2"/>
                <w:color w:val="auto"/>
              </w:rPr>
            </w:pPr>
          </w:p>
        </w:tc>
        <w:tc>
          <w:tcPr>
            <w:tcW w:w="1600" w:type="dxa"/>
            <w:vAlign w:val="bottom"/>
            <w:tcBorders>
              <w:bottom w:val="single" w:sz="8" w:color="010101"/>
            </w:tcBorders>
          </w:tcPr>
          <w:p>
            <w:pPr>
              <w:spacing w:after="0"/>
              <w:rPr>
                <w:sz w:val="2"/>
                <w:szCs w:val="2"/>
                <w:color w:val="auto"/>
              </w:rPr>
            </w:pPr>
          </w:p>
        </w:tc>
        <w:tc>
          <w:tcPr>
            <w:tcW w:w="2120" w:type="dxa"/>
            <w:vAlign w:val="bottom"/>
            <w:tcBorders>
              <w:bottom w:val="single" w:sz="8" w:color="010101"/>
              <w:right w:val="single" w:sz="8" w:color="010101"/>
            </w:tcBorders>
          </w:tcPr>
          <w:p>
            <w:pPr>
              <w:spacing w:after="0"/>
              <w:rPr>
                <w:sz w:val="2"/>
                <w:szCs w:val="2"/>
                <w:color w:val="auto"/>
              </w:rPr>
            </w:pPr>
          </w:p>
        </w:tc>
        <w:tc>
          <w:tcPr>
            <w:tcW w:w="100" w:type="dxa"/>
            <w:vAlign w:val="bottom"/>
            <w:tcBorders>
              <w:bottom w:val="single" w:sz="8" w:color="010101"/>
            </w:tcBorders>
          </w:tcPr>
          <w:p>
            <w:pPr>
              <w:spacing w:after="0"/>
              <w:rPr>
                <w:sz w:val="2"/>
                <w:szCs w:val="2"/>
                <w:color w:val="auto"/>
              </w:rPr>
            </w:pPr>
          </w:p>
        </w:tc>
        <w:tc>
          <w:tcPr>
            <w:tcW w:w="2460" w:type="dxa"/>
            <w:vAlign w:val="bottom"/>
            <w:tcBorders>
              <w:bottom w:val="single" w:sz="8" w:color="010101"/>
            </w:tcBorders>
          </w:tcPr>
          <w:p>
            <w:pPr>
              <w:spacing w:after="0"/>
              <w:rPr>
                <w:sz w:val="2"/>
                <w:szCs w:val="2"/>
                <w:color w:val="auto"/>
              </w:rPr>
            </w:pPr>
          </w:p>
        </w:tc>
        <w:tc>
          <w:tcPr>
            <w:tcW w:w="780" w:type="dxa"/>
            <w:vAlign w:val="bottom"/>
            <w:tcBorders>
              <w:bottom w:val="single" w:sz="8" w:color="010101"/>
              <w:right w:val="single" w:sz="8" w:color="010101"/>
            </w:tcBorders>
          </w:tcPr>
          <w:p>
            <w:pPr>
              <w:spacing w:after="0"/>
              <w:rPr>
                <w:sz w:val="2"/>
                <w:szCs w:val="2"/>
                <w:color w:val="auto"/>
              </w:rPr>
            </w:pPr>
          </w:p>
        </w:tc>
      </w:tr>
      <w:tr>
        <w:trPr>
          <w:trHeight w:val="265"/>
        </w:trPr>
        <w:tc>
          <w:tcPr>
            <w:tcW w:w="3840" w:type="dxa"/>
            <w:vAlign w:val="bottom"/>
            <w:tcBorders>
              <w:left w:val="single" w:sz="8" w:color="010101"/>
              <w:right w:val="single" w:sz="8" w:color="010101"/>
            </w:tcBorders>
            <w:gridSpan w:val="3"/>
          </w:tcPr>
          <w:p>
            <w:pPr>
              <w:ind w:left="120"/>
              <w:spacing w:after="0"/>
              <w:rPr>
                <w:sz w:val="20"/>
                <w:szCs w:val="20"/>
                <w:color w:val="auto"/>
              </w:rPr>
            </w:pPr>
            <w:r>
              <w:rPr>
                <w:rFonts w:ascii="Arial" w:cs="Arial" w:eastAsia="Arial" w:hAnsi="Arial"/>
                <w:sz w:val="19"/>
                <w:szCs w:val="19"/>
                <w:color w:val="auto"/>
              </w:rPr>
              <w:t>June 30, 2021</w:t>
            </w:r>
          </w:p>
        </w:tc>
        <w:tc>
          <w:tcPr>
            <w:tcW w:w="2560" w:type="dxa"/>
            <w:vAlign w:val="bottom"/>
            <w:gridSpan w:val="2"/>
          </w:tcPr>
          <w:p>
            <w:pPr>
              <w:ind w:left="940"/>
              <w:spacing w:after="0"/>
              <w:rPr>
                <w:sz w:val="20"/>
                <w:szCs w:val="20"/>
                <w:color w:val="auto"/>
              </w:rPr>
            </w:pPr>
            <w:r>
              <w:rPr>
                <w:rFonts w:ascii="Arial" w:cs="Arial" w:eastAsia="Arial" w:hAnsi="Arial"/>
                <w:sz w:val="19"/>
                <w:szCs w:val="19"/>
                <w:color w:val="auto"/>
              </w:rPr>
              <w:t>$11,771,000</w:t>
            </w:r>
          </w:p>
        </w:tc>
        <w:tc>
          <w:tcPr>
            <w:tcW w:w="780" w:type="dxa"/>
            <w:vAlign w:val="bottom"/>
            <w:tcBorders>
              <w:right w:val="single" w:sz="8" w:color="010101"/>
            </w:tcBorders>
          </w:tcPr>
          <w:p>
            <w:pPr>
              <w:spacing w:after="0"/>
              <w:rPr>
                <w:sz w:val="23"/>
                <w:szCs w:val="23"/>
                <w:color w:val="auto"/>
              </w:rPr>
            </w:pPr>
          </w:p>
        </w:tc>
      </w:tr>
      <w:tr>
        <w:trPr>
          <w:trHeight w:val="25"/>
        </w:trPr>
        <w:tc>
          <w:tcPr>
            <w:tcW w:w="120" w:type="dxa"/>
            <w:vAlign w:val="bottom"/>
            <w:tcBorders>
              <w:left w:val="single" w:sz="8" w:color="010101"/>
              <w:bottom w:val="single" w:sz="8" w:color="010101"/>
            </w:tcBorders>
          </w:tcPr>
          <w:p>
            <w:pPr>
              <w:spacing w:after="0"/>
              <w:rPr>
                <w:sz w:val="2"/>
                <w:szCs w:val="2"/>
                <w:color w:val="auto"/>
              </w:rPr>
            </w:pPr>
          </w:p>
        </w:tc>
        <w:tc>
          <w:tcPr>
            <w:tcW w:w="1600" w:type="dxa"/>
            <w:vAlign w:val="bottom"/>
            <w:tcBorders>
              <w:bottom w:val="single" w:sz="8" w:color="010101"/>
            </w:tcBorders>
          </w:tcPr>
          <w:p>
            <w:pPr>
              <w:spacing w:after="0"/>
              <w:rPr>
                <w:sz w:val="2"/>
                <w:szCs w:val="2"/>
                <w:color w:val="auto"/>
              </w:rPr>
            </w:pPr>
          </w:p>
        </w:tc>
        <w:tc>
          <w:tcPr>
            <w:tcW w:w="2120" w:type="dxa"/>
            <w:vAlign w:val="bottom"/>
            <w:tcBorders>
              <w:bottom w:val="single" w:sz="8" w:color="010101"/>
              <w:right w:val="single" w:sz="8" w:color="010101"/>
            </w:tcBorders>
          </w:tcPr>
          <w:p>
            <w:pPr>
              <w:spacing w:after="0"/>
              <w:rPr>
                <w:sz w:val="2"/>
                <w:szCs w:val="2"/>
                <w:color w:val="auto"/>
              </w:rPr>
            </w:pPr>
          </w:p>
        </w:tc>
        <w:tc>
          <w:tcPr>
            <w:tcW w:w="100" w:type="dxa"/>
            <w:vAlign w:val="bottom"/>
            <w:tcBorders>
              <w:bottom w:val="single" w:sz="8" w:color="010101"/>
            </w:tcBorders>
          </w:tcPr>
          <w:p>
            <w:pPr>
              <w:spacing w:after="0"/>
              <w:rPr>
                <w:sz w:val="2"/>
                <w:szCs w:val="2"/>
                <w:color w:val="auto"/>
              </w:rPr>
            </w:pPr>
          </w:p>
        </w:tc>
        <w:tc>
          <w:tcPr>
            <w:tcW w:w="2460" w:type="dxa"/>
            <w:vAlign w:val="bottom"/>
            <w:tcBorders>
              <w:bottom w:val="single" w:sz="8" w:color="010101"/>
            </w:tcBorders>
          </w:tcPr>
          <w:p>
            <w:pPr>
              <w:spacing w:after="0"/>
              <w:rPr>
                <w:sz w:val="2"/>
                <w:szCs w:val="2"/>
                <w:color w:val="auto"/>
              </w:rPr>
            </w:pPr>
          </w:p>
        </w:tc>
        <w:tc>
          <w:tcPr>
            <w:tcW w:w="780" w:type="dxa"/>
            <w:vAlign w:val="bottom"/>
            <w:tcBorders>
              <w:bottom w:val="single" w:sz="8" w:color="010101"/>
              <w:right w:val="single" w:sz="8" w:color="010101"/>
            </w:tcBorders>
          </w:tcPr>
          <w:p>
            <w:pPr>
              <w:spacing w:after="0"/>
              <w:rPr>
                <w:sz w:val="2"/>
                <w:szCs w:val="2"/>
                <w:color w:val="auto"/>
              </w:rPr>
            </w:pPr>
          </w:p>
        </w:tc>
      </w:tr>
    </w:tbl>
    <w:p>
      <w:pPr>
        <w:spacing w:after="0" w:line="180" w:lineRule="exact"/>
        <w:rPr>
          <w:sz w:val="20"/>
          <w:szCs w:val="20"/>
          <w:color w:val="auto"/>
        </w:rPr>
      </w:pPr>
    </w:p>
    <w:p>
      <w:pPr>
        <w:jc w:val="both"/>
        <w:ind w:left="100" w:right="59" w:firstLine="74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First Lien Debt</w:t>
      </w:r>
      <w:r>
        <w:rPr>
          <w:rFonts w:ascii="Arial" w:cs="Arial" w:eastAsia="Arial" w:hAnsi="Arial"/>
          <w:sz w:val="19"/>
          <w:szCs w:val="19"/>
          <w:color w:val="auto"/>
        </w:rPr>
        <w:t>” means, as to any Person at any date of determination, the aggregate principal amount of Consolidated Total Debt outstanding on such date that is secured by a Lien on substantially all of the Collateral and that constitutes First Lien Debt.</w:t>
      </w:r>
    </w:p>
    <w:p>
      <w:pPr>
        <w:spacing w:after="0" w:line="179"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Expense</w:t>
      </w:r>
      <w:r>
        <w:rPr>
          <w:rFonts w:ascii="Arial" w:cs="Arial" w:eastAsia="Arial" w:hAnsi="Arial"/>
          <w:sz w:val="19"/>
          <w:szCs w:val="19"/>
          <w:color w:val="auto"/>
        </w:rPr>
        <w:t>” means, with respect to any Person for any period, the sum of</w:t>
      </w:r>
    </w:p>
    <w:p>
      <w:pPr>
        <w:spacing w:after="0" w:line="14" w:lineRule="exact"/>
        <w:rPr>
          <w:sz w:val="20"/>
          <w:szCs w:val="20"/>
          <w:color w:val="auto"/>
        </w:rPr>
      </w:pPr>
    </w:p>
    <w:p>
      <w:pPr>
        <w:jc w:val="both"/>
        <w:ind w:left="100" w:right="19" w:hanging="7"/>
        <w:spacing w:after="0" w:line="253" w:lineRule="auto"/>
        <w:tabs>
          <w:tab w:leader="none" w:pos="369"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consolidated total interest expense of such Person and its Restricted Subsidiaries for such period, whether paid or accrued and whether or not capitalized, (including, without limitation and without duplication, amortization of any debt issuance cost, original issue discount, any premium paid to obtain payment, financial assurance or similar bonds, any interest capitalized during construction, any non-cash interest payment, the interest component of any deferred payment obligation, the interest component of any payment under any Capital Lease (regardless of whether accounted for as interest expense under GAAP), any commission, discount and/or other fee or charge owed with respect to any letter of credit and/or bankers’ acceptance, any fee and/or expense paid to the Administrative Agent in connection with its services hereunder, any other bank, administrative agency (or trustee) and/or financing fee, to the extent not otherwise included in consolidated total interest expense, customary commissions, discounts, yield and other fees and charges (including interest expense) relating to any Receivables Facility and any cost associated with any surety bond in connection with financing activities (whether amortized or immediately expensed))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any cash dividend paid or payable in respect of Disqualified Capital Stock during such period other than to such Person or any Restricted Subsidiary,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any net losses or obligations arising from any Hedge Agreement and/or other derivative financial instrument issued by such Person for the benefit of such Person or its subsidiaries, in each case, determined on a consolidated basis for such period. For purposes of this definition, interest in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18</w:t>
      </w:r>
      <w:r>
        <w:rPr>
          <w:rFonts w:ascii="Arial" w:cs="Arial" w:eastAsia="Arial" w:hAnsi="Arial"/>
          <w:sz w:val="18"/>
          <w:szCs w:val="18"/>
          <w:u w:val="single" w:color="auto"/>
          <w:color w:val="0000FF"/>
          <w:strike w:val="1"/>
        </w:rPr>
        <w:t>18</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86" w:name="page87"/>
    <w:bookmarkEnd w:id="86"/>
    <w:p>
      <w:pPr>
        <w:ind w:left="100" w:right="359"/>
        <w:spacing w:after="0" w:line="261" w:lineRule="auto"/>
        <w:rPr>
          <w:sz w:val="20"/>
          <w:szCs w:val="20"/>
          <w:color w:val="auto"/>
        </w:rPr>
      </w:pPr>
      <w:r>
        <w:rPr>
          <w:rFonts w:ascii="Arial" w:cs="Arial" w:eastAsia="Arial" w:hAnsi="Arial"/>
          <w:sz w:val="19"/>
          <w:szCs w:val="19"/>
          <w:color w:val="auto"/>
        </w:rPr>
        <w:t>respect of any Capital Lease shall be deemed to accrue at an interest rate reasonably determined by such Person to be the rate of interest implicit in such Capital Lease in accordance with GAAP.</w:t>
      </w:r>
    </w:p>
    <w:p>
      <w:pPr>
        <w:spacing w:after="0" w:line="159" w:lineRule="exact"/>
        <w:rPr>
          <w:sz w:val="20"/>
          <w:szCs w:val="20"/>
          <w:color w:val="auto"/>
        </w:rPr>
      </w:pPr>
    </w:p>
    <w:p>
      <w:pPr>
        <w:ind w:left="100" w:right="99" w:firstLine="749"/>
        <w:spacing w:after="0" w:line="30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Income</w:t>
      </w:r>
      <w:r>
        <w:rPr>
          <w:rFonts w:ascii="Arial" w:cs="Arial" w:eastAsia="Arial" w:hAnsi="Arial"/>
          <w:sz w:val="17"/>
          <w:szCs w:val="17"/>
          <w:color w:val="auto"/>
        </w:rPr>
        <w:t>” means, in respect of any period and as determined for any Person (the “</w:t>
      </w:r>
      <w:r>
        <w:rPr>
          <w:rFonts w:ascii="Arial" w:cs="Arial" w:eastAsia="Arial" w:hAnsi="Arial"/>
          <w:sz w:val="17"/>
          <w:szCs w:val="17"/>
          <w:u w:val="single" w:color="auto"/>
          <w:color w:val="auto"/>
        </w:rPr>
        <w:t>Subject Person</w:t>
      </w:r>
      <w:r>
        <w:rPr>
          <w:rFonts w:ascii="Arial" w:cs="Arial" w:eastAsia="Arial" w:hAnsi="Arial"/>
          <w:sz w:val="17"/>
          <w:szCs w:val="17"/>
          <w:color w:val="auto"/>
        </w:rPr>
        <w:t>”) on a consolidated basis, an amount equal to the sum of net income, determined in accordance with GAAP, but excluding:</w:t>
      </w:r>
    </w:p>
    <w:p>
      <w:pPr>
        <w:spacing w:after="0" w:line="141" w:lineRule="exact"/>
        <w:rPr>
          <w:sz w:val="20"/>
          <w:szCs w:val="20"/>
          <w:color w:val="auto"/>
        </w:rPr>
      </w:pPr>
    </w:p>
    <w:p>
      <w:pPr>
        <w:jc w:val="both"/>
        <w:ind w:left="840" w:right="59" w:firstLine="751"/>
        <w:spacing w:after="0" w:line="272" w:lineRule="auto"/>
        <w:tabs>
          <w:tab w:leader="none" w:pos="2254" w:val="left"/>
        </w:tabs>
        <w:numPr>
          <w:ilvl w:val="1"/>
          <w:numId w:val="54"/>
        </w:numPr>
        <w:rPr>
          <w:rFonts w:ascii="Arial" w:cs="Arial" w:eastAsia="Arial" w:hAnsi="Arial"/>
          <w:sz w:val="17"/>
          <w:szCs w:val="17"/>
          <w:color w:val="auto"/>
        </w:rPr>
      </w:pPr>
      <w:r>
        <w:rPr>
          <w:rFonts w:ascii="Arial" w:cs="Arial" w:eastAsia="Arial" w:hAnsi="Arial"/>
          <w:sz w:val="17"/>
          <w:szCs w:val="17"/>
          <w:color w:val="auto"/>
        </w:rPr>
        <w:t>(i) the income of any Person (other than the Subject Person or a Restricted Subsidiary of the Subject Person) in which any other Person (other than the Subject Person or any Restricted Subsidiary of the Subject Person) has a joint interest, except to the extent of the amount of dividends, distributions or other payments (including any ordinary course dividend, distribution or other payment) paid in cash (or to the extent converted into cash) to the Subject Person or any of its Restricted Subsidiaries by such Person during such period and (ii) the loss of any Person (other than the Subject Person or a Restricted Subsidiary of the Subject Person (or a Person who, if a subsidiary of the Subject Person, would be a Restricted Subsidiary of the Subject Person)) in which any other Person (other than the Subject Person or any of its Restricted Subsidiaries) has a joint interest, other than to the extent that the Subject Person or any of its Restricted Subsidiaries has contributed Cash or Cash Equivalents to such Person in respect of such loss during such period;</w:t>
      </w:r>
    </w:p>
    <w:p>
      <w:pPr>
        <w:spacing w:after="0" w:line="166" w:lineRule="exact"/>
        <w:rPr>
          <w:rFonts w:ascii="Arial" w:cs="Arial" w:eastAsia="Arial" w:hAnsi="Arial"/>
          <w:sz w:val="17"/>
          <w:szCs w:val="17"/>
          <w:color w:val="auto"/>
        </w:rPr>
      </w:pPr>
    </w:p>
    <w:p>
      <w:pPr>
        <w:ind w:left="840" w:right="59" w:firstLine="751"/>
        <w:spacing w:after="0" w:line="289" w:lineRule="auto"/>
        <w:tabs>
          <w:tab w:leader="none" w:pos="2254"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gain or Charge attributable to any asset Dispositions (including asset retirement costs and including any abandonment of assets) or of returned surplus assets outside the ordinary course of business;</w:t>
      </w:r>
    </w:p>
    <w:p>
      <w:pPr>
        <w:spacing w:after="0" w:line="149" w:lineRule="exact"/>
        <w:rPr>
          <w:rFonts w:ascii="Arial" w:cs="Arial" w:eastAsia="Arial" w:hAnsi="Arial"/>
          <w:sz w:val="18"/>
          <w:szCs w:val="18"/>
          <w:color w:val="auto"/>
        </w:rPr>
      </w:pPr>
    </w:p>
    <w:p>
      <w:pPr>
        <w:ind w:left="2260" w:hanging="669"/>
        <w:spacing w:after="0"/>
        <w:tabs>
          <w:tab w:leader="none" w:pos="2260" w:val="left"/>
        </w:tabs>
        <w:numPr>
          <w:ilvl w:val="1"/>
          <w:numId w:val="54"/>
        </w:numPr>
        <w:rPr>
          <w:rFonts w:ascii="Arial" w:cs="Arial" w:eastAsia="Arial" w:hAnsi="Arial"/>
          <w:sz w:val="17"/>
          <w:szCs w:val="17"/>
          <w:color w:val="auto"/>
        </w:rPr>
      </w:pPr>
      <w:r>
        <w:rPr>
          <w:rFonts w:ascii="Arial" w:cs="Arial" w:eastAsia="Arial" w:hAnsi="Arial"/>
          <w:sz w:val="17"/>
          <w:szCs w:val="17"/>
          <w:color w:val="auto"/>
        </w:rPr>
        <w:t>(i) any Charge from (A) any extraordinary item (as determined in good faith by such Person) and/or</w:t>
      </w:r>
    </w:p>
    <w:p>
      <w:pPr>
        <w:spacing w:after="0" w:line="44" w:lineRule="exact"/>
        <w:rPr>
          <w:rFonts w:ascii="Arial" w:cs="Arial" w:eastAsia="Arial" w:hAnsi="Arial"/>
          <w:sz w:val="17"/>
          <w:szCs w:val="17"/>
          <w:color w:val="auto"/>
        </w:rPr>
      </w:pPr>
    </w:p>
    <w:p>
      <w:pPr>
        <w:ind w:left="840" w:right="59" w:firstLine="3"/>
        <w:spacing w:after="0" w:line="249" w:lineRule="auto"/>
        <w:tabs>
          <w:tab w:leader="none" w:pos="1153" w:val="left"/>
        </w:tabs>
        <w:numPr>
          <w:ilvl w:val="0"/>
          <w:numId w:val="55"/>
        </w:numPr>
        <w:rPr>
          <w:rFonts w:ascii="Arial" w:cs="Arial" w:eastAsia="Arial" w:hAnsi="Arial"/>
          <w:sz w:val="19"/>
          <w:szCs w:val="19"/>
          <w:color w:val="auto"/>
        </w:rPr>
      </w:pPr>
      <w:r>
        <w:rPr>
          <w:rFonts w:ascii="Arial" w:cs="Arial" w:eastAsia="Arial" w:hAnsi="Arial"/>
          <w:sz w:val="19"/>
          <w:szCs w:val="19"/>
          <w:color w:val="auto"/>
        </w:rPr>
        <w:t>any unusual, non-recurring, infrequent and/or exceptional item (as determined in good faith by such Person) and/or (ii) any Charge attributable to and/or payment of any legal settlement, fine, judgment or order;</w:t>
      </w:r>
    </w:p>
    <w:p>
      <w:pPr>
        <w:spacing w:after="0" w:line="183" w:lineRule="exact"/>
        <w:rPr>
          <w:rFonts w:ascii="Arial" w:cs="Arial" w:eastAsia="Arial" w:hAnsi="Arial"/>
          <w:sz w:val="19"/>
          <w:szCs w:val="19"/>
          <w:color w:val="auto"/>
        </w:rPr>
      </w:pPr>
    </w:p>
    <w:p>
      <w:pPr>
        <w:jc w:val="both"/>
        <w:ind w:left="840" w:right="59" w:firstLine="751"/>
        <w:spacing w:after="0" w:line="241" w:lineRule="auto"/>
        <w:tabs>
          <w:tab w:leader="none" w:pos="2254" w:val="left"/>
        </w:tabs>
        <w:numPr>
          <w:ilvl w:val="1"/>
          <w:numId w:val="55"/>
        </w:numPr>
        <w:rPr>
          <w:rFonts w:ascii="Arial" w:cs="Arial" w:eastAsia="Arial" w:hAnsi="Arial"/>
          <w:sz w:val="19"/>
          <w:szCs w:val="19"/>
          <w:color w:val="auto"/>
        </w:rPr>
      </w:pPr>
      <w:r>
        <w:rPr>
          <w:rFonts w:ascii="Arial" w:cs="Arial" w:eastAsia="Arial" w:hAnsi="Arial"/>
          <w:sz w:val="19"/>
          <w:szCs w:val="19"/>
          <w:color w:val="auto"/>
        </w:rPr>
        <w:t>any net gain or Charge with respect to, or in connection with, (i) any disposed, abandoned, divested and/or discontinued asset, property or operation (other than, at the option of such Person, any gain or Charge relating to any asset, property or operation held for sale or pending the divestiture and/or termination thereof), (ii) any disposal, abandonment, divestiture and/or discontinuation of any asset, property or operation outside the ordinary course of business (including any asset retirement cost) (other than, at the option of such Person, any gain or Charge relating to assets or properties held for sale or pending the divestiture or termination thereof) and/or (iii) any facility that has been closed during such period;</w:t>
      </w:r>
    </w:p>
    <w:p>
      <w:pPr>
        <w:spacing w:after="0" w:line="192" w:lineRule="exact"/>
        <w:rPr>
          <w:rFonts w:ascii="Arial" w:cs="Arial" w:eastAsia="Arial" w:hAnsi="Arial"/>
          <w:sz w:val="19"/>
          <w:szCs w:val="19"/>
          <w:color w:val="auto"/>
        </w:rPr>
      </w:pPr>
    </w:p>
    <w:p>
      <w:pPr>
        <w:jc w:val="both"/>
        <w:ind w:left="840" w:right="59" w:firstLine="751"/>
        <w:spacing w:after="0" w:line="249" w:lineRule="auto"/>
        <w:tabs>
          <w:tab w:leader="none" w:pos="2254" w:val="left"/>
        </w:tabs>
        <w:numPr>
          <w:ilvl w:val="1"/>
          <w:numId w:val="55"/>
        </w:numPr>
        <w:rPr>
          <w:rFonts w:ascii="Arial" w:cs="Arial" w:eastAsia="Arial" w:hAnsi="Arial"/>
          <w:sz w:val="19"/>
          <w:szCs w:val="19"/>
          <w:color w:val="auto"/>
        </w:rPr>
      </w:pPr>
      <w:r>
        <w:rPr>
          <w:rFonts w:ascii="Arial" w:cs="Arial" w:eastAsia="Arial" w:hAnsi="Arial"/>
          <w:sz w:val="19"/>
          <w:szCs w:val="19"/>
          <w:color w:val="auto"/>
        </w:rPr>
        <w:t>(i) any write-off or amortization made of any deferred financing cost and/or premium paid and (ii) any Charge attributable to the early extinguishment of Indebtedness (and the termination of any associated Hedge Agreement);</w:t>
      </w:r>
    </w:p>
    <w:p>
      <w:pPr>
        <w:spacing w:after="0" w:line="197" w:lineRule="exact"/>
        <w:rPr>
          <w:rFonts w:ascii="Arial" w:cs="Arial" w:eastAsia="Arial" w:hAnsi="Arial"/>
          <w:sz w:val="19"/>
          <w:szCs w:val="19"/>
          <w:color w:val="auto"/>
        </w:rPr>
      </w:pPr>
    </w:p>
    <w:p>
      <w:pPr>
        <w:jc w:val="both"/>
        <w:ind w:left="840" w:right="59" w:firstLine="751"/>
        <w:spacing w:after="0" w:line="272" w:lineRule="auto"/>
        <w:tabs>
          <w:tab w:leader="none" w:pos="2254" w:val="left"/>
        </w:tabs>
        <w:numPr>
          <w:ilvl w:val="1"/>
          <w:numId w:val="55"/>
        </w:numPr>
        <w:rPr>
          <w:rFonts w:ascii="Arial" w:cs="Arial" w:eastAsia="Arial" w:hAnsi="Arial"/>
          <w:sz w:val="17"/>
          <w:szCs w:val="17"/>
          <w:color w:val="auto"/>
        </w:rPr>
      </w:pPr>
      <w:r>
        <w:rPr>
          <w:rFonts w:ascii="Arial" w:cs="Arial" w:eastAsia="Arial" w:hAnsi="Arial"/>
          <w:sz w:val="17"/>
          <w:szCs w:val="17"/>
          <w:color w:val="auto"/>
        </w:rPr>
        <w:t xml:space="preserve">(i) any Charge incurred as a result of, pursuant to or in connection with any management equity plan, bonus or other incentive plan, profits interest plan or stock option plan or any other management or employee benefit plan or agreement, pension plan or other long-term or post-employment plan (including any post-employment benefit scheme which has been agreed with the relevant pension trustee), any stock subscription or shareholder agreement, any employee benefit trust, any employment benefit scheme or any similar equity plan or agreement (including any deferred compensation arrangement) and (ii) any Charge incurred in connection with the rollover, acceleration or payout of Capital Stock held by management;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w:t>
      </w:r>
      <w:r>
        <w:rPr>
          <w:rFonts w:ascii="Arial" w:cs="Arial" w:eastAsia="Arial" w:hAnsi="Arial"/>
          <w:sz w:val="17"/>
          <w:szCs w:val="17"/>
          <w:u w:val="single" w:color="auto"/>
          <w:color w:val="auto"/>
        </w:rPr>
        <w:t>clause (ii)</w:t>
      </w:r>
      <w:r>
        <w:rPr>
          <w:rFonts w:ascii="Arial" w:cs="Arial" w:eastAsia="Arial" w:hAnsi="Arial"/>
          <w:sz w:val="17"/>
          <w:szCs w:val="17"/>
          <w:color w:val="auto"/>
        </w:rPr>
        <w:t>, to the extent that any such Charge is a cash charge, such Charge shall only be excluded to the extent the same is funded with net cash proceeds contributed to relevant Person as a capital contribution or as a result of the sale or issuance of Qualified Capital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19</w:t>
      </w:r>
      <w:r>
        <w:rPr>
          <w:rFonts w:ascii="Arial" w:cs="Arial" w:eastAsia="Arial" w:hAnsi="Arial"/>
          <w:sz w:val="18"/>
          <w:szCs w:val="18"/>
          <w:u w:val="single" w:color="auto"/>
          <w:color w:val="0000FF"/>
          <w:strike w:val="1"/>
        </w:rPr>
        <w:t>19</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87" w:name="page88"/>
    <w:bookmarkEnd w:id="87"/>
    <w:p>
      <w:pPr>
        <w:jc w:val="both"/>
        <w:ind w:left="840" w:right="39" w:firstLine="752"/>
        <w:spacing w:after="0" w:line="274" w:lineRule="auto"/>
        <w:tabs>
          <w:tab w:leader="none" w:pos="2256" w:val="left"/>
        </w:tabs>
        <w:numPr>
          <w:ilvl w:val="1"/>
          <w:numId w:val="56"/>
        </w:numPr>
        <w:rPr>
          <w:rFonts w:ascii="Arial" w:cs="Arial" w:eastAsia="Arial" w:hAnsi="Arial"/>
          <w:sz w:val="17"/>
          <w:szCs w:val="17"/>
          <w:color w:val="auto"/>
        </w:rPr>
      </w:pPr>
      <w:r>
        <w:rPr>
          <w:rFonts w:ascii="Arial" w:cs="Arial" w:eastAsia="Arial" w:hAnsi="Arial"/>
          <w:sz w:val="17"/>
          <w:szCs w:val="17"/>
          <w:color w:val="auto"/>
        </w:rPr>
        <w:t>any Charge that is established, adjusted and/or incurred, as applicable, (i) within 12 months after the Closing Date that is required to be established, adjusted or incurred, as applicable, as a result of the Transactions in accordance with GAAP, (ii) within 12 months after the closing of any other acquisition or similar Investment that is required to be established, adjusted or incurred, as applicable, as a result of such acquisition in accordance with GAAP or</w:t>
      </w:r>
    </w:p>
    <w:p>
      <w:pPr>
        <w:ind w:left="840" w:right="39" w:firstLine="3"/>
        <w:spacing w:after="0" w:line="243" w:lineRule="auto"/>
        <w:tabs>
          <w:tab w:leader="none" w:pos="1182" w:val="left"/>
        </w:tabs>
        <w:numPr>
          <w:ilvl w:val="0"/>
          <w:numId w:val="57"/>
        </w:numPr>
        <w:rPr>
          <w:rFonts w:ascii="Arial" w:cs="Arial" w:eastAsia="Arial" w:hAnsi="Arial"/>
          <w:sz w:val="19"/>
          <w:szCs w:val="19"/>
          <w:color w:val="auto"/>
        </w:rPr>
      </w:pPr>
      <w:r>
        <w:rPr>
          <w:rFonts w:ascii="Arial" w:cs="Arial" w:eastAsia="Arial" w:hAnsi="Arial"/>
          <w:sz w:val="19"/>
          <w:szCs w:val="19"/>
          <w:color w:val="auto"/>
        </w:rPr>
        <w:t>as a result of any change in, or the adoption or modification of, accounting principles and/or policies in accordance with GAAP;</w:t>
      </w:r>
    </w:p>
    <w:p>
      <w:pPr>
        <w:spacing w:after="0" w:line="189" w:lineRule="exact"/>
        <w:rPr>
          <w:rFonts w:ascii="Arial" w:cs="Arial" w:eastAsia="Arial" w:hAnsi="Arial"/>
          <w:sz w:val="19"/>
          <w:szCs w:val="19"/>
          <w:color w:val="auto"/>
        </w:rPr>
      </w:pPr>
    </w:p>
    <w:p>
      <w:pPr>
        <w:jc w:val="both"/>
        <w:ind w:left="840" w:right="19" w:firstLine="751"/>
        <w:spacing w:after="0" w:line="255" w:lineRule="auto"/>
        <w:tabs>
          <w:tab w:leader="none" w:pos="2256" w:val="left"/>
        </w:tabs>
        <w:numPr>
          <w:ilvl w:val="1"/>
          <w:numId w:val="57"/>
        </w:numPr>
        <w:rPr>
          <w:rFonts w:ascii="Arial" w:cs="Arial" w:eastAsia="Arial" w:hAnsi="Arial"/>
          <w:sz w:val="18"/>
          <w:szCs w:val="18"/>
          <w:color w:val="auto"/>
        </w:rPr>
      </w:pPr>
      <w:r>
        <w:rPr>
          <w:rFonts w:ascii="Arial" w:cs="Arial" w:eastAsia="Arial" w:hAnsi="Arial"/>
          <w:sz w:val="18"/>
          <w:szCs w:val="18"/>
          <w:color w:val="auto"/>
        </w:rPr>
        <w:t>(i) the effects of adjustments (including the effects of such adjustments pushed down to the relevant Person and its subsidiaries) in component amounts required or permitted by GAAP (including in the inventory, property and equipment, leases, rights fee arrangements, software, goodwill, intangible assets, in-process research and development, deferred revenue, advanced billing and debt line items thereof), resulting from the application of purchase accounting, recapitalization accounting and/or acquisition method accounting, as applicable, in relation to the Transactions or any consummated acquisition or other Investment or the amortization or write-off of any amount thereof, and (ii) the cumulative effect of changes (effected through cumulative effect adjustment or retroactive application) in, and/or any change resulting from the adoption or modification of, accounting principles or policies made in such period in accordance with GAAP which affect Consolidated Net Income (except that, if such Person determines in good faith that the cumulative effects thereof are not material to the interests of the Lenders, the effects of any change, adoption or modification of any such principles or policies may be included in any subsequent period after the Fiscal Quarter in which such change, adoption or modification was made);</w:t>
      </w:r>
    </w:p>
    <w:p>
      <w:pPr>
        <w:spacing w:after="0" w:line="182" w:lineRule="exact"/>
        <w:rPr>
          <w:rFonts w:ascii="Arial" w:cs="Arial" w:eastAsia="Arial" w:hAnsi="Arial"/>
          <w:sz w:val="18"/>
          <w:szCs w:val="18"/>
          <w:color w:val="auto"/>
        </w:rPr>
      </w:pPr>
    </w:p>
    <w:p>
      <w:pPr>
        <w:ind w:left="2340" w:hanging="748"/>
        <w:spacing w:after="0"/>
        <w:tabs>
          <w:tab w:leader="none" w:pos="2340" w:val="left"/>
        </w:tabs>
        <w:numPr>
          <w:ilvl w:val="1"/>
          <w:numId w:val="57"/>
        </w:numPr>
        <w:rPr>
          <w:rFonts w:ascii="Arial" w:cs="Arial" w:eastAsia="Arial" w:hAnsi="Arial"/>
          <w:sz w:val="19"/>
          <w:szCs w:val="19"/>
          <w:color w:val="auto"/>
        </w:rPr>
      </w:pPr>
      <w:r>
        <w:rPr>
          <w:rFonts w:ascii="Arial" w:cs="Arial" w:eastAsia="Arial" w:hAnsi="Arial"/>
          <w:sz w:val="19"/>
          <w:szCs w:val="19"/>
          <w:color w:val="auto"/>
        </w:rPr>
        <w:t>[reserved];</w:t>
      </w:r>
    </w:p>
    <w:p>
      <w:pPr>
        <w:spacing w:after="0" w:line="213" w:lineRule="exact"/>
        <w:rPr>
          <w:rFonts w:ascii="Arial" w:cs="Arial" w:eastAsia="Arial" w:hAnsi="Arial"/>
          <w:sz w:val="19"/>
          <w:szCs w:val="19"/>
          <w:color w:val="auto"/>
        </w:rPr>
      </w:pPr>
    </w:p>
    <w:p>
      <w:pPr>
        <w:jc w:val="both"/>
        <w:ind w:left="840" w:right="19" w:firstLine="752"/>
        <w:spacing w:after="0" w:line="257" w:lineRule="auto"/>
        <w:tabs>
          <w:tab w:leader="none" w:pos="2257"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(i) any realized or unrealized gain and/or loss in the fair market value of (A) any obligation under any Hedge Agreement as determined in accordance with GAAP and/or (B) any other derivative instrument pursuant to, in the case of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Financial Accounting Standards Board’s Accounting Standards Codification No. 815-Derivatives and Hedging, and/or (ii) any realized or unrealized foreign currency translation or transaction gain or loss (including any currency re-measurement of Indebtedness, any net gain or loss resulting from Hedge Agreements for currency exchange risk associated with the foregoing or any other currency related risk and any gain or loss resulting from any intercompany Indebtedness, any foreign currency translation or transaction or any other currency-related risk); </w:t>
      </w: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anything to the contrary herein, any realized gain or loss in respect of any Designated Operational FX Hedge shall be included in the calculation of Consolidated Net Income;</w:t>
      </w:r>
    </w:p>
    <w:p>
      <w:pPr>
        <w:spacing w:after="0" w:line="178" w:lineRule="exact"/>
        <w:rPr>
          <w:rFonts w:ascii="Arial" w:cs="Arial" w:eastAsia="Arial" w:hAnsi="Arial"/>
          <w:sz w:val="18"/>
          <w:szCs w:val="18"/>
          <w:color w:val="auto"/>
        </w:rPr>
      </w:pPr>
    </w:p>
    <w:p>
      <w:pPr>
        <w:ind w:left="840" w:right="59" w:firstLine="751"/>
        <w:spacing w:after="0" w:line="261" w:lineRule="auto"/>
        <w:tabs>
          <w:tab w:leader="none" w:pos="2254" w:val="left"/>
        </w:tabs>
        <w:numPr>
          <w:ilvl w:val="1"/>
          <w:numId w:val="57"/>
        </w:numPr>
        <w:rPr>
          <w:rFonts w:ascii="Arial" w:cs="Arial" w:eastAsia="Arial" w:hAnsi="Arial"/>
          <w:sz w:val="19"/>
          <w:szCs w:val="19"/>
          <w:color w:val="auto"/>
        </w:rPr>
      </w:pPr>
      <w:r>
        <w:rPr>
          <w:rFonts w:ascii="Arial" w:cs="Arial" w:eastAsia="Arial" w:hAnsi="Arial"/>
          <w:sz w:val="19"/>
          <w:szCs w:val="19"/>
          <w:color w:val="auto"/>
        </w:rPr>
        <w:t>any deferred Tax expense associated with any tax deduction or net operating loss arising as a result of the Transactions, or the release of any valuation allowance related to any such item;</w:t>
      </w:r>
    </w:p>
    <w:p>
      <w:pPr>
        <w:spacing w:after="0" w:line="172" w:lineRule="exact"/>
        <w:rPr>
          <w:rFonts w:ascii="Arial" w:cs="Arial" w:eastAsia="Arial" w:hAnsi="Arial"/>
          <w:sz w:val="19"/>
          <w:szCs w:val="19"/>
          <w:color w:val="auto"/>
        </w:rPr>
      </w:pPr>
    </w:p>
    <w:p>
      <w:pPr>
        <w:jc w:val="both"/>
        <w:ind w:left="840" w:right="39" w:firstLine="752"/>
        <w:spacing w:after="0" w:line="283" w:lineRule="auto"/>
        <w:tabs>
          <w:tab w:leader="none" w:pos="2256" w:val="left"/>
        </w:tabs>
        <w:numPr>
          <w:ilvl w:val="1"/>
          <w:numId w:val="57"/>
        </w:numPr>
        <w:rPr>
          <w:rFonts w:ascii="Arial" w:cs="Arial" w:eastAsia="Arial" w:hAnsi="Arial"/>
          <w:sz w:val="17"/>
          <w:szCs w:val="17"/>
          <w:color w:val="auto"/>
        </w:rPr>
      </w:pPr>
      <w:r>
        <w:rPr>
          <w:rFonts w:ascii="Arial" w:cs="Arial" w:eastAsia="Arial" w:hAnsi="Arial"/>
          <w:sz w:val="17"/>
          <w:szCs w:val="17"/>
          <w:color w:val="auto"/>
        </w:rPr>
        <w:t xml:space="preserve">any non-cash (and, with respect to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cash) Charge (including any implementation Charge) (other than any write-down of current assets) (including non-cash compensation expense and any amount representing any non-cash adjustment) required by the application of (i) FASB Statement No. 144, (ii) FASB Statement No. 141R, (iii) FASB Statement No. 142 and (iv) Accounting Standards Update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left="840" w:right="59" w:firstLine="751"/>
        <w:spacing w:after="0" w:line="261" w:lineRule="auto"/>
        <w:tabs>
          <w:tab w:leader="none" w:pos="2254" w:val="left"/>
        </w:tabs>
        <w:numPr>
          <w:ilvl w:val="1"/>
          <w:numId w:val="57"/>
        </w:numPr>
        <w:rPr>
          <w:rFonts w:ascii="Arial" w:cs="Arial" w:eastAsia="Arial" w:hAnsi="Arial"/>
          <w:sz w:val="19"/>
          <w:szCs w:val="19"/>
          <w:color w:val="auto"/>
        </w:rPr>
      </w:pPr>
      <w:r>
        <w:rPr>
          <w:rFonts w:ascii="Arial" w:cs="Arial" w:eastAsia="Arial" w:hAnsi="Arial"/>
          <w:sz w:val="19"/>
          <w:szCs w:val="19"/>
          <w:color w:val="auto"/>
        </w:rPr>
        <w:t>any cash or non-cash Charge required by the application of FASB Statement No. 141R to be expensed by such Person and/or any Restricted Subsidiary during the applicable period; and</w:t>
      </w:r>
    </w:p>
    <w:p>
      <w:pPr>
        <w:spacing w:after="0" w:line="172" w:lineRule="exact"/>
        <w:rPr>
          <w:rFonts w:ascii="Arial" w:cs="Arial" w:eastAsia="Arial" w:hAnsi="Arial"/>
          <w:sz w:val="19"/>
          <w:szCs w:val="19"/>
          <w:color w:val="auto"/>
        </w:rPr>
      </w:pPr>
    </w:p>
    <w:p>
      <w:pPr>
        <w:ind w:left="840" w:right="59" w:firstLine="751"/>
        <w:spacing w:after="0" w:line="276" w:lineRule="auto"/>
        <w:tabs>
          <w:tab w:leader="none" w:pos="2254" w:val="left"/>
        </w:tabs>
        <w:numPr>
          <w:ilvl w:val="1"/>
          <w:numId w:val="57"/>
        </w:numPr>
        <w:rPr>
          <w:rFonts w:ascii="Arial" w:cs="Arial" w:eastAsia="Arial" w:hAnsi="Arial"/>
          <w:sz w:val="19"/>
          <w:szCs w:val="19"/>
          <w:color w:val="auto"/>
        </w:rPr>
      </w:pPr>
      <w:r>
        <w:rPr>
          <w:rFonts w:ascii="Arial" w:cs="Arial" w:eastAsia="Arial" w:hAnsi="Arial"/>
          <w:sz w:val="19"/>
          <w:szCs w:val="19"/>
          <w:color w:val="auto"/>
        </w:rPr>
        <w:t>(i) any one-time cumulative effect adjustment resulting from any change in accounting for revenue required by Accounting Standards Codification 606 or its replacement and/or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20</w:t>
      </w:r>
      <w:r>
        <w:rPr>
          <w:rFonts w:ascii="Arial" w:cs="Arial" w:eastAsia="Arial" w:hAnsi="Arial"/>
          <w:sz w:val="18"/>
          <w:szCs w:val="18"/>
          <w:u w:val="single" w:color="auto"/>
          <w:color w:val="0000FF"/>
          <w:strike w:val="1"/>
        </w:rPr>
        <w:t>20</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88" w:name="page89"/>
    <w:bookmarkEnd w:id="88"/>
    <w:p>
      <w:pPr>
        <w:ind w:left="840"/>
        <w:spacing w:after="0"/>
        <w:rPr>
          <w:sz w:val="20"/>
          <w:szCs w:val="20"/>
          <w:color w:val="auto"/>
        </w:rPr>
      </w:pPr>
      <w:r>
        <w:rPr>
          <w:rFonts w:ascii="Arial" w:cs="Arial" w:eastAsia="Arial" w:hAnsi="Arial"/>
          <w:sz w:val="19"/>
          <w:szCs w:val="19"/>
          <w:color w:val="auto"/>
        </w:rPr>
        <w:t>(ii) any Charge incurred in connection with the implementation of Accounting Standards Codification 606.</w:t>
      </w:r>
    </w:p>
    <w:p>
      <w:pPr>
        <w:spacing w:after="0" w:line="214" w:lineRule="exact"/>
        <w:rPr>
          <w:sz w:val="20"/>
          <w:szCs w:val="20"/>
          <w:color w:val="auto"/>
        </w:rPr>
      </w:pPr>
    </w:p>
    <w:p>
      <w:pPr>
        <w:jc w:val="both"/>
        <w:ind w:left="100" w:right="59" w:firstLine="749"/>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Secured Debt</w:t>
      </w:r>
      <w:r>
        <w:rPr>
          <w:rFonts w:ascii="Arial" w:cs="Arial" w:eastAsia="Arial" w:hAnsi="Arial"/>
          <w:sz w:val="18"/>
          <w:szCs w:val="18"/>
          <w:color w:val="auto"/>
        </w:rPr>
        <w:t>” means, as to any Person at any date of determination, the aggregate principal amount of Consolidated Total Debt outstanding on such date that is secured by a Lien on substantially all of the Collateral.</w:t>
      </w:r>
    </w:p>
    <w:p>
      <w:pPr>
        <w:spacing w:after="0" w:line="150" w:lineRule="exact"/>
        <w:rPr>
          <w:sz w:val="20"/>
          <w:szCs w:val="20"/>
          <w:color w:val="auto"/>
        </w:rPr>
      </w:pPr>
    </w:p>
    <w:p>
      <w:pPr>
        <w:ind w:left="100" w:right="99" w:firstLine="749"/>
        <w:spacing w:after="0" w:line="32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Assets</w:t>
      </w:r>
      <w:r>
        <w:rPr>
          <w:rFonts w:ascii="Arial" w:cs="Arial" w:eastAsia="Arial" w:hAnsi="Arial"/>
          <w:sz w:val="17"/>
          <w:szCs w:val="17"/>
          <w:color w:val="auto"/>
        </w:rPr>
        <w:t>” means, at any date, all amounts that would, in conformity with GAAP, be set forth opposite the caption “total assets” (or any like caption) on a consolidated balance sheet of the applicable Person at such date.</w:t>
      </w:r>
    </w:p>
    <w:p>
      <w:pPr>
        <w:spacing w:after="0" w:line="113" w:lineRule="exact"/>
        <w:rPr>
          <w:sz w:val="20"/>
          <w:szCs w:val="20"/>
          <w:color w:val="auto"/>
        </w:rPr>
      </w:pPr>
    </w:p>
    <w:p>
      <w:pPr>
        <w:jc w:val="both"/>
        <w:ind w:left="100" w:right="39" w:firstLine="749"/>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Debt</w:t>
      </w:r>
      <w:r>
        <w:rPr>
          <w:rFonts w:ascii="Arial" w:cs="Arial" w:eastAsia="Arial" w:hAnsi="Arial"/>
          <w:sz w:val="17"/>
          <w:szCs w:val="17"/>
          <w:color w:val="auto"/>
        </w:rPr>
        <w:t xml:space="preserve">” means, as to any Person at any date of determination, (x) the aggregate outstanding principal amount of all third party debt for borrowed money (including LC Disbursements that have not been reimbursed within three Business Days and excluding, for the avoidance of doubt, undrawn letters of credit), (y) to extent constituting Indebtedness, obligations in respect of Capital Leases and (z) the aggregate outstanding principal amount of all purchase money Indebtedness, in each case, as such amount may be adjusted to reflect the effect (as determined by the Borrower in good faith) of any Debt FX Hedge, calculated on a mark-to-market basis; </w:t>
      </w:r>
      <w:r>
        <w:rPr>
          <w:rFonts w:ascii="Arial" w:cs="Arial" w:eastAsia="Arial" w:hAnsi="Arial"/>
          <w:sz w:val="17"/>
          <w:szCs w:val="17"/>
          <w:u w:val="single" w:color="auto"/>
          <w:color w:val="auto"/>
        </w:rPr>
        <w:t>provided</w:t>
      </w:r>
      <w:r>
        <w:rPr>
          <w:rFonts w:ascii="Arial" w:cs="Arial" w:eastAsia="Arial" w:hAnsi="Arial"/>
          <w:sz w:val="17"/>
          <w:szCs w:val="17"/>
          <w:color w:val="auto"/>
        </w:rPr>
        <w:t>, that “Consolidated Total Debt” shall be calculated (a) net of the Unrestricted Cash Amount and (b) excluding (i) any obligation, liability or indebtedness of such Person if, upon or prior to the maturity thereof, such Person has irrevocably deposited with the proper Person in trust or escrow the necessary funds (or evidences of indebtedness) for the payment, redemption or satisfaction of such obligation, liability or indebtedness, and thereafter such funds and evidences of such obligation, liability or indebtedness or other security so deposited are not included in the calculation of the Unrestricted Cash Amount, (ii) any debt the proceeds of which are held in Escrow and (iii) for the avoidance of doubt, any amount owing under, or in respect of, any earn-out obligation and/or any purchase price adjustment.</w:t>
      </w:r>
    </w:p>
    <w:p>
      <w:pPr>
        <w:spacing w:after="0" w:line="178"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Contractual Obligation</w:t>
      </w:r>
      <w:r>
        <w:rPr>
          <w:rFonts w:ascii="Arial" w:cs="Arial" w:eastAsia="Arial" w:hAnsi="Arial"/>
          <w:sz w:val="19"/>
          <w:szCs w:val="19"/>
          <w:color w:val="auto"/>
        </w:rPr>
        <w:t>” means, as applied to any Person, any provision of any Security issued by that Person or of any indenture, mortgage, deed of trust, contract, undertaking, agreement or other instrument to which that Person is a party or by which it or any of its properties is bound or to which it or any of its properties is subject.</w:t>
      </w:r>
    </w:p>
    <w:p>
      <w:pPr>
        <w:spacing w:after="0" w:line="179" w:lineRule="exact"/>
        <w:rPr>
          <w:sz w:val="20"/>
          <w:szCs w:val="20"/>
          <w:color w:val="auto"/>
        </w:rPr>
      </w:pPr>
    </w:p>
    <w:p>
      <w:pPr>
        <w:jc w:val="both"/>
        <w:ind w:left="100" w:right="79" w:firstLine="74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w:t>
      </w:r>
      <w:r>
        <w:rPr>
          <w:rFonts w:ascii="Arial" w:cs="Arial" w:eastAsia="Arial" w:hAnsi="Arial"/>
          <w:sz w:val="19"/>
          <w:szCs w:val="19"/>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9"/>
          <w:szCs w:val="19"/>
          <w:u w:val="single" w:color="auto"/>
          <w:color w:val="auto"/>
        </w:rPr>
        <w:t>Controlling</w:t>
      </w:r>
      <w:r>
        <w:rPr>
          <w:rFonts w:ascii="Arial" w:cs="Arial" w:eastAsia="Arial" w:hAnsi="Arial"/>
          <w:sz w:val="19"/>
          <w:szCs w:val="19"/>
          <w:color w:val="auto"/>
        </w:rPr>
        <w:t>” and “</w:t>
      </w:r>
      <w:r>
        <w:rPr>
          <w:rFonts w:ascii="Arial" w:cs="Arial" w:eastAsia="Arial" w:hAnsi="Arial"/>
          <w:sz w:val="19"/>
          <w:szCs w:val="19"/>
          <w:u w:val="single" w:color="auto"/>
          <w:color w:val="auto"/>
        </w:rPr>
        <w:t>Controlled</w:t>
      </w:r>
      <w:r>
        <w:rPr>
          <w:rFonts w:ascii="Arial" w:cs="Arial" w:eastAsia="Arial" w:hAnsi="Arial"/>
          <w:sz w:val="19"/>
          <w:szCs w:val="19"/>
          <w:color w:val="auto"/>
        </w:rPr>
        <w:t>” have meanings correlative thereto.</w:t>
      </w:r>
    </w:p>
    <w:p>
      <w:pPr>
        <w:spacing w:after="0" w:line="179" w:lineRule="exact"/>
        <w:rPr>
          <w:sz w:val="20"/>
          <w:szCs w:val="20"/>
          <w:color w:val="auto"/>
        </w:rPr>
      </w:pPr>
    </w:p>
    <w:p>
      <w:pPr>
        <w:jc w:val="both"/>
        <w:ind w:left="100" w:right="59" w:firstLine="74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Convertible Indebtedness</w:t>
      </w:r>
      <w:r>
        <w:rPr>
          <w:rFonts w:ascii="Arial" w:cs="Arial" w:eastAsia="Arial" w:hAnsi="Arial"/>
          <w:sz w:val="19"/>
          <w:szCs w:val="19"/>
          <w:color w:val="auto"/>
        </w:rPr>
        <w:t>” means Indebtedness of the Parent (which may be guaranteed by any Loan Party) that is (a) not prohibited by the terms of this Agreement from being incurred and (b) either</w:t>
      </w:r>
    </w:p>
    <w:p>
      <w:pPr>
        <w:spacing w:after="0" w:line="1" w:lineRule="exact"/>
        <w:rPr>
          <w:sz w:val="20"/>
          <w:szCs w:val="20"/>
          <w:color w:val="auto"/>
        </w:rPr>
      </w:pPr>
    </w:p>
    <w:p>
      <w:pPr>
        <w:jc w:val="both"/>
        <w:ind w:left="100" w:right="19" w:hanging="7"/>
        <w:spacing w:after="0" w:line="232" w:lineRule="auto"/>
        <w:tabs>
          <w:tab w:leader="none" w:pos="342" w:val="left"/>
        </w:tabs>
        <w:numPr>
          <w:ilvl w:val="0"/>
          <w:numId w:val="58"/>
        </w:numPr>
        <w:rPr>
          <w:rFonts w:ascii="Arial" w:cs="Arial" w:eastAsia="Arial" w:hAnsi="Arial"/>
          <w:sz w:val="19"/>
          <w:szCs w:val="19"/>
          <w:color w:val="auto"/>
        </w:rPr>
      </w:pPr>
      <w:r>
        <w:rPr>
          <w:rFonts w:ascii="Arial" w:cs="Arial" w:eastAsia="Arial" w:hAnsi="Arial"/>
          <w:sz w:val="19"/>
          <w:szCs w:val="19"/>
          <w:color w:val="auto"/>
        </w:rPr>
        <w:t>convertible into common equity of the Parent (and cash in lieu of fractional shares) and/or cash (in an amount determined by reference to the price of such common equity) or (ii) sold as a unit with any call option, warrant and/or right to purchase (or any substantially equivalent derivative transaction) that is exercisable for common equity of the Parent and/or cash (in an amount determined by reference to the price of such common equity).</w:t>
      </w:r>
    </w:p>
    <w:p>
      <w:pPr>
        <w:spacing w:after="0" w:line="179" w:lineRule="exact"/>
        <w:rPr>
          <w:sz w:val="20"/>
          <w:szCs w:val="20"/>
          <w:color w:val="auto"/>
        </w:rPr>
      </w:pPr>
    </w:p>
    <w:p>
      <w:pPr>
        <w:jc w:val="both"/>
        <w:ind w:left="100" w:right="39" w:firstLine="749"/>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w:t>
      </w:r>
      <w:r>
        <w:rPr>
          <w:rFonts w:ascii="Arial" w:cs="Arial" w:eastAsia="Arial" w:hAnsi="Arial"/>
          <w:sz w:val="18"/>
          <w:szCs w:val="18"/>
          <w:color w:val="auto"/>
        </w:rPr>
        <w:t>” means the following: (a) all copyrights, rights and interests in copyrights, works protectable by copyright whether published or unpublished, copyright registrations and copyright applications; (b) all renewals of any of the foregoing; (c) all income, royalties, damages, and payments now or hereafter due and/or payable under any of the foregoing, including, without limitation, damages or payments for past or future infringements for any of the foregoing; (d) the right to sue for past, present, and future infringements of any of the foregoing; and (e) all rights corresponding to any of the foregoing.</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Corresponding Amount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8.14(c)</w:t>
      </w:r>
      <w:r>
        <w:rPr>
          <w:rFonts w:ascii="Arial" w:cs="Arial" w:eastAsia="Arial" w:hAnsi="Arial"/>
          <w:sz w:val="19"/>
          <w:szCs w:val="19"/>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21</w:t>
      </w:r>
      <w:r>
        <w:rPr>
          <w:rFonts w:ascii="Arial" w:cs="Arial" w:eastAsia="Arial" w:hAnsi="Arial"/>
          <w:sz w:val="18"/>
          <w:szCs w:val="18"/>
          <w:u w:val="single" w:color="auto"/>
          <w:color w:val="0000FF"/>
          <w:strike w:val="1"/>
        </w:rPr>
        <w:t>21</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89" w:name="page90"/>
    <w:bookmarkEnd w:id="89"/>
    <w:p>
      <w:pPr>
        <w:ind w:left="840" w:right="159"/>
        <w:spacing w:after="0" w:line="4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Covenant Acquisition Increase</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6.10(a)</w:t>
      </w:r>
      <w:r>
        <w:rPr>
          <w:rFonts w:ascii="Arial" w:cs="Arial" w:eastAsia="Arial" w:hAnsi="Arial"/>
          <w:sz w:val="19"/>
          <w:szCs w:val="19"/>
          <w:color w:val="auto"/>
        </w:rPr>
        <w:t>. “</w:t>
      </w:r>
      <w:r>
        <w:rPr>
          <w:rFonts w:ascii="Arial" w:cs="Arial" w:eastAsia="Arial" w:hAnsi="Arial"/>
          <w:sz w:val="19"/>
          <w:szCs w:val="19"/>
          <w:u w:val="single" w:color="auto"/>
          <w:color w:val="auto"/>
        </w:rPr>
        <w:t>Covenant Acquisition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Increase Period</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6.10(a)</w:t>
      </w:r>
      <w:r>
        <w:rPr>
          <w:rFonts w:ascii="Arial" w:cs="Arial" w:eastAsia="Arial" w:hAnsi="Arial"/>
          <w:sz w:val="19"/>
          <w:szCs w:val="19"/>
          <w:color w:val="auto"/>
        </w:rPr>
        <w:t>. “</w:t>
      </w:r>
      <w:r>
        <w:rPr>
          <w:rFonts w:ascii="Arial" w:cs="Arial" w:eastAsia="Arial" w:hAnsi="Arial"/>
          <w:sz w:val="19"/>
          <w:szCs w:val="19"/>
          <w:u w:val="single" w:color="auto"/>
          <w:color w:val="auto"/>
        </w:rPr>
        <w:t>Covered Party</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9.26(a)</w:t>
      </w:r>
      <w:r>
        <w:rPr>
          <w:rFonts w:ascii="Arial" w:cs="Arial" w:eastAsia="Arial" w:hAnsi="Arial"/>
          <w:sz w:val="19"/>
          <w:szCs w:val="19"/>
          <w:color w:val="auto"/>
        </w:rPr>
        <w:t>.</w:t>
      </w:r>
    </w:p>
    <w:p>
      <w:pPr>
        <w:jc w:val="both"/>
        <w:ind w:left="100" w:right="3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Extension</w:t>
      </w:r>
      <w:r>
        <w:rPr>
          <w:rFonts w:ascii="Arial" w:cs="Arial" w:eastAsia="Arial" w:hAnsi="Arial"/>
          <w:sz w:val="19"/>
          <w:szCs w:val="19"/>
          <w:color w:val="auto"/>
        </w:rPr>
        <w:t xml:space="preserve">” means each of (a) the making of a Revolving Loan or Swingline Loan (other than any Letter of Credit Reimbursement Loan or any Revolving Loan resulting from the application of </w:t>
      </w:r>
      <w:r>
        <w:rPr>
          <w:rFonts w:ascii="Arial" w:cs="Arial" w:eastAsia="Arial" w:hAnsi="Arial"/>
          <w:sz w:val="19"/>
          <w:szCs w:val="19"/>
          <w:u w:val="single" w:color="auto"/>
          <w:color w:val="auto"/>
        </w:rPr>
        <w:t>Section 2.04(b)</w:t>
      </w:r>
      <w:r>
        <w:rPr>
          <w:rFonts w:ascii="Arial" w:cs="Arial" w:eastAsia="Arial" w:hAnsi="Arial"/>
          <w:sz w:val="19"/>
          <w:szCs w:val="19"/>
          <w:color w:val="auto"/>
        </w:rPr>
        <w:t>) or (b) the issuance, amendment, modification, renewal or extension of any Letter of Credit (other than any such amendment, modification, renewal or extension that does not increase the Stated Amount of the relevant Letter of Credit).</w:t>
      </w:r>
    </w:p>
    <w:p>
      <w:pPr>
        <w:spacing w:after="0" w:line="275" w:lineRule="exact"/>
        <w:rPr>
          <w:sz w:val="20"/>
          <w:szCs w:val="20"/>
          <w:color w:val="auto"/>
        </w:rPr>
      </w:pPr>
    </w:p>
    <w:p>
      <w:pPr>
        <w:ind w:left="840" w:right="2499"/>
        <w:spacing w:after="0" w:line="4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Facilities</w:t>
      </w:r>
      <w:r>
        <w:rPr>
          <w:rFonts w:ascii="Arial" w:cs="Arial" w:eastAsia="Arial" w:hAnsi="Arial"/>
          <w:sz w:val="19"/>
          <w:szCs w:val="19"/>
          <w:color w:val="auto"/>
        </w:rPr>
        <w:t>” means the Revolving Facility and the Term Facility. “</w:t>
      </w:r>
      <w:r>
        <w:rPr>
          <w:rFonts w:ascii="Arial" w:cs="Arial" w:eastAsia="Arial" w:hAnsi="Arial"/>
          <w:sz w:val="19"/>
          <w:szCs w:val="19"/>
          <w:u w:val="single" w:color="auto"/>
          <w:color w:val="auto"/>
        </w:rPr>
        <w:t>Credit Party</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9.14</w:t>
      </w:r>
      <w:r>
        <w:rPr>
          <w:rFonts w:ascii="Arial" w:cs="Arial" w:eastAsia="Arial" w:hAnsi="Arial"/>
          <w:sz w:val="19"/>
          <w:szCs w:val="19"/>
          <w:color w:val="auto"/>
        </w:rPr>
        <w:t>. “</w:t>
      </w:r>
      <w:r>
        <w:rPr>
          <w:rFonts w:ascii="Arial" w:cs="Arial" w:eastAsia="Arial" w:hAnsi="Arial"/>
          <w:sz w:val="19"/>
          <w:szCs w:val="19"/>
          <w:u w:val="single" w:color="auto"/>
          <w:color w:val="auto"/>
        </w:rPr>
        <w:t>Cure Amount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6.10(b)</w:t>
      </w:r>
      <w:r>
        <w:rPr>
          <w:rFonts w:ascii="Arial" w:cs="Arial" w:eastAsia="Arial" w:hAnsi="Arial"/>
          <w:sz w:val="19"/>
          <w:szCs w:val="19"/>
          <w:color w:val="auto"/>
        </w:rPr>
        <w:t>. “</w:t>
      </w:r>
      <w:r>
        <w:rPr>
          <w:rFonts w:ascii="Arial" w:cs="Arial" w:eastAsia="Arial" w:hAnsi="Arial"/>
          <w:sz w:val="19"/>
          <w:szCs w:val="19"/>
          <w:u w:val="single" w:color="auto"/>
          <w:color w:val="auto"/>
        </w:rPr>
        <w:t>Cure Right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6.10(b)</w:t>
      </w:r>
      <w:r>
        <w:rPr>
          <w:rFonts w:ascii="Arial" w:cs="Arial" w:eastAsia="Arial" w:hAnsi="Arial"/>
          <w:sz w:val="19"/>
          <w:szCs w:val="19"/>
          <w:color w:val="auto"/>
        </w:rPr>
        <w:t>.</w:t>
      </w:r>
    </w:p>
    <w:p>
      <w:pPr>
        <w:spacing w:after="0" w:line="1" w:lineRule="exact"/>
        <w:rPr>
          <w:sz w:val="20"/>
          <w:szCs w:val="20"/>
          <w:color w:val="auto"/>
        </w:rPr>
      </w:pPr>
    </w:p>
    <w:p>
      <w:pPr>
        <w:jc w:val="both"/>
        <w:ind w:left="100" w:right="59" w:firstLine="749"/>
        <w:spacing w:after="0" w:line="23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Current Assets</w:t>
      </w:r>
      <w:r>
        <w:rPr>
          <w:rFonts w:ascii="Arial" w:cs="Arial" w:eastAsia="Arial" w:hAnsi="Arial"/>
          <w:sz w:val="19"/>
          <w:szCs w:val="19"/>
          <w:color w:val="auto"/>
        </w:rPr>
        <w:t xml:space="preserve">” means, at any date, (a) all assets of the Borrower and its Restricted Subsidiaries which under GAAP would be classified as current assets (excluding any (i) cash or Cash Equivalents (including cash and Cash Equivalents held on deposit for third parties by the Borrower and/or any Restricted Subsidiary), (ii) permitted loans to third parties, (iii) deferred bank fees and derivative financial instruments related to Indebtedness, (iv) the current portion of current and deferred Taxes and (v) management fees receivables) and (b) in the event that any Receivables Facility is accounted for off-balance sheet, (i) gross receivables subject to such Receivables Facility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collections against the amounts sold pursuant to such Receivables Facility.</w:t>
      </w:r>
    </w:p>
    <w:p>
      <w:pPr>
        <w:spacing w:after="0" w:line="182" w:lineRule="exact"/>
        <w:rPr>
          <w:sz w:val="20"/>
          <w:szCs w:val="20"/>
          <w:color w:val="auto"/>
        </w:rPr>
      </w:pPr>
    </w:p>
    <w:p>
      <w:pPr>
        <w:jc w:val="both"/>
        <w:ind w:left="100" w:right="59" w:firstLine="749"/>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Customary Bridge Loans</w:t>
      </w:r>
      <w:r>
        <w:rPr>
          <w:rFonts w:ascii="Arial" w:cs="Arial" w:eastAsia="Arial" w:hAnsi="Arial"/>
          <w:sz w:val="19"/>
          <w:szCs w:val="19"/>
          <w:color w:val="auto"/>
        </w:rPr>
        <w:t xml:space="preserve">” means bridge loans with a maturity date of not longer than one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Weighted Average Life to Maturity of any loan, note, security or other Indebtedness which is exchanged for or otherwise replaces (or is to be exchanged for or otherwise replace) such bridge loans is not shorter than the Weighted Average Life to Maturity of any Class of then-existing Term Loans and</w:t>
      </w:r>
    </w:p>
    <w:p>
      <w:pPr>
        <w:spacing w:after="0" w:line="1" w:lineRule="exact"/>
        <w:rPr>
          <w:sz w:val="20"/>
          <w:szCs w:val="20"/>
          <w:color w:val="auto"/>
        </w:rPr>
      </w:pPr>
    </w:p>
    <w:p>
      <w:pPr>
        <w:jc w:val="both"/>
        <w:ind w:left="100" w:right="59" w:hanging="7"/>
        <w:spacing w:after="0"/>
        <w:tabs>
          <w:tab w:leader="none" w:pos="368"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final maturity date of any loan, note, security or other Indebtedness which is exchanged for or otherwise replaces (or is to be exchanged for or otherwise replace) such bridge loans is not earlier than the Latest Term Loan Maturity Date on the date of the issuance or incurrence thereof.</w:t>
      </w:r>
    </w:p>
    <w:p>
      <w:pPr>
        <w:spacing w:after="0" w:line="193" w:lineRule="exact"/>
        <w:rPr>
          <w:sz w:val="20"/>
          <w:szCs w:val="20"/>
          <w:color w:val="auto"/>
        </w:rPr>
      </w:pPr>
    </w:p>
    <w:p>
      <w:pPr>
        <w:ind w:left="100" w:right="79" w:firstLine="749"/>
        <w:spacing w:after="0" w:line="246" w:lineRule="auto"/>
        <w:rPr>
          <w:sz w:val="20"/>
          <w:szCs w:val="20"/>
          <w:color w:val="auto"/>
        </w:rPr>
      </w:pPr>
      <w:r>
        <w:rPr>
          <w:rFonts w:ascii="Arial" w:cs="Arial" w:eastAsia="Arial" w:hAnsi="Arial"/>
          <w:sz w:val="19"/>
          <w:szCs w:val="19"/>
          <w:u w:val="single" w:color="auto"/>
          <w:color w:val="0000FF"/>
        </w:rPr>
        <w:t>“Daily Simple SOFR” with respect to any applicable determination date means the SOFR published on such date on the Federal Reserve Bank of New York’s website (or any successor source).</w:t>
      </w:r>
    </w:p>
    <w:p>
      <w:pPr>
        <w:spacing w:after="0" w:line="268" w:lineRule="exact"/>
        <w:rPr>
          <w:sz w:val="20"/>
          <w:szCs w:val="20"/>
          <w:color w:val="auto"/>
        </w:rPr>
      </w:pPr>
    </w:p>
    <w:p>
      <w:pPr>
        <w:ind w:left="100" w:right="5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Data Protection Laws</w:t>
      </w:r>
      <w:r>
        <w:rPr>
          <w:rFonts w:ascii="Arial" w:cs="Arial" w:eastAsia="Arial" w:hAnsi="Arial"/>
          <w:sz w:val="19"/>
          <w:szCs w:val="19"/>
          <w:color w:val="auto"/>
        </w:rPr>
        <w:t>” means any applicable Requirements of Law relating to the processing of data, data privacy, data security, data breach notification, and the cross-border transfer of Personal Information.</w:t>
      </w:r>
    </w:p>
    <w:p>
      <w:pPr>
        <w:spacing w:after="0" w:line="6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 Minimis Proceeds Threshold</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2.11(b)(ii)</w:t>
      </w:r>
      <w:r>
        <w:rPr>
          <w:rFonts w:ascii="Arial" w:cs="Arial" w:eastAsia="Arial" w:hAnsi="Arial"/>
          <w:sz w:val="18"/>
          <w:szCs w:val="18"/>
          <w:color w:val="auto"/>
        </w:rPr>
        <w:t>. “</w:t>
      </w:r>
      <w:r>
        <w:rPr>
          <w:rFonts w:ascii="Arial" w:cs="Arial" w:eastAsia="Arial" w:hAnsi="Arial"/>
          <w:sz w:val="18"/>
          <w:szCs w:val="18"/>
          <w:u w:val="single" w:color="auto"/>
          <w:color w:val="auto"/>
        </w:rPr>
        <w:t>Debt Fund Affiliate</w:t>
      </w:r>
      <w:r>
        <w:rPr>
          <w:rFonts w:ascii="Arial" w:cs="Arial" w:eastAsia="Arial" w:hAnsi="Arial"/>
          <w:sz w:val="18"/>
          <w:szCs w:val="18"/>
          <w:color w:val="auto"/>
        </w:rPr>
        <w: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9"/>
          <w:szCs w:val="19"/>
          <w:color w:val="auto"/>
        </w:rPr>
        <w:t>means any Affiliate of a Sponsor (other than a natural person (or any holding</w:t>
      </w:r>
    </w:p>
    <w:p>
      <w:pPr>
        <w:spacing w:after="0" w:line="106" w:lineRule="exact"/>
        <w:rPr>
          <w:sz w:val="20"/>
          <w:szCs w:val="20"/>
          <w:color w:val="auto"/>
        </w:rPr>
      </w:pPr>
    </w:p>
    <w:p>
      <w:pPr>
        <w:jc w:val="both"/>
        <w:ind w:left="100" w:right="39"/>
        <w:spacing w:after="0" w:line="236" w:lineRule="auto"/>
        <w:rPr>
          <w:sz w:val="20"/>
          <w:szCs w:val="20"/>
          <w:color w:val="auto"/>
        </w:rPr>
      </w:pPr>
      <w:r>
        <w:rPr>
          <w:rFonts w:ascii="Arial" w:cs="Arial" w:eastAsia="Arial" w:hAnsi="Arial"/>
          <w:sz w:val="19"/>
          <w:szCs w:val="19"/>
          <w:color w:val="auto"/>
        </w:rPr>
        <w:t>company, investment vehicle or trust for, or owned and operated by, or for the primary benefit of, one or more natural persons)) that is a bona fide debt fund or other investment vehicle (in each case with one or more bona fide investors to whom its managers owe fiduciary duties independent of their fiduciary duties to such Sponsor) that is primarily engaged in, or advises funds or other investment vehicles that are engaged in,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22</w:t>
      </w:r>
      <w:r>
        <w:rPr>
          <w:rFonts w:ascii="Arial" w:cs="Arial" w:eastAsia="Arial" w:hAnsi="Arial"/>
          <w:sz w:val="18"/>
          <w:szCs w:val="18"/>
          <w:u w:val="single" w:color="auto"/>
          <w:color w:val="0000FF"/>
          <w:strike w:val="1"/>
        </w:rPr>
        <w:t>22</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279" w:right="1440" w:bottom="1440" w:gutter="0" w:footer="0" w:header="0"/>
        </w:sectPr>
      </w:pPr>
    </w:p>
    <w:bookmarkStart w:id="90" w:name="page91"/>
    <w:bookmarkEnd w:id="90"/>
    <w:p>
      <w:pPr>
        <w:ind w:left="100" w:right="439"/>
        <w:spacing w:after="0" w:line="261" w:lineRule="auto"/>
        <w:rPr>
          <w:sz w:val="20"/>
          <w:szCs w:val="20"/>
          <w:color w:val="auto"/>
        </w:rPr>
      </w:pPr>
      <w:r>
        <w:rPr>
          <w:rFonts w:ascii="Arial" w:cs="Arial" w:eastAsia="Arial" w:hAnsi="Arial"/>
          <w:sz w:val="19"/>
          <w:szCs w:val="19"/>
          <w:color w:val="auto"/>
        </w:rPr>
        <w:t>making, purchasing, holding or otherwise investing in commercial loans, bonds and similar extensions of credit in the ordinary course.</w:t>
      </w:r>
    </w:p>
    <w:p>
      <w:pPr>
        <w:spacing w:after="0" w:line="159" w:lineRule="exact"/>
        <w:rPr>
          <w:sz w:val="20"/>
          <w:szCs w:val="20"/>
          <w:color w:val="auto"/>
        </w:rPr>
      </w:pPr>
    </w:p>
    <w:p>
      <w:pPr>
        <w:jc w:val="both"/>
        <w:ind w:left="100" w:right="7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 FX Hedge</w:t>
      </w:r>
      <w:r>
        <w:rPr>
          <w:rFonts w:ascii="Arial" w:cs="Arial" w:eastAsia="Arial" w:hAnsi="Arial"/>
          <w:sz w:val="19"/>
          <w:szCs w:val="19"/>
          <w:color w:val="auto"/>
        </w:rPr>
        <w:t>” means any Hedge Agreement entered into for the purpose of hedging currency related risks in respect of any Indebtedness of the type described in the definition of “Consolidated Total Debt”.</w:t>
      </w:r>
    </w:p>
    <w:p>
      <w:pPr>
        <w:spacing w:after="0" w:line="187"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Debtor Relief Laws</w:t>
      </w:r>
      <w:r>
        <w:rPr>
          <w:rFonts w:ascii="Arial" w:cs="Arial" w:eastAsia="Arial" w:hAnsi="Arial"/>
          <w:sz w:val="19"/>
          <w:szCs w:val="19"/>
          <w:color w:val="auto"/>
        </w:rPr>
        <w:t>” means the Bankruptcy Code of the US, and all other liquidation, conservatorship, bankruptcy, general assignment for the benefit of creditors, moratorium, rearrangement, receivership, insolvency, reorganization or similar debtor relief laws of the US or other applicable jurisdictions from time to time in effect and affecting the rights of creditors generally.</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Declined Proceeds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2.11(b)(v)</w:t>
      </w:r>
      <w:r>
        <w:rPr>
          <w:rFonts w:ascii="Arial" w:cs="Arial" w:eastAsia="Arial" w:hAnsi="Arial"/>
          <w:sz w:val="19"/>
          <w:szCs w:val="19"/>
          <w:color w:val="auto"/>
        </w:rPr>
        <w:t>.</w:t>
      </w:r>
    </w:p>
    <w:p>
      <w:pPr>
        <w:spacing w:after="0" w:line="20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upon notice, lapse of time or both would become an Event of Default.</w:t>
      </w:r>
    </w:p>
    <w:p>
      <w:pPr>
        <w:spacing w:after="0" w:line="212" w:lineRule="exact"/>
        <w:rPr>
          <w:sz w:val="20"/>
          <w:szCs w:val="20"/>
          <w:color w:val="auto"/>
        </w:rPr>
      </w:pPr>
    </w:p>
    <w:p>
      <w:pPr>
        <w:jc w:val="both"/>
        <w:ind w:left="100" w:right="19" w:firstLine="74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any Person that has (a) defaulted in (or is otherwise unable to perform) its obligations under this Agreement, including its obligations, (x) to make a Loan within two Business Days of the date required to be made by it hereunder or (y) to fund its participation in a Letter of Credit or Swingline Loan required to be funded by it hereunder within two Business Days of the date such obligation arose or such Loan or Letter of Credit or Swingline Loan was required to be made or funded, unless, in the case of </w:t>
      </w:r>
      <w:r>
        <w:rPr>
          <w:rFonts w:ascii="Arial" w:cs="Arial" w:eastAsia="Arial" w:hAnsi="Arial"/>
          <w:sz w:val="17"/>
          <w:szCs w:val="17"/>
          <w:u w:val="single" w:color="auto"/>
          <w:color w:val="auto"/>
        </w:rPr>
        <w:t>subclause (x)</w:t>
      </w:r>
      <w:r>
        <w:rPr>
          <w:rFonts w:ascii="Arial" w:cs="Arial" w:eastAsia="Arial" w:hAnsi="Arial"/>
          <w:sz w:val="17"/>
          <w:szCs w:val="17"/>
          <w:color w:val="auto"/>
        </w:rPr>
        <w:t xml:space="preserve"> above, such Person notifies the Administrative Agent in writing that such failure is the result of such Person’s good faith determination that a condition precedent to funding (specifically identified and including the particular default, if any) has not been satisfied, (b) notified the Administrative Agent, any Issuing Bank or the Swingline Lender or the Borrower in writing that it does not intend to satisfy or perform any such obligation or has made a public statement to the effect that it does not intend to comply with its funding or other obligations under this Agreement or under agreements in which it commits to extend credit generally (unless such writing indicates that such position is based on such Person’s good faith determination that a condition precedent (specifically identified and including the particular default, if any) to funding a Loan cannot be satisfied), (c) failed, within two Business Days after the request of the Administrative Agent or the Borrower, to confirm in writing that it will comply with the terms of this Agreement relating to its obligations to fund any prospective Loan and/or any participation in any then outstanding Letter of Credit or Swingline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Person shall cease to be a Defaulting Lender pursuant to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upon receipt of such written confirmation by the Administrative Agent, (d) become (or any parent company thereof has become) insolvent or been determined by any Governmental Authority having regulatory authority over such Person or its assets, to be insolvent, or the assets or management of which has been taken over by any Governmental Authority or (e)(i) become (or any parent company thereof has become) either the subject of (A) a bankruptcy or insolvency proceeding or (B) a Bail-In Action, (ii) has had a receiver, conservator, trustee, administrator, assignee for the benefit of creditors or similar Person charged with reorganization or liquidation of its business or custodian, appointed for it, or (iii) has taken any action in furtherance of, or indicating its consent to, approval of or acquiescence in, any such proceeding or appointment, unless in the case of any Person subject to this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the Borrower and the Administrative Agent have each determined that such Person intends, and has all approvals required to enable it (in form and substance satisfactory to the Borrower and the Administrative Agent), to continue to perform its obligations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Person shall be deemed to be a Defaulting Lender solely by virtue of the ownership or acquisition of any Capital Stock in such Person or its parent by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action does not result in or provide such Person with immunity from the jurisdiction of courts within the US or from the enforcement of judgments or writs of attachment on its assets or permit such Person (or such Governmental Authority) to reject, repudiate, disavow or disaffirm any contract or agreement to which such Person is a party. In the event that the Administrative Agent determines that any Person is a Defaulting Lender pursuant to the foregoing, such determination shall be conclusive and binding absent manifest error, and such Person shall be deemed to be a Defaulting Lender (subject to </w:t>
      </w:r>
      <w:r>
        <w:rPr>
          <w:rFonts w:ascii="Arial" w:cs="Arial" w:eastAsia="Arial" w:hAnsi="Arial"/>
          <w:sz w:val="17"/>
          <w:szCs w:val="17"/>
          <w:u w:val="single" w:color="auto"/>
          <w:color w:val="auto"/>
        </w:rPr>
        <w:t>Section 2.21(e)</w:t>
      </w:r>
      <w:r>
        <w:rPr>
          <w:rFonts w:ascii="Arial" w:cs="Arial" w:eastAsia="Arial" w:hAnsi="Arial"/>
          <w:sz w:val="17"/>
          <w:szCs w:val="17"/>
          <w:color w:val="auto"/>
        </w:rPr>
        <w:t>) as of the date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23</w:t>
      </w:r>
      <w:r>
        <w:rPr>
          <w:rFonts w:ascii="Arial" w:cs="Arial" w:eastAsia="Arial" w:hAnsi="Arial"/>
          <w:sz w:val="18"/>
          <w:szCs w:val="18"/>
          <w:u w:val="single" w:color="auto"/>
          <w:color w:val="0000FF"/>
          <w:strike w:val="1"/>
        </w:rPr>
        <w:t>23</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91" w:name="page92"/>
    <w:bookmarkEnd w:id="91"/>
    <w:p>
      <w:pPr>
        <w:jc w:val="both"/>
        <w:ind w:left="100" w:right="79"/>
        <w:spacing w:after="0" w:line="241" w:lineRule="auto"/>
        <w:rPr>
          <w:sz w:val="20"/>
          <w:szCs w:val="20"/>
          <w:color w:val="auto"/>
        </w:rPr>
      </w:pPr>
      <w:r>
        <w:rPr>
          <w:rFonts w:ascii="Arial" w:cs="Arial" w:eastAsia="Arial" w:hAnsi="Arial"/>
          <w:sz w:val="19"/>
          <w:szCs w:val="19"/>
          <w:color w:val="auto"/>
        </w:rPr>
        <w:t>established therefor by the Administrative Agent in a written notice of such determination, which shall be delivered by the Administrative Agent to the Borrower, each Issuing Bank, the Swingline Lender and each Lender promptly following such determination.</w:t>
      </w:r>
    </w:p>
    <w:p>
      <w:pPr>
        <w:spacing w:after="0" w:line="17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Delaware Divided LLC</w:t>
      </w:r>
      <w:r>
        <w:rPr>
          <w:rFonts w:ascii="Arial" w:cs="Arial" w:eastAsia="Arial" w:hAnsi="Arial"/>
          <w:sz w:val="17"/>
          <w:szCs w:val="17"/>
          <w:color w:val="auto"/>
        </w:rPr>
        <w:t>” means any Delaware LLC which has been formed upon the consummation of a Delaware LLC</w:t>
      </w:r>
    </w:p>
    <w:p>
      <w:pPr>
        <w:spacing w:after="0" w:line="37" w:lineRule="exact"/>
        <w:rPr>
          <w:sz w:val="20"/>
          <w:szCs w:val="20"/>
          <w:color w:val="auto"/>
        </w:rPr>
      </w:pPr>
    </w:p>
    <w:p>
      <w:pPr>
        <w:ind w:left="100"/>
        <w:spacing w:after="0"/>
        <w:rPr>
          <w:sz w:val="20"/>
          <w:szCs w:val="20"/>
          <w:color w:val="auto"/>
        </w:rPr>
      </w:pPr>
      <w:r>
        <w:rPr>
          <w:rFonts w:ascii="Arial" w:cs="Arial" w:eastAsia="Arial" w:hAnsi="Arial"/>
          <w:sz w:val="19"/>
          <w:szCs w:val="19"/>
          <w:color w:val="auto"/>
        </w:rPr>
        <w:t>Division.</w:t>
      </w:r>
    </w:p>
    <w:p>
      <w:pPr>
        <w:spacing w:after="0" w:line="18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LLC</w:t>
      </w:r>
      <w:r>
        <w:rPr>
          <w:rFonts w:ascii="Arial" w:cs="Arial" w:eastAsia="Arial" w:hAnsi="Arial"/>
          <w:sz w:val="18"/>
          <w:szCs w:val="18"/>
          <w:color w:val="auto"/>
        </w:rPr>
        <w:t>” means any limited liability company organized or formed under the laws of the State of Delaware.</w:t>
      </w:r>
    </w:p>
    <w:p>
      <w:pPr>
        <w:spacing w:after="0" w:line="212" w:lineRule="exact"/>
        <w:rPr>
          <w:sz w:val="20"/>
          <w:szCs w:val="20"/>
          <w:color w:val="auto"/>
        </w:rPr>
      </w:pPr>
    </w:p>
    <w:p>
      <w:pPr>
        <w:jc w:val="both"/>
        <w:ind w:left="100" w:right="7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Delaware LLC Division</w:t>
      </w:r>
      <w:r>
        <w:rPr>
          <w:rFonts w:ascii="Arial" w:cs="Arial" w:eastAsia="Arial" w:hAnsi="Arial"/>
          <w:sz w:val="19"/>
          <w:szCs w:val="19"/>
          <w:color w:val="auto"/>
        </w:rPr>
        <w:t>” means the statutory division of any Delaware LLC into two or more Delaware LLCs pursuant to Section 18-217 of the Delaware Limited Liability Company Act.</w:t>
      </w:r>
    </w:p>
    <w:p>
      <w:pPr>
        <w:spacing w:after="0" w:line="187" w:lineRule="exact"/>
        <w:rPr>
          <w:sz w:val="20"/>
          <w:szCs w:val="20"/>
          <w:color w:val="auto"/>
        </w:rPr>
      </w:pPr>
    </w:p>
    <w:p>
      <w:pPr>
        <w:jc w:val="both"/>
        <w:ind w:left="100" w:right="7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Deposit Account</w:t>
      </w:r>
      <w:r>
        <w:rPr>
          <w:rFonts w:ascii="Arial" w:cs="Arial" w:eastAsia="Arial" w:hAnsi="Arial"/>
          <w:sz w:val="19"/>
          <w:szCs w:val="19"/>
          <w:color w:val="auto"/>
        </w:rPr>
        <w:t>” means a demand, time, savings, passbook or like account with a bank, savings and loan association, credit union or like organization, other than an account evidenced by a negotiable certificate of deposit.</w:t>
      </w:r>
    </w:p>
    <w:p>
      <w:pPr>
        <w:spacing w:after="0" w:line="173" w:lineRule="exact"/>
        <w:rPr>
          <w:sz w:val="20"/>
          <w:szCs w:val="20"/>
          <w:color w:val="auto"/>
        </w:rPr>
      </w:pPr>
    </w:p>
    <w:p>
      <w:pPr>
        <w:jc w:val="both"/>
        <w:ind w:left="100" w:right="59" w:firstLine="749"/>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Derivative Transaction</w:t>
      </w:r>
      <w:r>
        <w:rPr>
          <w:rFonts w:ascii="Arial" w:cs="Arial" w:eastAsia="Arial" w:hAnsi="Arial"/>
          <w:sz w:val="18"/>
          <w:szCs w:val="18"/>
          <w:color w:val="auto"/>
        </w:rPr>
        <w:t xml:space="preserve">” means (a) any interest-rate transaction, including any interest-rate swap, basis swap, forward rate agreement, interest rate option (including a cap, collar or floor), and any other instrument linked to interest rates that gives rise to similar credit risks (including when-issued securities and forward deposits accepted), (b) any exchange-rate transaction, including any cross-currency interest-rate swap, any forward foreign-exchange contract, any currency option, and any other instrument linked to exchange rates that gives rise to similar credit risks, (c) any equity derivative transaction, including any equity-linked swap, any equity-linked option, any forward equity-linked contract, and any other instrument linked to equities that gives rise to similar credit risk and (d) any commodity (including precious metal) derivative transaction, including any commodity-linked swap, any commodity-linked option, any forward commodity-linked contract, and any other instrument linked to commodities that gives rise to similar credit risks; </w:t>
      </w:r>
      <w:r>
        <w:rPr>
          <w:rFonts w:ascii="Arial" w:cs="Arial" w:eastAsia="Arial" w:hAnsi="Arial"/>
          <w:sz w:val="18"/>
          <w:szCs w:val="18"/>
          <w:u w:val="single" w:color="auto"/>
          <w:color w:val="auto"/>
        </w:rPr>
        <w:t>provided</w:t>
      </w:r>
      <w:r>
        <w:rPr>
          <w:rFonts w:ascii="Arial" w:cs="Arial" w:eastAsia="Arial" w:hAnsi="Arial"/>
          <w:sz w:val="18"/>
          <w:szCs w:val="18"/>
          <w:color w:val="auto"/>
        </w:rPr>
        <w:t>, that no phantom stock or similar plan providing for payments only on account of services provided by current or former directors, officers, employees, members of management, managers or consultants of the Borrower or its subsidiaries shall be a Derivative Transaction.</w:t>
      </w:r>
    </w:p>
    <w:p>
      <w:pPr>
        <w:spacing w:after="0" w:line="192" w:lineRule="exact"/>
        <w:rPr>
          <w:sz w:val="20"/>
          <w:szCs w:val="20"/>
          <w:color w:val="auto"/>
        </w:rPr>
      </w:pPr>
    </w:p>
    <w:p>
      <w:pPr>
        <w:jc w:val="both"/>
        <w:ind w:left="100" w:right="59" w:firstLine="74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Non-Cash Consideration</w:t>
      </w:r>
      <w:r>
        <w:rPr>
          <w:rFonts w:ascii="Arial" w:cs="Arial" w:eastAsia="Arial" w:hAnsi="Arial"/>
          <w:sz w:val="17"/>
          <w:szCs w:val="17"/>
          <w:color w:val="auto"/>
        </w:rPr>
        <w:t xml:space="preserve">” means the fair market value (as determined by the Borrower in good faith) of non-Cash consideration received by the Borrower or any Restricted Subsidiary in connection with any Disposition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6.07(h)</w:t>
      </w:r>
      <w:r>
        <w:rPr>
          <w:rFonts w:ascii="Arial" w:cs="Arial" w:eastAsia="Arial" w:hAnsi="Arial"/>
          <w:sz w:val="17"/>
          <w:szCs w:val="17"/>
          <w:color w:val="auto"/>
        </w:rPr>
        <w:t xml:space="preserve"> that is designated as Designated Non-Cash Consideration pursuant to a certificate of a Responsible Officer of the Borrower, setting forth the basis of such valuation (which amount will be reduced by the amount of Cash or Cash Equivalents received in connection with a subsequent sale or conversion of such Designated Non-Cash Consideration to Cash or Cash Equivalents).</w:t>
      </w:r>
    </w:p>
    <w:p>
      <w:pPr>
        <w:spacing w:after="0" w:line="159" w:lineRule="exact"/>
        <w:rPr>
          <w:sz w:val="20"/>
          <w:szCs w:val="20"/>
          <w:color w:val="auto"/>
        </w:rPr>
      </w:pPr>
    </w:p>
    <w:p>
      <w:pPr>
        <w:jc w:val="both"/>
        <w:ind w:left="100" w:right="59" w:firstLine="74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Operational FX Hedge</w:t>
      </w:r>
      <w:r>
        <w:rPr>
          <w:rFonts w:ascii="Arial" w:cs="Arial" w:eastAsia="Arial" w:hAnsi="Arial"/>
          <w:sz w:val="17"/>
          <w:szCs w:val="17"/>
          <w:color w:val="auto"/>
        </w:rPr>
        <w:t>” means any Hedge Agreement (a) entered into for the purpose of hedging currency-related risks in respect of the revenues, cash flows or other balance sheet items of the Borrower and/or any of its subsidiaries and</w:t>
      </w:r>
    </w:p>
    <w:p>
      <w:pPr>
        <w:spacing w:after="0" w:line="1" w:lineRule="exact"/>
        <w:rPr>
          <w:sz w:val="20"/>
          <w:szCs w:val="20"/>
          <w:color w:val="auto"/>
        </w:rPr>
      </w:pPr>
    </w:p>
    <w:p>
      <w:pPr>
        <w:jc w:val="both"/>
        <w:ind w:left="100" w:right="59" w:hanging="7"/>
        <w:spacing w:after="0" w:line="230" w:lineRule="auto"/>
        <w:tabs>
          <w:tab w:leader="none" w:pos="373" w:val="left"/>
        </w:tabs>
        <w:numPr>
          <w:ilvl w:val="0"/>
          <w:numId w:val="60"/>
        </w:numPr>
        <w:rPr>
          <w:rFonts w:ascii="Arial" w:cs="Arial" w:eastAsia="Arial" w:hAnsi="Arial"/>
          <w:sz w:val="19"/>
          <w:szCs w:val="19"/>
          <w:color w:val="auto"/>
        </w:rPr>
      </w:pPr>
      <w:r>
        <w:rPr>
          <w:rFonts w:ascii="Arial" w:cs="Arial" w:eastAsia="Arial" w:hAnsi="Arial"/>
          <w:sz w:val="19"/>
          <w:szCs w:val="19"/>
          <w:color w:val="auto"/>
        </w:rPr>
        <w:t>designated at the time entered into (or on or prior to the Closing Date, with respect to any Hedge Agreement entered into on or prior to the Closing Date) as a Designated Operational FX Hedge by the Borrower in a writing delivered to the Administrative Agent.</w:t>
      </w:r>
    </w:p>
    <w:p>
      <w:pPr>
        <w:spacing w:after="0" w:line="193"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Discretionary Guarantor</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5.12(c)</w:t>
      </w:r>
      <w:r>
        <w:rPr>
          <w:rFonts w:ascii="Arial" w:cs="Arial" w:eastAsia="Arial" w:hAnsi="Arial"/>
          <w:sz w:val="19"/>
          <w:szCs w:val="19"/>
          <w:color w:val="auto"/>
        </w:rPr>
        <w:t>.</w:t>
      </w:r>
    </w:p>
    <w:p>
      <w:pPr>
        <w:spacing w:after="0" w:line="200" w:lineRule="exact"/>
        <w:rPr>
          <w:sz w:val="20"/>
          <w:szCs w:val="20"/>
          <w:color w:val="auto"/>
        </w:rPr>
      </w:pPr>
    </w:p>
    <w:p>
      <w:pPr>
        <w:ind w:left="100" w:right="17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Disposition</w:t>
      </w:r>
      <w:r>
        <w:rPr>
          <w:rFonts w:ascii="Arial" w:cs="Arial" w:eastAsia="Arial" w:hAnsi="Arial"/>
          <w:sz w:val="19"/>
          <w:szCs w:val="19"/>
          <w:color w:val="auto"/>
        </w:rPr>
        <w:t>” or “</w:t>
      </w:r>
      <w:r>
        <w:rPr>
          <w:rFonts w:ascii="Arial" w:cs="Arial" w:eastAsia="Arial" w:hAnsi="Arial"/>
          <w:sz w:val="19"/>
          <w:szCs w:val="19"/>
          <w:u w:val="single" w:color="auto"/>
          <w:color w:val="auto"/>
        </w:rPr>
        <w:t>Dispose</w:t>
      </w:r>
      <w:r>
        <w:rPr>
          <w:rFonts w:ascii="Arial" w:cs="Arial" w:eastAsia="Arial" w:hAnsi="Arial"/>
          <w:sz w:val="19"/>
          <w:szCs w:val="19"/>
          <w:color w:val="auto"/>
        </w:rPr>
        <w:t>” means the sale, lease, sublease, or other disposition of any property of any Person, including any disposition of property to a Delaware Divided LLC pursuant to a Delaware LLC Division.</w:t>
      </w:r>
    </w:p>
    <w:p>
      <w:pPr>
        <w:spacing w:after="0" w:line="187" w:lineRule="exact"/>
        <w:rPr>
          <w:sz w:val="20"/>
          <w:szCs w:val="20"/>
          <w:color w:val="auto"/>
        </w:rPr>
      </w:pPr>
    </w:p>
    <w:p>
      <w:pPr>
        <w:jc w:val="right"/>
        <w:ind w:left="840" w:right="59"/>
        <w:spacing w:after="0" w:line="2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Capital Stock</w:t>
      </w:r>
      <w:r>
        <w:rPr>
          <w:rFonts w:ascii="Arial" w:cs="Arial" w:eastAsia="Arial" w:hAnsi="Arial"/>
          <w:sz w:val="19"/>
          <w:szCs w:val="19"/>
          <w:color w:val="auto"/>
        </w:rPr>
        <w:t>” means any Capital Stock which, by its terms (or by the terms of any security into which it is convertible or for which it is exchangeable), or upon the happening of any event,</w:t>
      </w:r>
    </w:p>
    <w:p>
      <w:pPr>
        <w:ind w:left="2360"/>
        <w:spacing w:after="0"/>
        <w:rPr>
          <w:sz w:val="20"/>
          <w:szCs w:val="20"/>
          <w:color w:val="auto"/>
        </w:rPr>
      </w:pPr>
      <w:r>
        <w:rPr>
          <w:rFonts w:ascii="Arial" w:cs="Arial" w:eastAsia="Arial" w:hAnsi="Arial"/>
          <w:sz w:val="17"/>
          <w:szCs w:val="17"/>
          <w:color w:val="auto"/>
        </w:rPr>
        <w:t>(a) matures (excluding any maturity as the result of an optional redemption by the issuer thereof) or is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24</w:t>
      </w:r>
      <w:r>
        <w:rPr>
          <w:rFonts w:ascii="Arial" w:cs="Arial" w:eastAsia="Arial" w:hAnsi="Arial"/>
          <w:sz w:val="18"/>
          <w:szCs w:val="18"/>
          <w:u w:val="single" w:color="auto"/>
          <w:color w:val="0000FF"/>
          <w:strike w:val="1"/>
        </w:rPr>
        <w:t>24</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92" w:name="page93"/>
    <w:bookmarkEnd w:id="92"/>
    <w:p>
      <w:pPr>
        <w:jc w:val="both"/>
        <w:ind w:left="100" w:right="59"/>
        <w:spacing w:after="0" w:line="230" w:lineRule="auto"/>
        <w:rPr>
          <w:sz w:val="20"/>
          <w:szCs w:val="20"/>
          <w:color w:val="auto"/>
        </w:rPr>
      </w:pPr>
      <w:r>
        <w:rPr>
          <w:rFonts w:ascii="Arial" w:cs="Arial" w:eastAsia="Arial" w:hAnsi="Arial"/>
          <w:sz w:val="19"/>
          <w:szCs w:val="19"/>
          <w:color w:val="auto"/>
        </w:rPr>
        <w:t>mandatorily redeemable (other than for Qualified Capital Stock), pursuant to a sinking fund obligation or otherwise, or is redeemable at the option of the holder thereof (other than for Qualified Capital Stock), in whole or in part, on or prior to the date that is 91 days following the Latest Maturity Date at the time such Capital Stock is issued (it being understood that if any such redemption is in part, only such part coming into effect prior to the date that is 91 days following the Latest Maturity Date shall constitute Disqualified Capital Stock), (b) is or becomes convertible into or exchangeable (unless at the sole option of the issuer thereof) for</w:t>
      </w:r>
    </w:p>
    <w:p>
      <w:pPr>
        <w:spacing w:after="0" w:line="2" w:lineRule="exact"/>
        <w:rPr>
          <w:sz w:val="20"/>
          <w:szCs w:val="20"/>
          <w:color w:val="auto"/>
        </w:rPr>
      </w:pPr>
    </w:p>
    <w:p>
      <w:pPr>
        <w:jc w:val="both"/>
        <w:ind w:left="100" w:right="39" w:hanging="7"/>
        <w:spacing w:after="0" w:line="254" w:lineRule="auto"/>
        <w:tabs>
          <w:tab w:leader="none" w:pos="333"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debt securities or (ii) any Capital Stock that would constitute Disqualified Capital Stock, in each case at any time on or prior to the date that is 91 days following the Latest Maturity Date at the time such Capital Stock is issued or (c) contains any mandatory repurchase obligation (other than for Qualified Capital Stock), in whole or in part, which may come into effect prior to the date that is 91 days following the Latest Maturity Date at the time such Capital Stock is issued (it being understood that if any such repurchase obligation is in part, only such part coming into effect prior to the date that is 91 days following the Latest Maturity Date shall constitute Disqualified Capital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(x) Capital Stock that would not constitute Disqualified Capital Stock but for provisions thereof giving holders thereof (or the holders of any security into or for which such Capital Stock is convertible, exchangeable or exercisable) the right to require the issuer thereof to redeem such Capital Stock upon the occurrence of any change of control or any other liquidity event or any Disposition occurring prior to the date that is 91 days following the Latest Maturity Date at the time such Capital Stock is issued shall not constitute Disqualified Capital Stock if the documentation governing such Capital Stock provides that the issuer thereof will not redeem any such Capital Stock pursuant to such provisions unless either (1) the relevant redemption is permitted by the terms of this Agreement or</w:t>
      </w:r>
    </w:p>
    <w:p>
      <w:pPr>
        <w:spacing w:after="0" w:line="1" w:lineRule="exact"/>
        <w:rPr>
          <w:rFonts w:ascii="Arial" w:cs="Arial" w:eastAsia="Arial" w:hAnsi="Arial"/>
          <w:sz w:val="17"/>
          <w:szCs w:val="17"/>
          <w:color w:val="auto"/>
        </w:rPr>
      </w:pPr>
    </w:p>
    <w:p>
      <w:pPr>
        <w:ind w:left="380" w:hanging="287"/>
        <w:spacing w:after="0"/>
        <w:tabs>
          <w:tab w:leader="none" w:pos="380" w:val="left"/>
        </w:tabs>
        <w:numPr>
          <w:ilvl w:val="1"/>
          <w:numId w:val="61"/>
        </w:numPr>
        <w:rPr>
          <w:rFonts w:ascii="Arial" w:cs="Arial" w:eastAsia="Arial" w:hAnsi="Arial"/>
          <w:sz w:val="17"/>
          <w:szCs w:val="17"/>
          <w:color w:val="auto"/>
        </w:rPr>
      </w:pPr>
      <w:r>
        <w:rPr>
          <w:rFonts w:ascii="Arial" w:cs="Arial" w:eastAsia="Arial" w:hAnsi="Arial"/>
          <w:sz w:val="17"/>
          <w:szCs w:val="17"/>
          <w:color w:val="auto"/>
        </w:rPr>
        <w:t xml:space="preserve">the Termination Date has occurred and (y) for purposes of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above, it is understood and agreed that if any</w:t>
      </w:r>
    </w:p>
    <w:p>
      <w:pPr>
        <w:spacing w:after="0" w:line="21" w:lineRule="exact"/>
        <w:rPr>
          <w:sz w:val="20"/>
          <w:szCs w:val="20"/>
          <w:color w:val="auto"/>
        </w:rPr>
      </w:pPr>
    </w:p>
    <w:p>
      <w:pPr>
        <w:jc w:val="both"/>
        <w:ind w:left="100" w:right="59"/>
        <w:spacing w:after="0"/>
        <w:rPr>
          <w:sz w:val="20"/>
          <w:szCs w:val="20"/>
          <w:color w:val="auto"/>
        </w:rPr>
      </w:pPr>
      <w:r>
        <w:rPr>
          <w:rFonts w:ascii="Arial" w:cs="Arial" w:eastAsia="Arial" w:hAnsi="Arial"/>
          <w:sz w:val="19"/>
          <w:szCs w:val="19"/>
          <w:color w:val="auto"/>
        </w:rPr>
        <w:t>such maturity, redemption conversion, exchange, repurchase obligation or scheduled payment is in part, only such part coming into effect prior to the date that is 91 days following the Latest Maturity Date (determined at the time such Capital Stock is issued) shall constitute Disqualified Capital Stock.</w:t>
      </w:r>
    </w:p>
    <w:p>
      <w:pPr>
        <w:spacing w:after="0" w:line="193" w:lineRule="exact"/>
        <w:rPr>
          <w:sz w:val="20"/>
          <w:szCs w:val="20"/>
          <w:color w:val="auto"/>
        </w:rPr>
      </w:pPr>
    </w:p>
    <w:p>
      <w:pPr>
        <w:jc w:val="both"/>
        <w:ind w:left="100" w:right="19" w:firstLine="749"/>
        <w:spacing w:after="0" w:line="260" w:lineRule="auto"/>
        <w:rPr>
          <w:sz w:val="20"/>
          <w:szCs w:val="20"/>
          <w:color w:val="auto"/>
        </w:rPr>
      </w:pPr>
      <w:r>
        <w:rPr>
          <w:rFonts w:ascii="Arial" w:cs="Arial" w:eastAsia="Arial" w:hAnsi="Arial"/>
          <w:sz w:val="17"/>
          <w:szCs w:val="17"/>
          <w:color w:val="auto"/>
        </w:rPr>
        <w:t>Notwithstanding the preceding sentence, (A) if such Capital Stock is issued pursuant to any plan for the benefit of directors, officers, employees, members of management, managers or consultants or by any such plan to such directors, officers, employees, members of management, managers or consultants, in each case in the ordinary course of business of the Borrower or any Restricted Subsidiary and/or any Parent Company, such Capital Stock shall not constitute Disqualified Capital Stock solely because it may be required to be repurchased by the issuer thereof in order to satisfy applicable statutory or regulatory obligations and (B) no Capital Stock held by any future, present or former employee, director, officer, manager, member of management or consultant (or their respective Affiliates or Immediate Family Members) of the Borrower (or any Parent Company or any subsidiary) shall be considered Disqualified Capital Stock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w:t>
      </w:r>
    </w:p>
    <w:p>
      <w:pPr>
        <w:spacing w:after="0" w:line="164"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Institution</w:t>
      </w:r>
      <w:r>
        <w:rPr>
          <w:rFonts w:ascii="Arial" w:cs="Arial" w:eastAsia="Arial" w:hAnsi="Arial"/>
          <w:sz w:val="19"/>
          <w:szCs w:val="19"/>
          <w:color w:val="auto"/>
        </w:rPr>
        <w:t>” means:</w:t>
      </w:r>
    </w:p>
    <w:p>
      <w:pPr>
        <w:spacing w:after="0" w:line="214" w:lineRule="exact"/>
        <w:rPr>
          <w:sz w:val="20"/>
          <w:szCs w:val="20"/>
          <w:color w:val="auto"/>
        </w:rPr>
      </w:pPr>
    </w:p>
    <w:p>
      <w:pPr>
        <w:jc w:val="both"/>
        <w:ind w:left="840" w:right="19" w:firstLine="751"/>
        <w:spacing w:after="0" w:line="258" w:lineRule="auto"/>
        <w:tabs>
          <w:tab w:leader="none" w:pos="2256"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(i) any Person identified in writing to the Arrangers on or prior to September 8, 2021, (ii) any Person that is identified in writing to the Administrative Agent after the Closing Date (provided, that any Person so identified after the Closing Date must be reasonably acceptable to the Administrative Agent), (iii) any Affiliate of any Person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that is reasonably identifiable on the basis of such Person’s name as an Affiliate of such Person, and (iv) any other Affiliate of any Person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above that is identified in a written notice to the Administrative Agent (each such person, a “</w:t>
      </w:r>
      <w:r>
        <w:rPr>
          <w:rFonts w:ascii="Arial" w:cs="Arial" w:eastAsia="Arial" w:hAnsi="Arial"/>
          <w:sz w:val="18"/>
          <w:szCs w:val="18"/>
          <w:u w:val="single" w:color="auto"/>
          <w:color w:val="auto"/>
        </w:rPr>
        <w:t>Disqualified Lending Institution</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jc w:val="both"/>
        <w:ind w:left="840" w:right="59" w:firstLine="751"/>
        <w:spacing w:after="0" w:line="245" w:lineRule="auto"/>
        <w:tabs>
          <w:tab w:leader="none" w:pos="2254"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(i) any Person that is or becomes a Company Competitor and/or any Affiliate of any Company Competitor (other than a Competitor Debt Fund Affiliate), in each case, that is identified in writing to the Administrative Agent, (ii) any Affiliate of any Person described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(other than any Competitor Debt Fund Affiliate) that is reasonably identifiable on the basis of such</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25</w:t>
      </w:r>
      <w:r>
        <w:rPr>
          <w:rFonts w:ascii="Arial" w:cs="Arial" w:eastAsia="Arial" w:hAnsi="Arial"/>
          <w:sz w:val="18"/>
          <w:szCs w:val="18"/>
          <w:u w:val="single" w:color="auto"/>
          <w:color w:val="0000FF"/>
          <w:strike w:val="1"/>
        </w:rPr>
        <w:t>25</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93" w:name="page94"/>
    <w:bookmarkEnd w:id="93"/>
    <w:p>
      <w:pPr>
        <w:jc w:val="both"/>
        <w:ind w:left="840" w:right="59"/>
        <w:spacing w:after="0" w:line="236" w:lineRule="auto"/>
        <w:rPr>
          <w:sz w:val="20"/>
          <w:szCs w:val="20"/>
          <w:color w:val="auto"/>
        </w:rPr>
      </w:pPr>
      <w:r>
        <w:rPr>
          <w:rFonts w:ascii="Arial" w:cs="Arial" w:eastAsia="Arial" w:hAnsi="Arial"/>
          <w:sz w:val="19"/>
          <w:szCs w:val="19"/>
          <w:color w:val="auto"/>
        </w:rPr>
        <w:t xml:space="preserve">Person’s name as an Affiliate of such Person and (iii) any other Affiliate of any Person described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that is identified in a written notice to the Administrative Agent; it being understood and agreed that no Competitor Debt Fund Affiliate of any Company Competitor may be designated as a Disqualified Institution pursuant to this </w:t>
      </w:r>
      <w:r>
        <w:rPr>
          <w:rFonts w:ascii="Arial" w:cs="Arial" w:eastAsia="Arial" w:hAnsi="Arial"/>
          <w:sz w:val="19"/>
          <w:szCs w:val="19"/>
          <w:u w:val="single" w:color="auto"/>
          <w:color w:val="auto"/>
        </w:rPr>
        <w:t>clause</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and</w:t>
      </w:r>
    </w:p>
    <w:p>
      <w:pPr>
        <w:spacing w:after="0" w:line="194" w:lineRule="exact"/>
        <w:rPr>
          <w:sz w:val="20"/>
          <w:szCs w:val="20"/>
          <w:color w:val="auto"/>
        </w:rPr>
      </w:pPr>
    </w:p>
    <w:p>
      <w:pPr>
        <w:jc w:val="both"/>
        <w:ind w:left="840" w:right="19" w:firstLine="751"/>
        <w:spacing w:after="0" w:line="249" w:lineRule="auto"/>
        <w:tabs>
          <w:tab w:leader="none" w:pos="2256"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any Affiliate or Representative of any Arranger and/or any Initial Lender that is engaged as a principal primarily in private equity, mezzanine financing or venture capital (any Person described in this </w:t>
      </w:r>
      <w:r>
        <w:rPr>
          <w:rFonts w:ascii="Arial" w:cs="Arial" w:eastAsia="Arial" w:hAnsi="Arial"/>
          <w:sz w:val="19"/>
          <w:szCs w:val="19"/>
          <w:u w:val="single" w:color="auto"/>
          <w:color w:val="auto"/>
        </w:rPr>
        <w:t>clause (c)</w:t>
      </w:r>
      <w:r>
        <w:rPr>
          <w:rFonts w:ascii="Arial" w:cs="Arial" w:eastAsia="Arial" w:hAnsi="Arial"/>
          <w:sz w:val="19"/>
          <w:szCs w:val="19"/>
          <w:color w:val="auto"/>
        </w:rPr>
        <w:t>, an “</w:t>
      </w:r>
      <w:r>
        <w:rPr>
          <w:rFonts w:ascii="Arial" w:cs="Arial" w:eastAsia="Arial" w:hAnsi="Arial"/>
          <w:sz w:val="19"/>
          <w:szCs w:val="19"/>
          <w:u w:val="single" w:color="auto"/>
          <w:color w:val="auto"/>
        </w:rPr>
        <w:t>Excluded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Party</w:t>
      </w:r>
      <w:r>
        <w:rPr>
          <w:rFonts w:ascii="Arial" w:cs="Arial" w:eastAsia="Arial" w:hAnsi="Arial"/>
          <w:sz w:val="19"/>
          <w:szCs w:val="19"/>
          <w:color w:val="auto"/>
        </w:rPr>
        <w:t>”);</w:t>
      </w:r>
    </w:p>
    <w:p>
      <w:pPr>
        <w:spacing w:after="0" w:line="184" w:lineRule="exact"/>
        <w:rPr>
          <w:sz w:val="20"/>
          <w:szCs w:val="20"/>
          <w:color w:val="auto"/>
        </w:rPr>
      </w:pPr>
    </w:p>
    <w:p>
      <w:pPr>
        <w:ind w:left="100" w:right="39" w:firstLine="749"/>
        <w:spacing w:after="0" w:line="233"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written notice delivered pursuant to </w:t>
      </w:r>
      <w:r>
        <w:rPr>
          <w:rFonts w:ascii="Arial" w:cs="Arial" w:eastAsia="Arial" w:hAnsi="Arial"/>
          <w:sz w:val="19"/>
          <w:szCs w:val="19"/>
          <w:u w:val="single" w:color="auto"/>
          <w:color w:val="auto"/>
        </w:rPr>
        <w:t>clauses (a)(ii)</w:t>
      </w:r>
      <w:r>
        <w:rPr>
          <w:rFonts w:ascii="Arial" w:cs="Arial" w:eastAsia="Arial" w:hAnsi="Arial"/>
          <w:sz w:val="19"/>
          <w:szCs w:val="19"/>
          <w:color w:val="auto"/>
        </w:rPr>
        <w:t xml:space="preserve">, </w:t>
      </w:r>
      <w:r>
        <w:rPr>
          <w:rFonts w:ascii="Arial" w:cs="Arial" w:eastAsia="Arial" w:hAnsi="Arial"/>
          <w:sz w:val="19"/>
          <w:szCs w:val="19"/>
          <w:u w:val="single" w:color="auto"/>
          <w:color w:val="auto"/>
        </w:rPr>
        <w:t>(a)(iv)</w:t>
      </w:r>
      <w:r>
        <w:rPr>
          <w:rFonts w:ascii="Arial" w:cs="Arial" w:eastAsia="Arial" w:hAnsi="Arial"/>
          <w:sz w:val="19"/>
          <w:szCs w:val="19"/>
          <w:color w:val="auto"/>
        </w:rPr>
        <w:t xml:space="preserve">, </w:t>
      </w:r>
      <w:r>
        <w:rPr>
          <w:rFonts w:ascii="Arial" w:cs="Arial" w:eastAsia="Arial" w:hAnsi="Arial"/>
          <w:sz w:val="19"/>
          <w:szCs w:val="19"/>
          <w:u w:val="single" w:color="auto"/>
          <w:color w:val="auto"/>
        </w:rPr>
        <w:t>(b)(i)</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(b)(iii)</w:t>
      </w:r>
      <w:r>
        <w:rPr>
          <w:rFonts w:ascii="Arial" w:cs="Arial" w:eastAsia="Arial" w:hAnsi="Arial"/>
          <w:sz w:val="19"/>
          <w:szCs w:val="19"/>
          <w:color w:val="auto"/>
        </w:rPr>
        <w:t xml:space="preserve"> above shall apply retroactively to disqualify any person that has acquired or agreed to acquire prior to the delivery of such notice (i) an assignment of an interest in the Loans pursuant to a fully executed Assignment and Assumption (including any consents thereto required hereby) or (ii) a participation interest in the Loans pursuant to a fully executed participation agreement that provides for “participation” only (including any consents thereto required hereby).</w:t>
      </w:r>
    </w:p>
    <w:p>
      <w:pPr>
        <w:spacing w:after="0" w:line="181" w:lineRule="exact"/>
        <w:rPr>
          <w:sz w:val="20"/>
          <w:szCs w:val="20"/>
          <w:color w:val="auto"/>
        </w:rPr>
      </w:pPr>
    </w:p>
    <w:p>
      <w:pPr>
        <w:jc w:val="both"/>
        <w:ind w:left="100" w:right="59" w:firstLine="749"/>
        <w:spacing w:after="0" w:line="241" w:lineRule="auto"/>
        <w:rPr>
          <w:sz w:val="20"/>
          <w:szCs w:val="20"/>
          <w:color w:val="auto"/>
        </w:rPr>
      </w:pPr>
      <w:r>
        <w:rPr>
          <w:rFonts w:ascii="Arial" w:cs="Arial" w:eastAsia="Arial" w:hAnsi="Arial"/>
          <w:sz w:val="19"/>
          <w:szCs w:val="19"/>
          <w:color w:val="auto"/>
        </w:rPr>
        <w:t xml:space="preserve">The Borrower shall be permitted to remove any Person from the list of Disqualified Institutions; </w:t>
      </w:r>
      <w:r>
        <w:rPr>
          <w:rFonts w:ascii="Arial" w:cs="Arial" w:eastAsia="Arial" w:hAnsi="Arial"/>
          <w:sz w:val="19"/>
          <w:szCs w:val="19"/>
          <w:u w:val="single" w:color="auto"/>
          <w:color w:val="auto"/>
        </w:rPr>
        <w:t>provided</w:t>
      </w:r>
      <w:r>
        <w:rPr>
          <w:rFonts w:ascii="Arial" w:cs="Arial" w:eastAsia="Arial" w:hAnsi="Arial"/>
          <w:sz w:val="19"/>
          <w:szCs w:val="19"/>
          <w:color w:val="auto"/>
        </w:rPr>
        <w:t>, that at any time after the removal of such Person, the Borrower shall be permitted to re-designate such Person as a Disqualified Institution without the consent of the Administrative Agent or any other Person.</w:t>
      </w:r>
    </w:p>
    <w:p>
      <w:pPr>
        <w:spacing w:after="0" w:line="17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Lending Institution</w:t>
      </w:r>
      <w:r>
        <w:rPr>
          <w:rFonts w:ascii="Arial" w:cs="Arial" w:eastAsia="Arial" w:hAnsi="Arial"/>
          <w:sz w:val="18"/>
          <w:szCs w:val="18"/>
          <w:color w:val="auto"/>
        </w:rPr>
        <w:t>” has the meaning assigned to such term in the definition of “Disqualified Institution”.</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Person</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9.05(f)(ii)</w:t>
      </w:r>
      <w:r>
        <w:rPr>
          <w:rFonts w:ascii="Arial" w:cs="Arial" w:eastAsia="Arial" w:hAnsi="Arial"/>
          <w:sz w:val="19"/>
          <w:szCs w:val="19"/>
          <w:color w:val="auto"/>
        </w:rPr>
        <w:t>.</w:t>
      </w:r>
    </w:p>
    <w:p>
      <w:pPr>
        <w:spacing w:after="0" w:line="200" w:lineRule="exact"/>
        <w:rPr>
          <w:sz w:val="20"/>
          <w:szCs w:val="20"/>
          <w:color w:val="auto"/>
        </w:rPr>
      </w:pPr>
    </w:p>
    <w:p>
      <w:pPr>
        <w:jc w:val="both"/>
        <w:ind w:left="100" w:right="59" w:firstLine="74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at any time, (a) with respect to any amount denominated in Dollars, such amount and (b) with respect to any amount denominated in any currency other than Dollars, the equivalent amount thereof in Dollars as determined by the Administrative Agent at such time on the basis of the Spot Rate (determined in respect of the most recent Revaluation Date or other relevant date of determination) for the purchase of Dollars with such other currency.</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Dollars</w:t>
      </w:r>
      <w:r>
        <w:rPr>
          <w:rFonts w:ascii="Arial" w:cs="Arial" w:eastAsia="Arial" w:hAnsi="Arial"/>
          <w:sz w:val="19"/>
          <w:szCs w:val="19"/>
          <w:color w:val="auto"/>
        </w:rPr>
        <w:t>” or “</w:t>
      </w:r>
      <w:r>
        <w:rPr>
          <w:rFonts w:ascii="Arial" w:cs="Arial" w:eastAsia="Arial" w:hAnsi="Arial"/>
          <w:sz w:val="19"/>
          <w:szCs w:val="19"/>
          <w:u w:val="single" w:color="auto"/>
          <w:color w:val="auto"/>
        </w:rPr>
        <w:t>$</w:t>
      </w:r>
      <w:r>
        <w:rPr>
          <w:rFonts w:ascii="Arial" w:cs="Arial" w:eastAsia="Arial" w:hAnsi="Arial"/>
          <w:sz w:val="19"/>
          <w:szCs w:val="19"/>
          <w:color w:val="auto"/>
        </w:rPr>
        <w:t>” refers to lawful money of the US.</w:t>
      </w:r>
    </w:p>
    <w:p>
      <w:pPr>
        <w:spacing w:after="0" w:line="200" w:lineRule="exact"/>
        <w:rPr>
          <w:sz w:val="20"/>
          <w:szCs w:val="20"/>
          <w:color w:val="auto"/>
        </w:rPr>
      </w:pPr>
    </w:p>
    <w:p>
      <w:pPr>
        <w:ind w:left="100" w:right="99" w:firstLine="74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Domestic Subsidiary</w:t>
      </w:r>
      <w:r>
        <w:rPr>
          <w:rFonts w:ascii="Arial" w:cs="Arial" w:eastAsia="Arial" w:hAnsi="Arial"/>
          <w:sz w:val="19"/>
          <w:szCs w:val="19"/>
          <w:color w:val="auto"/>
        </w:rPr>
        <w:t>” means any subsidiary of the Borrower incorporated or organized under the laws of the US, any state thereof or the District of Columbia.</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Dutch Auction</w:t>
      </w:r>
      <w:r>
        <w:rPr>
          <w:rFonts w:ascii="Arial" w:cs="Arial" w:eastAsia="Arial" w:hAnsi="Arial"/>
          <w:sz w:val="19"/>
          <w:szCs w:val="19"/>
          <w:color w:val="auto"/>
        </w:rPr>
        <w:t xml:space="preserve">” has the meaning assigned to such term on </w:t>
      </w:r>
      <w:r>
        <w:rPr>
          <w:rFonts w:ascii="Arial" w:cs="Arial" w:eastAsia="Arial" w:hAnsi="Arial"/>
          <w:sz w:val="19"/>
          <w:szCs w:val="19"/>
          <w:u w:val="single" w:color="auto"/>
          <w:color w:val="auto"/>
        </w:rPr>
        <w:t>Schedule 1.01(b)</w:t>
      </w:r>
      <w:r>
        <w:rPr>
          <w:rFonts w:ascii="Arial" w:cs="Arial" w:eastAsia="Arial" w:hAnsi="Arial"/>
          <w:sz w:val="19"/>
          <w:szCs w:val="19"/>
          <w:color w:val="auto"/>
        </w:rPr>
        <w:t>.</w:t>
      </w:r>
    </w:p>
    <w:p>
      <w:pPr>
        <w:spacing w:after="0" w:line="200" w:lineRule="exact"/>
        <w:rPr>
          <w:sz w:val="20"/>
          <w:szCs w:val="20"/>
          <w:color w:val="auto"/>
        </w:rPr>
      </w:pPr>
    </w:p>
    <w:p>
      <w:pPr>
        <w:jc w:val="both"/>
        <w:ind w:left="100" w:right="59" w:firstLine="749"/>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xml:space="preserve">” means (a) any credit institution or investment firm established in any EEA Member Country (or, to the extent that the United Kingdom is not an EEA Member Country, the United Kingdom), which is subject to the supervision of a Resolution Authority, (b) any entity established in an EEA Member Country (or, to the extent that the United Kingdom is not an EEA Member Country, the United Kingdom), which is a parent of an institution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definition, or (c) any financial institution established in an EEA Member Country (or, to the extent that the United Kingdom is not an EEA Member Country, the United Kingdom), which is a subsidiary of an institution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175"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Member Country</w:t>
      </w:r>
      <w:r>
        <w:rPr>
          <w:rFonts w:ascii="Arial" w:cs="Arial" w:eastAsia="Arial" w:hAnsi="Arial"/>
          <w:sz w:val="17"/>
          <w:szCs w:val="17"/>
          <w:color w:val="auto"/>
        </w:rPr>
        <w:t>” means any of the member states of the European Union, Iceland, Liechtenstein, and Norway.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26</w:t>
      </w:r>
      <w:r>
        <w:rPr>
          <w:rFonts w:ascii="Arial" w:cs="Arial" w:eastAsia="Arial" w:hAnsi="Arial"/>
          <w:sz w:val="18"/>
          <w:szCs w:val="18"/>
          <w:u w:val="single" w:color="auto"/>
          <w:color w:val="0000FF"/>
          <w:strike w:val="1"/>
        </w:rPr>
        <w:t>26</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94" w:name="page95"/>
    <w:bookmarkEnd w:id="94"/>
    <w:p>
      <w:pPr>
        <w:ind w:left="100" w:right="19" w:firstLine="74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9" w:lineRule="exact"/>
        <w:rPr>
          <w:sz w:val="20"/>
          <w:szCs w:val="20"/>
          <w:color w:val="auto"/>
        </w:rPr>
      </w:pPr>
    </w:p>
    <w:p>
      <w:pPr>
        <w:ind w:left="100" w:right="79" w:firstLine="74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Electronic Signature</w:t>
      </w:r>
      <w:r>
        <w:rPr>
          <w:rFonts w:ascii="Arial" w:cs="Arial" w:eastAsia="Arial" w:hAnsi="Arial"/>
          <w:sz w:val="19"/>
          <w:szCs w:val="19"/>
          <w:color w:val="auto"/>
        </w:rPr>
        <w:t>” means any electronic symbol or process attached to, or associated with, any contract or other record and adopted by a person with the intent to sign, authenticate or accept such contract or record.</w:t>
      </w:r>
    </w:p>
    <w:p>
      <w:pPr>
        <w:spacing w:after="0" w:line="159" w:lineRule="exact"/>
        <w:rPr>
          <w:sz w:val="20"/>
          <w:szCs w:val="20"/>
          <w:color w:val="auto"/>
        </w:rPr>
      </w:pPr>
    </w:p>
    <w:p>
      <w:pPr>
        <w:jc w:val="both"/>
        <w:ind w:left="100" w:right="39" w:firstLine="749"/>
        <w:spacing w:after="0" w:line="23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Assignee</w:t>
      </w:r>
      <w:r>
        <w:rPr>
          <w:rFonts w:ascii="Arial" w:cs="Arial" w:eastAsia="Arial" w:hAnsi="Arial"/>
          <w:sz w:val="19"/>
          <w:szCs w:val="19"/>
          <w:color w:val="auto"/>
        </w:rPr>
        <w:t xml:space="preserve">” means (a) any Lender, (b) any commercial bank, insurance company, or finance company, financial institution, any fund that invests in loans or any other “accredited investor” (as defined in Regulation D of the Securities Act), (c) any Affiliate of any Lender, (d) any Approved Fund of any Lender and (e) to the extent permitted under </w:t>
      </w:r>
      <w:r>
        <w:rPr>
          <w:rFonts w:ascii="Arial" w:cs="Arial" w:eastAsia="Arial" w:hAnsi="Arial"/>
          <w:sz w:val="19"/>
          <w:szCs w:val="19"/>
          <w:u w:val="single" w:color="auto"/>
          <w:color w:val="auto"/>
        </w:rPr>
        <w:t>Section 9.05(g)</w:t>
      </w:r>
      <w:r>
        <w:rPr>
          <w:rFonts w:ascii="Arial" w:cs="Arial" w:eastAsia="Arial" w:hAnsi="Arial"/>
          <w:sz w:val="19"/>
          <w:szCs w:val="19"/>
          <w:color w:val="auto"/>
        </w:rPr>
        <w:t xml:space="preserve">, any Affiliated Lender or any Debt Fund Affiliate;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any event, “Eligible Assignee” shall not include (i) any natural person (or any holding company, investment vehicle or trust for, or owned and operated by, or for the primary benefit of, one or more natural persons), (ii) any Disqualified Institution or (iii) except as permitted under </w:t>
      </w:r>
      <w:r>
        <w:rPr>
          <w:rFonts w:ascii="Arial" w:cs="Arial" w:eastAsia="Arial" w:hAnsi="Arial"/>
          <w:sz w:val="19"/>
          <w:szCs w:val="19"/>
          <w:u w:val="single" w:color="auto"/>
          <w:color w:val="auto"/>
        </w:rPr>
        <w:t>Section 9.05(g)</w:t>
      </w:r>
      <w:r>
        <w:rPr>
          <w:rFonts w:ascii="Arial" w:cs="Arial" w:eastAsia="Arial" w:hAnsi="Arial"/>
          <w:sz w:val="19"/>
          <w:szCs w:val="19"/>
          <w:color w:val="auto"/>
        </w:rPr>
        <w:t>, the Borrower or any of its Affiliates.</w:t>
      </w:r>
    </w:p>
    <w:p>
      <w:pPr>
        <w:spacing w:after="0" w:line="182" w:lineRule="exact"/>
        <w:rPr>
          <w:sz w:val="20"/>
          <w:szCs w:val="20"/>
          <w:color w:val="auto"/>
        </w:rPr>
      </w:pPr>
    </w:p>
    <w:p>
      <w:pPr>
        <w:ind w:left="100" w:right="9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Engagement Letter</w:t>
      </w:r>
      <w:r>
        <w:rPr>
          <w:rFonts w:ascii="Arial" w:cs="Arial" w:eastAsia="Arial" w:hAnsi="Arial"/>
          <w:sz w:val="19"/>
          <w:szCs w:val="19"/>
          <w:color w:val="auto"/>
        </w:rPr>
        <w:t>” means Amended and Restated Engagement Letter, dated as of September 16, 2021, by and among the Borrower and the Arrangers (and/or certain of their respective Affiliates).</w:t>
      </w:r>
    </w:p>
    <w:p>
      <w:pPr>
        <w:spacing w:after="0" w:line="187" w:lineRule="exact"/>
        <w:rPr>
          <w:sz w:val="20"/>
          <w:szCs w:val="20"/>
          <w:color w:val="auto"/>
        </w:rPr>
      </w:pPr>
    </w:p>
    <w:p>
      <w:pPr>
        <w:ind w:left="100" w:right="9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w:t>
      </w:r>
      <w:r>
        <w:rPr>
          <w:rFonts w:ascii="Arial" w:cs="Arial" w:eastAsia="Arial" w:hAnsi="Arial"/>
          <w:sz w:val="19"/>
          <w:szCs w:val="19"/>
          <w:color w:val="auto"/>
        </w:rPr>
        <w:t>” means ambient air, indoor air, surface water, groundwater, drinking water, land surface and subsurface strata &amp; natural resources such as wetlands, flora and fauna.</w:t>
      </w:r>
    </w:p>
    <w:p>
      <w:pPr>
        <w:spacing w:after="0" w:line="173" w:lineRule="exact"/>
        <w:rPr>
          <w:sz w:val="20"/>
          <w:szCs w:val="20"/>
          <w:color w:val="auto"/>
        </w:rPr>
      </w:pPr>
    </w:p>
    <w:p>
      <w:pPr>
        <w:ind w:left="100" w:right="59" w:firstLine="74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Claim</w:t>
      </w:r>
      <w:r>
        <w:rPr>
          <w:rFonts w:ascii="Arial" w:cs="Arial" w:eastAsia="Arial" w:hAnsi="Arial"/>
          <w:sz w:val="17"/>
          <w:szCs w:val="17"/>
          <w:color w:val="auto"/>
        </w:rPr>
        <w:t>” means any investigation, notice, notice of violation, claim, action, suit, proceeding, demand, abatement order or other order or directive (conditional or otherwise), by any Governmental Authority or any other Person, arising</w:t>
      </w:r>
    </w:p>
    <w:p>
      <w:pPr>
        <w:spacing w:after="0" w:line="1" w:lineRule="exact"/>
        <w:rPr>
          <w:sz w:val="20"/>
          <w:szCs w:val="20"/>
          <w:color w:val="auto"/>
        </w:rPr>
      </w:pPr>
    </w:p>
    <w:p>
      <w:pPr>
        <w:jc w:val="both"/>
        <w:ind w:left="100" w:right="59" w:hanging="7"/>
        <w:spacing w:after="0" w:line="230" w:lineRule="auto"/>
        <w:tabs>
          <w:tab w:leader="none" w:pos="392" w:val="left"/>
        </w:tabs>
        <w:numPr>
          <w:ilvl w:val="0"/>
          <w:numId w:val="64"/>
        </w:numPr>
        <w:rPr>
          <w:rFonts w:ascii="Arial" w:cs="Arial" w:eastAsia="Arial" w:hAnsi="Arial"/>
          <w:sz w:val="19"/>
          <w:szCs w:val="19"/>
          <w:color w:val="auto"/>
        </w:rPr>
      </w:pPr>
      <w:r>
        <w:rPr>
          <w:rFonts w:ascii="Arial" w:cs="Arial" w:eastAsia="Arial" w:hAnsi="Arial"/>
          <w:sz w:val="19"/>
          <w:szCs w:val="19"/>
          <w:color w:val="auto"/>
        </w:rPr>
        <w:t>pursuant to or in connection with any actual or alleged violation of any Environmental Law; (b) in connection with any Hazardous Material or any actual or alleged Hazardous Materials Activity; or (c) in connection with any actual or alleged damage, injury, threat or harm to the Environment.</w:t>
      </w:r>
    </w:p>
    <w:p>
      <w:pPr>
        <w:spacing w:after="0" w:line="193" w:lineRule="exact"/>
        <w:rPr>
          <w:sz w:val="20"/>
          <w:szCs w:val="20"/>
          <w:color w:val="auto"/>
        </w:rPr>
      </w:pPr>
    </w:p>
    <w:p>
      <w:pPr>
        <w:jc w:val="both"/>
        <w:ind w:left="100" w:right="79" w:firstLine="74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any applicable Requirements of Law relating to (a) environmental matters, including those relating to any Hazardous Materials Activity; or (b) the generation, use, storage, transportation or disposal of or exposure to Hazardous Materials, in any manner applicable to Holdings, the Borrower or any of its Restricted Subsidiaries or any Facility.</w:t>
      </w:r>
    </w:p>
    <w:p>
      <w:pPr>
        <w:spacing w:after="0" w:line="163" w:lineRule="exact"/>
        <w:rPr>
          <w:sz w:val="20"/>
          <w:szCs w:val="20"/>
          <w:color w:val="auto"/>
        </w:rPr>
      </w:pPr>
    </w:p>
    <w:p>
      <w:pPr>
        <w:jc w:val="both"/>
        <w:ind w:left="100" w:right="59" w:firstLine="749"/>
        <w:spacing w:after="0" w:line="2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Liability</w:t>
      </w:r>
      <w:r>
        <w:rPr>
          <w:rFonts w:ascii="Arial" w:cs="Arial" w:eastAsia="Arial" w:hAnsi="Arial"/>
          <w:sz w:val="19"/>
          <w:szCs w:val="19"/>
          <w:color w:val="auto"/>
        </w:rPr>
        <w:t>” means any liability, contingent or otherwise (including any liability for damages, costs of environmental remediation, fines, penalties or indemnities), directly or indirectly resulting from or based upon (a) any actual or alleged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means the Employee Retirement Income Security Act of 1974.</w:t>
      </w:r>
    </w:p>
    <w:p>
      <w:pPr>
        <w:spacing w:after="0" w:line="214"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Affiliate</w:t>
      </w:r>
      <w:r>
        <w:rPr>
          <w:rFonts w:ascii="Arial" w:cs="Arial" w:eastAsia="Arial" w:hAnsi="Arial"/>
          <w:sz w:val="19"/>
          <w:szCs w:val="19"/>
          <w:color w:val="auto"/>
        </w:rPr>
        <w:t>” means any trade or business (whether or not incorporated) that is under common control with Holdings, the Borrower or any Restricted Subsidiary and is treated as a single employer within the meaning of Section 414 of the Code or Section 4001 of ERISA.</w:t>
      </w:r>
    </w:p>
    <w:p>
      <w:pPr>
        <w:spacing w:after="0" w:line="192"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 Reportable Event with respect to a Pension Plan; (b) a withdrawal by Holdings, the Borrower or any Restricted Subsidiary or any ERISA Affiliate from a Pension Plan subject to Section 4063 of ERISA during a plan year in which it was a substantial employer (as defined in Section 4001(a)(2) of ERISA) or a cessation of operations at any facility of Holdings, the Borrower or any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27</w:t>
      </w:r>
      <w:r>
        <w:rPr>
          <w:rFonts w:ascii="Arial" w:cs="Arial" w:eastAsia="Arial" w:hAnsi="Arial"/>
          <w:sz w:val="18"/>
          <w:szCs w:val="18"/>
          <w:u w:val="single" w:color="auto"/>
          <w:color w:val="0000FF"/>
          <w:strike w:val="1"/>
        </w:rPr>
        <w:t>27</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95" w:name="page96"/>
    <w:bookmarkEnd w:id="95"/>
    <w:p>
      <w:pPr>
        <w:jc w:val="both"/>
        <w:ind w:left="100"/>
        <w:spacing w:after="0" w:line="243" w:lineRule="auto"/>
        <w:rPr>
          <w:sz w:val="20"/>
          <w:szCs w:val="20"/>
          <w:color w:val="auto"/>
        </w:rPr>
      </w:pPr>
      <w:r>
        <w:rPr>
          <w:rFonts w:ascii="Arial" w:cs="Arial" w:eastAsia="Arial" w:hAnsi="Arial"/>
          <w:sz w:val="18"/>
          <w:szCs w:val="18"/>
          <w:color w:val="auto"/>
        </w:rPr>
        <w:t>Restricted Subsidiary or any ERISA Affiliate as described in Section 4062(e) of ERISA, in each case, resulting in liability pursuant to Section 4063 of ERISA; (c) a complete or partial withdrawal by Holdings, the Borrower or any Restricted Subsidiary or any ERISA Affiliate from a Multiemployer Plan resulting in the imposition of Withdrawal Liability on Holdings, the Borrower or any Restricted Subsidiary or any ERISA Affiliate, notification of Holdings, the Borrower or any Restricted Subsidiary or any ERISA Affiliate concerning the imposition of Withdrawal Liability or notification that a Multiemployer Plan is “insolvent” within the meaning of Section 4245 of ERISA; (d) the filing of a notice of intent to terminate a Pension Plan under Section 4041(c) of ERISA, the treatment of a Pension Plan amendment as a termination under Section 4041(c) of ERISA, the commencement of proceedings by the PBGC to terminate a Pension Plan or the receipt by Holdings, the Borrower or any Restricted Subsidiary or any ERISA Affiliate of notice of the treatment of a Multiemployer Plan amendment as a termination under Section 4041A of ERISA or of notice of the commencement of proceedings by the PBGC to terminate a Multiemployer Plan; (e) the occurrence of an event or condition which constitutes grounds under Section 4042 of ERISA for the termination of, or the appointment of a trustee to administer, any Pension Plan or Multiemployer Plan; (f) the imposition of any liability under Title IV of ERISA, other than for PBGC premiums due but not delinquent under Section 4007 of ERISA, upon Holdings, the Borrower or any Restricted Subsidiary or any ERISA Affiliate, with respect to the termination of any Pension Plan; or (g) the conditions for imposition of a Lien under Section 303(k) of ERISA have been met with respect to any Pension Plan.</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Erroneous Payment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8.14(a)</w:t>
      </w:r>
      <w:r>
        <w:rPr>
          <w:rFonts w:ascii="Arial" w:cs="Arial" w:eastAsia="Arial" w:hAnsi="Arial"/>
          <w:sz w:val="19"/>
          <w:szCs w:val="19"/>
          <w:color w:val="auto"/>
        </w:rPr>
        <w:t>.</w:t>
      </w:r>
    </w:p>
    <w:p>
      <w:pPr>
        <w:spacing w:after="0" w:line="295" w:lineRule="exact"/>
        <w:rPr>
          <w:sz w:val="20"/>
          <w:szCs w:val="20"/>
          <w:color w:val="auto"/>
        </w:rPr>
      </w:pPr>
    </w:p>
    <w:p>
      <w:pPr>
        <w:ind w:left="840" w:right="420"/>
        <w:spacing w:after="0" w:line="40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Erroneous Payment Return Deficiency</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8.14(c)</w:t>
      </w:r>
      <w:r>
        <w:rPr>
          <w:rFonts w:ascii="Arial" w:cs="Arial" w:eastAsia="Arial" w:hAnsi="Arial"/>
          <w:sz w:val="19"/>
          <w:szCs w:val="19"/>
          <w:color w:val="auto"/>
        </w:rPr>
        <w:t>. “</w:t>
      </w:r>
      <w:r>
        <w:rPr>
          <w:rFonts w:ascii="Arial" w:cs="Arial" w:eastAsia="Arial" w:hAnsi="Arial"/>
          <w:sz w:val="19"/>
          <w:szCs w:val="19"/>
          <w:u w:val="single" w:color="auto"/>
          <w:color w:val="auto"/>
        </w:rPr>
        <w:t>Escrow</w:t>
      </w:r>
      <w:r>
        <w:rPr>
          <w:rFonts w:ascii="Arial" w:cs="Arial" w:eastAsia="Arial" w:hAnsi="Arial"/>
          <w:sz w:val="19"/>
          <w:szCs w:val="19"/>
          <w:color w:val="auto"/>
        </w:rPr>
        <w:t>” has the meaning set forth in the definition of “Indebtedness”.</w:t>
      </w:r>
    </w:p>
    <w:p>
      <w:pPr>
        <w:spacing w:after="0" w:line="1" w:lineRule="exact"/>
        <w:rPr>
          <w:sz w:val="20"/>
          <w:szCs w:val="20"/>
          <w:color w:val="auto"/>
        </w:rPr>
      </w:pPr>
    </w:p>
    <w:p>
      <w:pPr>
        <w:ind w:left="100" w:right="980" w:firstLine="74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 Bail-In Legislation Schedule</w:t>
      </w:r>
      <w:r>
        <w:rPr>
          <w:rFonts w:ascii="Arial" w:cs="Arial" w:eastAsia="Arial" w:hAnsi="Arial"/>
          <w:sz w:val="19"/>
          <w:szCs w:val="19"/>
          <w:color w:val="auto"/>
        </w:rPr>
        <w:t>” means the EU Bail-In Legislation Schedule published by the Loan Market Association (or any successor person), as in effect from time to time.</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Event of Default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Article 7</w:t>
      </w:r>
      <w:r>
        <w:rPr>
          <w:rFonts w:ascii="Arial" w:cs="Arial" w:eastAsia="Arial" w:hAnsi="Arial"/>
          <w:sz w:val="19"/>
          <w:szCs w:val="19"/>
          <w:color w:val="auto"/>
        </w:rPr>
        <w:t>.</w:t>
      </w:r>
    </w:p>
    <w:p>
      <w:pPr>
        <w:spacing w:after="0" w:line="200" w:lineRule="exact"/>
        <w:rPr>
          <w:sz w:val="20"/>
          <w:szCs w:val="20"/>
          <w:color w:val="auto"/>
        </w:rPr>
      </w:pPr>
    </w:p>
    <w:p>
      <w:pPr>
        <w:ind w:left="100" w:right="600"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Securities Exchange Act of 1934 and the rules and regulations of the SEC promulgated thereunder.</w:t>
      </w:r>
    </w:p>
    <w:p>
      <w:pPr>
        <w:spacing w:after="0" w:line="187"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Assets</w:t>
      </w:r>
      <w:r>
        <w:rPr>
          <w:rFonts w:ascii="Arial" w:cs="Arial" w:eastAsia="Arial" w:hAnsi="Arial"/>
          <w:sz w:val="19"/>
          <w:szCs w:val="19"/>
          <w:color w:val="auto"/>
        </w:rPr>
        <w:t>” means each of the following:</w:t>
      </w:r>
    </w:p>
    <w:p>
      <w:pPr>
        <w:spacing w:after="0" w:line="200" w:lineRule="exact"/>
        <w:rPr>
          <w:sz w:val="20"/>
          <w:szCs w:val="20"/>
          <w:color w:val="auto"/>
        </w:rPr>
      </w:pPr>
    </w:p>
    <w:p>
      <w:pPr>
        <w:jc w:val="both"/>
        <w:ind w:left="840" w:right="60" w:firstLine="751"/>
        <w:spacing w:after="0" w:line="271" w:lineRule="auto"/>
        <w:tabs>
          <w:tab w:leader="none" w:pos="2209"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any asset the grant or perfection of a security interest in which would (i) be prohibited by enforceable anti-assignment provisions set forth in any contract that is permitted or otherwise not prohibited by the terms of this Agreement and is binding on such asset at the time of its acquisition and not incurred in contemplation thereof (other than assets subject to Capital Leases and purchase money financings), (ii) violate (after giving effect to applicable anti-assignment provisions of the UCC or other applicable Requirements of Law) the terms of any contract relating to such asset that is permitted or otherwise not prohibited by the terms of this Agreement and is binding on such asset at the time of its acquisition and not incurred in contemplation thereof (other than in the case of Capital Leases and purchase money financings), or (iii) trigger termination of any contract relating to such asset that is permitted or otherwise not prohibited by the terms of this Agreement pursuant to any “change of control” or similar provision (to the extent such contract is binding on such asset at the time of its acquisition and not incurred in contemplation thereof); it being understood that the term “Excluded Asset” shall not include proceeds or receivables arising out of any contract described in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to the extent that the assignment of such proceeds or receivables is expressly deemed to be effective under the UCC or other applicable Requirements of Law notwithstanding the relevant prohibition, violation or termination right;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28</w:t>
      </w:r>
      <w:r>
        <w:rPr>
          <w:rFonts w:ascii="Arial" w:cs="Arial" w:eastAsia="Arial" w:hAnsi="Arial"/>
          <w:sz w:val="18"/>
          <w:szCs w:val="18"/>
          <w:u w:val="single" w:color="auto"/>
          <w:color w:val="0000FF"/>
          <w:strike w:val="1"/>
        </w:rPr>
        <w:t>28</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85" w:right="1439" w:bottom="1440" w:gutter="0" w:footer="0" w:header="0"/>
        </w:sectPr>
      </w:pPr>
    </w:p>
    <w:bookmarkStart w:id="96" w:name="page97"/>
    <w:bookmarkEnd w:id="96"/>
    <w:p>
      <w:pPr>
        <w:jc w:val="both"/>
        <w:ind w:left="840" w:right="59" w:firstLine="751"/>
        <w:spacing w:after="0" w:line="256" w:lineRule="auto"/>
        <w:tabs>
          <w:tab w:leader="none" w:pos="2209" w:val="left"/>
        </w:tabs>
        <w:numPr>
          <w:ilvl w:val="1"/>
          <w:numId w:val="66"/>
        </w:numPr>
        <w:rPr>
          <w:rFonts w:ascii="Arial" w:cs="Arial" w:eastAsia="Arial" w:hAnsi="Arial"/>
          <w:sz w:val="19"/>
          <w:szCs w:val="19"/>
          <w:color w:val="auto"/>
        </w:rPr>
      </w:pPr>
      <w:r>
        <w:rPr>
          <w:rFonts w:ascii="Arial" w:cs="Arial" w:eastAsia="Arial" w:hAnsi="Arial"/>
          <w:sz w:val="19"/>
          <w:szCs w:val="19"/>
          <w:color w:val="auto"/>
        </w:rPr>
        <w:t>the Capital Stock of any (i) Captive Insurance Subsidiary, (ii) Unrestricted Subsidiary, (iii) not-for-profit subsidiary, (iv) Immaterial Subsidiary (other than an Immaterial Subsidiary that is a Loan Party) and/or (v) Receivables Subsidiary;</w:t>
      </w:r>
    </w:p>
    <w:p>
      <w:pPr>
        <w:spacing w:after="0" w:line="178" w:lineRule="exact"/>
        <w:rPr>
          <w:rFonts w:ascii="Arial" w:cs="Arial" w:eastAsia="Arial" w:hAnsi="Arial"/>
          <w:sz w:val="19"/>
          <w:szCs w:val="19"/>
          <w:color w:val="auto"/>
        </w:rPr>
      </w:pPr>
    </w:p>
    <w:p>
      <w:pPr>
        <w:ind w:left="840" w:right="179" w:firstLine="751"/>
        <w:spacing w:after="0" w:line="278" w:lineRule="auto"/>
        <w:tabs>
          <w:tab w:leader="none" w:pos="2209" w:val="left"/>
        </w:tabs>
        <w:numPr>
          <w:ilvl w:val="1"/>
          <w:numId w:val="66"/>
        </w:numPr>
        <w:rPr>
          <w:rFonts w:ascii="Arial" w:cs="Arial" w:eastAsia="Arial" w:hAnsi="Arial"/>
          <w:sz w:val="17"/>
          <w:szCs w:val="17"/>
          <w:color w:val="auto"/>
        </w:rPr>
      </w:pPr>
      <w:r>
        <w:rPr>
          <w:rFonts w:ascii="Arial" w:cs="Arial" w:eastAsia="Arial" w:hAnsi="Arial"/>
          <w:sz w:val="17"/>
          <w:szCs w:val="17"/>
          <w:color w:val="auto"/>
        </w:rPr>
        <w:t>any intent-to-use (or similar) Trademark application prior to the filing and acceptance by the U.S. Patent and Trademark Office (or similar Governmental Authority) of a “Statement of Use”, “Declaration of Use”, “Amendment to Allege Use” or similar filing with respect thereto, only to the extent, if any, that, and solely during the period if any, in which, the grant of a security interest therein may impair the validity or enforceability of such intent-to-use (or similar) Trademark application or any registration issuing therefrom under applicable Requirements of Law;</w:t>
      </w:r>
    </w:p>
    <w:p>
      <w:pPr>
        <w:spacing w:after="0" w:line="163" w:lineRule="exact"/>
        <w:rPr>
          <w:rFonts w:ascii="Arial" w:cs="Arial" w:eastAsia="Arial" w:hAnsi="Arial"/>
          <w:sz w:val="17"/>
          <w:szCs w:val="17"/>
          <w:color w:val="auto"/>
        </w:rPr>
      </w:pPr>
    </w:p>
    <w:p>
      <w:pPr>
        <w:jc w:val="both"/>
        <w:ind w:left="840" w:right="59" w:firstLine="751"/>
        <w:spacing w:after="0" w:line="254" w:lineRule="auto"/>
        <w:tabs>
          <w:tab w:leader="none" w:pos="2209"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any asset (including Capital Stock), the grant or perfection of a security interest in which (i) would be prohibited under applicable Requirements of Law (including, without limitation, any rule and/or regulation of any Governmental Authority) (after giving effect to applicable anti-assignment provisions of the UCC or other applicable Requirements of Law), (ii) would require any governmental or regulatory consent, approval, license or authorization, in each case, to the extent such consent, approval, license or authorization has not been obtained (it being understood and agreed that no Loan Party shall have any obligation to procure any such consent, approval, license or authorization) (after giving effect to applicable anti-assignment provisions of the UCC or other applicable Requirements of Law); it being understood that the term “Excluded Asset” shall not include proceeds or receivables arising out of any asset described in </w:t>
      </w:r>
      <w:r>
        <w:rPr>
          <w:rFonts w:ascii="Arial" w:cs="Arial" w:eastAsia="Arial" w:hAnsi="Arial"/>
          <w:sz w:val="18"/>
          <w:szCs w:val="18"/>
          <w:u w:val="single" w:color="auto"/>
          <w:color w:val="auto"/>
        </w:rPr>
        <w:t>clauses (d)(i)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(d)(ii)</w:t>
      </w:r>
      <w:r>
        <w:rPr>
          <w:rFonts w:ascii="Arial" w:cs="Arial" w:eastAsia="Arial" w:hAnsi="Arial"/>
          <w:sz w:val="18"/>
          <w:szCs w:val="18"/>
          <w:color w:val="auto"/>
        </w:rPr>
        <w:t xml:space="preserve"> to the extent that the assignment of such proceeds or receivables is effective under the UCC or other applicable Requirements of Law notwithstanding the relevant requirement or prohibition or (iii) could be reasonably likely to result in material adverse tax consequences (including as a result of the application of Section 956 of the Code or any similar Requirement of Law) to Holdings, the Borrower, any Parent Company and/or any of their subsidiaries as determined by the Borrower in good faith;</w:t>
      </w:r>
    </w:p>
    <w:p>
      <w:pPr>
        <w:spacing w:after="0" w:line="189" w:lineRule="exact"/>
        <w:rPr>
          <w:rFonts w:ascii="Arial" w:cs="Arial" w:eastAsia="Arial" w:hAnsi="Arial"/>
          <w:sz w:val="18"/>
          <w:szCs w:val="18"/>
          <w:color w:val="auto"/>
        </w:rPr>
      </w:pPr>
    </w:p>
    <w:p>
      <w:pPr>
        <w:ind w:left="840" w:right="59" w:firstLine="751"/>
        <w:spacing w:after="0" w:line="320" w:lineRule="auto"/>
        <w:tabs>
          <w:tab w:leader="none" w:pos="2209" w:val="left"/>
        </w:tabs>
        <w:numPr>
          <w:ilvl w:val="1"/>
          <w:numId w:val="66"/>
        </w:numPr>
        <w:rPr>
          <w:rFonts w:ascii="Arial" w:cs="Arial" w:eastAsia="Arial" w:hAnsi="Arial"/>
          <w:sz w:val="17"/>
          <w:szCs w:val="17"/>
          <w:color w:val="auto"/>
        </w:rPr>
      </w:pPr>
      <w:r>
        <w:rPr>
          <w:rFonts w:ascii="Arial" w:cs="Arial" w:eastAsia="Arial" w:hAnsi="Arial"/>
          <w:sz w:val="17"/>
          <w:szCs w:val="17"/>
          <w:color w:val="auto"/>
        </w:rPr>
        <w:t>(i) any leasehold Real Estate Asset, (ii) except to the extent a security interest therein can be perfected by the filing of a UCC-1 financing statement, any other leasehold interest, and (iii) any owned Real Estate Asset;</w:t>
      </w:r>
    </w:p>
    <w:p>
      <w:pPr>
        <w:spacing w:after="0" w:line="126" w:lineRule="exact"/>
        <w:rPr>
          <w:rFonts w:ascii="Arial" w:cs="Arial" w:eastAsia="Arial" w:hAnsi="Arial"/>
          <w:sz w:val="17"/>
          <w:szCs w:val="17"/>
          <w:color w:val="auto"/>
        </w:rPr>
      </w:pPr>
    </w:p>
    <w:p>
      <w:pPr>
        <w:ind w:left="840" w:right="59" w:firstLine="751"/>
        <w:spacing w:after="0" w:line="261" w:lineRule="auto"/>
        <w:tabs>
          <w:tab w:leader="none" w:pos="2209" w:val="left"/>
        </w:tabs>
        <w:numPr>
          <w:ilvl w:val="1"/>
          <w:numId w:val="66"/>
        </w:numPr>
        <w:rPr>
          <w:rFonts w:ascii="Arial" w:cs="Arial" w:eastAsia="Arial" w:hAnsi="Arial"/>
          <w:sz w:val="19"/>
          <w:szCs w:val="19"/>
          <w:color w:val="auto"/>
        </w:rPr>
      </w:pPr>
      <w:r>
        <w:rPr>
          <w:rFonts w:ascii="Arial" w:cs="Arial" w:eastAsia="Arial" w:hAnsi="Arial"/>
          <w:sz w:val="19"/>
          <w:szCs w:val="19"/>
          <w:color w:val="auto"/>
        </w:rPr>
        <w:t>the Capital Stock of (i) any Person that is not the Borrower or a Wholly-Owned Subsidiary of the Borrower and/or (ii) any subsidiary of any non-Wholly Owned Subsidiary of the Borrower;</w:t>
      </w:r>
    </w:p>
    <w:p>
      <w:pPr>
        <w:spacing w:after="0" w:line="172" w:lineRule="exact"/>
        <w:rPr>
          <w:rFonts w:ascii="Arial" w:cs="Arial" w:eastAsia="Arial" w:hAnsi="Arial"/>
          <w:sz w:val="19"/>
          <w:szCs w:val="19"/>
          <w:color w:val="auto"/>
        </w:rPr>
      </w:pPr>
    </w:p>
    <w:p>
      <w:pPr>
        <w:ind w:left="2340" w:hanging="748"/>
        <w:spacing w:after="0"/>
        <w:tabs>
          <w:tab w:leader="none" w:pos="2340" w:val="left"/>
        </w:tabs>
        <w:numPr>
          <w:ilvl w:val="1"/>
          <w:numId w:val="66"/>
        </w:numPr>
        <w:rPr>
          <w:rFonts w:ascii="Arial" w:cs="Arial" w:eastAsia="Arial" w:hAnsi="Arial"/>
          <w:sz w:val="19"/>
          <w:szCs w:val="19"/>
          <w:color w:val="auto"/>
        </w:rPr>
      </w:pPr>
      <w:r>
        <w:rPr>
          <w:rFonts w:ascii="Arial" w:cs="Arial" w:eastAsia="Arial" w:hAnsi="Arial"/>
          <w:sz w:val="19"/>
          <w:szCs w:val="19"/>
          <w:color w:val="auto"/>
        </w:rPr>
        <w:t>any Margin Stock;</w:t>
      </w:r>
    </w:p>
    <w:p>
      <w:pPr>
        <w:spacing w:after="0" w:line="227" w:lineRule="exact"/>
        <w:rPr>
          <w:rFonts w:ascii="Arial" w:cs="Arial" w:eastAsia="Arial" w:hAnsi="Arial"/>
          <w:sz w:val="19"/>
          <w:szCs w:val="19"/>
          <w:color w:val="auto"/>
        </w:rPr>
      </w:pPr>
    </w:p>
    <w:p>
      <w:pPr>
        <w:ind w:left="2340" w:hanging="748"/>
        <w:spacing w:after="0"/>
        <w:tabs>
          <w:tab w:leader="none" w:pos="2340" w:val="left"/>
        </w:tabs>
        <w:numPr>
          <w:ilvl w:val="1"/>
          <w:numId w:val="66"/>
        </w:numPr>
        <w:rPr>
          <w:rFonts w:ascii="Arial" w:cs="Arial" w:eastAsia="Arial" w:hAnsi="Arial"/>
          <w:sz w:val="19"/>
          <w:szCs w:val="19"/>
          <w:color w:val="auto"/>
        </w:rPr>
      </w:pPr>
      <w:r>
        <w:rPr>
          <w:rFonts w:ascii="Arial" w:cs="Arial" w:eastAsia="Arial" w:hAnsi="Arial"/>
          <w:sz w:val="19"/>
          <w:szCs w:val="19"/>
          <w:color w:val="auto"/>
        </w:rPr>
        <w:t>the Capital Stock of (i) any Foreign Subsidiary and (ii) any FSHCO, in each case,</w:t>
      </w:r>
    </w:p>
    <w:p>
      <w:pPr>
        <w:spacing w:after="0" w:line="13" w:lineRule="exact"/>
        <w:rPr>
          <w:rFonts w:ascii="Arial" w:cs="Arial" w:eastAsia="Arial" w:hAnsi="Arial"/>
          <w:sz w:val="19"/>
          <w:szCs w:val="19"/>
          <w:color w:val="auto"/>
        </w:rPr>
      </w:pPr>
    </w:p>
    <w:p>
      <w:pPr>
        <w:jc w:val="both"/>
        <w:ind w:left="840" w:right="59" w:firstLine="3"/>
        <w:spacing w:after="0"/>
        <w:tabs>
          <w:tab w:leader="none" w:pos="1159" w:val="left"/>
        </w:tabs>
        <w:numPr>
          <w:ilvl w:val="0"/>
          <w:numId w:val="67"/>
        </w:numPr>
        <w:rPr>
          <w:rFonts w:ascii="Arial" w:cs="Arial" w:eastAsia="Arial" w:hAnsi="Arial"/>
          <w:sz w:val="19"/>
          <w:szCs w:val="19"/>
          <w:color w:val="auto"/>
        </w:rPr>
      </w:pPr>
      <w:r>
        <w:rPr>
          <w:rFonts w:ascii="Arial" w:cs="Arial" w:eastAsia="Arial" w:hAnsi="Arial"/>
          <w:sz w:val="19"/>
          <w:szCs w:val="19"/>
          <w:color w:val="auto"/>
        </w:rPr>
        <w:t>in excess of 65% of the issued and outstanding voting Capital Stock and 100% of the issued and outstanding non-voting Capital Stock of any such Foreign Subsidiary and/or FSHCO or (B) to the extent such Foreign Subsidiary or FSHCO is not a first-tier Subsidiary of any Loan Party;</w:t>
      </w:r>
    </w:p>
    <w:p>
      <w:pPr>
        <w:spacing w:after="0" w:line="192" w:lineRule="exact"/>
        <w:rPr>
          <w:rFonts w:ascii="Arial" w:cs="Arial" w:eastAsia="Arial" w:hAnsi="Arial"/>
          <w:sz w:val="19"/>
          <w:szCs w:val="19"/>
          <w:color w:val="auto"/>
        </w:rPr>
      </w:pPr>
    </w:p>
    <w:p>
      <w:pPr>
        <w:ind w:left="2340" w:hanging="748"/>
        <w:spacing w:after="0"/>
        <w:tabs>
          <w:tab w:leader="none" w:pos="2340" w:val="left"/>
        </w:tabs>
        <w:numPr>
          <w:ilvl w:val="1"/>
          <w:numId w:val="67"/>
        </w:numPr>
        <w:rPr>
          <w:rFonts w:ascii="Arial" w:cs="Arial" w:eastAsia="Arial" w:hAnsi="Arial"/>
          <w:sz w:val="19"/>
          <w:szCs w:val="19"/>
          <w:color w:val="auto"/>
        </w:rPr>
      </w:pPr>
      <w:r>
        <w:rPr>
          <w:rFonts w:ascii="Arial" w:cs="Arial" w:eastAsia="Arial" w:hAnsi="Arial"/>
          <w:sz w:val="19"/>
          <w:szCs w:val="19"/>
          <w:color w:val="auto"/>
        </w:rPr>
        <w:t>any Commercial Tort Claim;</w:t>
      </w:r>
    </w:p>
    <w:p>
      <w:pPr>
        <w:spacing w:after="0" w:line="213" w:lineRule="exact"/>
        <w:rPr>
          <w:rFonts w:ascii="Arial" w:cs="Arial" w:eastAsia="Arial" w:hAnsi="Arial"/>
          <w:sz w:val="19"/>
          <w:szCs w:val="19"/>
          <w:color w:val="auto"/>
        </w:rPr>
      </w:pPr>
    </w:p>
    <w:p>
      <w:pPr>
        <w:jc w:val="both"/>
        <w:ind w:left="840" w:right="59" w:firstLine="751"/>
        <w:spacing w:after="0" w:line="278" w:lineRule="auto"/>
        <w:tabs>
          <w:tab w:leader="none" w:pos="2209" w:val="left"/>
        </w:tabs>
        <w:numPr>
          <w:ilvl w:val="1"/>
          <w:numId w:val="67"/>
        </w:numPr>
        <w:rPr>
          <w:rFonts w:ascii="Arial" w:cs="Arial" w:eastAsia="Arial" w:hAnsi="Arial"/>
          <w:sz w:val="17"/>
          <w:szCs w:val="17"/>
          <w:color w:val="auto"/>
        </w:rPr>
      </w:pPr>
      <w:r>
        <w:rPr>
          <w:rFonts w:ascii="Arial" w:cs="Arial" w:eastAsia="Arial" w:hAnsi="Arial"/>
          <w:sz w:val="17"/>
          <w:szCs w:val="17"/>
          <w:color w:val="auto"/>
        </w:rPr>
        <w:t>any Deposit Account, securities account and/or similar account (including any securities entitlement), escrow, fiduciary and/or trust account, payroll and other employee wage and benefit accounts, tax accounts (including, sales tax accounts), any cash collateral account, any Cash and Cash Equivalents and any funds and other property held or maintained in any such accounts (other than, in each case, proceeds of other Collateral as to which perfection may be accomplished by filing a UCC-1 financing statement or automatically in accordance with the UCC);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29</w:t>
      </w:r>
      <w:r>
        <w:rPr>
          <w:rFonts w:ascii="Arial" w:cs="Arial" w:eastAsia="Arial" w:hAnsi="Arial"/>
          <w:sz w:val="18"/>
          <w:szCs w:val="18"/>
          <w:u w:val="single" w:color="auto"/>
          <w:color w:val="0000FF"/>
          <w:strike w:val="1"/>
        </w:rPr>
        <w:t>29</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97" w:name="page98"/>
    <w:bookmarkEnd w:id="97"/>
    <w:p>
      <w:pPr>
        <w:jc w:val="both"/>
        <w:ind w:left="840" w:right="59" w:firstLine="751"/>
        <w:spacing w:after="0" w:line="258" w:lineRule="auto"/>
        <w:tabs>
          <w:tab w:leader="none" w:pos="2209"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assets subject to any purchase money security interest, Capital Lease obligation, sale-leaseback obligation or similar arrangement, in each case, that is permitted or otherwise not prohibited by the terms of this Agreement and to the extent the grant of a security interest therein would violate or invalidate such lease, license or agreement or purchase money or similar arrangement or create a right of termination in favor of any other party thereto (other than Holdings or any subsidiary of Holdings); it being understood that the term “Excluded Asset” shall not include proceeds or receivables arising out of any asset described in this </w:t>
      </w:r>
      <w:r>
        <w:rPr>
          <w:rFonts w:ascii="Arial" w:cs="Arial" w:eastAsia="Arial" w:hAnsi="Arial"/>
          <w:sz w:val="18"/>
          <w:szCs w:val="18"/>
          <w:u w:val="single" w:color="auto"/>
          <w:color w:val="auto"/>
        </w:rPr>
        <w:t>clause (k)</w:t>
      </w:r>
      <w:r>
        <w:rPr>
          <w:rFonts w:ascii="Arial" w:cs="Arial" w:eastAsia="Arial" w:hAnsi="Arial"/>
          <w:sz w:val="18"/>
          <w:szCs w:val="18"/>
          <w:color w:val="auto"/>
        </w:rPr>
        <w:t xml:space="preserve"> to the extent that the assignment of such proceeds or receivables is expressly deemed to be effective under the UCC or other applicable Requirements of Law notwithstanding the relevant violation or invalidation;</w:t>
      </w:r>
    </w:p>
    <w:p>
      <w:pPr>
        <w:spacing w:after="0" w:line="177" w:lineRule="exact"/>
        <w:rPr>
          <w:rFonts w:ascii="Arial" w:cs="Arial" w:eastAsia="Arial" w:hAnsi="Arial"/>
          <w:sz w:val="18"/>
          <w:szCs w:val="18"/>
          <w:color w:val="auto"/>
        </w:rPr>
      </w:pPr>
    </w:p>
    <w:p>
      <w:pPr>
        <w:jc w:val="both"/>
        <w:ind w:left="840" w:right="59" w:firstLine="751"/>
        <w:spacing w:after="0" w:line="320" w:lineRule="auto"/>
        <w:tabs>
          <w:tab w:leader="none" w:pos="2209"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any Letter-of-Credit Right that does not constitute a supporting obligation, except to the extent the security interest therein may be perfected by filing of a financing statement under the UCC of any applicable jurisdiction;</w:t>
      </w:r>
    </w:p>
    <w:p>
      <w:pPr>
        <w:spacing w:after="0" w:line="126" w:lineRule="exact"/>
        <w:rPr>
          <w:rFonts w:ascii="Arial" w:cs="Arial" w:eastAsia="Arial" w:hAnsi="Arial"/>
          <w:sz w:val="17"/>
          <w:szCs w:val="17"/>
          <w:color w:val="auto"/>
        </w:rPr>
      </w:pPr>
    </w:p>
    <w:p>
      <w:pPr>
        <w:ind w:left="840" w:right="39" w:firstLine="752"/>
        <w:spacing w:after="0" w:line="289" w:lineRule="auto"/>
        <w:tabs>
          <w:tab w:leader="none" w:pos="2212" w:val="left"/>
        </w:tabs>
        <w:numPr>
          <w:ilvl w:val="0"/>
          <w:numId w:val="68"/>
        </w:numPr>
        <w:rPr>
          <w:rFonts w:ascii="Arial" w:cs="Arial" w:eastAsia="Arial" w:hAnsi="Arial"/>
          <w:sz w:val="18"/>
          <w:szCs w:val="18"/>
          <w:color w:val="auto"/>
        </w:rPr>
      </w:pPr>
      <w:r>
        <w:rPr>
          <w:rFonts w:ascii="Arial" w:cs="Arial" w:eastAsia="Arial" w:hAnsi="Arial"/>
          <w:sz w:val="18"/>
          <w:szCs w:val="18"/>
          <w:color w:val="auto"/>
        </w:rPr>
        <w:t>motor vehicles and other assets subject to certificates of title, except to the extent the security interest therein may be perfected by filing of a financing statement under the UCC of any applicable jurisdiction;</w:t>
      </w:r>
    </w:p>
    <w:p>
      <w:pPr>
        <w:spacing w:after="0" w:line="149" w:lineRule="exact"/>
        <w:rPr>
          <w:rFonts w:ascii="Arial" w:cs="Arial" w:eastAsia="Arial" w:hAnsi="Arial"/>
          <w:sz w:val="18"/>
          <w:szCs w:val="18"/>
          <w:color w:val="auto"/>
        </w:rPr>
      </w:pPr>
    </w:p>
    <w:p>
      <w:pPr>
        <w:jc w:val="both"/>
        <w:ind w:left="840" w:right="39" w:firstLine="752"/>
        <w:spacing w:after="0" w:line="246" w:lineRule="auto"/>
        <w:tabs>
          <w:tab w:leader="none" w:pos="2211" w:val="left"/>
        </w:tabs>
        <w:numPr>
          <w:ilvl w:val="0"/>
          <w:numId w:val="68"/>
        </w:numPr>
        <w:rPr>
          <w:rFonts w:ascii="Arial" w:cs="Arial" w:eastAsia="Arial" w:hAnsi="Arial"/>
          <w:sz w:val="19"/>
          <w:szCs w:val="19"/>
          <w:color w:val="auto"/>
        </w:rPr>
      </w:pPr>
      <w:r>
        <w:rPr>
          <w:rFonts w:ascii="Arial" w:cs="Arial" w:eastAsia="Arial" w:hAnsi="Arial"/>
          <w:sz w:val="19"/>
          <w:szCs w:val="19"/>
          <w:color w:val="auto"/>
        </w:rPr>
        <w:t>any asset of a Person acquired by Holdings, the Borrower or any other Restricted Subsidiary that, at the time of the relevant acquisition, is encumbered to secure assumed Indebtedness permitted by this Agreement to the extent (and for so long as) the documentation governing the applicable assumed Indebtedness prohibits such asset from being pledged to secure the Secured Obligations and the relevant prohibition was not implemented in contemplation of the applicable acquisition;</w:t>
      </w:r>
    </w:p>
    <w:p>
      <w:pPr>
        <w:spacing w:after="0" w:line="189" w:lineRule="exact"/>
        <w:rPr>
          <w:rFonts w:ascii="Arial" w:cs="Arial" w:eastAsia="Arial" w:hAnsi="Arial"/>
          <w:sz w:val="19"/>
          <w:szCs w:val="19"/>
          <w:color w:val="auto"/>
        </w:rPr>
      </w:pPr>
    </w:p>
    <w:p>
      <w:pPr>
        <w:jc w:val="both"/>
        <w:ind w:left="840" w:right="19" w:firstLine="752"/>
        <w:spacing w:after="0" w:line="255" w:lineRule="auto"/>
        <w:tabs>
          <w:tab w:leader="none" w:pos="2212"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asset with respect to which the Borrower has in good faith determined that the cost, burden, difficulty or consequence (including (i) any effect on the ability of the relevant Loan Party to conduct its operations and business in the ordinary course of business and (ii) the cost of mortgage, stamp, intangible or other taxes or expenses) of obtaining or perfecting a security interest therein outweighs, or is excessive in light of, the practical benefit of a security interest to the relevant Secured Parties afforded thereby (and the Lenders acknowledge that the Collateral that may be provided by any Loan Party may be limited to minimize stamp duty, notarization, registration or other applicable fees, taxes and duties where the benefit to the Secured Parties of increasing the secured amount is disproportionate to the level of such fees, taxes and duties);</w:t>
      </w:r>
    </w:p>
    <w:p>
      <w:pPr>
        <w:spacing w:after="0" w:line="184" w:lineRule="exact"/>
        <w:rPr>
          <w:rFonts w:ascii="Arial" w:cs="Arial" w:eastAsia="Arial" w:hAnsi="Arial"/>
          <w:sz w:val="18"/>
          <w:szCs w:val="18"/>
          <w:color w:val="auto"/>
        </w:rPr>
      </w:pPr>
    </w:p>
    <w:p>
      <w:pPr>
        <w:jc w:val="both"/>
        <w:ind w:left="840" w:right="59" w:firstLine="752"/>
        <w:spacing w:after="0" w:line="246" w:lineRule="auto"/>
        <w:tabs>
          <w:tab w:leader="none" w:pos="2209" w:val="left"/>
        </w:tabs>
        <w:numPr>
          <w:ilvl w:val="0"/>
          <w:numId w:val="68"/>
        </w:numPr>
        <w:rPr>
          <w:rFonts w:ascii="Arial" w:cs="Arial" w:eastAsia="Arial" w:hAnsi="Arial"/>
          <w:sz w:val="19"/>
          <w:szCs w:val="19"/>
          <w:color w:val="auto"/>
        </w:rPr>
      </w:pPr>
      <w:r>
        <w:rPr>
          <w:rFonts w:ascii="Arial" w:cs="Arial" w:eastAsia="Arial" w:hAnsi="Arial"/>
          <w:sz w:val="19"/>
          <w:szCs w:val="19"/>
          <w:color w:val="auto"/>
        </w:rPr>
        <w:t>any governmental license or state or local franchise, charter or authorization, to the extent a security interest in any such license, franchise, charter or authorization would be prohibited or restricted thereby, after giving effect to the anti-assignment provisions of the UCC of any applicable jurisdiction, other than any proceeds or receivable thereof to the extent the assignment of the same is effective under the UCC of any applicable jurisdiction notwithstanding such consent or restriction;</w:t>
      </w:r>
    </w:p>
    <w:p>
      <w:pPr>
        <w:spacing w:after="0" w:line="189" w:lineRule="exact"/>
        <w:rPr>
          <w:rFonts w:ascii="Arial" w:cs="Arial" w:eastAsia="Arial" w:hAnsi="Arial"/>
          <w:sz w:val="19"/>
          <w:szCs w:val="19"/>
          <w:color w:val="auto"/>
        </w:rPr>
      </w:pPr>
    </w:p>
    <w:p>
      <w:pPr>
        <w:ind w:left="2340" w:hanging="748"/>
        <w:spacing w:after="0"/>
        <w:tabs>
          <w:tab w:leader="none" w:pos="23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any asset subject to any Receivables Facility; and</w:t>
      </w:r>
    </w:p>
    <w:p>
      <w:pPr>
        <w:spacing w:after="0" w:line="213" w:lineRule="exact"/>
        <w:rPr>
          <w:rFonts w:ascii="Arial" w:cs="Arial" w:eastAsia="Arial" w:hAnsi="Arial"/>
          <w:sz w:val="19"/>
          <w:szCs w:val="19"/>
          <w:color w:val="auto"/>
        </w:rPr>
      </w:pPr>
    </w:p>
    <w:p>
      <w:pPr>
        <w:ind w:left="840" w:right="59" w:firstLine="752"/>
        <w:spacing w:after="0" w:line="261" w:lineRule="auto"/>
        <w:tabs>
          <w:tab w:leader="none" w:pos="2209" w:val="left"/>
        </w:tabs>
        <w:numPr>
          <w:ilvl w:val="0"/>
          <w:numId w:val="68"/>
        </w:numPr>
        <w:rPr>
          <w:rFonts w:ascii="Arial" w:cs="Arial" w:eastAsia="Arial" w:hAnsi="Arial"/>
          <w:sz w:val="19"/>
          <w:szCs w:val="19"/>
          <w:color w:val="auto"/>
        </w:rPr>
      </w:pPr>
      <w:r>
        <w:rPr>
          <w:rFonts w:ascii="Arial" w:cs="Arial" w:eastAsia="Arial" w:hAnsi="Arial"/>
          <w:sz w:val="19"/>
          <w:szCs w:val="19"/>
          <w:color w:val="auto"/>
        </w:rPr>
        <w:t>aircraft, airframes, aircraft engines, helicopters and equipment and/or other assets that are affixed to, or otherwise constitute, such aircraft, airframes, aircraft engines and/or helicopters.</w:t>
      </w:r>
    </w:p>
    <w:p>
      <w:pPr>
        <w:spacing w:after="0" w:line="173"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Party</w:t>
      </w:r>
      <w:r>
        <w:rPr>
          <w:rFonts w:ascii="Arial" w:cs="Arial" w:eastAsia="Arial" w:hAnsi="Arial"/>
          <w:sz w:val="19"/>
          <w:szCs w:val="19"/>
          <w:color w:val="auto"/>
        </w:rPr>
        <w:t>” has the meaning assigned to such term in the definition of “Disqualified Institution”.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30</w:t>
      </w:r>
      <w:r>
        <w:rPr>
          <w:rFonts w:ascii="Arial" w:cs="Arial" w:eastAsia="Arial" w:hAnsi="Arial"/>
          <w:sz w:val="18"/>
          <w:szCs w:val="18"/>
          <w:u w:val="single" w:color="auto"/>
          <w:color w:val="0000FF"/>
          <w:strike w:val="1"/>
        </w:rPr>
        <w:t>30</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98" w:name="page99"/>
    <w:bookmarkEnd w:id="98"/>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Subsidiary</w:t>
      </w:r>
      <w:r>
        <w:rPr>
          <w:rFonts w:ascii="Arial" w:cs="Arial" w:eastAsia="Arial" w:hAnsi="Arial"/>
          <w:sz w:val="19"/>
          <w:szCs w:val="19"/>
          <w:color w:val="auto"/>
        </w:rPr>
        <w:t>” means:</w:t>
      </w:r>
    </w:p>
    <w:p>
      <w:pPr>
        <w:spacing w:after="0" w:line="214" w:lineRule="exact"/>
        <w:rPr>
          <w:sz w:val="20"/>
          <w:szCs w:val="20"/>
          <w:color w:val="auto"/>
        </w:rPr>
      </w:pPr>
    </w:p>
    <w:p>
      <w:pPr>
        <w:ind w:left="2340" w:hanging="748"/>
        <w:spacing w:after="0"/>
        <w:tabs>
          <w:tab w:leader="none" w:pos="2340" w:val="left"/>
        </w:tabs>
        <w:numPr>
          <w:ilvl w:val="1"/>
          <w:numId w:val="69"/>
        </w:numPr>
        <w:rPr>
          <w:rFonts w:ascii="Arial" w:cs="Arial" w:eastAsia="Arial" w:hAnsi="Arial"/>
          <w:sz w:val="19"/>
          <w:szCs w:val="19"/>
          <w:color w:val="auto"/>
        </w:rPr>
      </w:pPr>
      <w:r>
        <w:rPr>
          <w:rFonts w:ascii="Arial" w:cs="Arial" w:eastAsia="Arial" w:hAnsi="Arial"/>
          <w:sz w:val="19"/>
          <w:szCs w:val="19"/>
          <w:color w:val="auto"/>
        </w:rPr>
        <w:t>any Restricted Subsidiary that is not a Wholly-Owned Subsidiary of the Borrower;</w:t>
      </w:r>
    </w:p>
    <w:p>
      <w:pPr>
        <w:spacing w:after="0" w:line="213" w:lineRule="exact"/>
        <w:rPr>
          <w:rFonts w:ascii="Arial" w:cs="Arial" w:eastAsia="Arial" w:hAnsi="Arial"/>
          <w:sz w:val="19"/>
          <w:szCs w:val="19"/>
          <w:color w:val="auto"/>
        </w:rPr>
      </w:pPr>
    </w:p>
    <w:p>
      <w:pPr>
        <w:ind w:left="2340" w:hanging="748"/>
        <w:spacing w:after="0"/>
        <w:tabs>
          <w:tab w:leader="none" w:pos="2340" w:val="left"/>
        </w:tabs>
        <w:numPr>
          <w:ilvl w:val="1"/>
          <w:numId w:val="69"/>
        </w:numPr>
        <w:rPr>
          <w:rFonts w:ascii="Arial" w:cs="Arial" w:eastAsia="Arial" w:hAnsi="Arial"/>
          <w:sz w:val="19"/>
          <w:szCs w:val="19"/>
          <w:color w:val="auto"/>
        </w:rPr>
      </w:pPr>
      <w:r>
        <w:rPr>
          <w:rFonts w:ascii="Arial" w:cs="Arial" w:eastAsia="Arial" w:hAnsi="Arial"/>
          <w:sz w:val="19"/>
          <w:szCs w:val="19"/>
          <w:color w:val="auto"/>
        </w:rPr>
        <w:t>any Immaterial Subsidiary;</w:t>
      </w:r>
    </w:p>
    <w:p>
      <w:pPr>
        <w:spacing w:after="0" w:line="213" w:lineRule="exact"/>
        <w:rPr>
          <w:rFonts w:ascii="Arial" w:cs="Arial" w:eastAsia="Arial" w:hAnsi="Arial"/>
          <w:sz w:val="19"/>
          <w:szCs w:val="19"/>
          <w:color w:val="auto"/>
        </w:rPr>
      </w:pPr>
    </w:p>
    <w:p>
      <w:pPr>
        <w:jc w:val="both"/>
        <w:ind w:left="840" w:right="19" w:firstLine="751"/>
        <w:spacing w:after="0" w:line="271" w:lineRule="auto"/>
        <w:tabs>
          <w:tab w:leader="none" w:pos="2211" w:val="left"/>
        </w:tabs>
        <w:numPr>
          <w:ilvl w:val="1"/>
          <w:numId w:val="69"/>
        </w:numPr>
        <w:rPr>
          <w:rFonts w:ascii="Arial" w:cs="Arial" w:eastAsia="Arial" w:hAnsi="Arial"/>
          <w:sz w:val="17"/>
          <w:szCs w:val="17"/>
          <w:color w:val="auto"/>
        </w:rPr>
      </w:pPr>
      <w:r>
        <w:rPr>
          <w:rFonts w:ascii="Arial" w:cs="Arial" w:eastAsia="Arial" w:hAnsi="Arial"/>
          <w:sz w:val="17"/>
          <w:szCs w:val="17"/>
          <w:color w:val="auto"/>
        </w:rPr>
        <w:t>any Restricted Subsidiary that (i) is prohibited or restricted from providing a Loan Guaranty by (A) any Requirement of Law or (B) any Contractual Obligation that exists on the Closing Date or at the time such Restricted Subsidiary becomes a subsidiary (which Contractual Obligation was not entered into in contemplation of the acquisition of such Restricted Subsidiary (including pursuant to assumed Indebtedness)), (ii) would require a governmental (including regulatory) or third party consent, approval, license or authorization (including any regulatory consent, approval, license or authorization) to provide a Loan Guaranty (including under any financial assistance, corporate benefit, thin capitalization, capital maintenance, liquidity maintenance or similar legal principles), unless such consent, approval, license or authorization has been obtained (it being understood and agreed that none of Holdings, the Borrower and/or any of their respective subsidiaries shall have any obligation to obtain (or seek to obtain) any such consent, approval, license or authorization) or (iii) with respect to which the provision of a Loan Guaranty could reasonably be expected to result in material and adverse tax consequences to Holdings, the Borrower, any Parent Company and/or any of its or their subsidiaries as determined by the Borrower in good faith;</w:t>
      </w:r>
    </w:p>
    <w:p>
      <w:pPr>
        <w:spacing w:after="0" w:line="172" w:lineRule="exact"/>
        <w:rPr>
          <w:rFonts w:ascii="Arial" w:cs="Arial" w:eastAsia="Arial" w:hAnsi="Arial"/>
          <w:sz w:val="17"/>
          <w:szCs w:val="17"/>
          <w:color w:val="auto"/>
        </w:rPr>
      </w:pPr>
    </w:p>
    <w:p>
      <w:pPr>
        <w:ind w:left="2340" w:hanging="748"/>
        <w:spacing w:after="0"/>
        <w:tabs>
          <w:tab w:leader="none" w:pos="2340" w:val="left"/>
        </w:tabs>
        <w:numPr>
          <w:ilvl w:val="1"/>
          <w:numId w:val="69"/>
        </w:numPr>
        <w:rPr>
          <w:rFonts w:ascii="Arial" w:cs="Arial" w:eastAsia="Arial" w:hAnsi="Arial"/>
          <w:sz w:val="19"/>
          <w:szCs w:val="19"/>
          <w:color w:val="auto"/>
        </w:rPr>
      </w:pPr>
      <w:r>
        <w:rPr>
          <w:rFonts w:ascii="Arial" w:cs="Arial" w:eastAsia="Arial" w:hAnsi="Arial"/>
          <w:sz w:val="19"/>
          <w:szCs w:val="19"/>
          <w:color w:val="auto"/>
        </w:rPr>
        <w:t>any not-for-profit subsidiary;</w:t>
      </w:r>
    </w:p>
    <w:p>
      <w:pPr>
        <w:spacing w:after="0" w:line="213" w:lineRule="exact"/>
        <w:rPr>
          <w:rFonts w:ascii="Arial" w:cs="Arial" w:eastAsia="Arial" w:hAnsi="Arial"/>
          <w:sz w:val="19"/>
          <w:szCs w:val="19"/>
          <w:color w:val="auto"/>
        </w:rPr>
      </w:pPr>
    </w:p>
    <w:p>
      <w:pPr>
        <w:ind w:left="2340" w:hanging="748"/>
        <w:spacing w:after="0"/>
        <w:tabs>
          <w:tab w:leader="none" w:pos="2340" w:val="left"/>
        </w:tabs>
        <w:numPr>
          <w:ilvl w:val="1"/>
          <w:numId w:val="69"/>
        </w:numPr>
        <w:rPr>
          <w:rFonts w:ascii="Arial" w:cs="Arial" w:eastAsia="Arial" w:hAnsi="Arial"/>
          <w:sz w:val="19"/>
          <w:szCs w:val="19"/>
          <w:color w:val="auto"/>
        </w:rPr>
      </w:pPr>
      <w:r>
        <w:rPr>
          <w:rFonts w:ascii="Arial" w:cs="Arial" w:eastAsia="Arial" w:hAnsi="Arial"/>
          <w:sz w:val="19"/>
          <w:szCs w:val="19"/>
          <w:color w:val="auto"/>
        </w:rPr>
        <w:t>any Captive Insurance Subsidiary;</w:t>
      </w:r>
    </w:p>
    <w:p>
      <w:pPr>
        <w:spacing w:after="0" w:line="213" w:lineRule="exact"/>
        <w:rPr>
          <w:rFonts w:ascii="Arial" w:cs="Arial" w:eastAsia="Arial" w:hAnsi="Arial"/>
          <w:sz w:val="19"/>
          <w:szCs w:val="19"/>
          <w:color w:val="auto"/>
        </w:rPr>
      </w:pPr>
    </w:p>
    <w:p>
      <w:pPr>
        <w:ind w:left="2340" w:hanging="748"/>
        <w:spacing w:after="0"/>
        <w:tabs>
          <w:tab w:leader="none" w:pos="2340" w:val="left"/>
        </w:tabs>
        <w:numPr>
          <w:ilvl w:val="1"/>
          <w:numId w:val="69"/>
        </w:numPr>
        <w:rPr>
          <w:rFonts w:ascii="Arial" w:cs="Arial" w:eastAsia="Arial" w:hAnsi="Arial"/>
          <w:sz w:val="19"/>
          <w:szCs w:val="19"/>
          <w:color w:val="auto"/>
        </w:rPr>
      </w:pPr>
      <w:r>
        <w:rPr>
          <w:rFonts w:ascii="Arial" w:cs="Arial" w:eastAsia="Arial" w:hAnsi="Arial"/>
          <w:sz w:val="19"/>
          <w:szCs w:val="19"/>
          <w:color w:val="auto"/>
        </w:rPr>
        <w:t>any Receivables Subsidiary;</w:t>
      </w:r>
    </w:p>
    <w:p>
      <w:pPr>
        <w:spacing w:after="0" w:line="213" w:lineRule="exact"/>
        <w:rPr>
          <w:rFonts w:ascii="Arial" w:cs="Arial" w:eastAsia="Arial" w:hAnsi="Arial"/>
          <w:sz w:val="19"/>
          <w:szCs w:val="19"/>
          <w:color w:val="auto"/>
        </w:rPr>
      </w:pPr>
    </w:p>
    <w:p>
      <w:pPr>
        <w:ind w:left="2340" w:hanging="748"/>
        <w:spacing w:after="0"/>
        <w:tabs>
          <w:tab w:leader="none" w:pos="2340" w:val="left"/>
        </w:tabs>
        <w:numPr>
          <w:ilvl w:val="1"/>
          <w:numId w:val="69"/>
        </w:numPr>
        <w:rPr>
          <w:rFonts w:ascii="Arial" w:cs="Arial" w:eastAsia="Arial" w:hAnsi="Arial"/>
          <w:sz w:val="19"/>
          <w:szCs w:val="19"/>
          <w:color w:val="auto"/>
        </w:rPr>
      </w:pPr>
      <w:r>
        <w:rPr>
          <w:rFonts w:ascii="Arial" w:cs="Arial" w:eastAsia="Arial" w:hAnsi="Arial"/>
          <w:sz w:val="19"/>
          <w:szCs w:val="19"/>
          <w:color w:val="auto"/>
        </w:rPr>
        <w:t>any Foreign Subsidiary;</w:t>
      </w:r>
    </w:p>
    <w:p>
      <w:pPr>
        <w:spacing w:after="0" w:line="213" w:lineRule="exact"/>
        <w:rPr>
          <w:rFonts w:ascii="Arial" w:cs="Arial" w:eastAsia="Arial" w:hAnsi="Arial"/>
          <w:sz w:val="19"/>
          <w:szCs w:val="19"/>
          <w:color w:val="auto"/>
        </w:rPr>
      </w:pPr>
    </w:p>
    <w:p>
      <w:pPr>
        <w:ind w:left="840" w:right="59" w:firstLine="751"/>
        <w:spacing w:after="0" w:line="261" w:lineRule="auto"/>
        <w:tabs>
          <w:tab w:leader="none" w:pos="2209" w:val="left"/>
        </w:tabs>
        <w:numPr>
          <w:ilvl w:val="1"/>
          <w:numId w:val="69"/>
        </w:numPr>
        <w:rPr>
          <w:rFonts w:ascii="Arial" w:cs="Arial" w:eastAsia="Arial" w:hAnsi="Arial"/>
          <w:sz w:val="19"/>
          <w:szCs w:val="19"/>
          <w:color w:val="auto"/>
        </w:rPr>
      </w:pPr>
      <w:r>
        <w:rPr>
          <w:rFonts w:ascii="Arial" w:cs="Arial" w:eastAsia="Arial" w:hAnsi="Arial"/>
          <w:sz w:val="19"/>
          <w:szCs w:val="19"/>
          <w:color w:val="auto"/>
        </w:rPr>
        <w:t>any Domestic Subsidiary that (i) is a FSHCO or (ii) is a direct or indirect subsidiary of any Foreign Subsidiary or FSHCO;</w:t>
      </w:r>
    </w:p>
    <w:p>
      <w:pPr>
        <w:spacing w:after="0" w:line="172" w:lineRule="exact"/>
        <w:rPr>
          <w:rFonts w:ascii="Arial" w:cs="Arial" w:eastAsia="Arial" w:hAnsi="Arial"/>
          <w:sz w:val="19"/>
          <w:szCs w:val="19"/>
          <w:color w:val="auto"/>
        </w:rPr>
      </w:pPr>
    </w:p>
    <w:p>
      <w:pPr>
        <w:ind w:left="2340" w:hanging="748"/>
        <w:spacing w:after="0"/>
        <w:tabs>
          <w:tab w:leader="none" w:pos="2340" w:val="left"/>
        </w:tabs>
        <w:numPr>
          <w:ilvl w:val="1"/>
          <w:numId w:val="69"/>
        </w:numPr>
        <w:rPr>
          <w:rFonts w:ascii="Arial" w:cs="Arial" w:eastAsia="Arial" w:hAnsi="Arial"/>
          <w:sz w:val="19"/>
          <w:szCs w:val="19"/>
          <w:color w:val="auto"/>
        </w:rPr>
      </w:pPr>
      <w:r>
        <w:rPr>
          <w:rFonts w:ascii="Arial" w:cs="Arial" w:eastAsia="Arial" w:hAnsi="Arial"/>
          <w:sz w:val="19"/>
          <w:szCs w:val="19"/>
          <w:color w:val="auto"/>
        </w:rPr>
        <w:t>any Unrestricted Subsidiary;</w:t>
      </w:r>
    </w:p>
    <w:p>
      <w:pPr>
        <w:spacing w:after="0" w:line="213" w:lineRule="exact"/>
        <w:rPr>
          <w:rFonts w:ascii="Arial" w:cs="Arial" w:eastAsia="Arial" w:hAnsi="Arial"/>
          <w:sz w:val="19"/>
          <w:szCs w:val="19"/>
          <w:color w:val="auto"/>
        </w:rPr>
      </w:pPr>
    </w:p>
    <w:p>
      <w:pPr>
        <w:jc w:val="both"/>
        <w:ind w:left="840" w:right="59" w:firstLine="751"/>
        <w:spacing w:after="0" w:line="264" w:lineRule="auto"/>
        <w:tabs>
          <w:tab w:leader="none" w:pos="2209"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any Restricted Subsidiary acquired by the Borrower or any Restricted Subsidiary that, at the time of the relevant acquisition, is an obligor in respect of assumed Indebtedness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to the extent (and for so long as) the documentation governing the applicable assumed Indebtedness prohibits such subsidiary from providing a Loan Guaranty (which prohibition was not implemented in contemplation of such Restricted Subsidiary becoming a subsidiary in order to avoid the requirement of providing a Loan Guaranty);</w:t>
      </w:r>
    </w:p>
    <w:p>
      <w:pPr>
        <w:spacing w:after="0" w:line="171" w:lineRule="exact"/>
        <w:rPr>
          <w:rFonts w:ascii="Arial" w:cs="Arial" w:eastAsia="Arial" w:hAnsi="Arial"/>
          <w:sz w:val="18"/>
          <w:szCs w:val="18"/>
          <w:color w:val="auto"/>
        </w:rPr>
      </w:pPr>
    </w:p>
    <w:p>
      <w:pPr>
        <w:jc w:val="both"/>
        <w:ind w:left="840" w:right="59" w:firstLine="751"/>
        <w:spacing w:after="0" w:line="249" w:lineRule="auto"/>
        <w:tabs>
          <w:tab w:leader="none" w:pos="2210" w:val="left"/>
        </w:tabs>
        <w:numPr>
          <w:ilvl w:val="1"/>
          <w:numId w:val="69"/>
        </w:numPr>
        <w:rPr>
          <w:rFonts w:ascii="Arial" w:cs="Arial" w:eastAsia="Arial" w:hAnsi="Arial"/>
          <w:sz w:val="19"/>
          <w:szCs w:val="19"/>
          <w:color w:val="auto"/>
        </w:rPr>
      </w:pPr>
      <w:r>
        <w:rPr>
          <w:rFonts w:ascii="Arial" w:cs="Arial" w:eastAsia="Arial" w:hAnsi="Arial"/>
          <w:sz w:val="19"/>
          <w:szCs w:val="19"/>
          <w:color w:val="auto"/>
        </w:rPr>
        <w:t>any other Restricted Subsidiary with respect to which the burden or cost of providing a Loan Guaranty outweighs, or would be excessive in light of, the practical benefits afforded thereby as determined by the Borrower in good faith in consultation with the Administrative Agent;</w:t>
      </w:r>
    </w:p>
    <w:p>
      <w:pPr>
        <w:spacing w:after="0" w:line="183" w:lineRule="exact"/>
        <w:rPr>
          <w:rFonts w:ascii="Arial" w:cs="Arial" w:eastAsia="Arial" w:hAnsi="Arial"/>
          <w:sz w:val="19"/>
          <w:szCs w:val="19"/>
          <w:color w:val="auto"/>
        </w:rPr>
      </w:pPr>
    </w:p>
    <w:p>
      <w:pPr>
        <w:ind w:left="2220" w:hanging="628"/>
        <w:spacing w:after="0"/>
        <w:tabs>
          <w:tab w:leader="none" w:pos="2220" w:val="left"/>
        </w:tabs>
        <w:numPr>
          <w:ilvl w:val="1"/>
          <w:numId w:val="69"/>
        </w:numPr>
        <w:rPr>
          <w:rFonts w:ascii="Arial" w:cs="Arial" w:eastAsia="Arial" w:hAnsi="Arial"/>
          <w:sz w:val="17"/>
          <w:szCs w:val="17"/>
          <w:color w:val="auto"/>
        </w:rPr>
      </w:pPr>
      <w:r>
        <w:rPr>
          <w:rFonts w:ascii="Arial" w:cs="Arial" w:eastAsia="Arial" w:hAnsi="Arial"/>
          <w:sz w:val="17"/>
          <w:szCs w:val="17"/>
          <w:color w:val="auto"/>
        </w:rPr>
        <w:t>solely in the case of any Swap Obligation that constitutes a “swap” within the meaning of section 1(a)</w:t>
      </w:r>
    </w:p>
    <w:p>
      <w:pPr>
        <w:spacing w:after="0" w:line="36" w:lineRule="exact"/>
        <w:rPr>
          <w:rFonts w:ascii="Arial" w:cs="Arial" w:eastAsia="Arial" w:hAnsi="Arial"/>
          <w:sz w:val="17"/>
          <w:szCs w:val="17"/>
          <w:color w:val="auto"/>
        </w:rPr>
      </w:pPr>
    </w:p>
    <w:p>
      <w:pPr>
        <w:jc w:val="both"/>
        <w:ind w:left="840" w:right="59" w:firstLine="3"/>
        <w:spacing w:after="0" w:line="239" w:lineRule="auto"/>
        <w:tabs>
          <w:tab w:leader="none" w:pos="1218" w:val="left"/>
        </w:tabs>
        <w:numPr>
          <w:ilvl w:val="0"/>
          <w:numId w:val="70"/>
        </w:numPr>
        <w:rPr>
          <w:rFonts w:ascii="Arial" w:cs="Arial" w:eastAsia="Arial" w:hAnsi="Arial"/>
          <w:sz w:val="19"/>
          <w:szCs w:val="19"/>
          <w:color w:val="auto"/>
        </w:rPr>
      </w:pPr>
      <w:r>
        <w:rPr>
          <w:rFonts w:ascii="Arial" w:cs="Arial" w:eastAsia="Arial" w:hAnsi="Arial"/>
          <w:sz w:val="19"/>
          <w:szCs w:val="19"/>
          <w:color w:val="auto"/>
        </w:rPr>
        <w:t>of the Commodity Exchange Act (which for the avoidance of doubt shall be determined after giving effect to any “keepwell, support or other agreement” (as such terms are used under the Commodity Exchange Act)), any Domestic Subsidiary that is not an “eligible contract participant” as defined under the Commodity Exchange Act and the regulations thereunder;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31</w:t>
      </w:r>
      <w:r>
        <w:rPr>
          <w:rFonts w:ascii="Arial" w:cs="Arial" w:eastAsia="Arial" w:hAnsi="Arial"/>
          <w:sz w:val="18"/>
          <w:szCs w:val="18"/>
          <w:u w:val="single" w:color="auto"/>
          <w:color w:val="0000FF"/>
          <w:strike w:val="1"/>
        </w:rPr>
        <w:t>31</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99" w:name="page100"/>
    <w:bookmarkEnd w:id="99"/>
    <w:p>
      <w:pPr>
        <w:jc w:val="both"/>
        <w:ind w:left="840" w:right="59" w:firstLine="751"/>
        <w:spacing w:after="0" w:line="283" w:lineRule="auto"/>
        <w:tabs>
          <w:tab w:leader="none" w:pos="2209"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subsidiary where the provision by such subsidiary of a Loan Guaranty could reasonably be expected to conflict with the fiduciary duties of such subsidiary’s directors or result in, or could reasonably be expected to result in, a material risk of personal or criminal liability for such subsidiary or any of its officers or directors or to the extent it is not within the legal capacity of such subsidiary to provide a Loan Guaranty (whether as a result of financial assistance, corporate benefit, thin capitalization, capital maintenance, liquidity maintenance or similar rules or otherwise);</w:t>
      </w:r>
    </w:p>
    <w:p>
      <w:pPr>
        <w:spacing w:after="0" w:line="157" w:lineRule="exact"/>
        <w:rPr>
          <w:rFonts w:ascii="Arial" w:cs="Arial" w:eastAsia="Arial" w:hAnsi="Arial"/>
          <w:sz w:val="17"/>
          <w:szCs w:val="17"/>
          <w:color w:val="auto"/>
        </w:rPr>
      </w:pPr>
    </w:p>
    <w:p>
      <w:pPr>
        <w:ind w:left="2340" w:hanging="748"/>
        <w:spacing w:after="0"/>
        <w:tabs>
          <w:tab w:leader="none" w:pos="23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any broker-dealer subsidiary; and</w:t>
      </w:r>
    </w:p>
    <w:p>
      <w:pPr>
        <w:spacing w:after="0" w:line="105" w:lineRule="exact"/>
        <w:rPr>
          <w:rFonts w:ascii="Arial" w:cs="Arial" w:eastAsia="Arial" w:hAnsi="Arial"/>
          <w:sz w:val="19"/>
          <w:szCs w:val="19"/>
          <w:color w:val="auto"/>
        </w:rPr>
      </w:pPr>
    </w:p>
    <w:p>
      <w:pPr>
        <w:ind w:left="2220" w:hanging="628"/>
        <w:spacing w:after="0"/>
        <w:tabs>
          <w:tab w:leader="none" w:pos="2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any subsidiary of any Person described in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(n)</w:t>
      </w:r>
      <w:r>
        <w:rPr>
          <w:rFonts w:ascii="Arial" w:cs="Arial" w:eastAsia="Arial" w:hAnsi="Arial"/>
          <w:sz w:val="18"/>
          <w:szCs w:val="18"/>
          <w:color w:val="auto"/>
        </w:rPr>
        <w:t>. “</w:t>
      </w:r>
      <w:r>
        <w:rPr>
          <w:rFonts w:ascii="Arial" w:cs="Arial" w:eastAsia="Arial" w:hAnsi="Arial"/>
          <w:sz w:val="18"/>
          <w:szCs w:val="18"/>
          <w:u w:val="single" w:color="auto"/>
          <w:color w:val="auto"/>
        </w:rPr>
        <w:t>Excluded Swap</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9"/>
          <w:szCs w:val="19"/>
          <w:u w:val="single" w:color="auto"/>
          <w:color w:val="auto"/>
        </w:rPr>
        <w:t>Obligation</w:t>
      </w:r>
      <w:r>
        <w:rPr>
          <w:rFonts w:ascii="Arial" w:cs="Arial" w:eastAsia="Arial" w:hAnsi="Arial"/>
          <w:sz w:val="19"/>
          <w:szCs w:val="19"/>
          <w:color w:val="auto"/>
        </w:rPr>
        <w:t>” means, with respect to any Loan Guarantor, any Swap Obligation if,</w:t>
      </w:r>
    </w:p>
    <w:p>
      <w:pPr>
        <w:spacing w:after="0" w:line="106" w:lineRule="exact"/>
        <w:rPr>
          <w:sz w:val="20"/>
          <w:szCs w:val="20"/>
          <w:color w:val="auto"/>
        </w:rPr>
      </w:pPr>
    </w:p>
    <w:p>
      <w:pPr>
        <w:jc w:val="both"/>
        <w:ind w:left="100" w:right="59"/>
        <w:spacing w:after="0" w:line="242" w:lineRule="auto"/>
        <w:rPr>
          <w:sz w:val="20"/>
          <w:szCs w:val="20"/>
          <w:color w:val="auto"/>
        </w:rPr>
      </w:pPr>
      <w:r>
        <w:rPr>
          <w:rFonts w:ascii="Arial" w:cs="Arial" w:eastAsia="Arial" w:hAnsi="Arial"/>
          <w:sz w:val="18"/>
          <w:szCs w:val="18"/>
          <w:color w:val="auto"/>
        </w:rPr>
        <w:t xml:space="preserve">and to the extent that, all or a portion of the Loan Guaranty of such Loan Guarantor of, or the grant by such Loan Guarantor of a security interest to secure, such Swap Obligation (or any Loan Guaranty thereof) is or becomes illegal under the Commodity Exchange Act or any rule, regulation or order of the Commodity Futures Trading Commission (or the application or official interpretation of any thereof, or any Governmental Authority succeeding to any or all of its functions) (a) by virtue of such Loan Guarantor’s failure for any reason to constitute an “eligible contract participant” as defined in the Commodity Exchange Act and the regulations thereunder (determined after giving effect to </w:t>
      </w:r>
      <w:r>
        <w:rPr>
          <w:rFonts w:ascii="Arial" w:cs="Arial" w:eastAsia="Arial" w:hAnsi="Arial"/>
          <w:sz w:val="18"/>
          <w:szCs w:val="18"/>
          <w:u w:val="single" w:color="auto"/>
          <w:color w:val="auto"/>
        </w:rPr>
        <w:t>Section 3.20</w:t>
      </w:r>
      <w:r>
        <w:rPr>
          <w:rFonts w:ascii="Arial" w:cs="Arial" w:eastAsia="Arial" w:hAnsi="Arial"/>
          <w:sz w:val="18"/>
          <w:szCs w:val="18"/>
          <w:color w:val="auto"/>
        </w:rPr>
        <w:t xml:space="preserve"> of the Loan Guaranty and any other “keepwell”, support or other agreement for the benefit of such Loan Guarantor) at the time the Loan Guaranty of such Loan Guarantor or the grant of such security interest becomes effective with respect to such Swap Obligation or (b) in the case of any Swap Obligation that is subject to a clearing requirement pursuant to section 2(h) of the Commodity Exchange Act, because such Loan Guarantor is a “financial entity,” as defined in section 2(h)(7)(C) of the Commodity Exchange Act, at the time the guarantee provided by (or grant of such security interest by, as applicable) such Loan Guarantor becomes or would become effective with respect to such Swap Obligation. If any Swap Obligation arises under a master agreement governing more than one swap, such exclusion shall apply only to the portion of such Swap Obligation that is attributable to swaps for which such Loan Guaranty or security interest is or becomes illegal.</w:t>
      </w:r>
    </w:p>
    <w:p>
      <w:pPr>
        <w:spacing w:after="0" w:line="183" w:lineRule="exact"/>
        <w:rPr>
          <w:sz w:val="20"/>
          <w:szCs w:val="20"/>
          <w:color w:val="auto"/>
        </w:rPr>
      </w:pPr>
    </w:p>
    <w:p>
      <w:pPr>
        <w:jc w:val="both"/>
        <w:ind w:left="100" w:right="39" w:firstLine="74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xml:space="preserve">” means, with respect to the Administrative Agent, any Lender or Issuing Bank, or any other recipient of any payment to be made by or on account of any obligation of any Loan Party under any Loan Document, (a) any Taxes imposed on (or measured by) such recipient’s net income (however denominated) or franchise Taxes, (i) imposed as a result of such recipient being organized or having its principal office located in or, in the case of any Lender, having its applicable lending office located in, the taxing jurisdiction or (ii) that are Other Connection Taxes, (b) any branch profits Taxes imposed under Section 884(a) of the Code, or any similar Tax, imposed by any jurisdiction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(c) any US federal withholding Tax that is imposed on amounts payable to or for the account of such Lender (other than a Lender that became a Lender pursuant to an assignment under </w:t>
      </w:r>
      <w:r>
        <w:rPr>
          <w:rFonts w:ascii="Arial" w:cs="Arial" w:eastAsia="Arial" w:hAnsi="Arial"/>
          <w:sz w:val="17"/>
          <w:szCs w:val="17"/>
          <w:u w:val="single" w:color="auto"/>
          <w:color w:val="auto"/>
        </w:rPr>
        <w:t>Section 2.19</w:t>
      </w:r>
      <w:r>
        <w:rPr>
          <w:rFonts w:ascii="Arial" w:cs="Arial" w:eastAsia="Arial" w:hAnsi="Arial"/>
          <w:sz w:val="17"/>
          <w:szCs w:val="17"/>
          <w:color w:val="auto"/>
        </w:rPr>
        <w:t>) with respect to an applicable interest in a Loan or Commitment pursuant to a Requirement of Law in effect on the date on which such Lender (i) acquires such interest in the applicable Commitment or, if such Lender did not fund the applicable Loan pursuant to a prior Commitment, on the date such Lender acquires its interest in such Loan or</w:t>
      </w:r>
    </w:p>
    <w:p>
      <w:pPr>
        <w:spacing w:after="0" w:line="5" w:lineRule="exact"/>
        <w:rPr>
          <w:sz w:val="20"/>
          <w:szCs w:val="20"/>
          <w:color w:val="auto"/>
        </w:rPr>
      </w:pPr>
    </w:p>
    <w:p>
      <w:pPr>
        <w:jc w:val="both"/>
        <w:ind w:left="100" w:right="59" w:hanging="7"/>
        <w:spacing w:after="0" w:line="282" w:lineRule="auto"/>
        <w:tabs>
          <w:tab w:leader="none" w:pos="9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designates a new lending office, except in each case to the extent that, pursuant to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amounts with respect to such Tax were payable either to such Lender’s assignor immediately before such Lender acquired the applicable interest in a Loan or Commitment or to such Lender immediately before it designated a new lending office, (d) any Tax imposed as a result of a failure by such recipient to comply with </w:t>
      </w:r>
      <w:r>
        <w:rPr>
          <w:rFonts w:ascii="Arial" w:cs="Arial" w:eastAsia="Arial" w:hAnsi="Arial"/>
          <w:sz w:val="17"/>
          <w:szCs w:val="17"/>
          <w:u w:val="single" w:color="auto"/>
          <w:color w:val="auto"/>
        </w:rPr>
        <w:t>Section 2.17(f)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(j)</w:t>
      </w:r>
      <w:r>
        <w:rPr>
          <w:rFonts w:ascii="Arial" w:cs="Arial" w:eastAsia="Arial" w:hAnsi="Arial"/>
          <w:sz w:val="17"/>
          <w:szCs w:val="17"/>
          <w:color w:val="auto"/>
        </w:rPr>
        <w:t>, and (e) any Tax imposed under FATCA.</w:t>
      </w:r>
    </w:p>
    <w:p>
      <w:pPr>
        <w:spacing w:after="0" w:line="9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has the meaning assigned to such term in the recitals to this Agreement. “</w:t>
      </w:r>
      <w:r>
        <w:rPr>
          <w:rFonts w:ascii="Arial" w:cs="Arial" w:eastAsia="Arial" w:hAnsi="Arial"/>
          <w:sz w:val="17"/>
          <w:szCs w:val="17"/>
          <w:u w:val="single" w:color="auto"/>
          <w:color w:val="auto"/>
        </w:rPr>
        <w:t>Existing Letters</w:t>
      </w:r>
    </w:p>
    <w:p>
      <w:pPr>
        <w:spacing w:after="0" w:line="237" w:lineRule="exact"/>
        <w:rPr>
          <w:sz w:val="20"/>
          <w:szCs w:val="20"/>
          <w:color w:val="auto"/>
        </w:rPr>
      </w:pPr>
    </w:p>
    <w:p>
      <w:pPr>
        <w:ind w:left="100" w:right="3679" w:firstLine="750"/>
        <w:spacing w:after="0" w:line="419" w:lineRule="auto"/>
        <w:rPr>
          <w:sz w:val="20"/>
          <w:szCs w:val="20"/>
          <w:color w:val="auto"/>
        </w:rPr>
      </w:pPr>
      <w:r>
        <w:rPr>
          <w:rFonts w:ascii="Arial" w:cs="Arial" w:eastAsia="Arial" w:hAnsi="Arial"/>
          <w:sz w:val="17"/>
          <w:szCs w:val="17"/>
          <w:u w:val="single" w:color="auto"/>
          <w:color w:val="auto"/>
        </w:rPr>
        <w:t>of Credit</w:t>
      </w:r>
      <w:r>
        <w:rPr>
          <w:rFonts w:ascii="Arial" w:cs="Arial" w:eastAsia="Arial" w:hAnsi="Arial"/>
          <w:sz w:val="17"/>
          <w:szCs w:val="17"/>
          <w:color w:val="auto"/>
        </w:rPr>
        <w:t xml:space="preserve">” means any letter of credit previously issued that (a) will remain outstanding on and after the Closing Date and (b) is listed on </w:t>
      </w:r>
      <w:r>
        <w:rPr>
          <w:rFonts w:ascii="Arial" w:cs="Arial" w:eastAsia="Arial" w:hAnsi="Arial"/>
          <w:sz w:val="17"/>
          <w:szCs w:val="17"/>
          <w:u w:val="single" w:color="auto"/>
          <w:color w:val="auto"/>
        </w:rPr>
        <w:t>Schedule 1.01(c)</w:t>
      </w:r>
      <w:r>
        <w:rPr>
          <w:rFonts w:ascii="Arial" w:cs="Arial" w:eastAsia="Arial" w:hAnsi="Arial"/>
          <w:sz w:val="17"/>
          <w:szCs w:val="17"/>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32</w:t>
      </w:r>
      <w:r>
        <w:rPr>
          <w:rFonts w:ascii="Arial" w:cs="Arial" w:eastAsia="Arial" w:hAnsi="Arial"/>
          <w:sz w:val="18"/>
          <w:szCs w:val="18"/>
          <w:u w:val="single" w:color="auto"/>
          <w:color w:val="0000FF"/>
          <w:strike w:val="1"/>
        </w:rPr>
        <w:t>32</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00" w:name="page101"/>
    <w:bookmarkEnd w:id="100"/>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Credit Commitment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2.23(a)</w:t>
      </w:r>
      <w:r>
        <w:rPr>
          <w:rFonts w:ascii="Arial" w:cs="Arial" w:eastAsia="Arial" w:hAnsi="Arial"/>
          <w:sz w:val="18"/>
          <w:szCs w:val="18"/>
          <w:color w:val="auto"/>
        </w:rPr>
        <w:t>. “</w:t>
      </w:r>
      <w:r>
        <w:rPr>
          <w:rFonts w:ascii="Arial" w:cs="Arial" w:eastAsia="Arial" w:hAnsi="Arial"/>
          <w:sz w:val="18"/>
          <w:szCs w:val="18"/>
          <w:u w:val="single" w:color="auto"/>
          <w:color w:val="auto"/>
        </w:rPr>
        <w:t>Extended</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9"/>
          <w:szCs w:val="19"/>
          <w:u w:val="single" w:color="auto"/>
          <w:color w:val="auto"/>
        </w:rPr>
        <w:t>Revolving Loans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2.23(a)</w:t>
      </w:r>
      <w:r>
        <w:rPr>
          <w:rFonts w:ascii="Arial" w:cs="Arial" w:eastAsia="Arial" w:hAnsi="Arial"/>
          <w:sz w:val="19"/>
          <w:szCs w:val="19"/>
          <w:color w:val="auto"/>
        </w:rPr>
        <w:t>.</w:t>
      </w:r>
    </w:p>
    <w:p>
      <w:pPr>
        <w:spacing w:after="0" w:line="187"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Extended Term Loans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2.23(a)</w:t>
      </w:r>
      <w:r>
        <w:rPr>
          <w:rFonts w:ascii="Arial" w:cs="Arial" w:eastAsia="Arial" w:hAnsi="Arial"/>
          <w:sz w:val="19"/>
          <w:szCs w:val="19"/>
          <w:color w:val="auto"/>
        </w:rPr>
        <w:t>. “</w:t>
      </w:r>
      <w:r>
        <w:rPr>
          <w:rFonts w:ascii="Arial" w:cs="Arial" w:eastAsia="Arial" w:hAnsi="Arial"/>
          <w:sz w:val="19"/>
          <w:szCs w:val="19"/>
          <w:u w:val="single" w:color="auto"/>
          <w:color w:val="auto"/>
        </w:rPr>
        <w:t>Extension</w:t>
      </w:r>
      <w:r>
        <w:rPr>
          <w:rFonts w:ascii="Arial" w:cs="Arial" w:eastAsia="Arial" w:hAnsi="Arial"/>
          <w:sz w:val="19"/>
          <w:szCs w:val="19"/>
          <w:color w:val="auto"/>
        </w:rPr>
        <w:t>” has the</w:t>
      </w:r>
    </w:p>
    <w:p>
      <w:pPr>
        <w:spacing w:after="0" w:line="200"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meaning assigned to such term in </w:t>
      </w:r>
      <w:r>
        <w:rPr>
          <w:rFonts w:ascii="Arial" w:cs="Arial" w:eastAsia="Arial" w:hAnsi="Arial"/>
          <w:sz w:val="19"/>
          <w:szCs w:val="19"/>
          <w:u w:val="single" w:color="auto"/>
          <w:color w:val="auto"/>
        </w:rPr>
        <w:t>Section 2.23(a)</w:t>
      </w:r>
      <w:r>
        <w:rPr>
          <w:rFonts w:ascii="Arial" w:cs="Arial" w:eastAsia="Arial" w:hAnsi="Arial"/>
          <w:sz w:val="19"/>
          <w:szCs w:val="19"/>
          <w:color w:val="auto"/>
        </w:rPr>
        <w:t>.</w:t>
      </w:r>
    </w:p>
    <w:p>
      <w:pPr>
        <w:spacing w:after="0" w:line="92"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Extension Amendment</w:t>
      </w:r>
      <w:r>
        <w:rPr>
          <w:rFonts w:ascii="Arial" w:cs="Arial" w:eastAsia="Arial" w:hAnsi="Arial"/>
          <w:sz w:val="19"/>
          <w:szCs w:val="19"/>
          <w:color w:val="auto"/>
        </w:rPr>
        <w:t xml:space="preserve">” means an amendment to this Agreement that is reasonably satisfactory to the Administrative Agent (to the extent required by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and the Borrower executed by (a) the Borrower and the Subsidiary Guarantors, (b) the Administrative Agent and (c) each Lender that has accepted the applicable Extension Offer pursuant hereto and in accordance with </w:t>
      </w:r>
      <w:r>
        <w:rPr>
          <w:rFonts w:ascii="Arial" w:cs="Arial" w:eastAsia="Arial" w:hAnsi="Arial"/>
          <w:sz w:val="19"/>
          <w:szCs w:val="19"/>
          <w:u w:val="single" w:color="auto"/>
          <w:color w:val="auto"/>
        </w:rPr>
        <w:t>Section 2.23</w:t>
      </w:r>
      <w:r>
        <w:rPr>
          <w:rFonts w:ascii="Arial" w:cs="Arial" w:eastAsia="Arial" w:hAnsi="Arial"/>
          <w:sz w:val="19"/>
          <w:szCs w:val="19"/>
          <w:color w:val="auto"/>
        </w:rPr>
        <w:t>.</w:t>
      </w:r>
    </w:p>
    <w:p>
      <w:pPr>
        <w:spacing w:after="0" w:line="194"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Extension Offer</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2.23(a)</w:t>
      </w:r>
      <w:r>
        <w:rPr>
          <w:rFonts w:ascii="Arial" w:cs="Arial" w:eastAsia="Arial" w:hAnsi="Arial"/>
          <w:sz w:val="19"/>
          <w:szCs w:val="19"/>
          <w:color w:val="auto"/>
        </w:rPr>
        <w:t>.</w:t>
      </w:r>
    </w:p>
    <w:p>
      <w:pPr>
        <w:spacing w:after="0" w:line="200" w:lineRule="exact"/>
        <w:rPr>
          <w:sz w:val="20"/>
          <w:szCs w:val="20"/>
          <w:color w:val="auto"/>
        </w:rPr>
      </w:pPr>
    </w:p>
    <w:p>
      <w:pPr>
        <w:jc w:val="both"/>
        <w:ind w:left="100" w:right="59" w:firstLine="74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Facility</w:t>
      </w:r>
      <w:r>
        <w:rPr>
          <w:rFonts w:ascii="Arial" w:cs="Arial" w:eastAsia="Arial" w:hAnsi="Arial"/>
          <w:sz w:val="19"/>
          <w:szCs w:val="19"/>
          <w:color w:val="auto"/>
        </w:rPr>
        <w:t xml:space="preserve">” means any real property (including all buildings, fixtures or other improvements located thereon) now, hereafter or, except with respect to </w:t>
      </w:r>
      <w:r>
        <w:rPr>
          <w:rFonts w:ascii="Arial" w:cs="Arial" w:eastAsia="Arial" w:hAnsi="Arial"/>
          <w:sz w:val="19"/>
          <w:szCs w:val="19"/>
          <w:u w:val="single" w:color="auto"/>
          <w:color w:val="auto"/>
        </w:rPr>
        <w:t>Articles 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w:t>
      </w:r>
      <w:r>
        <w:rPr>
          <w:rFonts w:ascii="Arial" w:cs="Arial" w:eastAsia="Arial" w:hAnsi="Arial"/>
          <w:sz w:val="19"/>
          <w:szCs w:val="19"/>
          <w:color w:val="auto"/>
        </w:rPr>
        <w:t>, previously owned, leased, operated or used by Holdings, the Borrower or any of its Restricted Subsidiaries or any of their respective predecessors or Affiliates.</w:t>
      </w:r>
    </w:p>
    <w:p>
      <w:pPr>
        <w:spacing w:after="0" w:line="179" w:lineRule="exact"/>
        <w:rPr>
          <w:sz w:val="20"/>
          <w:szCs w:val="20"/>
          <w:color w:val="auto"/>
        </w:rPr>
      </w:pPr>
    </w:p>
    <w:p>
      <w:pPr>
        <w:jc w:val="both"/>
        <w:ind w:left="100" w:right="59" w:firstLine="749"/>
        <w:spacing w:after="0" w:line="23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276" w:lineRule="exact"/>
        <w:rPr>
          <w:sz w:val="20"/>
          <w:szCs w:val="20"/>
          <w:color w:val="auto"/>
        </w:rPr>
      </w:pPr>
    </w:p>
    <w:p>
      <w:pPr>
        <w:ind w:left="840" w:right="3159"/>
        <w:spacing w:after="0" w:line="40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FCA</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1.13(a)</w:t>
      </w:r>
      <w:r>
        <w:rPr>
          <w:rFonts w:ascii="Arial" w:cs="Arial" w:eastAsia="Arial" w:hAnsi="Arial"/>
          <w:sz w:val="19"/>
          <w:szCs w:val="19"/>
          <w:color w:val="auto"/>
        </w:rPr>
        <w:t>. “</w:t>
      </w:r>
      <w:r>
        <w:rPr>
          <w:rFonts w:ascii="Arial" w:cs="Arial" w:eastAsia="Arial" w:hAnsi="Arial"/>
          <w:sz w:val="19"/>
          <w:szCs w:val="19"/>
          <w:u w:val="single" w:color="auto"/>
          <w:color w:val="auto"/>
        </w:rPr>
        <w:t>FCPA</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3.17(c)</w:t>
      </w:r>
      <w:r>
        <w:rPr>
          <w:rFonts w:ascii="Arial" w:cs="Arial" w:eastAsia="Arial" w:hAnsi="Arial"/>
          <w:sz w:val="19"/>
          <w:szCs w:val="19"/>
          <w:color w:val="auto"/>
        </w:rPr>
        <w:t>.</w:t>
      </w:r>
    </w:p>
    <w:p>
      <w:pPr>
        <w:spacing w:after="0" w:line="1" w:lineRule="exact"/>
        <w:rPr>
          <w:sz w:val="20"/>
          <w:szCs w:val="20"/>
          <w:color w:val="auto"/>
        </w:rPr>
      </w:pPr>
    </w:p>
    <w:p>
      <w:pPr>
        <w:jc w:val="both"/>
        <w:ind w:left="100" w:right="59" w:firstLine="74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Effective Rate</w:t>
      </w:r>
      <w:r>
        <w:rPr>
          <w:rFonts w:ascii="Arial" w:cs="Arial" w:eastAsia="Arial" w:hAnsi="Arial"/>
          <w:sz w:val="17"/>
          <w:szCs w:val="17"/>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Federal Funds Rate as so determined would be less than zero, such rate shall be deemed to be zero for purposes of this Agreement.</w:t>
      </w:r>
    </w:p>
    <w:p>
      <w:pPr>
        <w:spacing w:after="0" w:line="156" w:lineRule="exact"/>
        <w:rPr>
          <w:sz w:val="20"/>
          <w:szCs w:val="20"/>
          <w:color w:val="auto"/>
        </w:rPr>
      </w:pPr>
    </w:p>
    <w:p>
      <w:pPr>
        <w:ind w:left="100" w:right="9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Reserve Bank of New York’s Website</w:t>
      </w:r>
      <w:r>
        <w:rPr>
          <w:rFonts w:ascii="Arial" w:cs="Arial" w:eastAsia="Arial" w:hAnsi="Arial"/>
          <w:sz w:val="19"/>
          <w:szCs w:val="19"/>
          <w:color w:val="auto"/>
        </w:rPr>
        <w:t>” means the website of the Federal Reserve Bank of New York at http://www.newyorkfed.org, or any successor source.</w:t>
      </w:r>
    </w:p>
    <w:p>
      <w:pPr>
        <w:spacing w:after="0" w:line="173" w:lineRule="exact"/>
        <w:rPr>
          <w:sz w:val="20"/>
          <w:szCs w:val="20"/>
          <w:color w:val="auto"/>
        </w:rPr>
      </w:pPr>
    </w:p>
    <w:p>
      <w:pPr>
        <w:ind w:left="100" w:right="99" w:firstLine="74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Fee Letter</w:t>
      </w:r>
      <w:r>
        <w:rPr>
          <w:rFonts w:ascii="Arial" w:cs="Arial" w:eastAsia="Arial" w:hAnsi="Arial"/>
          <w:sz w:val="19"/>
          <w:szCs w:val="19"/>
          <w:color w:val="auto"/>
        </w:rPr>
        <w:t>” means the Agent Fee Letter, dated September 8, 2021, among the Borrower, Bank of America and BofA Securities, Inc.</w:t>
      </w:r>
    </w:p>
    <w:p>
      <w:pPr>
        <w:spacing w:after="0" w:line="159" w:lineRule="exact"/>
        <w:rPr>
          <w:sz w:val="20"/>
          <w:szCs w:val="20"/>
          <w:color w:val="auto"/>
        </w:rPr>
      </w:pPr>
    </w:p>
    <w:p>
      <w:pPr>
        <w:ind w:left="100" w:right="9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Model</w:t>
      </w:r>
      <w:r>
        <w:rPr>
          <w:rFonts w:ascii="Arial" w:cs="Arial" w:eastAsia="Arial" w:hAnsi="Arial"/>
          <w:sz w:val="19"/>
          <w:szCs w:val="19"/>
          <w:color w:val="auto"/>
        </w:rPr>
        <w:t>” means the final financial model made available by the Borrower to the Administrative Agent prior to the Closing Date.</w:t>
      </w:r>
    </w:p>
    <w:p>
      <w:pPr>
        <w:spacing w:after="0" w:line="187" w:lineRule="exact"/>
        <w:rPr>
          <w:sz w:val="20"/>
          <w:szCs w:val="20"/>
          <w:color w:val="auto"/>
        </w:rPr>
      </w:pPr>
    </w:p>
    <w:p>
      <w:pPr>
        <w:jc w:val="both"/>
        <w:ind w:left="100" w:right="59" w:firstLine="749"/>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Debt</w:t>
      </w:r>
      <w:r>
        <w:rPr>
          <w:rFonts w:ascii="Arial" w:cs="Arial" w:eastAsia="Arial" w:hAnsi="Arial"/>
          <w:sz w:val="18"/>
          <w:szCs w:val="18"/>
          <w:color w:val="auto"/>
        </w:rPr>
        <w:t xml:space="preserve">” means (a) the Initial Term Loans and the Initial Revolving Loans and (b) any other Indebtedness (other than any such Indebtedness among Holdings, the Borrower and/or any of their respective subsidiaries) that is secured by a Lien on the Collateral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Lien securing the Initial Term Loans and the Initial Revolving Loans.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33</w:t>
      </w:r>
      <w:r>
        <w:rPr>
          <w:rFonts w:ascii="Arial" w:cs="Arial" w:eastAsia="Arial" w:hAnsi="Arial"/>
          <w:sz w:val="18"/>
          <w:szCs w:val="18"/>
          <w:u w:val="single" w:color="auto"/>
          <w:color w:val="0000FF"/>
          <w:strike w:val="1"/>
        </w:rPr>
        <w:t>33</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279" w:right="1440" w:bottom="1440" w:gutter="0" w:footer="0" w:header="0"/>
        </w:sectPr>
      </w:pPr>
    </w:p>
    <w:bookmarkStart w:id="101" w:name="page102"/>
    <w:bookmarkEnd w:id="101"/>
    <w:p>
      <w:pPr>
        <w:jc w:val="both"/>
        <w:ind w:left="100" w:right="19" w:firstLine="74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First Lien Net Leverage Ratio</w:t>
      </w:r>
      <w:r>
        <w:rPr>
          <w:rFonts w:ascii="Arial" w:cs="Arial" w:eastAsia="Arial" w:hAnsi="Arial"/>
          <w:sz w:val="19"/>
          <w:szCs w:val="19"/>
          <w:color w:val="auto"/>
        </w:rPr>
        <w:t>” means the ratio, as of any date of determination, of (a) Consolidated First Lien Debt as of the last day of the most recently ended Test Period to (b) Consolidated Adjusted EBITDA for the most recently ended Test Period, in each case, of the Borrower and its Restricted Subsidiaries on a consolidated basis.</w:t>
      </w:r>
    </w:p>
    <w:p>
      <w:pPr>
        <w:spacing w:after="0" w:line="179"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Fiscal Quarter</w:t>
      </w:r>
      <w:r>
        <w:rPr>
          <w:rFonts w:ascii="Arial" w:cs="Arial" w:eastAsia="Arial" w:hAnsi="Arial"/>
          <w:sz w:val="19"/>
          <w:szCs w:val="19"/>
          <w:color w:val="auto"/>
        </w:rPr>
        <w:t>” means a fiscal quarter of any Fiscal Year.</w:t>
      </w:r>
    </w:p>
    <w:p>
      <w:pPr>
        <w:spacing w:after="0" w:line="30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each fiscal year of the Borrower ending on December 31 of each calendar year. “</w:t>
      </w:r>
      <w:r>
        <w:rPr>
          <w:rFonts w:ascii="Arial" w:cs="Arial" w:eastAsia="Arial" w:hAnsi="Arial"/>
          <w:sz w:val="18"/>
          <w:szCs w:val="18"/>
          <w:u w:val="single" w:color="auto"/>
          <w:color w:val="auto"/>
        </w:rPr>
        <w:t>Fitch</w:t>
      </w:r>
      <w:r>
        <w:rPr>
          <w:rFonts w:ascii="Arial" w:cs="Arial" w:eastAsia="Arial" w:hAnsi="Arial"/>
          <w:sz w:val="18"/>
          <w:szCs w:val="18"/>
          <w:color w:val="auto"/>
        </w:rPr>
        <w:t>” means</w:t>
      </w:r>
    </w:p>
    <w:p>
      <w:pPr>
        <w:spacing w:after="0" w:line="198" w:lineRule="exact"/>
        <w:rPr>
          <w:sz w:val="20"/>
          <w:szCs w:val="20"/>
          <w:color w:val="auto"/>
        </w:rPr>
      </w:pPr>
    </w:p>
    <w:p>
      <w:pPr>
        <w:ind w:left="840"/>
        <w:spacing w:after="0"/>
        <w:rPr>
          <w:sz w:val="20"/>
          <w:szCs w:val="20"/>
          <w:color w:val="auto"/>
        </w:rPr>
      </w:pPr>
      <w:r>
        <w:rPr>
          <w:rFonts w:ascii="Arial" w:cs="Arial" w:eastAsia="Arial" w:hAnsi="Arial"/>
          <w:sz w:val="19"/>
          <w:szCs w:val="19"/>
          <w:color w:val="auto"/>
        </w:rPr>
        <w:t>Fitch Ratings, Inc.</w:t>
      </w:r>
    </w:p>
    <w:p>
      <w:pPr>
        <w:spacing w:after="0" w:line="106"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Fixed Amount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1.12(c)</w:t>
      </w:r>
      <w:r>
        <w:rPr>
          <w:rFonts w:ascii="Arial" w:cs="Arial" w:eastAsia="Arial" w:hAnsi="Arial"/>
          <w:sz w:val="19"/>
          <w:szCs w:val="19"/>
          <w:color w:val="auto"/>
        </w:rPr>
        <w:t>.</w:t>
      </w:r>
    </w:p>
    <w:p>
      <w:pPr>
        <w:spacing w:after="0" w:line="200" w:lineRule="exact"/>
        <w:rPr>
          <w:sz w:val="20"/>
          <w:szCs w:val="20"/>
          <w:color w:val="auto"/>
        </w:rPr>
      </w:pPr>
    </w:p>
    <w:p>
      <w:pPr>
        <w:ind w:left="100" w:right="9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Fixed Incremental Amount</w:t>
      </w:r>
      <w:r>
        <w:rPr>
          <w:rFonts w:ascii="Arial" w:cs="Arial" w:eastAsia="Arial" w:hAnsi="Arial"/>
          <w:sz w:val="19"/>
          <w:szCs w:val="19"/>
          <w:color w:val="auto"/>
        </w:rPr>
        <w:t>” means the greater of $82,500,000 and 100% of Consolidated Adjusted EBITDA as of the last day of the most recently ended Test Period.</w:t>
      </w:r>
    </w:p>
    <w:p>
      <w:pPr>
        <w:spacing w:after="0" w:line="173"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Lender</w:t>
      </w:r>
      <w:r>
        <w:rPr>
          <w:rFonts w:ascii="Arial" w:cs="Arial" w:eastAsia="Arial" w:hAnsi="Arial"/>
          <w:sz w:val="19"/>
          <w:szCs w:val="19"/>
          <w:color w:val="auto"/>
        </w:rPr>
        <w:t>” means any Lender or Issuing Bank that is not a US Person.</w:t>
      </w:r>
    </w:p>
    <w:p>
      <w:pPr>
        <w:spacing w:after="0" w:line="10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Subsidiary</w:t>
      </w:r>
      <w:r>
        <w:rPr>
          <w:rFonts w:ascii="Arial" w:cs="Arial" w:eastAsia="Arial" w:hAnsi="Arial"/>
          <w:sz w:val="17"/>
          <w:szCs w:val="17"/>
          <w:color w:val="auto"/>
        </w:rPr>
        <w:t>” means any subsidiary of the Borrower that is not a Domestic Subsidiary. “</w:t>
      </w:r>
      <w:r>
        <w:rPr>
          <w:rFonts w:ascii="Arial" w:cs="Arial" w:eastAsia="Arial" w:hAnsi="Arial"/>
          <w:sz w:val="17"/>
          <w:szCs w:val="17"/>
          <w:u w:val="single" w:color="auto"/>
          <w:color w:val="auto"/>
        </w:rPr>
        <w:t>FSHCO</w:t>
      </w:r>
      <w:r>
        <w:rPr>
          <w:rFonts w:ascii="Arial" w:cs="Arial" w:eastAsia="Arial" w:hAnsi="Arial"/>
          <w:sz w:val="17"/>
          <w:szCs w:val="17"/>
          <w:color w:val="auto"/>
        </w:rPr>
        <w:t>” means (a) any</w:t>
      </w:r>
    </w:p>
    <w:p>
      <w:pPr>
        <w:spacing w:after="0" w:line="237" w:lineRule="exact"/>
        <w:rPr>
          <w:sz w:val="20"/>
          <w:szCs w:val="20"/>
          <w:color w:val="auto"/>
        </w:rPr>
      </w:pPr>
    </w:p>
    <w:p>
      <w:pPr>
        <w:ind w:left="840"/>
        <w:spacing w:after="0"/>
        <w:rPr>
          <w:sz w:val="20"/>
          <w:szCs w:val="20"/>
          <w:color w:val="auto"/>
        </w:rPr>
      </w:pPr>
      <w:r>
        <w:rPr>
          <w:rFonts w:ascii="Arial" w:cs="Arial" w:eastAsia="Arial" w:hAnsi="Arial"/>
          <w:sz w:val="19"/>
          <w:szCs w:val="19"/>
          <w:color w:val="auto"/>
        </w:rPr>
        <w:t>direct or indirect Domestic Subsidiary that has no material assets other than</w:t>
      </w:r>
    </w:p>
    <w:p>
      <w:pPr>
        <w:spacing w:after="0" w:line="106" w:lineRule="exact"/>
        <w:rPr>
          <w:sz w:val="20"/>
          <w:szCs w:val="20"/>
          <w:color w:val="auto"/>
        </w:rPr>
      </w:pPr>
    </w:p>
    <w:p>
      <w:pPr>
        <w:jc w:val="both"/>
        <w:ind w:left="100" w:right="59"/>
        <w:spacing w:after="0" w:line="241" w:lineRule="auto"/>
        <w:rPr>
          <w:sz w:val="20"/>
          <w:szCs w:val="20"/>
          <w:color w:val="auto"/>
        </w:rPr>
      </w:pPr>
      <w:r>
        <w:rPr>
          <w:rFonts w:ascii="Arial" w:cs="Arial" w:eastAsia="Arial" w:hAnsi="Arial"/>
          <w:sz w:val="19"/>
          <w:szCs w:val="19"/>
          <w:color w:val="auto"/>
        </w:rPr>
        <w:t xml:space="preserve">the Capital Stock and/or Indebtedness of one or more Foreign Subsidiaries and (b) any direct or indirect Domestic Subsidiary that has no material assets other than the Capital Stock and/or Indebtedness of one or more Persons of the type described in the immediately preceding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in this </w:t>
      </w:r>
      <w:r>
        <w:rPr>
          <w:rFonts w:ascii="Arial" w:cs="Arial" w:eastAsia="Arial" w:hAnsi="Arial"/>
          <w:sz w:val="19"/>
          <w:szCs w:val="19"/>
          <w:u w:val="single" w:color="auto"/>
          <w:color w:val="auto"/>
        </w:rPr>
        <w:t>clause (b)</w:t>
      </w:r>
      <w:r>
        <w:rPr>
          <w:rFonts w:ascii="Arial" w:cs="Arial" w:eastAsia="Arial" w:hAnsi="Arial"/>
          <w:sz w:val="19"/>
          <w:szCs w:val="19"/>
          <w:color w:val="auto"/>
        </w:rPr>
        <w:t>.</w:t>
      </w:r>
    </w:p>
    <w:p>
      <w:pPr>
        <w:spacing w:after="0" w:line="179" w:lineRule="exact"/>
        <w:rPr>
          <w:sz w:val="20"/>
          <w:szCs w:val="20"/>
          <w:color w:val="auto"/>
        </w:rPr>
      </w:pPr>
    </w:p>
    <w:p>
      <w:pPr>
        <w:ind w:left="100" w:right="7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generally accepted accounting principles in the US in effect and applicable to the accounting period in respect of which reference to GAAP is made.</w:t>
      </w:r>
    </w:p>
    <w:p>
      <w:pPr>
        <w:spacing w:after="0" w:line="173" w:lineRule="exact"/>
        <w:rPr>
          <w:sz w:val="20"/>
          <w:szCs w:val="20"/>
          <w:color w:val="auto"/>
        </w:rPr>
      </w:pPr>
    </w:p>
    <w:p>
      <w:pPr>
        <w:jc w:val="both"/>
        <w:ind w:left="100" w:right="19" w:firstLine="74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state, municipal, national or other government, governmental department, commission, board, bureau, court, agency or instrumentality or political subdivision thereof or any entity or officer exercising executive, legislative, judicial, taxing, regulatory or administrative functions of or pertaining to any government or any court, in each case whether associated with the US, a foreign government or any political subdivision thereof, including any applicable supranational body (such as the European Union or the European Central Bank).</w:t>
      </w:r>
    </w:p>
    <w:p>
      <w:pPr>
        <w:spacing w:after="0" w:line="169" w:lineRule="exact"/>
        <w:rPr>
          <w:sz w:val="20"/>
          <w:szCs w:val="20"/>
          <w:color w:val="auto"/>
        </w:rPr>
      </w:pPr>
    </w:p>
    <w:p>
      <w:pPr>
        <w:ind w:left="100" w:right="9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Authorization</w:t>
      </w:r>
      <w:r>
        <w:rPr>
          <w:rFonts w:ascii="Arial" w:cs="Arial" w:eastAsia="Arial" w:hAnsi="Arial"/>
          <w:sz w:val="19"/>
          <w:szCs w:val="19"/>
          <w:color w:val="auto"/>
        </w:rPr>
        <w:t>” means any permit, license, authorization, approval, plan, directive, consent order or consent decree of or from any Governmental Authority.</w:t>
      </w:r>
    </w:p>
    <w:p>
      <w:pPr>
        <w:spacing w:after="0" w:line="187"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Granting Lender</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9.05(e)</w:t>
      </w:r>
      <w:r>
        <w:rPr>
          <w:rFonts w:ascii="Arial" w:cs="Arial" w:eastAsia="Arial" w:hAnsi="Arial"/>
          <w:sz w:val="19"/>
          <w:szCs w:val="19"/>
          <w:color w:val="auto"/>
        </w:rPr>
        <w:t>.</w:t>
      </w:r>
    </w:p>
    <w:p>
      <w:pPr>
        <w:spacing w:after="0" w:line="200" w:lineRule="exact"/>
        <w:rPr>
          <w:sz w:val="20"/>
          <w:szCs w:val="20"/>
          <w:color w:val="auto"/>
        </w:rPr>
      </w:pPr>
    </w:p>
    <w:p>
      <w:pPr>
        <w:ind w:left="100" w:right="59" w:firstLine="74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of or by any Person (the “</w:t>
      </w:r>
      <w:r>
        <w:rPr>
          <w:rFonts w:ascii="Arial" w:cs="Arial" w:eastAsia="Arial" w:hAnsi="Arial"/>
          <w:sz w:val="17"/>
          <w:szCs w:val="17"/>
          <w:u w:val="single" w:color="auto"/>
          <w:color w:val="auto"/>
        </w:rPr>
        <w:t>Guarantor</w:t>
      </w:r>
      <w:r>
        <w:rPr>
          <w:rFonts w:ascii="Arial" w:cs="Arial" w:eastAsia="Arial" w:hAnsi="Arial"/>
          <w:sz w:val="17"/>
          <w:szCs w:val="17"/>
          <w:color w:val="auto"/>
        </w:rPr>
        <w:t>”) means any obligation, contingent or otherwise, of the Guarantor guaranteeing or having the economic effect of guaranteeing any Indebtedness or other monetary obligation of any 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in any manner and including any obligation of the Guarantor (a) to purchase or pay (or advance or supply funds for the purchase or payment of) such Indebtedness or other monetary obligation or to purchase (or to advance or supply funds for the purchase of) any security for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(d) as an account party in respect of any letter of credit or letter of guaranty issued to support such Indebtedness or monetary obligation, (e) entered into for the purpose of assuring in any other manner the obligee in respect of such Indebtedness or other monetary obligation of the payment or performance thereof or to protect such obligee against loss in respect thereof (in whole or in part) or (f) secured by any Lien on any assets of such Guarantor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34</w:t>
      </w:r>
      <w:r>
        <w:rPr>
          <w:rFonts w:ascii="Arial" w:cs="Arial" w:eastAsia="Arial" w:hAnsi="Arial"/>
          <w:sz w:val="18"/>
          <w:szCs w:val="18"/>
          <w:u w:val="single" w:color="auto"/>
          <w:color w:val="0000FF"/>
          <w:strike w:val="1"/>
        </w:rPr>
        <w:t>34</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02" w:name="page103"/>
    <w:bookmarkEnd w:id="102"/>
    <w:p>
      <w:pPr>
        <w:ind w:left="100" w:right="79"/>
        <w:spacing w:after="0" w:line="232" w:lineRule="auto"/>
        <w:rPr>
          <w:sz w:val="20"/>
          <w:szCs w:val="20"/>
          <w:color w:val="auto"/>
        </w:rPr>
      </w:pPr>
      <w:r>
        <w:rPr>
          <w:rFonts w:ascii="Arial" w:cs="Arial" w:eastAsia="Arial" w:hAnsi="Arial"/>
          <w:sz w:val="19"/>
          <w:szCs w:val="19"/>
          <w:color w:val="auto"/>
        </w:rPr>
        <w:t xml:space="preserve">securing any Indebtedness or other monetary obligation of any other Person, whether or not such Indebtedness or monetary other obligation is assumed by such Guarantor (or any right, contingent or otherwise, of any holder of such Indebtedness or other monetary obligation to obtain any such Lien);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“Guarantee” shall not include endorsements for collection or deposit in the ordinary course of business, or customary and reasonable indemnity obligations in effect on the Closing Date or entered into in connection with any acquisition, Disposition or other transaction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w:t>
      </w:r>
    </w:p>
    <w:p>
      <w:pPr>
        <w:spacing w:after="0" w:line="178"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Guarantor</w:t>
      </w:r>
      <w:r>
        <w:rPr>
          <w:rFonts w:ascii="Arial" w:cs="Arial" w:eastAsia="Arial" w:hAnsi="Arial"/>
          <w:sz w:val="19"/>
          <w:szCs w:val="19"/>
          <w:color w:val="auto"/>
        </w:rPr>
        <w:t>” has the meaning assigned to such term in the definition of “Guarantee”.</w:t>
      </w:r>
    </w:p>
    <w:p>
      <w:pPr>
        <w:spacing w:after="0" w:line="200" w:lineRule="exact"/>
        <w:rPr>
          <w:sz w:val="20"/>
          <w:szCs w:val="20"/>
          <w:color w:val="auto"/>
        </w:rPr>
      </w:pPr>
    </w:p>
    <w:p>
      <w:pPr>
        <w:jc w:val="both"/>
        <w:ind w:left="100" w:right="59" w:firstLine="74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any chemical, material, substance or waste, or any constituent thereof, which is prohibited, limited or regulated under any Environmental Law or by any Governmental Authority or which poses a hazard to the Environment or to human health and safety, including without limitation, petroleum and petroleum by-products, asbestos and asbestos-containing materials, polychlorinated biphenyls, medical waste and pharmaceutical waste.</w:t>
      </w:r>
    </w:p>
    <w:p>
      <w:pPr>
        <w:spacing w:after="0" w:line="184" w:lineRule="exact"/>
        <w:rPr>
          <w:sz w:val="20"/>
          <w:szCs w:val="20"/>
          <w:color w:val="auto"/>
        </w:rPr>
      </w:pPr>
    </w:p>
    <w:p>
      <w:pPr>
        <w:jc w:val="both"/>
        <w:ind w:left="100" w:right="79" w:firstLine="749"/>
        <w:spacing w:after="0" w:line="23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 Activity</w:t>
      </w:r>
      <w:r>
        <w:rPr>
          <w:rFonts w:ascii="Arial" w:cs="Arial" w:eastAsia="Arial" w:hAnsi="Arial"/>
          <w:sz w:val="19"/>
          <w:szCs w:val="19"/>
          <w:color w:val="auto"/>
        </w:rPr>
        <w:t>” means any past, current, proposed or threatened activity, event or occurrence involving any Hazardous Material,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 and any corrective action or response action with respect to any of the foregoing.</w:t>
      </w:r>
    </w:p>
    <w:p>
      <w:pPr>
        <w:spacing w:after="0" w:line="181" w:lineRule="exact"/>
        <w:rPr>
          <w:sz w:val="20"/>
          <w:szCs w:val="20"/>
          <w:color w:val="auto"/>
        </w:rPr>
      </w:pPr>
    </w:p>
    <w:p>
      <w:pPr>
        <w:jc w:val="both"/>
        <w:ind w:left="100" w:right="59" w:firstLine="749"/>
        <w:spacing w:after="0" w:line="30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Hedge Agreement</w:t>
      </w:r>
      <w:r>
        <w:rPr>
          <w:rFonts w:ascii="Arial" w:cs="Arial" w:eastAsia="Arial" w:hAnsi="Arial"/>
          <w:sz w:val="17"/>
          <w:szCs w:val="17"/>
          <w:color w:val="auto"/>
        </w:rPr>
        <w:t>” means any agreement with respect to any Derivative Transaction (or any master agreement which is intended to govern multiple Derivative Transactions) between any Loan Party or any Restricted Subsidiary and any other Person.</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Hedging Obligations</w:t>
      </w:r>
      <w:r>
        <w:rPr>
          <w:rFonts w:ascii="Arial" w:cs="Arial" w:eastAsia="Arial" w:hAnsi="Arial"/>
          <w:sz w:val="17"/>
          <w:szCs w:val="17"/>
          <w:color w:val="auto"/>
        </w:rPr>
        <w:t>” means, with respect to any Person, the obligations of such Person under any Hedge Agreement.</w:t>
      </w:r>
    </w:p>
    <w:p>
      <w:pPr>
        <w:spacing w:after="0" w:line="223" w:lineRule="exact"/>
        <w:rPr>
          <w:sz w:val="20"/>
          <w:szCs w:val="20"/>
          <w:color w:val="auto"/>
        </w:rPr>
      </w:pPr>
    </w:p>
    <w:p>
      <w:pPr>
        <w:ind w:left="100" w:right="9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Holdings</w:t>
      </w:r>
      <w:r>
        <w:rPr>
          <w:rFonts w:ascii="Arial" w:cs="Arial" w:eastAsia="Arial" w:hAnsi="Arial"/>
          <w:sz w:val="19"/>
          <w:szCs w:val="19"/>
          <w:color w:val="auto"/>
        </w:rPr>
        <w:t>” has the meaning assigned to such term in the preamble to this Agreement and shall, for the avoidance of doubt, include any Successor Holdings.</w:t>
      </w:r>
    </w:p>
    <w:p>
      <w:pPr>
        <w:spacing w:after="0" w:line="187"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IBA</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1.11</w:t>
      </w:r>
      <w:r>
        <w:rPr>
          <w:rFonts w:ascii="Arial" w:cs="Arial" w:eastAsia="Arial" w:hAnsi="Arial"/>
          <w:sz w:val="19"/>
          <w:szCs w:val="19"/>
          <w:color w:val="auto"/>
        </w:rPr>
        <w:t>.</w:t>
      </w:r>
    </w:p>
    <w:p>
      <w:pPr>
        <w:spacing w:after="0" w:line="200" w:lineRule="exact"/>
        <w:rPr>
          <w:sz w:val="20"/>
          <w:szCs w:val="20"/>
          <w:color w:val="auto"/>
        </w:rPr>
      </w:pPr>
    </w:p>
    <w:p>
      <w:pPr>
        <w:jc w:val="both"/>
        <w:ind w:left="100" w:right="59" w:firstLine="74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Immaterial Subsidiary</w:t>
      </w:r>
      <w:r>
        <w:rPr>
          <w:rFonts w:ascii="Arial" w:cs="Arial" w:eastAsia="Arial" w:hAnsi="Arial"/>
          <w:sz w:val="17"/>
          <w:szCs w:val="17"/>
          <w:color w:val="auto"/>
        </w:rPr>
        <w:t xml:space="preserve">” means, as of any date, any subsidiary of the Borrower the contribution to Consolidated Adjusted EBITDA of which, when taken together with the contribution to Consolidated Adjusted EBITDA of all other subsidiaries that are Immaterial Subsidiaries, does not exceed 5.00% of Consolidated Adjusted EBITDA as of the last day of the most recently ended Test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all times prior to the first delivery of financial statements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this definition shall be applied based on the pro forma consolidated financial statements delivered pursuant to </w:t>
      </w:r>
      <w:r>
        <w:rPr>
          <w:rFonts w:ascii="Arial" w:cs="Arial" w:eastAsia="Arial" w:hAnsi="Arial"/>
          <w:sz w:val="17"/>
          <w:szCs w:val="17"/>
          <w:u w:val="single" w:color="auto"/>
          <w:color w:val="auto"/>
        </w:rPr>
        <w:t>Section 4.01</w:t>
      </w:r>
      <w:r>
        <w:rPr>
          <w:rFonts w:ascii="Arial" w:cs="Arial" w:eastAsia="Arial" w:hAnsi="Arial"/>
          <w:sz w:val="17"/>
          <w:szCs w:val="17"/>
          <w:color w:val="auto"/>
        </w:rPr>
        <w:t>.</w:t>
      </w:r>
    </w:p>
    <w:p>
      <w:pPr>
        <w:spacing w:after="0" w:line="159" w:lineRule="exact"/>
        <w:rPr>
          <w:sz w:val="20"/>
          <w:szCs w:val="20"/>
          <w:color w:val="auto"/>
        </w:rPr>
      </w:pPr>
    </w:p>
    <w:p>
      <w:pPr>
        <w:jc w:val="both"/>
        <w:ind w:left="100" w:right="19" w:firstLine="749"/>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 Member</w:t>
      </w:r>
      <w:r>
        <w:rPr>
          <w:rFonts w:ascii="Arial" w:cs="Arial" w:eastAsia="Arial" w:hAnsi="Arial"/>
          <w:sz w:val="18"/>
          <w:szCs w:val="18"/>
          <w:color w:val="auto"/>
        </w:rPr>
        <w:t>” means, with respect to any individual, such individual’s child, stepchild, grandchild or more remote descendant, parent, stepparent, grandparent, spouse, former spouse, domestic partner, former domestic partner, sibling, mother-in-law, father-in-law, son-in-law and/or daughter-in-law (including any adoptive relationship), any trust, partnership or other bona fide estate-planning vehicle the only beneficiaries of which are any of the foregoing individuals, such individual’s estate (or an executor or administrator acting on its behalf), heirs or legatees or any private foundation or fund that is controlled by any of the foregoing individuals or any donor-advised fund of which any such individual is the donor.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35</w:t>
      </w:r>
      <w:r>
        <w:rPr>
          <w:rFonts w:ascii="Arial" w:cs="Arial" w:eastAsia="Arial" w:hAnsi="Arial"/>
          <w:sz w:val="18"/>
          <w:szCs w:val="18"/>
          <w:u w:val="single" w:color="auto"/>
          <w:color w:val="0000FF"/>
          <w:strike w:val="1"/>
        </w:rPr>
        <w:t>35</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03" w:name="page104"/>
    <w:bookmarkEnd w:id="103"/>
    <w:p>
      <w:pPr>
        <w:ind w:left="840"/>
        <w:spacing w:after="0"/>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Impacted Loans</w:t>
      </w:r>
      <w:r>
        <w:rPr>
          <w:rFonts w:ascii="Arial" w:cs="Arial" w:eastAsia="Arial" w:hAnsi="Arial"/>
          <w:sz w:val="19"/>
          <w:szCs w:val="19"/>
          <w:color w:val="FF0000"/>
          <w:strike w:val="1"/>
        </w:rPr>
        <w:t xml:space="preserve">” has the meaning assigned to such term in </w:t>
      </w:r>
      <w:r>
        <w:rPr>
          <w:rFonts w:ascii="Arial" w:cs="Arial" w:eastAsia="Arial" w:hAnsi="Arial"/>
          <w:sz w:val="19"/>
          <w:szCs w:val="19"/>
          <w:u w:val="single" w:color="auto"/>
          <w:color w:val="FF0000"/>
          <w:strike w:val="1"/>
        </w:rPr>
        <w:t>Section 2.14(a)</w:t>
      </w:r>
      <w:r>
        <w:rPr>
          <w:rFonts w:ascii="Arial" w:cs="Arial" w:eastAsia="Arial" w:hAnsi="Arial"/>
          <w:sz w:val="19"/>
          <w:szCs w:val="19"/>
          <w:color w:val="FF0000"/>
          <w:strike w:val="1"/>
        </w:rPr>
        <w:t>.</w:t>
      </w:r>
    </w:p>
    <w:p>
      <w:pPr>
        <w:spacing w:after="0" w:line="295"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Cap</w:t>
      </w:r>
      <w:r>
        <w:rPr>
          <w:rFonts w:ascii="Arial" w:cs="Arial" w:eastAsia="Arial" w:hAnsi="Arial"/>
          <w:sz w:val="19"/>
          <w:szCs w:val="19"/>
          <w:color w:val="auto"/>
        </w:rPr>
        <w:t>” means:</w:t>
      </w:r>
    </w:p>
    <w:p>
      <w:pPr>
        <w:spacing w:after="0" w:line="200" w:lineRule="exact"/>
        <w:rPr>
          <w:sz w:val="20"/>
          <w:szCs w:val="20"/>
          <w:color w:val="auto"/>
        </w:rPr>
      </w:pPr>
    </w:p>
    <w:p>
      <w:pPr>
        <w:jc w:val="both"/>
        <w:ind w:left="840" w:right="59" w:firstLine="751"/>
        <w:spacing w:after="0" w:line="259" w:lineRule="auto"/>
        <w:tabs>
          <w:tab w:leader="none" w:pos="2254"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Fixed Incremental Amount,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(A) the aggregate outstanding principal amount of any Incremental Facility and/or Incremental Equivalent Debt previously incurred or issued in reliance on the Fixed Incremental Amount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aggregate outstanding principal amount of any Ratio Debt issued and/or incurred in reliance on the Fixed Incremental Amount pursuant to </w:t>
      </w:r>
      <w:r>
        <w:rPr>
          <w:rFonts w:ascii="Arial" w:cs="Arial" w:eastAsia="Arial" w:hAnsi="Arial"/>
          <w:sz w:val="18"/>
          <w:szCs w:val="18"/>
          <w:u w:val="single" w:color="auto"/>
          <w:color w:val="auto"/>
        </w:rPr>
        <w:t>Section 6.01(w)(i)</w:t>
      </w:r>
      <w:r>
        <w:rPr>
          <w:rFonts w:ascii="Arial" w:cs="Arial" w:eastAsia="Arial" w:hAnsi="Arial"/>
          <w:sz w:val="18"/>
          <w:szCs w:val="18"/>
          <w:color w:val="auto"/>
        </w:rPr>
        <w:t xml:space="preserve">, in the case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after giving effect to (1) any reclassification of any Incremental Facility and/or Incremental Equivalent Debt as having been issued or incurred in reliance on the Incremental Incurrence-Based Component and/or (2) any reclassification of any Ratio Debt as having been incurred in reliance on </w:t>
      </w:r>
      <w:r>
        <w:rPr>
          <w:rFonts w:ascii="Arial" w:cs="Arial" w:eastAsia="Arial" w:hAnsi="Arial"/>
          <w:sz w:val="18"/>
          <w:szCs w:val="18"/>
          <w:u w:val="single" w:color="auto"/>
          <w:color w:val="auto"/>
        </w:rPr>
        <w:t>Section 6.01(w)(i)</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258" w:lineRule="exact"/>
        <w:rPr>
          <w:rFonts w:ascii="Arial" w:cs="Arial" w:eastAsia="Arial" w:hAnsi="Arial"/>
          <w:sz w:val="18"/>
          <w:szCs w:val="18"/>
          <w:color w:val="auto"/>
        </w:rPr>
      </w:pPr>
    </w:p>
    <w:p>
      <w:pPr>
        <w:jc w:val="both"/>
        <w:ind w:left="840" w:right="59" w:firstLine="751"/>
        <w:spacing w:after="0" w:line="256" w:lineRule="auto"/>
        <w:tabs>
          <w:tab w:leader="none" w:pos="2254"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in the case of any Incremental Facility or Incremental Equivalent Debt that effectively extends (i) the Maturity Date with respect to any Class of Loans and/or Commitments hereunder and/or (ii) the maturity date with respect to (A) any other First Lien Debt and/or (B) any Junior Lien Debt (it being understood that, in the case of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the relevant Incremental Facility or Incremental Equivalent Debt incurred in reliance hereon will, at the option of the Borrower, either constitute Junior Lien Debt or be unsecured), an amount equal to the portion of the relevant Class of Loans or Commitments or such other First Lien Debt or such Junior Lien Debt, as applicable, that will be replaced by such Incremental Facility or Incremental Equivalent Debt; </w:t>
      </w:r>
      <w:r>
        <w:rPr>
          <w:rFonts w:ascii="Arial" w:cs="Arial" w:eastAsia="Arial" w:hAnsi="Arial"/>
          <w:sz w:val="18"/>
          <w:szCs w:val="18"/>
          <w:u w:val="single" w:color="auto"/>
          <w:color w:val="auto"/>
        </w:rPr>
        <w:t>plus</w:t>
      </w:r>
    </w:p>
    <w:p>
      <w:pPr>
        <w:spacing w:after="0" w:line="277" w:lineRule="exact"/>
        <w:rPr>
          <w:rFonts w:ascii="Arial" w:cs="Arial" w:eastAsia="Arial" w:hAnsi="Arial"/>
          <w:sz w:val="18"/>
          <w:szCs w:val="18"/>
          <w:color w:val="auto"/>
        </w:rPr>
      </w:pPr>
    </w:p>
    <w:p>
      <w:pPr>
        <w:jc w:val="both"/>
        <w:ind w:left="840" w:right="59" w:firstLine="751"/>
        <w:spacing w:after="0" w:line="249" w:lineRule="auto"/>
        <w:tabs>
          <w:tab w:leader="none" w:pos="2254"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in the case of any Incremental Facility or Incremental Equivalent Debt that effectively replaces any Revolving Credit Commitment terminated in accordance with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an amount equal to the relevant terminated Revolving Credit Commitment; </w:t>
      </w:r>
      <w:r>
        <w:rPr>
          <w:rFonts w:ascii="Arial" w:cs="Arial" w:eastAsia="Arial" w:hAnsi="Arial"/>
          <w:sz w:val="19"/>
          <w:szCs w:val="19"/>
          <w:u w:val="single" w:color="auto"/>
          <w:color w:val="auto"/>
        </w:rPr>
        <w:t>plus</w:t>
      </w:r>
    </w:p>
    <w:p>
      <w:pPr>
        <w:spacing w:after="0" w:line="264" w:lineRule="exact"/>
        <w:rPr>
          <w:rFonts w:ascii="Arial" w:cs="Arial" w:eastAsia="Arial" w:hAnsi="Arial"/>
          <w:sz w:val="19"/>
          <w:szCs w:val="19"/>
          <w:color w:val="auto"/>
        </w:rPr>
      </w:pPr>
    </w:p>
    <w:p>
      <w:pPr>
        <w:jc w:val="both"/>
        <w:ind w:left="840" w:right="19" w:firstLine="752"/>
        <w:spacing w:after="0" w:line="269" w:lineRule="auto"/>
        <w:tabs>
          <w:tab w:leader="none" w:pos="2257"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without duplication of clauses (b) and (c) above, (x) (i) the amount of any voluntary prepayment, redemption, repurchase or other retirement of (A)(1) any Term Loan and/or any other First Lien Debt and/or (2) any Junior Lien Debt (it being understood that, in the case of this </w:t>
      </w:r>
      <w:r>
        <w:rPr>
          <w:rFonts w:ascii="Arial" w:cs="Arial" w:eastAsia="Arial" w:hAnsi="Arial"/>
          <w:sz w:val="17"/>
          <w:szCs w:val="17"/>
          <w:u w:val="single" w:color="auto"/>
          <w:color w:val="auto"/>
        </w:rPr>
        <w:t>clause (x)(i)(A)(2)</w:t>
      </w:r>
      <w:r>
        <w:rPr>
          <w:rFonts w:ascii="Arial" w:cs="Arial" w:eastAsia="Arial" w:hAnsi="Arial"/>
          <w:sz w:val="17"/>
          <w:szCs w:val="17"/>
          <w:color w:val="auto"/>
        </w:rPr>
        <w:t xml:space="preserve">, such amount may only be relied on to incur an Incremental Facility that either constitutes Junior Lien Debt or is unsecured) and/or (B) the amount of any permanent reduction of (1) any Revolving Credit Commitment and/or any revolving commitment in respect of any First Lien Debt and/or (2) any revolving commitment in respect of any Junior Lien Debt (it being understood that, in the case of this </w:t>
      </w:r>
      <w:r>
        <w:rPr>
          <w:rFonts w:ascii="Arial" w:cs="Arial" w:eastAsia="Arial" w:hAnsi="Arial"/>
          <w:sz w:val="17"/>
          <w:szCs w:val="17"/>
          <w:u w:val="single" w:color="auto"/>
          <w:color w:val="auto"/>
        </w:rPr>
        <w:t>clause (x)(i)(B)(2)</w:t>
      </w:r>
      <w:r>
        <w:rPr>
          <w:rFonts w:ascii="Arial" w:cs="Arial" w:eastAsia="Arial" w:hAnsi="Arial"/>
          <w:sz w:val="17"/>
          <w:szCs w:val="17"/>
          <w:color w:val="auto"/>
        </w:rPr>
        <w:t xml:space="preserve">, such amount may only be relied on to incur an Incremental Facility that either constitutes Junior Lien Debt or is unsecured) and (ii) the amount of any reduction in the outstanding principal amount of (A) any Term Loan and/or any other First Lien Debt and/or any (B) any Junior Lien Debt (it being understood that, in the case of this </w:t>
      </w:r>
      <w:r>
        <w:rPr>
          <w:rFonts w:ascii="Arial" w:cs="Arial" w:eastAsia="Arial" w:hAnsi="Arial"/>
          <w:sz w:val="17"/>
          <w:szCs w:val="17"/>
          <w:u w:val="single" w:color="auto"/>
          <w:color w:val="auto"/>
        </w:rPr>
        <w:t>clause (x)(ii)(B)</w:t>
      </w:r>
      <w:r>
        <w:rPr>
          <w:rFonts w:ascii="Arial" w:cs="Arial" w:eastAsia="Arial" w:hAnsi="Arial"/>
          <w:sz w:val="17"/>
          <w:szCs w:val="17"/>
          <w:color w:val="auto"/>
        </w:rPr>
        <w:t xml:space="preserve">, such amount may only be relied on to incur an Incremental Facility that either constitutes Junior Lien Debt or is unsecured) resulting from any assignment of such Term Loan, First Lien Debt and/or Junior Lien Debt to (and/or any purchase of such Term Loan, First Lien Debt or Junior Lien Debt by) the Borrower and/or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each of </w:t>
      </w:r>
      <w:r>
        <w:rPr>
          <w:rFonts w:ascii="Arial" w:cs="Arial" w:eastAsia="Arial" w:hAnsi="Arial"/>
          <w:sz w:val="17"/>
          <w:szCs w:val="17"/>
          <w:u w:val="single" w:color="auto"/>
          <w:color w:val="auto"/>
        </w:rPr>
        <w:t>clauses (x)(i)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the relevant prepayment, redemption, purchase, assignment, redemption or other retirement was not funded with the proceeds of any long-term Indebtedness (other than revolving Indebtedness) (this </w:t>
      </w:r>
      <w:r>
        <w:rPr>
          <w:rFonts w:ascii="Arial" w:cs="Arial" w:eastAsia="Arial" w:hAnsi="Arial"/>
          <w:sz w:val="17"/>
          <w:szCs w:val="17"/>
          <w:u w:val="single" w:color="auto"/>
          <w:color w:val="auto"/>
        </w:rPr>
        <w:t>clause (d)</w:t>
      </w:r>
      <w:r>
        <w:rPr>
          <w:rFonts w:ascii="Arial" w:cs="Arial" w:eastAsia="Arial" w:hAnsi="Arial"/>
          <w:sz w:val="17"/>
          <w:szCs w:val="17"/>
          <w:color w:val="auto"/>
        </w:rPr>
        <w:t>, the “</w:t>
      </w:r>
      <w:r>
        <w:rPr>
          <w:rFonts w:ascii="Arial" w:cs="Arial" w:eastAsia="Arial" w:hAnsi="Arial"/>
          <w:sz w:val="17"/>
          <w:szCs w:val="17"/>
          <w:u w:val="single" w:color="auto"/>
          <w:color w:val="auto"/>
        </w:rPr>
        <w:t>Incremental Prepayment Amount</w:t>
      </w:r>
      <w:r>
        <w:rPr>
          <w:rFonts w:ascii="Arial" w:cs="Arial" w:eastAsia="Arial" w:hAnsi="Arial"/>
          <w:sz w:val="17"/>
          <w:szCs w:val="17"/>
          <w:color w:val="auto"/>
        </w:rPr>
        <w:t xml:space="preserv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(y) the outstanding principal amount of any Indebtedness incurred in reliance on the Incremental Prepayment Amount pursuant to </w:t>
      </w:r>
      <w:r>
        <w:rPr>
          <w:rFonts w:ascii="Arial" w:cs="Arial" w:eastAsia="Arial" w:hAnsi="Arial"/>
          <w:sz w:val="17"/>
          <w:szCs w:val="17"/>
          <w:u w:val="single" w:color="auto"/>
          <w:color w:val="auto"/>
        </w:rPr>
        <w:t>Section 6.01(w)(i)</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p>
    <w:p>
      <w:pPr>
        <w:spacing w:after="0" w:line="261" w:lineRule="exact"/>
        <w:rPr>
          <w:rFonts w:ascii="Arial" w:cs="Arial" w:eastAsia="Arial" w:hAnsi="Arial"/>
          <w:sz w:val="17"/>
          <w:szCs w:val="17"/>
          <w:color w:val="auto"/>
        </w:rPr>
      </w:pPr>
    </w:p>
    <w:p>
      <w:pPr>
        <w:ind w:left="840" w:right="719" w:firstLine="752"/>
        <w:spacing w:after="0" w:line="276" w:lineRule="auto"/>
        <w:tabs>
          <w:tab w:leader="none" w:pos="2254"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an unlimited amount so long as, in the case of this </w:t>
      </w:r>
      <w:r>
        <w:rPr>
          <w:rFonts w:ascii="Arial" w:cs="Arial" w:eastAsia="Arial" w:hAnsi="Arial"/>
          <w:sz w:val="19"/>
          <w:szCs w:val="19"/>
          <w:u w:val="single" w:color="auto"/>
          <w:color w:val="auto"/>
        </w:rPr>
        <w:t>clause (e)</w:t>
      </w:r>
      <w:r>
        <w:rPr>
          <w:rFonts w:ascii="Arial" w:cs="Arial" w:eastAsia="Arial" w:hAnsi="Arial"/>
          <w:sz w:val="19"/>
          <w:szCs w:val="19"/>
          <w:color w:val="auto"/>
        </w:rPr>
        <w:t>, after giving effect to the relevant Incremental Facility and/or Incremental Equivalent Debt; as applicable:</w:t>
      </w:r>
    </w:p>
    <w:p>
      <w:pPr>
        <w:spacing w:after="0" w:line="158" w:lineRule="exact"/>
        <w:rPr>
          <w:rFonts w:ascii="Arial" w:cs="Arial" w:eastAsia="Arial" w:hAnsi="Arial"/>
          <w:sz w:val="19"/>
          <w:szCs w:val="19"/>
          <w:color w:val="auto"/>
        </w:rPr>
      </w:pPr>
    </w:p>
    <w:p>
      <w:pPr>
        <w:ind w:left="1600" w:right="159" w:firstLine="741"/>
        <w:spacing w:after="0" w:line="261" w:lineRule="auto"/>
        <w:tabs>
          <w:tab w:leader="none" w:pos="3008" w:val="left"/>
        </w:tabs>
        <w:numPr>
          <w:ilvl w:val="1"/>
          <w:numId w:val="73"/>
        </w:numPr>
        <w:rPr>
          <w:rFonts w:ascii="Arial" w:cs="Arial" w:eastAsia="Arial" w:hAnsi="Arial"/>
          <w:sz w:val="19"/>
          <w:szCs w:val="19"/>
          <w:color w:val="auto"/>
        </w:rPr>
      </w:pPr>
      <w:r>
        <w:rPr>
          <w:rFonts w:ascii="Arial" w:cs="Arial" w:eastAsia="Arial" w:hAnsi="Arial"/>
          <w:sz w:val="19"/>
          <w:szCs w:val="19"/>
          <w:color w:val="auto"/>
        </w:rPr>
        <w:t>if such Incremental Facility and/or Incremental Equivalent Debt constitutes First Lien Debt, the First Lien Net Leverage Ratio does not exceed 3.60:1.00;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36</w:t>
      </w:r>
      <w:r>
        <w:rPr>
          <w:rFonts w:ascii="Arial" w:cs="Arial" w:eastAsia="Arial" w:hAnsi="Arial"/>
          <w:sz w:val="18"/>
          <w:szCs w:val="18"/>
          <w:u w:val="single" w:color="auto"/>
          <w:color w:val="0000FF"/>
          <w:strike w:val="1"/>
        </w:rPr>
        <w:t>36</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04" w:name="page105"/>
    <w:bookmarkEnd w:id="104"/>
    <w:p>
      <w:pPr>
        <w:ind w:left="1600" w:right="500" w:firstLine="741"/>
        <w:spacing w:after="0" w:line="261" w:lineRule="auto"/>
        <w:tabs>
          <w:tab w:leader="none" w:pos="3008" w:val="left"/>
        </w:tabs>
        <w:numPr>
          <w:ilvl w:val="0"/>
          <w:numId w:val="74"/>
        </w:numPr>
        <w:rPr>
          <w:rFonts w:ascii="Arial" w:cs="Arial" w:eastAsia="Arial" w:hAnsi="Arial"/>
          <w:sz w:val="19"/>
          <w:szCs w:val="19"/>
          <w:color w:val="auto"/>
        </w:rPr>
      </w:pPr>
      <w:r>
        <w:rPr>
          <w:rFonts w:ascii="Arial" w:cs="Arial" w:eastAsia="Arial" w:hAnsi="Arial"/>
          <w:sz w:val="19"/>
          <w:szCs w:val="19"/>
          <w:color w:val="auto"/>
        </w:rPr>
        <w:t>if such Incremental Facility and/or Incremental Equivalent Debt constitutes Junior Lien Debt, the Secured Net Leverage Ratio does not exceed 4.10:1.00; or</w:t>
      </w:r>
    </w:p>
    <w:p>
      <w:pPr>
        <w:spacing w:after="0" w:line="186" w:lineRule="exact"/>
        <w:rPr>
          <w:rFonts w:ascii="Arial" w:cs="Arial" w:eastAsia="Arial" w:hAnsi="Arial"/>
          <w:sz w:val="19"/>
          <w:szCs w:val="19"/>
          <w:color w:val="auto"/>
        </w:rPr>
      </w:pPr>
    </w:p>
    <w:p>
      <w:pPr>
        <w:ind w:left="1600" w:right="220" w:firstLine="741"/>
        <w:spacing w:after="0" w:line="261" w:lineRule="auto"/>
        <w:tabs>
          <w:tab w:leader="none" w:pos="3008" w:val="left"/>
        </w:tabs>
        <w:numPr>
          <w:ilvl w:val="0"/>
          <w:numId w:val="74"/>
        </w:numPr>
        <w:rPr>
          <w:rFonts w:ascii="Arial" w:cs="Arial" w:eastAsia="Arial" w:hAnsi="Arial"/>
          <w:sz w:val="19"/>
          <w:szCs w:val="19"/>
          <w:color w:val="auto"/>
        </w:rPr>
      </w:pPr>
      <w:r>
        <w:rPr>
          <w:rFonts w:ascii="Arial" w:cs="Arial" w:eastAsia="Arial" w:hAnsi="Arial"/>
          <w:sz w:val="19"/>
          <w:szCs w:val="19"/>
          <w:color w:val="auto"/>
        </w:rPr>
        <w:t>if such Incremental Facility and/or Incremental Equivalent Debt is unsecured, the Total Net Leverage Ratio does not exceed 4.35:1.00;</w:t>
      </w:r>
    </w:p>
    <w:p>
      <w:pPr>
        <w:spacing w:after="0" w:line="173" w:lineRule="exact"/>
        <w:rPr>
          <w:sz w:val="20"/>
          <w:szCs w:val="20"/>
          <w:color w:val="auto"/>
        </w:rPr>
      </w:pPr>
    </w:p>
    <w:p>
      <w:pPr>
        <w:jc w:val="both"/>
        <w:ind w:left="1600" w:right="60"/>
        <w:spacing w:after="0" w:line="257" w:lineRule="auto"/>
        <w:rPr>
          <w:sz w:val="20"/>
          <w:szCs w:val="20"/>
          <w:color w:val="auto"/>
        </w:rPr>
      </w:pPr>
      <w:r>
        <w:rPr>
          <w:rFonts w:ascii="Arial" w:cs="Arial" w:eastAsia="Arial" w:hAnsi="Arial"/>
          <w:sz w:val="17"/>
          <w:szCs w:val="17"/>
          <w:color w:val="auto"/>
        </w:rPr>
        <w:t xml:space="preserve">in each case described in this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calculated on a Pro Forma Basis, including the application of the proceeds thereof (in the case of each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without “netting” the cash proceeds of the applicable Incremental Facility or Incremental Equivalent Debt on the consolidated balance sheet of the Borrower), and in the case of any Incremental Facility or Incremental Equivalent Debt consisting of a revolving facility or a delayed draw term loan facility then being incurred or established, assuming a full drawing of such revolving facility or such delayed draw term loan facility on the date of the implementation thereof (this </w:t>
      </w:r>
      <w:r>
        <w:rPr>
          <w:rFonts w:ascii="Arial" w:cs="Arial" w:eastAsia="Arial" w:hAnsi="Arial"/>
          <w:sz w:val="17"/>
          <w:szCs w:val="17"/>
          <w:u w:val="single" w:color="auto"/>
          <w:color w:val="auto"/>
        </w:rPr>
        <w:t>clause</w:t>
      </w:r>
    </w:p>
    <w:p>
      <w:pPr>
        <w:spacing w:after="0" w:line="2" w:lineRule="exact"/>
        <w:rPr>
          <w:sz w:val="20"/>
          <w:szCs w:val="20"/>
          <w:color w:val="auto"/>
        </w:rPr>
      </w:pPr>
    </w:p>
    <w:p>
      <w:pPr>
        <w:ind w:left="1600"/>
        <w:spacing w:after="0"/>
        <w:rPr>
          <w:sz w:val="20"/>
          <w:szCs w:val="20"/>
          <w:color w:val="auto"/>
        </w:rPr>
      </w:pPr>
      <w:r>
        <w:rPr>
          <w:rFonts w:ascii="Arial" w:cs="Arial" w:eastAsia="Arial" w:hAnsi="Arial"/>
          <w:sz w:val="19"/>
          <w:szCs w:val="19"/>
          <w:u w:val="single" w:color="auto"/>
          <w:color w:val="auto"/>
        </w:rPr>
        <w:t>(e)</w:t>
      </w:r>
      <w:r>
        <w:rPr>
          <w:rFonts w:ascii="Arial" w:cs="Arial" w:eastAsia="Arial" w:hAnsi="Arial"/>
          <w:sz w:val="19"/>
          <w:szCs w:val="19"/>
          <w:color w:val="auto"/>
        </w:rPr>
        <w:t>, the “</w:t>
      </w:r>
      <w:r>
        <w:rPr>
          <w:rFonts w:ascii="Arial" w:cs="Arial" w:eastAsia="Arial" w:hAnsi="Arial"/>
          <w:sz w:val="19"/>
          <w:szCs w:val="19"/>
          <w:u w:val="single" w:color="auto"/>
          <w:color w:val="auto"/>
        </w:rPr>
        <w:t>Incremental Incurrence-Based Component</w:t>
      </w:r>
      <w:r>
        <w:rPr>
          <w:rFonts w:ascii="Arial" w:cs="Arial" w:eastAsia="Arial" w:hAnsi="Arial"/>
          <w:sz w:val="19"/>
          <w:szCs w:val="19"/>
          <w:color w:val="auto"/>
        </w:rPr>
        <w:t>”);</w:t>
      </w:r>
    </w:p>
    <w:p>
      <w:pPr>
        <w:spacing w:after="0" w:line="184"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Incremental Facility and/or Incremental Equivalent Debt may be incurred under one or more of </w:t>
      </w:r>
      <w:r>
        <w:rPr>
          <w:rFonts w:ascii="Arial" w:cs="Arial" w:eastAsia="Arial" w:hAnsi="Arial"/>
          <w:sz w:val="17"/>
          <w:szCs w:val="17"/>
          <w:u w:val="single" w:color="auto"/>
          <w:color w:val="auto"/>
        </w:rPr>
        <w:t>clauses</w:t>
      </w:r>
    </w:p>
    <w:p>
      <w:pPr>
        <w:spacing w:after="0" w:line="23" w:lineRule="exact"/>
        <w:rPr>
          <w:sz w:val="20"/>
          <w:szCs w:val="20"/>
          <w:color w:val="auto"/>
        </w:rPr>
      </w:pPr>
    </w:p>
    <w:p>
      <w:pPr>
        <w:jc w:val="both"/>
        <w:ind w:left="100" w:right="60" w:hanging="7"/>
        <w:spacing w:after="0" w:line="232" w:lineRule="auto"/>
        <w:tabs>
          <w:tab w:leader="none" w:pos="384" w:val="left"/>
        </w:tabs>
        <w:numPr>
          <w:ilvl w:val="0"/>
          <w:numId w:val="75"/>
        </w:numPr>
        <w:rPr>
          <w:rFonts w:ascii="Arial" w:cs="Arial" w:eastAsia="Arial" w:hAnsi="Arial"/>
          <w:sz w:val="19"/>
          <w:szCs w:val="19"/>
          <w:u w:val="single" w:color="auto"/>
          <w:color w:val="auto"/>
        </w:rPr>
      </w:pPr>
      <w:r>
        <w:rPr>
          <w:rFonts w:ascii="Arial" w:cs="Arial" w:eastAsia="Arial" w:hAnsi="Arial"/>
          <w:sz w:val="19"/>
          <w:szCs w:val="19"/>
          <w:color w:val="auto"/>
        </w:rPr>
        <w:t xml:space="preserve">through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of this definition as selected by the Borrower in its sole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the Borrower elects otherwise, any such Incremental Facility and/or Incremental Equivalent Debt will be deemed to have been incurred (I)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under the Incremental Incurrence-Based Component, to the maximum extent permitted thereunder and (II) </w:t>
      </w:r>
      <w:r>
        <w:rPr>
          <w:rFonts w:ascii="Arial" w:cs="Arial" w:eastAsia="Arial" w:hAnsi="Arial"/>
          <w:sz w:val="19"/>
          <w:szCs w:val="19"/>
          <w:u w:val="single" w:color="auto"/>
          <w:color w:val="auto"/>
        </w:rPr>
        <w:t>second</w:t>
      </w:r>
      <w:r>
        <w:rPr>
          <w:rFonts w:ascii="Arial" w:cs="Arial" w:eastAsia="Arial" w:hAnsi="Arial"/>
          <w:sz w:val="19"/>
          <w:szCs w:val="19"/>
          <w:color w:val="auto"/>
        </w:rPr>
        <w:t>, under the Incremental Prepayment Amount, to the maximum extent permitted thereunder.</w:t>
      </w:r>
    </w:p>
    <w:p>
      <w:pPr>
        <w:spacing w:after="0" w:line="179" w:lineRule="exact"/>
        <w:rPr>
          <w:sz w:val="20"/>
          <w:szCs w:val="20"/>
          <w:color w:val="auto"/>
        </w:rPr>
      </w:pPr>
    </w:p>
    <w:p>
      <w:pPr>
        <w:jc w:val="both"/>
        <w:ind w:left="100" w:right="100" w:firstLine="74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Commitment</w:t>
      </w:r>
      <w:r>
        <w:rPr>
          <w:rFonts w:ascii="Arial" w:cs="Arial" w:eastAsia="Arial" w:hAnsi="Arial"/>
          <w:sz w:val="19"/>
          <w:szCs w:val="19"/>
          <w:color w:val="auto"/>
        </w:rPr>
        <w:t>” means any commitment made by a lender to provide all or any portion of any Incremental Facility or Incremental Loan.</w:t>
      </w:r>
    </w:p>
    <w:p>
      <w:pPr>
        <w:spacing w:after="0" w:line="159" w:lineRule="exact"/>
        <w:rPr>
          <w:sz w:val="20"/>
          <w:szCs w:val="20"/>
          <w:color w:val="auto"/>
        </w:rPr>
      </w:pPr>
    </w:p>
    <w:p>
      <w:pPr>
        <w:jc w:val="both"/>
        <w:ind w:left="100" w:right="80" w:firstLine="74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Equivalent Debt</w:t>
      </w:r>
      <w:r>
        <w:rPr>
          <w:rFonts w:ascii="Arial" w:cs="Arial" w:eastAsia="Arial" w:hAnsi="Arial"/>
          <w:sz w:val="19"/>
          <w:szCs w:val="19"/>
          <w:color w:val="auto"/>
        </w:rPr>
        <w:t xml:space="preserve">” means Indebtedness in the form of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senior secured or unsecured notes or loans and/or junior secured or unsecured notes or loans and/or, in each case commitments in respect of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that:</w:t>
      </w:r>
    </w:p>
    <w:p>
      <w:pPr>
        <w:spacing w:after="0" w:line="179" w:lineRule="exact"/>
        <w:rPr>
          <w:sz w:val="20"/>
          <w:szCs w:val="20"/>
          <w:color w:val="auto"/>
        </w:rPr>
      </w:pPr>
    </w:p>
    <w:p>
      <w:pPr>
        <w:jc w:val="both"/>
        <w:ind w:left="840" w:right="40" w:firstLine="751"/>
        <w:spacing w:after="0" w:line="276" w:lineRule="auto"/>
        <w:tabs>
          <w:tab w:leader="none" w:pos="2210"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the aggregate outstanding principal amount (or committed amount, if applicable under </w:t>
      </w:r>
      <w:r>
        <w:rPr>
          <w:rFonts w:ascii="Arial" w:cs="Arial" w:eastAsia="Arial" w:hAnsi="Arial"/>
          <w:sz w:val="17"/>
          <w:szCs w:val="17"/>
          <w:u w:val="single" w:color="auto"/>
          <w:color w:val="auto"/>
        </w:rPr>
        <w:t>Section 1.12</w:t>
      </w:r>
      <w:r>
        <w:rPr>
          <w:rFonts w:ascii="Arial" w:cs="Arial" w:eastAsia="Arial" w:hAnsi="Arial"/>
          <w:sz w:val="17"/>
          <w:szCs w:val="17"/>
          <w:color w:val="auto"/>
        </w:rPr>
        <w:t>) thereof shall not exceed the sum of (i) Incremental Cap (as in effect at the time of determination, including giving effect to any reclassification on or prior to such date of determination) and (ii) at the election of the Borrower, any additional amount of Indebtedness otherwise permitted to be incurred under this Agreement (and if such additional Indebtedness that is reallocated to Incremental Equivalent Debt is secured, the relevant Liens securing such additional Indebtedness are Permitted Liens other than by virtue of such additional Indebtedness being incurred as Incremental Equivalent Debt);</w:t>
      </w:r>
    </w:p>
    <w:p>
      <w:pPr>
        <w:spacing w:after="0" w:line="163" w:lineRule="exact"/>
        <w:rPr>
          <w:rFonts w:ascii="Arial" w:cs="Arial" w:eastAsia="Arial" w:hAnsi="Arial"/>
          <w:sz w:val="17"/>
          <w:szCs w:val="17"/>
          <w:color w:val="auto"/>
        </w:rPr>
      </w:pPr>
    </w:p>
    <w:p>
      <w:pPr>
        <w:jc w:val="both"/>
        <w:ind w:left="840" w:right="60" w:firstLine="751"/>
        <w:spacing w:after="0" w:line="256" w:lineRule="auto"/>
        <w:tabs>
          <w:tab w:leader="none" w:pos="2209"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Weighted Average Life to Maturity applicable to such notes or loans (other than Customary Bridge Loans and/or revolving Indebtedness) is no shorter than the Weighted Average Life to Maturity of the then existing Term Loans;</w:t>
      </w:r>
    </w:p>
    <w:p>
      <w:pPr>
        <w:spacing w:after="0" w:line="178" w:lineRule="exact"/>
        <w:rPr>
          <w:rFonts w:ascii="Arial" w:cs="Arial" w:eastAsia="Arial" w:hAnsi="Arial"/>
          <w:sz w:val="19"/>
          <w:szCs w:val="19"/>
          <w:color w:val="auto"/>
        </w:rPr>
      </w:pPr>
    </w:p>
    <w:p>
      <w:pPr>
        <w:jc w:val="both"/>
        <w:ind w:left="840" w:right="60" w:firstLine="751"/>
        <w:spacing w:after="0" w:line="249" w:lineRule="auto"/>
        <w:tabs>
          <w:tab w:leader="none" w:pos="2209"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final maturity date with respect to such notes or loans (other than Customary Bridge Loans and/or revolving Indebtedness) is no earlier than the Latest Term Loan Maturity Date on the date of the issuance or incurrence, as applicable, thereof;</w:t>
      </w:r>
    </w:p>
    <w:p>
      <w:pPr>
        <w:spacing w:after="0" w:line="183" w:lineRule="exact"/>
        <w:rPr>
          <w:rFonts w:ascii="Arial" w:cs="Arial" w:eastAsia="Arial" w:hAnsi="Arial"/>
          <w:sz w:val="19"/>
          <w:szCs w:val="19"/>
          <w:color w:val="auto"/>
        </w:rPr>
      </w:pPr>
    </w:p>
    <w:p>
      <w:pPr>
        <w:ind w:left="840" w:firstLine="751"/>
        <w:spacing w:after="0" w:line="261" w:lineRule="auto"/>
        <w:tabs>
          <w:tab w:leader="none" w:pos="2212"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such Indebtedness may otherwise have an amortization schedule as determined by the Borrower and the lenders providing such Incremental Equivalent Debt;</w:t>
      </w:r>
    </w:p>
    <w:p>
      <w:pPr>
        <w:spacing w:after="0" w:line="172" w:lineRule="exact"/>
        <w:rPr>
          <w:rFonts w:ascii="Arial" w:cs="Arial" w:eastAsia="Arial" w:hAnsi="Arial"/>
          <w:sz w:val="19"/>
          <w:szCs w:val="19"/>
          <w:color w:val="auto"/>
        </w:rPr>
      </w:pPr>
    </w:p>
    <w:p>
      <w:pPr>
        <w:ind w:left="840" w:right="60" w:firstLine="752"/>
        <w:spacing w:after="0" w:line="261" w:lineRule="auto"/>
        <w:tabs>
          <w:tab w:leader="none" w:pos="2209"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currency, pricing (including any “MFN” or other pricing terms), interest rate margins, rate floors, fees, premiums (including prepayment premiums), funding discounts and the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37</w:t>
      </w:r>
      <w:r>
        <w:rPr>
          <w:rFonts w:ascii="Arial" w:cs="Arial" w:eastAsia="Arial" w:hAnsi="Arial"/>
          <w:sz w:val="18"/>
          <w:szCs w:val="18"/>
          <w:u w:val="single" w:color="auto"/>
          <w:color w:val="0000FF"/>
          <w:strike w:val="1"/>
        </w:rPr>
        <w:t>37</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85" w:right="1439" w:bottom="1440" w:gutter="0" w:footer="0" w:header="0"/>
        </w:sectPr>
      </w:pPr>
    </w:p>
    <w:bookmarkStart w:id="105" w:name="page106"/>
    <w:bookmarkEnd w:id="105"/>
    <w:p>
      <w:pPr>
        <w:ind w:left="840" w:right="219"/>
        <w:spacing w:after="0" w:line="261" w:lineRule="auto"/>
        <w:rPr>
          <w:sz w:val="20"/>
          <w:szCs w:val="20"/>
          <w:color w:val="auto"/>
        </w:rPr>
      </w:pPr>
      <w:r>
        <w:rPr>
          <w:rFonts w:ascii="Arial" w:cs="Arial" w:eastAsia="Arial" w:hAnsi="Arial"/>
          <w:sz w:val="19"/>
          <w:szCs w:val="19"/>
          <w:color w:val="auto"/>
        </w:rPr>
        <w:t>maturity and amortization schedule applicable to any Incremental Equivalent Debt shall be determined by the Borrower and the lender or lenders providing such Incremental Equivalent Debt;</w:t>
      </w:r>
    </w:p>
    <w:p>
      <w:pPr>
        <w:spacing w:after="0" w:line="159" w:lineRule="exact"/>
        <w:rPr>
          <w:sz w:val="20"/>
          <w:szCs w:val="20"/>
          <w:color w:val="auto"/>
        </w:rPr>
      </w:pPr>
    </w:p>
    <w:p>
      <w:pPr>
        <w:ind w:left="840" w:right="59" w:firstLine="751"/>
        <w:spacing w:after="0" w:line="261" w:lineRule="auto"/>
        <w:tabs>
          <w:tab w:leader="none" w:pos="2209" w:val="left"/>
        </w:tabs>
        <w:numPr>
          <w:ilvl w:val="0"/>
          <w:numId w:val="77"/>
        </w:numPr>
        <w:rPr>
          <w:rFonts w:ascii="Arial" w:cs="Arial" w:eastAsia="Arial" w:hAnsi="Arial"/>
          <w:sz w:val="19"/>
          <w:szCs w:val="19"/>
          <w:color w:val="auto"/>
        </w:rPr>
      </w:pPr>
      <w:r>
        <w:rPr>
          <w:rFonts w:ascii="Arial" w:cs="Arial" w:eastAsia="Arial" w:hAnsi="Arial"/>
          <w:sz w:val="19"/>
          <w:szCs w:val="19"/>
          <w:color w:val="auto"/>
        </w:rPr>
        <w:t>such Incremental Equivalent Debt will be documented pursuant to separate documentation from the credit agreement governing the Credit Facilities;</w:t>
      </w:r>
    </w:p>
    <w:p>
      <w:pPr>
        <w:spacing w:after="0" w:line="172" w:lineRule="exact"/>
        <w:rPr>
          <w:rFonts w:ascii="Arial" w:cs="Arial" w:eastAsia="Arial" w:hAnsi="Arial"/>
          <w:sz w:val="19"/>
          <w:szCs w:val="19"/>
          <w:color w:val="auto"/>
        </w:rPr>
      </w:pPr>
    </w:p>
    <w:p>
      <w:pPr>
        <w:jc w:val="both"/>
        <w:ind w:left="840" w:right="59" w:firstLine="751"/>
        <w:spacing w:after="0" w:line="263" w:lineRule="auto"/>
        <w:tabs>
          <w:tab w:leader="none" w:pos="2209"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if such Indebtedness is (i)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Secured Obligations that constitute First Lien Debt, (ii) secured by the Collateral on a junior basis as compared to the Secured Obligations that constitute First Lien Debt or (iii) subordinated to the Obligations in right of payment, then the holders of such Indebtedness (or a representative thereof) shall be party to an Intercreditor Agreement; and</w:t>
      </w:r>
    </w:p>
    <w:p>
      <w:pPr>
        <w:spacing w:after="0" w:line="172" w:lineRule="exact"/>
        <w:rPr>
          <w:rFonts w:ascii="Arial" w:cs="Arial" w:eastAsia="Arial" w:hAnsi="Arial"/>
          <w:sz w:val="18"/>
          <w:szCs w:val="18"/>
          <w:color w:val="auto"/>
        </w:rPr>
      </w:pPr>
    </w:p>
    <w:p>
      <w:pPr>
        <w:jc w:val="both"/>
        <w:ind w:left="840" w:right="59" w:firstLine="751"/>
        <w:spacing w:after="0" w:line="259" w:lineRule="auto"/>
        <w:tabs>
          <w:tab w:leader="none" w:pos="2209"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 such Indebtedness may be (A) issued or guaranteed by any subsidiary of the Borrower which is not a Loan Party (it being understood and agreed that the obligations of any Person with respect to any Escrow arrangement into which the proceeds of such Indebtedness are deposited shall not constitute a guarantee by any subsidiary that is not a Loan Party) or (B) secured by any asset that does not constitute Collateral; it being understood that any such Indebtedness that is funded into Escrow pursuant to customary (in the good faith determination of the Borrower) escrow arrangements may be secured by the applicable funds and related assets held in Escrow (and the proceeds thereof) until the date on which such funds are released from Escrow.</w:t>
      </w:r>
    </w:p>
    <w:p>
      <w:pPr>
        <w:spacing w:after="0" w:line="178"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Facilities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2.22(a)</w:t>
      </w:r>
      <w:r>
        <w:rPr>
          <w:rFonts w:ascii="Arial" w:cs="Arial" w:eastAsia="Arial" w:hAnsi="Arial"/>
          <w:sz w:val="19"/>
          <w:szCs w:val="19"/>
          <w:color w:val="auto"/>
        </w:rPr>
        <w:t>.</w:t>
      </w:r>
    </w:p>
    <w:p>
      <w:pPr>
        <w:spacing w:after="0" w:line="200"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Facility Amendment</w:t>
      </w:r>
      <w:r>
        <w:rPr>
          <w:rFonts w:ascii="Arial" w:cs="Arial" w:eastAsia="Arial" w:hAnsi="Arial"/>
          <w:sz w:val="19"/>
          <w:szCs w:val="19"/>
          <w:color w:val="auto"/>
        </w:rPr>
        <w:t xml:space="preserve">” means an amendment to this Agreement that is reasonably satisfactory to the Administrative Agent (solely for purposes of giving effect to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and the Borrower executed by each of (a) Holdings and the Borrower, (b) the Administrative Agent and (c) each Lender that agrees to provide all or any portion of the Incremental Facility being incurred pursuant thereto and in accordance with </w:t>
      </w:r>
      <w:r>
        <w:rPr>
          <w:rFonts w:ascii="Arial" w:cs="Arial" w:eastAsia="Arial" w:hAnsi="Arial"/>
          <w:sz w:val="19"/>
          <w:szCs w:val="19"/>
          <w:u w:val="single" w:color="auto"/>
          <w:color w:val="auto"/>
        </w:rPr>
        <w:t>Section 2.22</w:t>
      </w:r>
      <w:r>
        <w:rPr>
          <w:rFonts w:ascii="Arial" w:cs="Arial" w:eastAsia="Arial" w:hAnsi="Arial"/>
          <w:sz w:val="19"/>
          <w:szCs w:val="19"/>
          <w:color w:val="auto"/>
        </w:rPr>
        <w:t>.</w:t>
      </w:r>
    </w:p>
    <w:p>
      <w:pPr>
        <w:spacing w:after="0" w:line="19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Incurrence-Based Component</w:t>
      </w:r>
      <w:r>
        <w:rPr>
          <w:rFonts w:ascii="Arial" w:cs="Arial" w:eastAsia="Arial" w:hAnsi="Arial"/>
          <w:sz w:val="18"/>
          <w:szCs w:val="18"/>
          <w:color w:val="auto"/>
        </w:rPr>
        <w:t>” has the meaning assigned to such term in the definition of “Incremental</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9"/>
          <w:szCs w:val="19"/>
          <w:color w:val="auto"/>
        </w:rPr>
        <w:t>Cap”.</w:t>
      </w:r>
    </w:p>
    <w:p>
      <w:pPr>
        <w:spacing w:after="0" w:line="279"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Lender</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2.22(b)</w:t>
      </w:r>
      <w:r>
        <w:rPr>
          <w:rFonts w:ascii="Arial" w:cs="Arial" w:eastAsia="Arial" w:hAnsi="Arial"/>
          <w:sz w:val="19"/>
          <w:szCs w:val="19"/>
          <w:color w:val="auto"/>
        </w:rPr>
        <w:t>. “</w:t>
      </w:r>
      <w:r>
        <w:rPr>
          <w:rFonts w:ascii="Arial" w:cs="Arial" w:eastAsia="Arial" w:hAnsi="Arial"/>
          <w:sz w:val="19"/>
          <w:szCs w:val="19"/>
          <w:u w:val="single" w:color="auto"/>
          <w:color w:val="auto"/>
        </w:rPr>
        <w:t>Incremental Loans</w:t>
      </w:r>
      <w:r>
        <w:rPr>
          <w:rFonts w:ascii="Arial" w:cs="Arial" w:eastAsia="Arial" w:hAnsi="Arial"/>
          <w:sz w:val="19"/>
          <w:szCs w:val="19"/>
          <w:color w:val="auto"/>
        </w:rPr>
        <w:t>” has</w:t>
      </w:r>
    </w:p>
    <w:p>
      <w:pPr>
        <w:spacing w:after="0" w:line="200"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the meaning assigned to such term in </w:t>
      </w:r>
      <w:r>
        <w:rPr>
          <w:rFonts w:ascii="Arial" w:cs="Arial" w:eastAsia="Arial" w:hAnsi="Arial"/>
          <w:sz w:val="19"/>
          <w:szCs w:val="19"/>
          <w:u w:val="single" w:color="auto"/>
          <w:color w:val="auto"/>
        </w:rPr>
        <w:t>Section 2.22(a)</w:t>
      </w:r>
      <w:r>
        <w:rPr>
          <w:rFonts w:ascii="Arial" w:cs="Arial" w:eastAsia="Arial" w:hAnsi="Arial"/>
          <w:sz w:val="19"/>
          <w:szCs w:val="19"/>
          <w:color w:val="auto"/>
        </w:rPr>
        <w:t>.</w:t>
      </w:r>
    </w:p>
    <w:p>
      <w:pPr>
        <w:spacing w:after="0" w:line="9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Prepayment Amount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of the definition of “Incremental</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9"/>
          <w:szCs w:val="19"/>
          <w:color w:val="auto"/>
        </w:rPr>
        <w:t>Cap.”</w:t>
      </w:r>
    </w:p>
    <w:p>
      <w:pPr>
        <w:spacing w:after="0" w:line="9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Facility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2.22(a)</w:t>
      </w:r>
      <w:r>
        <w:rPr>
          <w:rFonts w:ascii="Arial" w:cs="Arial" w:eastAsia="Arial" w:hAnsi="Arial"/>
          <w:sz w:val="18"/>
          <w:szCs w:val="18"/>
          <w:color w:val="auto"/>
        </w:rPr>
        <w:t>. “</w:t>
      </w:r>
      <w:r>
        <w:rPr>
          <w:rFonts w:ascii="Arial" w:cs="Arial" w:eastAsia="Arial" w:hAnsi="Arial"/>
          <w:sz w:val="18"/>
          <w:szCs w:val="18"/>
          <w:u w:val="single" w:color="auto"/>
          <w:color w:val="auto"/>
        </w:rPr>
        <w:t>Incremental Revolving</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9"/>
          <w:szCs w:val="19"/>
          <w:u w:val="single" w:color="auto"/>
          <w:color w:val="auto"/>
        </w:rPr>
        <w:t>Facility Lender</w:t>
      </w:r>
      <w:r>
        <w:rPr>
          <w:rFonts w:ascii="Arial" w:cs="Arial" w:eastAsia="Arial" w:hAnsi="Arial"/>
          <w:sz w:val="19"/>
          <w:szCs w:val="19"/>
          <w:color w:val="auto"/>
        </w:rPr>
        <w:t>” means, with respect to any Incremental Revolving Facility,</w:t>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19"/>
          <w:szCs w:val="19"/>
          <w:color w:val="auto"/>
        </w:rPr>
        <w:t>each Revolving Lender providing any portion of such Incremental Revolving Facility. “</w:t>
      </w:r>
      <w:r>
        <w:rPr>
          <w:rFonts w:ascii="Arial" w:cs="Arial" w:eastAsia="Arial" w:hAnsi="Arial"/>
          <w:sz w:val="19"/>
          <w:szCs w:val="19"/>
          <w:u w:val="single" w:color="auto"/>
          <w:color w:val="auto"/>
        </w:rPr>
        <w:t>Incremental Revolving</w:t>
      </w:r>
    </w:p>
    <w:p>
      <w:pPr>
        <w:spacing w:after="0" w:line="187" w:lineRule="exact"/>
        <w:rPr>
          <w:sz w:val="20"/>
          <w:szCs w:val="20"/>
          <w:color w:val="auto"/>
        </w:rPr>
      </w:pPr>
    </w:p>
    <w:p>
      <w:pPr>
        <w:ind w:left="840"/>
        <w:spacing w:after="0"/>
        <w:rPr>
          <w:sz w:val="20"/>
          <w:szCs w:val="20"/>
          <w:color w:val="auto"/>
        </w:rPr>
      </w:pPr>
      <w:r>
        <w:rPr>
          <w:rFonts w:ascii="Arial" w:cs="Arial" w:eastAsia="Arial" w:hAnsi="Arial"/>
          <w:sz w:val="19"/>
          <w:szCs w:val="19"/>
          <w:u w:val="single" w:color="auto"/>
          <w:color w:val="auto"/>
        </w:rPr>
        <w:t>Loans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2.22(a)</w:t>
      </w:r>
      <w:r>
        <w:rPr>
          <w:rFonts w:ascii="Arial" w:cs="Arial" w:eastAsia="Arial" w:hAnsi="Arial"/>
          <w:sz w:val="19"/>
          <w:szCs w:val="19"/>
          <w:color w:val="auto"/>
        </w:rPr>
        <w:t>. “</w:t>
      </w:r>
      <w:r>
        <w:rPr>
          <w:rFonts w:ascii="Arial" w:cs="Arial" w:eastAsia="Arial" w:hAnsi="Arial"/>
          <w:sz w:val="19"/>
          <w:szCs w:val="19"/>
          <w:u w:val="single" w:color="auto"/>
          <w:color w:val="auto"/>
        </w:rPr>
        <w:t>Incremental Term Facility</w:t>
      </w:r>
      <w:r>
        <w:rPr>
          <w:rFonts w:ascii="Arial" w:cs="Arial" w:eastAsia="Arial" w:hAnsi="Arial"/>
          <w:sz w:val="19"/>
          <w:szCs w:val="19"/>
          <w:color w:val="auto"/>
        </w:rPr>
        <w:t>” has the</w:t>
      </w:r>
    </w:p>
    <w:p>
      <w:pPr>
        <w:spacing w:after="0" w:line="200"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meaning assigned to such term in </w:t>
      </w:r>
      <w:r>
        <w:rPr>
          <w:rFonts w:ascii="Arial" w:cs="Arial" w:eastAsia="Arial" w:hAnsi="Arial"/>
          <w:sz w:val="19"/>
          <w:szCs w:val="19"/>
          <w:u w:val="single" w:color="auto"/>
          <w:color w:val="auto"/>
        </w:rPr>
        <w:t>Section 2.22(a)</w:t>
      </w:r>
      <w:r>
        <w:rPr>
          <w:rFonts w:ascii="Arial" w:cs="Arial" w:eastAsia="Arial" w:hAnsi="Arial"/>
          <w:sz w:val="19"/>
          <w:szCs w:val="19"/>
          <w:color w:val="auto"/>
        </w:rPr>
        <w:t>. “</w:t>
      </w:r>
      <w:r>
        <w:rPr>
          <w:rFonts w:ascii="Arial" w:cs="Arial" w:eastAsia="Arial" w:hAnsi="Arial"/>
          <w:sz w:val="19"/>
          <w:szCs w:val="19"/>
          <w:u w:val="single" w:color="auto"/>
          <w:color w:val="auto"/>
        </w:rPr>
        <w:t>Incremental Term Loan</w:t>
      </w:r>
      <w:r>
        <w:rPr>
          <w:rFonts w:ascii="Arial" w:cs="Arial" w:eastAsia="Arial" w:hAnsi="Arial"/>
          <w:sz w:val="19"/>
          <w:szCs w:val="19"/>
          <w:color w:val="auto"/>
        </w:rPr>
        <w:t>” has the meaning assigned to</w:t>
      </w:r>
    </w:p>
    <w:p>
      <w:pPr>
        <w:spacing w:after="0" w:line="187"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such term in </w:t>
      </w:r>
      <w:r>
        <w:rPr>
          <w:rFonts w:ascii="Arial" w:cs="Arial" w:eastAsia="Arial" w:hAnsi="Arial"/>
          <w:sz w:val="19"/>
          <w:szCs w:val="19"/>
          <w:u w:val="single" w:color="auto"/>
          <w:color w:val="auto"/>
        </w:rPr>
        <w:t>Section 2.22(a)</w:t>
      </w:r>
      <w:r>
        <w:rPr>
          <w:rFonts w:ascii="Arial" w:cs="Arial" w:eastAsia="Arial" w:hAnsi="Arial"/>
          <w:sz w:val="19"/>
          <w:szCs w:val="19"/>
          <w:color w:val="auto"/>
        </w:rPr>
        <w:t>. “</w:t>
      </w:r>
      <w:r>
        <w:rPr>
          <w:rFonts w:ascii="Arial" w:cs="Arial" w:eastAsia="Arial" w:hAnsi="Arial"/>
          <w:sz w:val="19"/>
          <w:szCs w:val="19"/>
          <w:u w:val="single" w:color="auto"/>
          <w:color w:val="auto"/>
        </w:rPr>
        <w:t>Incurrence-Based Amount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w:t>
      </w:r>
    </w:p>
    <w:p>
      <w:pPr>
        <w:spacing w:after="0" w:line="200" w:lineRule="exact"/>
        <w:rPr>
          <w:sz w:val="20"/>
          <w:szCs w:val="20"/>
          <w:color w:val="auto"/>
        </w:rPr>
      </w:pPr>
    </w:p>
    <w:p>
      <w:pPr>
        <w:ind w:left="840"/>
        <w:spacing w:after="0"/>
        <w:rPr>
          <w:sz w:val="20"/>
          <w:szCs w:val="20"/>
          <w:color w:val="auto"/>
        </w:rPr>
      </w:pPr>
      <w:r>
        <w:rPr>
          <w:rFonts w:ascii="Arial" w:cs="Arial" w:eastAsia="Arial" w:hAnsi="Arial"/>
          <w:sz w:val="19"/>
          <w:szCs w:val="19"/>
          <w:u w:val="single" w:color="auto"/>
          <w:color w:val="auto"/>
        </w:rPr>
        <w:t>1.12(c)</w:t>
      </w:r>
      <w:r>
        <w:rPr>
          <w:rFonts w:ascii="Arial" w:cs="Arial" w:eastAsia="Arial" w:hAnsi="Arial"/>
          <w:sz w:val="19"/>
          <w:szCs w:val="19"/>
          <w:color w:val="auto"/>
        </w:rPr>
        <w: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38</w:t>
      </w:r>
      <w:r>
        <w:rPr>
          <w:rFonts w:ascii="Arial" w:cs="Arial" w:eastAsia="Arial" w:hAnsi="Arial"/>
          <w:sz w:val="18"/>
          <w:szCs w:val="18"/>
          <w:u w:val="single" w:color="auto"/>
          <w:color w:val="0000FF"/>
          <w:strike w:val="1"/>
        </w:rPr>
        <w:t>38</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06" w:name="page107"/>
    <w:bookmarkEnd w:id="106"/>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as applied to any Person means, without duplication:</w:t>
      </w:r>
    </w:p>
    <w:p>
      <w:pPr>
        <w:spacing w:after="0" w:line="214" w:lineRule="exact"/>
        <w:rPr>
          <w:sz w:val="20"/>
          <w:szCs w:val="20"/>
          <w:color w:val="auto"/>
        </w:rPr>
      </w:pPr>
    </w:p>
    <w:p>
      <w:pPr>
        <w:ind w:left="2340" w:hanging="748"/>
        <w:spacing w:after="0"/>
        <w:tabs>
          <w:tab w:leader="none" w:pos="2340" w:val="left"/>
        </w:tabs>
        <w:numPr>
          <w:ilvl w:val="1"/>
          <w:numId w:val="78"/>
        </w:numPr>
        <w:rPr>
          <w:rFonts w:ascii="Arial" w:cs="Arial" w:eastAsia="Arial" w:hAnsi="Arial"/>
          <w:sz w:val="19"/>
          <w:szCs w:val="19"/>
          <w:color w:val="auto"/>
        </w:rPr>
      </w:pPr>
      <w:r>
        <w:rPr>
          <w:rFonts w:ascii="Arial" w:cs="Arial" w:eastAsia="Arial" w:hAnsi="Arial"/>
          <w:sz w:val="19"/>
          <w:szCs w:val="19"/>
          <w:color w:val="auto"/>
        </w:rPr>
        <w:t>all indebtedness for borrowed money;</w:t>
      </w:r>
    </w:p>
    <w:p>
      <w:pPr>
        <w:spacing w:after="0" w:line="213" w:lineRule="exact"/>
        <w:rPr>
          <w:rFonts w:ascii="Arial" w:cs="Arial" w:eastAsia="Arial" w:hAnsi="Arial"/>
          <w:sz w:val="19"/>
          <w:szCs w:val="19"/>
          <w:color w:val="auto"/>
        </w:rPr>
      </w:pPr>
    </w:p>
    <w:p>
      <w:pPr>
        <w:ind w:left="840" w:right="59" w:firstLine="751"/>
        <w:spacing w:after="0" w:line="261" w:lineRule="auto"/>
        <w:tabs>
          <w:tab w:leader="none" w:pos="2209" w:val="left"/>
        </w:tabs>
        <w:numPr>
          <w:ilvl w:val="1"/>
          <w:numId w:val="78"/>
        </w:numPr>
        <w:rPr>
          <w:rFonts w:ascii="Arial" w:cs="Arial" w:eastAsia="Arial" w:hAnsi="Arial"/>
          <w:sz w:val="19"/>
          <w:szCs w:val="19"/>
          <w:color w:val="auto"/>
        </w:rPr>
      </w:pPr>
      <w:r>
        <w:rPr>
          <w:rFonts w:ascii="Arial" w:cs="Arial" w:eastAsia="Arial" w:hAnsi="Arial"/>
          <w:sz w:val="19"/>
          <w:szCs w:val="19"/>
          <w:color w:val="auto"/>
        </w:rPr>
        <w:t>that portion of obligations with respect to Capital Leases to the extent recorded as a liability on a balance sheet (excluding the footnotes thereto) of such Person prepared in accordance with GAAP;</w:t>
      </w:r>
    </w:p>
    <w:p>
      <w:pPr>
        <w:spacing w:after="0" w:line="172" w:lineRule="exact"/>
        <w:rPr>
          <w:rFonts w:ascii="Arial" w:cs="Arial" w:eastAsia="Arial" w:hAnsi="Arial"/>
          <w:sz w:val="19"/>
          <w:szCs w:val="19"/>
          <w:color w:val="auto"/>
        </w:rPr>
      </w:pPr>
    </w:p>
    <w:p>
      <w:pPr>
        <w:jc w:val="both"/>
        <w:ind w:left="840" w:right="59" w:firstLine="751"/>
        <w:spacing w:after="0" w:line="249" w:lineRule="auto"/>
        <w:tabs>
          <w:tab w:leader="none" w:pos="2209" w:val="left"/>
        </w:tabs>
        <w:numPr>
          <w:ilvl w:val="1"/>
          <w:numId w:val="78"/>
        </w:numPr>
        <w:rPr>
          <w:rFonts w:ascii="Arial" w:cs="Arial" w:eastAsia="Arial" w:hAnsi="Arial"/>
          <w:sz w:val="19"/>
          <w:szCs w:val="19"/>
          <w:color w:val="auto"/>
        </w:rPr>
      </w:pPr>
      <w:r>
        <w:rPr>
          <w:rFonts w:ascii="Arial" w:cs="Arial" w:eastAsia="Arial" w:hAnsi="Arial"/>
          <w:sz w:val="19"/>
          <w:szCs w:val="19"/>
          <w:color w:val="auto"/>
        </w:rPr>
        <w:t>all obligations of such Person evidenced by bonds, debentures, notes or similar instruments to the extent the same would appear as a liability on a balance sheet (excluding the footnotes thereto) of such Person prepared in accordance with GAAP;</w:t>
      </w:r>
    </w:p>
    <w:p>
      <w:pPr>
        <w:spacing w:after="0" w:line="183" w:lineRule="exact"/>
        <w:rPr>
          <w:rFonts w:ascii="Arial" w:cs="Arial" w:eastAsia="Arial" w:hAnsi="Arial"/>
          <w:sz w:val="19"/>
          <w:szCs w:val="19"/>
          <w:color w:val="auto"/>
        </w:rPr>
      </w:pPr>
    </w:p>
    <w:p>
      <w:pPr>
        <w:jc w:val="both"/>
        <w:ind w:left="840" w:right="39" w:firstLine="751"/>
        <w:spacing w:after="0" w:line="271" w:lineRule="auto"/>
        <w:tabs>
          <w:tab w:leader="none" w:pos="2210" w:val="left"/>
        </w:tabs>
        <w:numPr>
          <w:ilvl w:val="1"/>
          <w:numId w:val="78"/>
        </w:numPr>
        <w:rPr>
          <w:rFonts w:ascii="Arial" w:cs="Arial" w:eastAsia="Arial" w:hAnsi="Arial"/>
          <w:sz w:val="17"/>
          <w:szCs w:val="17"/>
          <w:color w:val="auto"/>
        </w:rPr>
      </w:pPr>
      <w:r>
        <w:rPr>
          <w:rFonts w:ascii="Arial" w:cs="Arial" w:eastAsia="Arial" w:hAnsi="Arial"/>
          <w:sz w:val="17"/>
          <w:szCs w:val="17"/>
          <w:color w:val="auto"/>
        </w:rPr>
        <w:t>any obligation of such Person owed for all or any part of the deferred purchase price of property or services (excluding (i) any earn-out obligation or purchase price adjustment until such obligation (A) becomes a liability on the statement of financial position or balance sheet (excluding the footnotes thereto) in accordance with GAAP and</w:t>
      </w:r>
    </w:p>
    <w:p>
      <w:pPr>
        <w:spacing w:after="0" w:line="1" w:lineRule="exact"/>
        <w:rPr>
          <w:rFonts w:ascii="Arial" w:cs="Arial" w:eastAsia="Arial" w:hAnsi="Arial"/>
          <w:sz w:val="17"/>
          <w:szCs w:val="17"/>
          <w:color w:val="auto"/>
        </w:rPr>
      </w:pPr>
    </w:p>
    <w:p>
      <w:pPr>
        <w:ind w:left="1140" w:hanging="297"/>
        <w:spacing w:after="0"/>
        <w:tabs>
          <w:tab w:leader="none" w:pos="11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has not been paid within 30 days after becoming due and payable, (ii) any such obligation incurred under ERISA, (iii)</w:t>
      </w:r>
    </w:p>
    <w:p>
      <w:pPr>
        <w:spacing w:after="0" w:line="29" w:lineRule="exact"/>
        <w:rPr>
          <w:sz w:val="20"/>
          <w:szCs w:val="20"/>
          <w:color w:val="auto"/>
        </w:rPr>
      </w:pPr>
    </w:p>
    <w:p>
      <w:pPr>
        <w:ind w:left="840" w:right="39"/>
        <w:spacing w:after="0"/>
        <w:rPr>
          <w:sz w:val="20"/>
          <w:szCs w:val="20"/>
          <w:color w:val="auto"/>
        </w:rPr>
      </w:pPr>
      <w:r>
        <w:rPr>
          <w:rFonts w:ascii="Arial" w:cs="Arial" w:eastAsia="Arial" w:hAnsi="Arial"/>
          <w:sz w:val="19"/>
          <w:szCs w:val="19"/>
          <w:color w:val="auto"/>
        </w:rPr>
        <w:t>accrued expenses and trade accounts payable in the ordinary course of business (including on an inter-company basis) and</w:t>
      </w:r>
    </w:p>
    <w:p>
      <w:pPr>
        <w:jc w:val="both"/>
        <w:ind w:left="840" w:right="59" w:firstLine="3"/>
        <w:spacing w:after="0"/>
        <w:tabs>
          <w:tab w:leader="none" w:pos="1556" w:val="left"/>
        </w:tabs>
        <w:numPr>
          <w:ilvl w:val="0"/>
          <w:numId w:val="80"/>
        </w:numPr>
        <w:rPr>
          <w:rFonts w:ascii="Arial" w:cs="Arial" w:eastAsia="Arial" w:hAnsi="Arial"/>
          <w:sz w:val="19"/>
          <w:szCs w:val="19"/>
          <w:color w:val="auto"/>
        </w:rPr>
      </w:pPr>
      <w:r>
        <w:rPr>
          <w:rFonts w:ascii="Arial" w:cs="Arial" w:eastAsia="Arial" w:hAnsi="Arial"/>
          <w:sz w:val="19"/>
          <w:szCs w:val="19"/>
          <w:color w:val="auto"/>
        </w:rPr>
        <w:t>liabilities associated with customer prepayments and deposits), which purchase price is (A) due more than six months from the date of the incurrence of the obligation in respect thereof or (B) evidenced by a note or similar written instrument);</w:t>
      </w:r>
    </w:p>
    <w:p>
      <w:pPr>
        <w:spacing w:after="0" w:line="192" w:lineRule="exact"/>
        <w:rPr>
          <w:rFonts w:ascii="Arial" w:cs="Arial" w:eastAsia="Arial" w:hAnsi="Arial"/>
          <w:sz w:val="19"/>
          <w:szCs w:val="19"/>
          <w:color w:val="auto"/>
        </w:rPr>
      </w:pPr>
    </w:p>
    <w:p>
      <w:pPr>
        <w:jc w:val="both"/>
        <w:ind w:left="840" w:right="59" w:firstLine="751"/>
        <w:spacing w:after="0" w:line="249" w:lineRule="auto"/>
        <w:tabs>
          <w:tab w:leader="none" w:pos="2209" w:val="left"/>
        </w:tabs>
        <w:numPr>
          <w:ilvl w:val="1"/>
          <w:numId w:val="80"/>
        </w:numPr>
        <w:rPr>
          <w:rFonts w:ascii="Arial" w:cs="Arial" w:eastAsia="Arial" w:hAnsi="Arial"/>
          <w:sz w:val="19"/>
          <w:szCs w:val="19"/>
          <w:color w:val="auto"/>
        </w:rPr>
      </w:pPr>
      <w:r>
        <w:rPr>
          <w:rFonts w:ascii="Arial" w:cs="Arial" w:eastAsia="Arial" w:hAnsi="Arial"/>
          <w:sz w:val="19"/>
          <w:szCs w:val="19"/>
          <w:color w:val="auto"/>
        </w:rPr>
        <w:t>any monetary obligation of any other Person secured by any Lien on any asset owned or held by such Person regardless of whether the Indebtedness secured thereby has been assumed by such Person or is non-recourse to the credit of such Person;</w:t>
      </w:r>
    </w:p>
    <w:p>
      <w:pPr>
        <w:spacing w:after="0" w:line="183" w:lineRule="exact"/>
        <w:rPr>
          <w:rFonts w:ascii="Arial" w:cs="Arial" w:eastAsia="Arial" w:hAnsi="Arial"/>
          <w:sz w:val="19"/>
          <w:szCs w:val="19"/>
          <w:color w:val="auto"/>
        </w:rPr>
      </w:pPr>
    </w:p>
    <w:p>
      <w:pPr>
        <w:ind w:left="840" w:right="59" w:firstLine="752"/>
        <w:spacing w:after="0" w:line="261" w:lineRule="auto"/>
        <w:tabs>
          <w:tab w:leader="none" w:pos="2209" w:val="left"/>
        </w:tabs>
        <w:numPr>
          <w:ilvl w:val="1"/>
          <w:numId w:val="80"/>
        </w:numPr>
        <w:rPr>
          <w:rFonts w:ascii="Arial" w:cs="Arial" w:eastAsia="Arial" w:hAnsi="Arial"/>
          <w:sz w:val="19"/>
          <w:szCs w:val="19"/>
          <w:color w:val="auto"/>
        </w:rPr>
      </w:pPr>
      <w:r>
        <w:rPr>
          <w:rFonts w:ascii="Arial" w:cs="Arial" w:eastAsia="Arial" w:hAnsi="Arial"/>
          <w:sz w:val="19"/>
          <w:szCs w:val="19"/>
          <w:color w:val="auto"/>
        </w:rPr>
        <w:t>the face amount of any letter of credit issued for the account of such Person or as to which such Person is otherwise liable for reimbursement of drawings;</w:t>
      </w:r>
    </w:p>
    <w:p>
      <w:pPr>
        <w:spacing w:after="0" w:line="172" w:lineRule="exact"/>
        <w:rPr>
          <w:rFonts w:ascii="Arial" w:cs="Arial" w:eastAsia="Arial" w:hAnsi="Arial"/>
          <w:sz w:val="19"/>
          <w:szCs w:val="19"/>
          <w:color w:val="auto"/>
        </w:rPr>
      </w:pPr>
    </w:p>
    <w:p>
      <w:pPr>
        <w:ind w:left="2340" w:hanging="748"/>
        <w:spacing w:after="0"/>
        <w:tabs>
          <w:tab w:leader="none" w:pos="2340" w:val="left"/>
        </w:tabs>
        <w:numPr>
          <w:ilvl w:val="1"/>
          <w:numId w:val="80"/>
        </w:numPr>
        <w:rPr>
          <w:rFonts w:ascii="Arial" w:cs="Arial" w:eastAsia="Arial" w:hAnsi="Arial"/>
          <w:sz w:val="19"/>
          <w:szCs w:val="19"/>
          <w:color w:val="auto"/>
        </w:rPr>
      </w:pPr>
      <w:r>
        <w:rPr>
          <w:rFonts w:ascii="Arial" w:cs="Arial" w:eastAsia="Arial" w:hAnsi="Arial"/>
          <w:sz w:val="19"/>
          <w:szCs w:val="19"/>
          <w:color w:val="auto"/>
        </w:rPr>
        <w:t>the Guarantee by such Person of the Indebtedness of another;</w:t>
      </w:r>
    </w:p>
    <w:p>
      <w:pPr>
        <w:spacing w:after="0" w:line="213" w:lineRule="exact"/>
        <w:rPr>
          <w:rFonts w:ascii="Arial" w:cs="Arial" w:eastAsia="Arial" w:hAnsi="Arial"/>
          <w:sz w:val="19"/>
          <w:szCs w:val="19"/>
          <w:color w:val="auto"/>
        </w:rPr>
      </w:pPr>
    </w:p>
    <w:p>
      <w:pPr>
        <w:ind w:left="2340" w:hanging="748"/>
        <w:spacing w:after="0"/>
        <w:tabs>
          <w:tab w:leader="none" w:pos="2340" w:val="left"/>
        </w:tabs>
        <w:numPr>
          <w:ilvl w:val="1"/>
          <w:numId w:val="80"/>
        </w:numPr>
        <w:rPr>
          <w:rFonts w:ascii="Arial" w:cs="Arial" w:eastAsia="Arial" w:hAnsi="Arial"/>
          <w:sz w:val="19"/>
          <w:szCs w:val="19"/>
          <w:color w:val="auto"/>
        </w:rPr>
      </w:pPr>
      <w:r>
        <w:rPr>
          <w:rFonts w:ascii="Arial" w:cs="Arial" w:eastAsia="Arial" w:hAnsi="Arial"/>
          <w:sz w:val="19"/>
          <w:szCs w:val="19"/>
          <w:color w:val="auto"/>
        </w:rPr>
        <w:t>all obligations of such Person in respect of any Disqualified Capital Stock; and</w:t>
      </w:r>
    </w:p>
    <w:p>
      <w:pPr>
        <w:spacing w:after="0" w:line="213" w:lineRule="exact"/>
        <w:rPr>
          <w:rFonts w:ascii="Arial" w:cs="Arial" w:eastAsia="Arial" w:hAnsi="Arial"/>
          <w:sz w:val="19"/>
          <w:szCs w:val="19"/>
          <w:color w:val="auto"/>
        </w:rPr>
      </w:pPr>
    </w:p>
    <w:p>
      <w:pPr>
        <w:ind w:left="840" w:right="19" w:firstLine="752"/>
        <w:spacing w:after="0" w:line="276" w:lineRule="auto"/>
        <w:tabs>
          <w:tab w:leader="none" w:pos="2212" w:val="left"/>
        </w:tabs>
        <w:numPr>
          <w:ilvl w:val="1"/>
          <w:numId w:val="80"/>
        </w:numPr>
        <w:rPr>
          <w:rFonts w:ascii="Arial" w:cs="Arial" w:eastAsia="Arial" w:hAnsi="Arial"/>
          <w:sz w:val="19"/>
          <w:szCs w:val="19"/>
          <w:color w:val="auto"/>
        </w:rPr>
      </w:pPr>
      <w:r>
        <w:rPr>
          <w:rFonts w:ascii="Arial" w:cs="Arial" w:eastAsia="Arial" w:hAnsi="Arial"/>
          <w:sz w:val="19"/>
          <w:szCs w:val="19"/>
          <w:color w:val="auto"/>
        </w:rPr>
        <w:t>all net obligations of such Person in respect of any Derivative Transaction, including any Hedge Agreement, whether or not entered into for hedging or speculative purposes;</w:t>
      </w:r>
    </w:p>
    <w:p>
      <w:pPr>
        <w:spacing w:after="0" w:line="159" w:lineRule="exact"/>
        <w:rPr>
          <w:sz w:val="20"/>
          <w:szCs w:val="20"/>
          <w:color w:val="auto"/>
        </w:rPr>
      </w:pPr>
    </w:p>
    <w:p>
      <w:pPr>
        <w:jc w:val="both"/>
        <w:ind w:left="100" w:right="39"/>
        <w:spacing w:after="0" w:line="263"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 no event shall any obligation under any Derivative Transaction be deemed to constitute “Indebtedness” for any calculation of the First Lien Net Leverage Ratio, the Secured Net Leverage Ratio, the Total Net Leverage Ratio or any other financial ratio under this Agreement, (ii) the amount of Indebtedness of any Person for purposes of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shall be deemed to be equal to the lesser of (A) the aggregate unpaid principal amount of such Indebtedness and (B) the fair market value of the property encumbered thereby as determined by such Person in good faith and (iii) the term “Indebtedness” shall exclude (A) intercompany loans and/or advances arising from cash management, tax and accounting operations and (B) intercompany loans and/or advances made in the ordinary course of business that have a term that does not exceed 364 days.</w:t>
      </w:r>
    </w:p>
    <w:p>
      <w:pPr>
        <w:spacing w:after="0" w:line="161" w:lineRule="exact"/>
        <w:rPr>
          <w:sz w:val="20"/>
          <w:szCs w:val="20"/>
          <w:color w:val="auto"/>
        </w:rPr>
      </w:pPr>
    </w:p>
    <w:p>
      <w:pPr>
        <w:jc w:val="both"/>
        <w:ind w:left="100" w:right="39" w:firstLine="749"/>
        <w:spacing w:after="0" w:line="246" w:lineRule="auto"/>
        <w:rPr>
          <w:sz w:val="20"/>
          <w:szCs w:val="20"/>
          <w:color w:val="auto"/>
        </w:rPr>
      </w:pPr>
      <w:r>
        <w:rPr>
          <w:rFonts w:ascii="Arial" w:cs="Arial" w:eastAsia="Arial" w:hAnsi="Arial"/>
          <w:sz w:val="18"/>
          <w:szCs w:val="18"/>
          <w:color w:val="auto"/>
        </w:rPr>
        <w:t xml:space="preserve">For all purposes hereof, the Indebtedness of any Person shall (i) include the Indebtedness of any third person (including any partnership in which such Person is a general partner and any unincorporated joint venture in which such Person is a joint venture) to the extent such Person would be liable therefor under applicable Requirements of Law or any agreement or instrument by virtue of such Person’s ownership interest in such Person, (A) except to the extent the terms of such Indebtedness provide that such Person is not liable therefor and (B) only to the extent the relevant Indebtedness is of the type that would be included in the calculation of Consolidated Total Debt; </w:t>
      </w: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anything herein to the contrary, the term “Indebtedness” shall not include, and shall be calculated without giving effect to, (1) the effects of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39</w:t>
      </w:r>
      <w:r>
        <w:rPr>
          <w:rFonts w:ascii="Arial" w:cs="Arial" w:eastAsia="Arial" w:hAnsi="Arial"/>
          <w:sz w:val="18"/>
          <w:szCs w:val="18"/>
          <w:u w:val="single" w:color="auto"/>
          <w:color w:val="0000FF"/>
          <w:strike w:val="1"/>
        </w:rPr>
        <w:t>39</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07" w:name="page108"/>
    <w:bookmarkEnd w:id="107"/>
    <w:p>
      <w:pPr>
        <w:jc w:val="both"/>
        <w:ind w:left="100" w:right="59"/>
        <w:spacing w:after="0" w:line="259" w:lineRule="auto"/>
        <w:rPr>
          <w:sz w:val="20"/>
          <w:szCs w:val="20"/>
          <w:color w:val="auto"/>
        </w:rPr>
      </w:pPr>
      <w:r>
        <w:rPr>
          <w:rFonts w:ascii="Arial" w:cs="Arial" w:eastAsia="Arial" w:hAnsi="Arial"/>
          <w:sz w:val="17"/>
          <w:szCs w:val="17"/>
          <w:color w:val="auto"/>
        </w:rPr>
        <w:t>Accounting Standards Codification Topic 815 and related interpretations to the extent such effects would otherwise increase or decrease an amount of Indebtedness for any purpose hereunder as a result of accounting for any embedded derivatives created by the terms of such Indebtedness (it being understood that any such amounts that would have constituted Indebtedness hereunder but for the application of this proviso shall not be deemed an incurrence of Indebtedness hereunder) and (2) the effects of Statement of Financial Accounting Standards No. 133 and related interpretations to the extent such effects would otherwise increase or decrease an amount of Indebtedness for any purpose under this Agreement as a result of accounting for any embedded derivative created by the terms of such Indebtedness (it being understood that any such amounts that would have constituted Indebtedness under this Agreement but for the application of this sentence shall not be deemed to be an incurrence of Indebtedness under this Agreement) and (ii) exclude (A) obligations incurred in connection with the consummation of any transaction solely to the extent the proceeds thereof are and continue to be held in an escrow, trust, collateral or similar account or arrangement (collectively, an “</w:t>
      </w:r>
      <w:r>
        <w:rPr>
          <w:rFonts w:ascii="Arial" w:cs="Arial" w:eastAsia="Arial" w:hAnsi="Arial"/>
          <w:sz w:val="17"/>
          <w:szCs w:val="17"/>
          <w:u w:val="single" w:color="auto"/>
          <w:color w:val="auto"/>
        </w:rPr>
        <w:t>Escrow</w:t>
      </w:r>
      <w:r>
        <w:rPr>
          <w:rFonts w:ascii="Arial" w:cs="Arial" w:eastAsia="Arial" w:hAnsi="Arial"/>
          <w:sz w:val="17"/>
          <w:szCs w:val="17"/>
          <w:color w:val="auto"/>
        </w:rPr>
        <w:t>”) and are not otherwise made available to such Person, (B) prepaid or deferred revenue and (C) obligations that constitute “Indebtedness” solely by virtue of a pledge of an Investment (without an accompanying guaranty) in any Unrestricted Subsidiary.</w:t>
      </w:r>
    </w:p>
    <w:p>
      <w:pPr>
        <w:spacing w:after="0" w:line="169" w:lineRule="exact"/>
        <w:rPr>
          <w:sz w:val="20"/>
          <w:szCs w:val="20"/>
          <w:color w:val="auto"/>
        </w:rPr>
      </w:pPr>
    </w:p>
    <w:p>
      <w:pPr>
        <w:jc w:val="both"/>
        <w:ind w:left="100" w:right="59" w:firstLine="749"/>
        <w:spacing w:after="0" w:line="246" w:lineRule="auto"/>
        <w:rPr>
          <w:sz w:val="20"/>
          <w:szCs w:val="20"/>
          <w:color w:val="auto"/>
        </w:rPr>
      </w:pPr>
      <w:r>
        <w:rPr>
          <w:rFonts w:ascii="Arial" w:cs="Arial" w:eastAsia="Arial" w:hAnsi="Arial"/>
          <w:sz w:val="19"/>
          <w:szCs w:val="19"/>
          <w:color w:val="auto"/>
        </w:rPr>
        <w:t>The amount of any Indebtedness that is issued at a discount to its initial principal amount shall be calculated based on the initial stated principal amount thereof without giving effect to any such discount.</w:t>
      </w:r>
    </w:p>
    <w:p>
      <w:pPr>
        <w:spacing w:after="0" w:line="187" w:lineRule="exact"/>
        <w:rPr>
          <w:sz w:val="20"/>
          <w:szCs w:val="20"/>
          <w:color w:val="auto"/>
        </w:rPr>
      </w:pPr>
    </w:p>
    <w:p>
      <w:pPr>
        <w:jc w:val="both"/>
        <w:ind w:left="100" w:right="5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Indemnified Taxes</w:t>
      </w:r>
      <w:r>
        <w:rPr>
          <w:rFonts w:ascii="Arial" w:cs="Arial" w:eastAsia="Arial" w:hAnsi="Arial"/>
          <w:sz w:val="19"/>
          <w:szCs w:val="19"/>
          <w:color w:val="auto"/>
        </w:rPr>
        <w:t>” means all Taxes, other than Excluded Taxes or Other Taxes, imposed on or with respect to any payment made by or on account of any obligation of any Loan Party under any Loan Document.</w:t>
      </w:r>
    </w:p>
    <w:p>
      <w:pPr>
        <w:spacing w:after="0" w:line="268" w:lineRule="exact"/>
        <w:rPr>
          <w:sz w:val="20"/>
          <w:szCs w:val="20"/>
          <w:color w:val="auto"/>
        </w:rPr>
      </w:pPr>
    </w:p>
    <w:p>
      <w:pPr>
        <w:ind w:left="840" w:right="2659"/>
        <w:spacing w:after="0" w:line="40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9.03(b)</w:t>
      </w:r>
      <w:r>
        <w:rPr>
          <w:rFonts w:ascii="Arial" w:cs="Arial" w:eastAsia="Arial" w:hAnsi="Arial"/>
          <w:sz w:val="19"/>
          <w:szCs w:val="19"/>
          <w:color w:val="auto"/>
        </w:rPr>
        <w:t>. “</w:t>
      </w:r>
      <w:r>
        <w:rPr>
          <w:rFonts w:ascii="Arial" w:cs="Arial" w:eastAsia="Arial" w:hAnsi="Arial"/>
          <w:sz w:val="19"/>
          <w:szCs w:val="19"/>
          <w:u w:val="single" w:color="auto"/>
          <w:color w:val="auto"/>
        </w:rPr>
        <w:t>Information</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3.11(a)</w:t>
      </w:r>
      <w:r>
        <w:rPr>
          <w:rFonts w:ascii="Arial" w:cs="Arial" w:eastAsia="Arial" w:hAnsi="Arial"/>
          <w:sz w:val="19"/>
          <w:szCs w:val="19"/>
          <w:color w:val="auto"/>
        </w:rPr>
        <w:t>.</w:t>
      </w:r>
    </w:p>
    <w:p>
      <w:pPr>
        <w:spacing w:after="0" w:line="1" w:lineRule="exact"/>
        <w:rPr>
          <w:sz w:val="20"/>
          <w:szCs w:val="20"/>
          <w:color w:val="auto"/>
        </w:rPr>
      </w:pPr>
    </w:p>
    <w:p>
      <w:pPr>
        <w:ind w:left="100" w:right="99" w:firstLine="74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Lenders</w:t>
      </w:r>
      <w:r>
        <w:rPr>
          <w:rFonts w:ascii="Arial" w:cs="Arial" w:eastAsia="Arial" w:hAnsi="Arial"/>
          <w:sz w:val="19"/>
          <w:szCs w:val="19"/>
          <w:color w:val="auto"/>
        </w:rPr>
        <w:t>” means the Arrangers and the affiliates of the Arrangers who are party to this Agreement as Lenders on the Closing Date.</w:t>
      </w:r>
    </w:p>
    <w:p>
      <w:pPr>
        <w:spacing w:after="0" w:line="159" w:lineRule="exact"/>
        <w:rPr>
          <w:sz w:val="20"/>
          <w:szCs w:val="20"/>
          <w:color w:val="auto"/>
        </w:rPr>
      </w:pPr>
    </w:p>
    <w:p>
      <w:pPr>
        <w:jc w:val="both"/>
        <w:ind w:left="100" w:right="59" w:firstLine="749"/>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Revolving Credit Commitment</w:t>
      </w:r>
      <w:r>
        <w:rPr>
          <w:rFonts w:ascii="Arial" w:cs="Arial" w:eastAsia="Arial" w:hAnsi="Arial"/>
          <w:sz w:val="17"/>
          <w:szCs w:val="17"/>
          <w:color w:val="auto"/>
        </w:rPr>
        <w:t xml:space="preserve">” means, with respect to any Person, the commitment of such Person to make Initial Revolving Loans (and acquire participations in Letters of Credit and Swingline Loans) hereunder as set forth on the Commitment Schedule, or in the Assignment Agreement pursuant to which such Person assumed its Initial Revolving Credit Commitment, as applicable, as the same may be (a) reduced from time to time pursuant to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2.19</w:t>
      </w:r>
      <w:r>
        <w:rPr>
          <w:rFonts w:ascii="Arial" w:cs="Arial" w:eastAsia="Arial" w:hAnsi="Arial"/>
          <w:sz w:val="17"/>
          <w:szCs w:val="17"/>
          <w:color w:val="auto"/>
        </w:rPr>
        <w:t xml:space="preserve">, (b) reduced or increased from time to time pursuant to assignments by or to such Lender pursuant to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or (c) increased pursuant to </w:t>
      </w:r>
      <w:r>
        <w:rPr>
          <w:rFonts w:ascii="Arial" w:cs="Arial" w:eastAsia="Arial" w:hAnsi="Arial"/>
          <w:sz w:val="17"/>
          <w:szCs w:val="17"/>
          <w:u w:val="single" w:color="auto"/>
          <w:color w:val="auto"/>
        </w:rPr>
        <w:t>Section 2.22</w:t>
      </w:r>
      <w:r>
        <w:rPr>
          <w:rFonts w:ascii="Arial" w:cs="Arial" w:eastAsia="Arial" w:hAnsi="Arial"/>
          <w:sz w:val="17"/>
          <w:szCs w:val="17"/>
          <w:color w:val="auto"/>
        </w:rPr>
        <w:t>. The aggregate amount of the Initial Revolving Credit Commitments as of the Closing Date is $75,000,000.</w:t>
      </w:r>
    </w:p>
    <w:p>
      <w:pPr>
        <w:spacing w:after="0" w:line="178" w:lineRule="exact"/>
        <w:rPr>
          <w:sz w:val="20"/>
          <w:szCs w:val="20"/>
          <w:color w:val="auto"/>
        </w:rPr>
      </w:pPr>
    </w:p>
    <w:p>
      <w:pPr>
        <w:jc w:val="both"/>
        <w:ind w:left="100" w:right="7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Revolving Credit Exposure</w:t>
      </w:r>
      <w:r>
        <w:rPr>
          <w:rFonts w:ascii="Arial" w:cs="Arial" w:eastAsia="Arial" w:hAnsi="Arial"/>
          <w:sz w:val="19"/>
          <w:szCs w:val="19"/>
          <w:color w:val="auto"/>
        </w:rPr>
        <w:t xml:space="preserve">” means, with respect to any Lender at any time, the aggregate Outstanding Amount at such time of all Initial Revolving Loans of such Lender,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aggregate amount at such time of such Lender’s LC Exposure and Swingline Exposure, in each case, attributable to its Initial Revolving Credit Commitment.</w:t>
      </w:r>
    </w:p>
    <w:p>
      <w:pPr>
        <w:spacing w:after="0" w:line="1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Revolving Credit Maturity Date</w:t>
      </w:r>
      <w:r>
        <w:rPr>
          <w:rFonts w:ascii="Arial" w:cs="Arial" w:eastAsia="Arial" w:hAnsi="Arial"/>
          <w:sz w:val="18"/>
          <w:szCs w:val="18"/>
          <w:color w:val="auto"/>
        </w:rPr>
        <w:t>” means the date that is five years after the Closing Date. “</w:t>
      </w:r>
      <w:r>
        <w:rPr>
          <w:rFonts w:ascii="Arial" w:cs="Arial" w:eastAsia="Arial" w:hAnsi="Arial"/>
          <w:sz w:val="18"/>
          <w:szCs w:val="18"/>
          <w:u w:val="single" w:color="auto"/>
          <w:color w:val="auto"/>
        </w:rPr>
        <w:t>Initial Revolving</w:t>
      </w:r>
    </w:p>
    <w:p>
      <w:pPr>
        <w:spacing w:after="0" w:line="225" w:lineRule="exact"/>
        <w:rPr>
          <w:sz w:val="20"/>
          <w:szCs w:val="20"/>
          <w:color w:val="auto"/>
        </w:rPr>
      </w:pPr>
    </w:p>
    <w:p>
      <w:pPr>
        <w:ind w:left="100" w:right="3739" w:firstLine="750"/>
        <w:spacing w:after="0" w:line="350" w:lineRule="auto"/>
        <w:rPr>
          <w:sz w:val="20"/>
          <w:szCs w:val="20"/>
          <w:color w:val="auto"/>
        </w:rPr>
      </w:pPr>
      <w:r>
        <w:rPr>
          <w:rFonts w:ascii="Arial" w:cs="Arial" w:eastAsia="Arial" w:hAnsi="Arial"/>
          <w:sz w:val="19"/>
          <w:szCs w:val="19"/>
          <w:u w:val="single" w:color="auto"/>
          <w:color w:val="auto"/>
        </w:rPr>
        <w:t>Facility</w:t>
      </w:r>
      <w:r>
        <w:rPr>
          <w:rFonts w:ascii="Arial" w:cs="Arial" w:eastAsia="Arial" w:hAnsi="Arial"/>
          <w:sz w:val="19"/>
          <w:szCs w:val="19"/>
          <w:color w:val="auto"/>
        </w:rPr>
        <w:t>” means the Initial Revolving Credit Commitments and the Initial Revolving Loans and other extensions of credit thereunder.</w:t>
      </w:r>
    </w:p>
    <w:p>
      <w:pPr>
        <w:spacing w:after="0" w:line="78" w:lineRule="exact"/>
        <w:rPr>
          <w:sz w:val="20"/>
          <w:szCs w:val="20"/>
          <w:color w:val="auto"/>
        </w:rPr>
      </w:pPr>
    </w:p>
    <w:p>
      <w:pPr>
        <w:ind w:left="100" w:right="9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Revolving Lender</w:t>
      </w:r>
      <w:r>
        <w:rPr>
          <w:rFonts w:ascii="Arial" w:cs="Arial" w:eastAsia="Arial" w:hAnsi="Arial"/>
          <w:sz w:val="19"/>
          <w:szCs w:val="19"/>
          <w:color w:val="auto"/>
        </w:rPr>
        <w:t>” means any Lender with an Initial Revolving Credit Commitment or any Initial Revolving Credit Exposure.</w:t>
      </w:r>
    </w:p>
    <w:p>
      <w:pPr>
        <w:spacing w:after="0" w:line="173"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Revolving Loan</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2.01(a)(ii)</w:t>
      </w:r>
      <w:r>
        <w:rPr>
          <w:rFonts w:ascii="Arial" w:cs="Arial" w:eastAsia="Arial" w:hAnsi="Arial"/>
          <w:sz w:val="19"/>
          <w:szCs w:val="19"/>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40</w:t>
      </w:r>
      <w:r>
        <w:rPr>
          <w:rFonts w:ascii="Arial" w:cs="Arial" w:eastAsia="Arial" w:hAnsi="Arial"/>
          <w:sz w:val="18"/>
          <w:szCs w:val="18"/>
          <w:u w:val="single" w:color="auto"/>
          <w:color w:val="0000FF"/>
          <w:strike w:val="1"/>
        </w:rPr>
        <w:t>40</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08" w:name="page109"/>
    <w:bookmarkEnd w:id="108"/>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Lender</w:t>
      </w:r>
      <w:r>
        <w:rPr>
          <w:rFonts w:ascii="Arial" w:cs="Arial" w:eastAsia="Arial" w:hAnsi="Arial"/>
          <w:sz w:val="18"/>
          <w:szCs w:val="18"/>
          <w:color w:val="auto"/>
        </w:rPr>
        <w:t>” means any Lender with an Initial Term Loan Commitment or an outstanding Initial Term Loan.</w:t>
      </w:r>
    </w:p>
    <w:p>
      <w:pPr>
        <w:spacing w:after="0" w:line="225" w:lineRule="exact"/>
        <w:rPr>
          <w:sz w:val="20"/>
          <w:szCs w:val="20"/>
          <w:color w:val="auto"/>
        </w:rPr>
      </w:pPr>
    </w:p>
    <w:p>
      <w:pPr>
        <w:jc w:val="both"/>
        <w:ind w:left="100" w:right="59" w:firstLine="74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Term Loan Commitment</w:t>
      </w:r>
      <w:r>
        <w:rPr>
          <w:rFonts w:ascii="Arial" w:cs="Arial" w:eastAsia="Arial" w:hAnsi="Arial"/>
          <w:sz w:val="17"/>
          <w:szCs w:val="17"/>
          <w:color w:val="auto"/>
        </w:rPr>
        <w:t xml:space="preserve">” means, with respect to any Person, the commitment of such Person to make Initial Term Loans hereunder in an aggregate amount not to exceed the amount set forth opposite such Person’s name on the Commitment Schedule, as the same may be (a) reduced from time to time pursuant to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(b) reduced or increased from time to time pursuant to assignments made by or to such Term Lender pursuant to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or (c) increased from time to time pursuant to </w:t>
      </w:r>
      <w:r>
        <w:rPr>
          <w:rFonts w:ascii="Arial" w:cs="Arial" w:eastAsia="Arial" w:hAnsi="Arial"/>
          <w:sz w:val="17"/>
          <w:szCs w:val="17"/>
          <w:u w:val="single" w:color="auto"/>
          <w:color w:val="auto"/>
        </w:rPr>
        <w:t>Section 2.22</w:t>
      </w:r>
      <w:r>
        <w:rPr>
          <w:rFonts w:ascii="Arial" w:cs="Arial" w:eastAsia="Arial" w:hAnsi="Arial"/>
          <w:sz w:val="17"/>
          <w:szCs w:val="17"/>
          <w:color w:val="auto"/>
        </w:rPr>
        <w:t>. The aggregate amount of the Term Lenders’ Initial Term Loan Commitments on the Closing Date is $275,000,000.</w:t>
      </w:r>
    </w:p>
    <w:p>
      <w:pPr>
        <w:spacing w:after="0" w:line="253" w:lineRule="exact"/>
        <w:rPr>
          <w:sz w:val="20"/>
          <w:szCs w:val="20"/>
          <w:color w:val="auto"/>
        </w:rPr>
      </w:pPr>
    </w:p>
    <w:p>
      <w:pPr>
        <w:ind w:left="840" w:right="1059"/>
        <w:spacing w:after="0" w:line="40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Term Loan Maturity Date</w:t>
      </w:r>
      <w:r>
        <w:rPr>
          <w:rFonts w:ascii="Arial" w:cs="Arial" w:eastAsia="Arial" w:hAnsi="Arial"/>
          <w:sz w:val="19"/>
          <w:szCs w:val="19"/>
          <w:color w:val="auto"/>
        </w:rPr>
        <w:t>” means the date that is five years after the Closing Date. “</w:t>
      </w:r>
      <w:r>
        <w:rPr>
          <w:rFonts w:ascii="Arial" w:cs="Arial" w:eastAsia="Arial" w:hAnsi="Arial"/>
          <w:sz w:val="19"/>
          <w:szCs w:val="19"/>
          <w:u w:val="single" w:color="auto"/>
          <w:color w:val="auto"/>
        </w:rPr>
        <w:t>Initial Term</w:t>
      </w:r>
      <w:r>
        <w:rPr>
          <w:rFonts w:ascii="Arial" w:cs="Arial" w:eastAsia="Arial" w:hAnsi="Arial"/>
          <w:sz w:val="19"/>
          <w:szCs w:val="19"/>
          <w:color w:val="auto"/>
        </w:rPr>
        <w:t xml:space="preserve"> </w:t>
      </w:r>
      <w:r>
        <w:rPr>
          <w:rFonts w:ascii="Arial" w:cs="Arial" w:eastAsia="Arial" w:hAnsi="Arial"/>
          <w:sz w:val="19"/>
          <w:szCs w:val="19"/>
          <w:u w:val="single" w:color="auto"/>
          <w:color w:val="auto"/>
        </w:rPr>
        <w:t>Loans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2.01(a)(i)</w:t>
      </w:r>
      <w:r>
        <w:rPr>
          <w:rFonts w:ascii="Arial" w:cs="Arial" w:eastAsia="Arial" w:hAnsi="Arial"/>
          <w:sz w:val="19"/>
          <w:szCs w:val="19"/>
          <w:color w:val="auto"/>
        </w:rPr>
        <w:t>.</w:t>
      </w:r>
    </w:p>
    <w:p>
      <w:pPr>
        <w:spacing w:after="0" w:line="1"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 Security Agreement</w:t>
      </w:r>
      <w:r>
        <w:rPr>
          <w:rFonts w:ascii="Arial" w:cs="Arial" w:eastAsia="Arial" w:hAnsi="Arial"/>
          <w:sz w:val="19"/>
          <w:szCs w:val="19"/>
          <w:color w:val="auto"/>
        </w:rPr>
        <w:t xml:space="preserve">” means any agreement, or a supplement thereto, executed on or after the Closing Date confirming or effecting the grant of any Lien on IP Rights owned by any Loan Party to the Administrative Agent, for the benefit of the Secured Parties, required in accordance with this Agreement and the Security Agreement, including an Intellectual Property Security Agreement substantially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w:t>
      </w:r>
    </w:p>
    <w:p>
      <w:pPr>
        <w:spacing w:after="0" w:line="180" w:lineRule="exact"/>
        <w:rPr>
          <w:sz w:val="20"/>
          <w:szCs w:val="20"/>
          <w:color w:val="auto"/>
        </w:rPr>
      </w:pPr>
    </w:p>
    <w:p>
      <w:pPr>
        <w:ind w:left="100" w:right="99" w:firstLine="74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Intercompany Note</w:t>
      </w:r>
      <w:r>
        <w:rPr>
          <w:rFonts w:ascii="Arial" w:cs="Arial" w:eastAsia="Arial" w:hAnsi="Arial"/>
          <w:sz w:val="19"/>
          <w:szCs w:val="19"/>
          <w:color w:val="auto"/>
        </w:rPr>
        <w:t xml:space="preserve">” means a promissory note substantially in the form of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or such other form to which the Borrower and the Administrative Agent may reasonably agree.</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Intercreditor Agreement</w:t>
      </w:r>
      <w:r>
        <w:rPr>
          <w:rFonts w:ascii="Arial" w:cs="Arial" w:eastAsia="Arial" w:hAnsi="Arial"/>
          <w:sz w:val="19"/>
          <w:szCs w:val="19"/>
          <w:color w:val="auto"/>
        </w:rPr>
        <w:t>” means:</w:t>
      </w:r>
    </w:p>
    <w:p>
      <w:pPr>
        <w:spacing w:after="0" w:line="200" w:lineRule="exact"/>
        <w:rPr>
          <w:sz w:val="20"/>
          <w:szCs w:val="20"/>
          <w:color w:val="auto"/>
        </w:rPr>
      </w:pPr>
    </w:p>
    <w:p>
      <w:pPr>
        <w:ind w:left="2220" w:hanging="629"/>
        <w:spacing w:after="0"/>
        <w:tabs>
          <w:tab w:leader="none" w:pos="22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with respect to any Indebtedness that constitutes First Lien Debt, a Pari Passu Intercreditor Agreement;</w:t>
      </w:r>
    </w:p>
    <w:p>
      <w:pPr>
        <w:spacing w:after="0" w:line="236" w:lineRule="exact"/>
        <w:rPr>
          <w:rFonts w:ascii="Arial" w:cs="Arial" w:eastAsia="Arial" w:hAnsi="Arial"/>
          <w:sz w:val="17"/>
          <w:szCs w:val="17"/>
          <w:color w:val="auto"/>
        </w:rPr>
      </w:pPr>
    </w:p>
    <w:p>
      <w:pPr>
        <w:ind w:left="840" w:right="59" w:firstLine="751"/>
        <w:spacing w:after="0" w:line="261" w:lineRule="auto"/>
        <w:tabs>
          <w:tab w:leader="none" w:pos="2209" w:val="left"/>
        </w:tabs>
        <w:numPr>
          <w:ilvl w:val="0"/>
          <w:numId w:val="81"/>
        </w:numPr>
        <w:rPr>
          <w:rFonts w:ascii="Arial" w:cs="Arial" w:eastAsia="Arial" w:hAnsi="Arial"/>
          <w:sz w:val="19"/>
          <w:szCs w:val="19"/>
          <w:color w:val="auto"/>
        </w:rPr>
      </w:pPr>
      <w:r>
        <w:rPr>
          <w:rFonts w:ascii="Arial" w:cs="Arial" w:eastAsia="Arial" w:hAnsi="Arial"/>
          <w:sz w:val="19"/>
          <w:szCs w:val="19"/>
          <w:color w:val="auto"/>
        </w:rPr>
        <w:t>with respect to any Indebtedness that constitutes Junior Lien Debt, a Junior Lien Intercreditor Agreement; and/or</w:t>
      </w:r>
    </w:p>
    <w:p>
      <w:pPr>
        <w:spacing w:after="0" w:line="186" w:lineRule="exact"/>
        <w:rPr>
          <w:rFonts w:ascii="Arial" w:cs="Arial" w:eastAsia="Arial" w:hAnsi="Arial"/>
          <w:sz w:val="19"/>
          <w:szCs w:val="19"/>
          <w:color w:val="auto"/>
        </w:rPr>
      </w:pPr>
    </w:p>
    <w:p>
      <w:pPr>
        <w:jc w:val="both"/>
        <w:ind w:left="840" w:right="59" w:firstLine="752"/>
        <w:spacing w:after="0" w:line="276" w:lineRule="auto"/>
        <w:tabs>
          <w:tab w:leader="none" w:pos="2209" w:val="left"/>
        </w:tabs>
        <w:numPr>
          <w:ilvl w:val="0"/>
          <w:numId w:val="81"/>
        </w:numPr>
        <w:rPr>
          <w:rFonts w:ascii="Arial" w:cs="Arial" w:eastAsia="Arial" w:hAnsi="Arial"/>
          <w:sz w:val="17"/>
          <w:szCs w:val="17"/>
          <w:color w:val="auto"/>
        </w:rPr>
      </w:pPr>
      <w:r>
        <w:rPr>
          <w:rFonts w:ascii="Arial" w:cs="Arial" w:eastAsia="Arial" w:hAnsi="Arial"/>
          <w:sz w:val="17"/>
          <w:szCs w:val="17"/>
          <w:color w:val="auto"/>
        </w:rPr>
        <w:t>with respect to any Indebtedness, any other intercreditor or subordination agreement or arrangement (which may take the form of a “waterfall” or similar provision), as applicable, the terms of which are (i) consistent with market terms (as determined by the Borrower and the Administrative Agent in good faith) governing arrangements for the sharing and/or subordination of liens and/or arrangements relating to the distribution of payments, as applicable, at the time the relevant intercreditor agreement is proposed to be established in light of the type of Indebtedness subject thereto and/or (ii) reasonably acceptable to the Borrower and the Administrative Agent.</w:t>
      </w:r>
    </w:p>
    <w:p>
      <w:pPr>
        <w:spacing w:after="0" w:line="163" w:lineRule="exact"/>
        <w:rPr>
          <w:sz w:val="20"/>
          <w:szCs w:val="20"/>
          <w:color w:val="auto"/>
        </w:rPr>
      </w:pPr>
    </w:p>
    <w:p>
      <w:pPr>
        <w:ind w:left="100" w:right="5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Election Request</w:t>
      </w:r>
      <w:r>
        <w:rPr>
          <w:rFonts w:ascii="Arial" w:cs="Arial" w:eastAsia="Arial" w:hAnsi="Arial"/>
          <w:sz w:val="19"/>
          <w:szCs w:val="19"/>
          <w:color w:val="auto"/>
        </w:rPr>
        <w:t xml:space="preserve">” means a request by the Borrower in the form of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hereto or another form reasonably acceptable to the Administrative Agent to convert or continue a Borrowing in accordance with </w:t>
      </w:r>
      <w:r>
        <w:rPr>
          <w:rFonts w:ascii="Arial" w:cs="Arial" w:eastAsia="Arial" w:hAnsi="Arial"/>
          <w:sz w:val="19"/>
          <w:szCs w:val="19"/>
          <w:u w:val="single" w:color="auto"/>
          <w:color w:val="auto"/>
        </w:rPr>
        <w:t>Section 2.08</w:t>
      </w:r>
      <w:r>
        <w:rPr>
          <w:rFonts w:ascii="Arial" w:cs="Arial" w:eastAsia="Arial" w:hAnsi="Arial"/>
          <w:sz w:val="19"/>
          <w:szCs w:val="19"/>
          <w:color w:val="auto"/>
        </w:rPr>
        <w:t>.</w:t>
      </w:r>
    </w:p>
    <w:p>
      <w:pPr>
        <w:spacing w:after="0" w:line="187" w:lineRule="exact"/>
        <w:rPr>
          <w:sz w:val="20"/>
          <w:szCs w:val="20"/>
          <w:color w:val="auto"/>
        </w:rPr>
      </w:pPr>
    </w:p>
    <w:p>
      <w:pPr>
        <w:jc w:val="both"/>
        <w:ind w:left="100" w:right="39" w:firstLine="749"/>
        <w:spacing w:after="0" w:line="23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xml:space="preserve">” means (a) with respect to any ABR Loan, each Scheduled Payment Date and the maturity date applicable to such ABR Loan and (b) with respect to any </w:t>
      </w:r>
      <w:r>
        <w:rPr>
          <w:rFonts w:ascii="Arial" w:cs="Arial" w:eastAsia="Arial" w:hAnsi="Arial"/>
          <w:sz w:val="19"/>
          <w:szCs w:val="19"/>
          <w:color w:val="FF0000"/>
          <w:strike w:val="1"/>
        </w:rPr>
        <w:t>LIBO Rate</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 the last day of the Interest Period applicable to the Borrowing of which such Loan is a part and, in the case of a </w:t>
      </w:r>
      <w:r>
        <w:rPr>
          <w:rFonts w:ascii="Arial" w:cs="Arial" w:eastAsia="Arial" w:hAnsi="Arial"/>
          <w:sz w:val="19"/>
          <w:szCs w:val="19"/>
          <w:color w:val="FF0000"/>
          <w:strike w:val="1"/>
        </w:rPr>
        <w:t>LIBO Rate</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 with an Interest Period of more than three months’ duration, each day that would have been an Interest Payment Date had successive Interest Periods of three months’ duration been applicable to such Borrowing.</w:t>
      </w:r>
    </w:p>
    <w:p>
      <w:pPr>
        <w:spacing w:after="0" w:line="181"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with respect to any </w:t>
      </w:r>
      <w:r>
        <w:rPr>
          <w:rFonts w:ascii="Arial" w:cs="Arial" w:eastAsia="Arial" w:hAnsi="Arial"/>
          <w:sz w:val="19"/>
          <w:szCs w:val="19"/>
          <w:color w:val="FF0000"/>
          <w:strike w:val="1"/>
        </w:rPr>
        <w:t>LIBO Rate</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Borrowing, the period commencing on the date of such Borrowing and ending on the numerically corresponding day in the calendar month that is one, three or six months (or, to the extent available to all relevant affected Lenders, 12 months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41</w:t>
      </w:r>
      <w:r>
        <w:rPr>
          <w:rFonts w:ascii="Arial" w:cs="Arial" w:eastAsia="Arial" w:hAnsi="Arial"/>
          <w:sz w:val="18"/>
          <w:szCs w:val="18"/>
          <w:u w:val="single" w:color="auto"/>
          <w:color w:val="0000FF"/>
          <w:strike w:val="1"/>
        </w:rPr>
        <w:t>41</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09" w:name="page110"/>
    <w:bookmarkEnd w:id="109"/>
    <w:p>
      <w:pPr>
        <w:jc w:val="both"/>
        <w:ind w:left="100" w:right="59"/>
        <w:spacing w:after="0" w:line="261" w:lineRule="auto"/>
        <w:rPr>
          <w:sz w:val="20"/>
          <w:szCs w:val="20"/>
          <w:color w:val="auto"/>
        </w:rPr>
      </w:pPr>
      <w:r>
        <w:rPr>
          <w:rFonts w:ascii="Arial" w:cs="Arial" w:eastAsia="Arial" w:hAnsi="Arial"/>
          <w:sz w:val="17"/>
          <w:szCs w:val="17"/>
          <w:color w:val="auto"/>
        </w:rPr>
        <w:t xml:space="preserve">or any period shorter than 12 months) thereafter, as the Borrower may elect </w:t>
      </w:r>
      <w:r>
        <w:rPr>
          <w:rFonts w:ascii="Arial" w:cs="Arial" w:eastAsia="Arial" w:hAnsi="Arial"/>
          <w:sz w:val="17"/>
          <w:szCs w:val="17"/>
          <w:color w:val="0000FF"/>
        </w:rPr>
        <w:t>(in the case of each requested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Interest Per iod, subject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to availability)</w:t>
      </w:r>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provided</w:t>
      </w:r>
      <w:r>
        <w:rPr>
          <w:rFonts w:ascii="Arial" w:cs="Arial" w:eastAsia="Arial" w:hAnsi="Arial"/>
          <w:sz w:val="17"/>
          <w:szCs w:val="17"/>
          <w:color w:val="0000FF"/>
        </w:rPr>
        <w:t xml:space="preserve"> </w:t>
      </w:r>
      <w:r>
        <w:rPr>
          <w:rFonts w:ascii="Arial" w:cs="Arial" w:eastAsia="Arial" w:hAnsi="Arial"/>
          <w:sz w:val="17"/>
          <w:szCs w:val="17"/>
          <w:color w:val="000000"/>
        </w:rPr>
        <w:t>that (a) if any Interest Period would end on a day other than a Business Day, such Interest Period shall be</w:t>
      </w:r>
      <w:r>
        <w:rPr>
          <w:rFonts w:ascii="Arial" w:cs="Arial" w:eastAsia="Arial" w:hAnsi="Arial"/>
          <w:sz w:val="17"/>
          <w:szCs w:val="17"/>
          <w:color w:val="0000FF"/>
        </w:rPr>
        <w:t xml:space="preserve"> </w:t>
      </w:r>
      <w:r>
        <w:rPr>
          <w:rFonts w:ascii="Arial" w:cs="Arial" w:eastAsia="Arial" w:hAnsi="Arial"/>
          <w:sz w:val="17"/>
          <w:szCs w:val="17"/>
          <w:color w:val="000000"/>
        </w:rPr>
        <w:t xml:space="preserve">extended to the next succeeding 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 </w:t>
      </w:r>
      <w:r>
        <w:rPr>
          <w:rFonts w:ascii="Arial" w:cs="Arial" w:eastAsia="Arial" w:hAnsi="Arial"/>
          <w:sz w:val="17"/>
          <w:szCs w:val="17"/>
          <w:color w:val="0000FF"/>
        </w:rPr>
        <w:t>No Interest Per iod shall extend beyond the Matur 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-953770</wp:posOffset>
            </wp:positionV>
            <wp:extent cx="147193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6">
                      <a:extLst>
                        <a:ext uri="{28A0092B-C50C-407E-A947-70E740481C1C}"/>
                      </a:extLst>
                    </a:blip>
                    <a:srcRect/>
                    <a:stretch>
                      <a:fillRect/>
                    </a:stretch>
                  </pic:blipFill>
                  <pic:spPr bwMode="auto">
                    <a:xfrm>
                      <a:off x="0" y="0"/>
                      <a:ext cx="1471930" cy="8890"/>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-36195</wp:posOffset>
            </wp:positionV>
            <wp:extent cx="287274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7">
                      <a:extLst>
                        <a:ext uri="{28A0092B-C50C-407E-A947-70E740481C1C}"/>
                      </a:extLst>
                    </a:blip>
                    <a:srcRect/>
                    <a:stretch>
                      <a:fillRect/>
                    </a:stretch>
                  </pic:blipFill>
                  <pic:spPr bwMode="auto">
                    <a:xfrm>
                      <a:off x="0" y="0"/>
                      <a:ext cx="2872740" cy="8255"/>
                    </a:xfrm>
                    <a:prstGeom prst="rect">
                      <a:avLst/>
                    </a:prstGeom>
                    <a:noFill/>
                  </pic:spPr>
                </pic:pic>
              </a:graphicData>
            </a:graphic>
          </wp:anchor>
        </w:drawing>
      </w:r>
    </w:p>
    <w:p>
      <w:pPr>
        <w:spacing w:after="0" w:line="223" w:lineRule="exact"/>
        <w:rPr>
          <w:sz w:val="20"/>
          <w:szCs w:val="20"/>
          <w:color w:val="auto"/>
        </w:rPr>
      </w:pPr>
    </w:p>
    <w:p>
      <w:pPr>
        <w:jc w:val="both"/>
        <w:ind w:left="100" w:right="59" w:firstLine="74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xml:space="preserve">” means (a) any purchase or other acquisition for consideration by the Borrower or any of its Restricted Subsidiaries of any of the Capital Stock of any other Person (other than any Loan Party (other than Holdings)), (b) the acquisition for consideration by the Borrower or any of its Restricted Subsidiaries by purchase or otherwise (other than any purchase or other acquisition of inventory, materials, supplies and/or equipment in the ordinary course of business) of all or a substantial portion of the business, property or fixed assets of any other Person constituting an operating division or operating line of business or other operating business unit of such other Person and (c) any loan, advance (other than any advance to any current or former employee, officer, director, member of management, manager, consultant or independent contractor of the Borrower, any Restricted Subsidiary, or any Parent Company for moving, entertainment and travel expenses, drawing accounts and similar expenditures in the ordinary course of business) or capital contribution in exchange for consideration by the Borrower or any of its Restricted Subsidiaries to any other Person. Subject to </w:t>
      </w:r>
      <w:r>
        <w:rPr>
          <w:rFonts w:ascii="Arial" w:cs="Arial" w:eastAsia="Arial" w:hAnsi="Arial"/>
          <w:sz w:val="17"/>
          <w:szCs w:val="17"/>
          <w:u w:val="single" w:color="auto"/>
          <w:color w:val="auto"/>
        </w:rPr>
        <w:t>Section 5.10</w:t>
      </w:r>
      <w:r>
        <w:rPr>
          <w:rFonts w:ascii="Arial" w:cs="Arial" w:eastAsia="Arial" w:hAnsi="Arial"/>
          <w:sz w:val="17"/>
          <w:szCs w:val="17"/>
          <w:color w:val="auto"/>
        </w:rPr>
        <w:t>, the amount of any Investment shall be the original cost of such Investment, plus the cost of any addition thereto that otherwise constitutes an Investment, without any adjustment for any increase or decrease in value, or any write-up, write-down or write-off with respect thereto, but giving effect to (i) any repayment of principal and/or interest in the case of any Investment in the form of a loan or other debt instrument and (ii) any return of capital or return on Investment in the case of any equity Investment (whether as a distribution, dividend, redemption or sale but not in excess of the amount of the relevant initial Investment). It is understood and agreed that the term “Investment” shall exclude (A) intercompany advances arising from cash management, tax and accounting operations and (B) intercompany loans, advances or Indebtedness made in the ordinary course of business that have a term that does not exceed 364 days.</w:t>
      </w:r>
    </w:p>
    <w:p>
      <w:pPr>
        <w:spacing w:after="0" w:line="168" w:lineRule="exact"/>
        <w:rPr>
          <w:sz w:val="20"/>
          <w:szCs w:val="20"/>
          <w:color w:val="auto"/>
        </w:rPr>
      </w:pPr>
    </w:p>
    <w:p>
      <w:pPr>
        <w:jc w:val="both"/>
        <w:ind w:left="100" w:right="59" w:firstLine="74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Investors</w:t>
      </w:r>
      <w:r>
        <w:rPr>
          <w:rFonts w:ascii="Arial" w:cs="Arial" w:eastAsia="Arial" w:hAnsi="Arial"/>
          <w:sz w:val="19"/>
          <w:szCs w:val="19"/>
          <w:color w:val="auto"/>
        </w:rPr>
        <w:t>” means (a) the Sponsors, (b) the Management Investors, and (c) other investors that, directly or indirectly, beneficially own Capital Stock in Holdings on the Closing Date, which may include one or more of the limited partners of any Sponsor.</w:t>
      </w:r>
    </w:p>
    <w:p>
      <w:pPr>
        <w:spacing w:after="0" w:line="179"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IP Rights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3.05(c)</w:t>
      </w:r>
      <w:r>
        <w:rPr>
          <w:rFonts w:ascii="Arial" w:cs="Arial" w:eastAsia="Arial" w:hAnsi="Arial"/>
          <w:sz w:val="19"/>
          <w:szCs w:val="19"/>
          <w:color w:val="auto"/>
        </w:rPr>
        <w:t>.</w:t>
      </w:r>
    </w:p>
    <w:p>
      <w:pPr>
        <w:spacing w:after="0" w:line="200" w:lineRule="exact"/>
        <w:rPr>
          <w:sz w:val="20"/>
          <w:szCs w:val="20"/>
          <w:color w:val="auto"/>
        </w:rPr>
      </w:pPr>
    </w:p>
    <w:p>
      <w:pPr>
        <w:jc w:val="both"/>
        <w:ind w:left="100" w:right="59" w:firstLine="74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Separation Transaction</w:t>
      </w:r>
      <w:r>
        <w:rPr>
          <w:rFonts w:ascii="Arial" w:cs="Arial" w:eastAsia="Arial" w:hAnsi="Arial"/>
          <w:sz w:val="18"/>
          <w:szCs w:val="18"/>
          <w:color w:val="auto"/>
        </w:rPr>
        <w:t>” means (a) any Disposition by any Loan Party of any Material Intellectual Property to any Unrestricted Subsidiary (other than any bona fide operational joint venture established for legitimate business purposes) and/or (b) any Investment by any Loan Party in the form of a contribution of Material Intellectual Property to any Unrestricted Subsidiary (other than any bona fide operational joint venture established for legitimate business purposes).</w:t>
      </w:r>
    </w:p>
    <w:p>
      <w:pPr>
        <w:spacing w:after="0" w:line="265"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IPO</w:t>
      </w:r>
      <w:r>
        <w:rPr>
          <w:rFonts w:ascii="Arial" w:cs="Arial" w:eastAsia="Arial" w:hAnsi="Arial"/>
          <w:sz w:val="19"/>
          <w:szCs w:val="19"/>
          <w:color w:val="auto"/>
        </w:rPr>
        <w:t>” has the meaning assigned to such term in the preamble to this Agreement. “</w:t>
      </w:r>
      <w:r>
        <w:rPr>
          <w:rFonts w:ascii="Arial" w:cs="Arial" w:eastAsia="Arial" w:hAnsi="Arial"/>
          <w:sz w:val="19"/>
          <w:szCs w:val="19"/>
          <w:u w:val="single" w:color="auto"/>
          <w:color w:val="auto"/>
        </w:rPr>
        <w:t>IRS</w:t>
      </w:r>
      <w:r>
        <w:rPr>
          <w:rFonts w:ascii="Arial" w:cs="Arial" w:eastAsia="Arial" w:hAnsi="Arial"/>
          <w:sz w:val="19"/>
          <w:szCs w:val="19"/>
          <w:color w:val="auto"/>
        </w:rPr>
        <w:t>” means</w:t>
      </w:r>
    </w:p>
    <w:p>
      <w:pPr>
        <w:spacing w:after="0" w:line="200" w:lineRule="exact"/>
        <w:rPr>
          <w:sz w:val="20"/>
          <w:szCs w:val="20"/>
          <w:color w:val="auto"/>
        </w:rPr>
      </w:pPr>
    </w:p>
    <w:p>
      <w:pPr>
        <w:ind w:left="840"/>
        <w:spacing w:after="0"/>
        <w:rPr>
          <w:sz w:val="20"/>
          <w:szCs w:val="20"/>
          <w:color w:val="auto"/>
        </w:rPr>
      </w:pPr>
      <w:r>
        <w:rPr>
          <w:rFonts w:ascii="Arial" w:cs="Arial" w:eastAsia="Arial" w:hAnsi="Arial"/>
          <w:sz w:val="19"/>
          <w:szCs w:val="19"/>
          <w:color w:val="auto"/>
        </w:rPr>
        <w:t>the US Internal Revenue Service.</w:t>
      </w:r>
    </w:p>
    <w:p>
      <w:pPr>
        <w:spacing w:after="0" w:line="106"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ISDA CDS Definitions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9.02</w:t>
      </w:r>
      <w:r>
        <w:rPr>
          <w:rFonts w:ascii="Arial" w:cs="Arial" w:eastAsia="Arial" w:hAnsi="Arial"/>
          <w:sz w:val="19"/>
          <w:szCs w:val="19"/>
          <w:color w:val="auto"/>
        </w:rPr>
        <w:t>.</w:t>
      </w:r>
    </w:p>
    <w:p>
      <w:pPr>
        <w:spacing w:after="0" w:line="200"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Issuing Bank</w:t>
      </w:r>
      <w:r>
        <w:rPr>
          <w:rFonts w:ascii="Arial" w:cs="Arial" w:eastAsia="Arial" w:hAnsi="Arial"/>
          <w:sz w:val="19"/>
          <w:szCs w:val="19"/>
          <w:color w:val="auto"/>
        </w:rPr>
        <w:t>” means, as the context may require, (a) each of Bank of America, Barclays Bank PLC, New York Branch, Credit Suisse AG, Cayman Islands Branch, Deutsche Bank AG New York Branch, Goldman Sachs Bank USA, JPMorgan Chase Bank, N.A., Morgan Stanley Senior Funding, Inc. and Stifel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42</w:t>
      </w:r>
      <w:r>
        <w:rPr>
          <w:rFonts w:ascii="Arial" w:cs="Arial" w:eastAsia="Arial" w:hAnsi="Arial"/>
          <w:sz w:val="18"/>
          <w:szCs w:val="18"/>
          <w:u w:val="single" w:color="auto"/>
          <w:color w:val="0000FF"/>
          <w:strike w:val="1"/>
        </w:rPr>
        <w:t>42</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98" w:right="1440" w:bottom="1440" w:gutter="0" w:footer="0" w:header="0"/>
        </w:sectPr>
      </w:pPr>
    </w:p>
    <w:bookmarkStart w:id="110" w:name="page111"/>
    <w:bookmarkEnd w:id="110"/>
    <w:p>
      <w:pPr>
        <w:jc w:val="both"/>
        <w:ind w:left="100" w:right="59"/>
        <w:spacing w:after="0" w:line="252" w:lineRule="auto"/>
        <w:rPr>
          <w:sz w:val="20"/>
          <w:szCs w:val="20"/>
          <w:color w:val="auto"/>
        </w:rPr>
      </w:pPr>
      <w:r>
        <w:rPr>
          <w:rFonts w:ascii="Arial" w:cs="Arial" w:eastAsia="Arial" w:hAnsi="Arial"/>
          <w:sz w:val="18"/>
          <w:szCs w:val="18"/>
          <w:color w:val="auto"/>
        </w:rPr>
        <w:t xml:space="preserve">Bank &amp; Trust and (b) each other Person that is or becomes a Revolving Lender, that, in the case of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agrees to act as an Issuing Bank hereunder pursuant to </w:t>
      </w:r>
      <w:r>
        <w:rPr>
          <w:rFonts w:ascii="Arial" w:cs="Arial" w:eastAsia="Arial" w:hAnsi="Arial"/>
          <w:sz w:val="18"/>
          <w:szCs w:val="18"/>
          <w:u w:val="single" w:color="auto"/>
          <w:color w:val="auto"/>
        </w:rPr>
        <w:t>Section 2.05(h)(ii)</w:t>
      </w:r>
      <w:r>
        <w:rPr>
          <w:rFonts w:ascii="Arial" w:cs="Arial" w:eastAsia="Arial" w:hAnsi="Arial"/>
          <w:sz w:val="18"/>
          <w:szCs w:val="18"/>
          <w:color w:val="auto"/>
        </w:rPr>
        <w:t xml:space="preserve">, and in the case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each such Person in its capacity as an issuer of Letters of Credit hereunder. Each Issuing Bank may, in its discretion, arrange for one or more Letters of Credit to be issued by any branch or Affiliate of such Issuing Bank, in which case the term “Issuing Bank” shall include any such branch or Affiliate with respect to Letters of Credit issued by such branch or Affiliate.</w:t>
      </w:r>
    </w:p>
    <w:p>
      <w:pPr>
        <w:spacing w:after="0" w:line="169"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Joinder Agreement</w:t>
      </w:r>
      <w:r>
        <w:rPr>
          <w:rFonts w:ascii="Arial" w:cs="Arial" w:eastAsia="Arial" w:hAnsi="Arial"/>
          <w:sz w:val="19"/>
          <w:szCs w:val="19"/>
          <w:color w:val="auto"/>
        </w:rPr>
        <w:t xml:space="preserve">” means a Joinder Agreement substantially in the form of </w:t>
      </w:r>
      <w:r>
        <w:rPr>
          <w:rFonts w:ascii="Arial" w:cs="Arial" w:eastAsia="Arial" w:hAnsi="Arial"/>
          <w:sz w:val="19"/>
          <w:szCs w:val="19"/>
          <w:u w:val="single" w:color="auto"/>
          <w:color w:val="auto"/>
        </w:rPr>
        <w:t>Exhibit K</w:t>
      </w:r>
      <w:r>
        <w:rPr>
          <w:rFonts w:ascii="Arial" w:cs="Arial" w:eastAsia="Arial" w:hAnsi="Arial"/>
          <w:sz w:val="19"/>
          <w:szCs w:val="19"/>
          <w:color w:val="auto"/>
        </w:rPr>
        <w:t xml:space="preserve"> or such other form that is reasonably satisfactory to the Administrative Agent and the Borrower; it being understood and agreed that any Joinder Agreement executed by any Foreign Subsidiary may include such modifications as may be necessary to reflect the fact that such Foreign Subsidiary may not become party to the Security Agreement.</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Judgment Currency</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9.25</w:t>
      </w:r>
      <w:r>
        <w:rPr>
          <w:rFonts w:ascii="Arial" w:cs="Arial" w:eastAsia="Arial" w:hAnsi="Arial"/>
          <w:sz w:val="19"/>
          <w:szCs w:val="19"/>
          <w:color w:val="auto"/>
        </w:rPr>
        <w:t>.</w:t>
      </w:r>
    </w:p>
    <w:p>
      <w:pPr>
        <w:spacing w:after="0" w:line="200" w:lineRule="exact"/>
        <w:rPr>
          <w:sz w:val="20"/>
          <w:szCs w:val="20"/>
          <w:color w:val="auto"/>
        </w:rPr>
      </w:pPr>
    </w:p>
    <w:p>
      <w:pPr>
        <w:jc w:val="both"/>
        <w:ind w:left="100" w:right="59" w:firstLine="74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Junior Lien Debt</w:t>
      </w:r>
      <w:r>
        <w:rPr>
          <w:rFonts w:ascii="Arial" w:cs="Arial" w:eastAsia="Arial" w:hAnsi="Arial"/>
          <w:sz w:val="19"/>
          <w:szCs w:val="19"/>
          <w:color w:val="auto"/>
        </w:rPr>
        <w:t>” means any Indebtedness (other than Indebtedness among Holdings, the Borrower and/or any of their respective subsidiaries) that is secured by a Lien on the Collateral that is expressly junior or subordinated to the Lien on the Collateral securing the Initial Term Loans and the Initial Revolving Loans.</w:t>
      </w:r>
    </w:p>
    <w:p>
      <w:pPr>
        <w:spacing w:after="0" w:line="179" w:lineRule="exact"/>
        <w:rPr>
          <w:sz w:val="20"/>
          <w:szCs w:val="20"/>
          <w:color w:val="auto"/>
        </w:rPr>
      </w:pPr>
    </w:p>
    <w:p>
      <w:pPr>
        <w:jc w:val="both"/>
        <w:ind w:left="100" w:right="59" w:firstLine="74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Junior Lien Intercreditor Agreement</w:t>
      </w:r>
      <w:r>
        <w:rPr>
          <w:rFonts w:ascii="Arial" w:cs="Arial" w:eastAsia="Arial" w:hAnsi="Arial"/>
          <w:sz w:val="19"/>
          <w:szCs w:val="19"/>
          <w:color w:val="auto"/>
        </w:rPr>
        <w:t xml:space="preserve">” means an intercreditor agreement substantially in the form of </w:t>
      </w:r>
      <w:r>
        <w:rPr>
          <w:rFonts w:ascii="Arial" w:cs="Arial" w:eastAsia="Arial" w:hAnsi="Arial"/>
          <w:sz w:val="19"/>
          <w:szCs w:val="19"/>
          <w:u w:val="single" w:color="auto"/>
          <w:color w:val="auto"/>
        </w:rPr>
        <w:t>Exhibit G</w:t>
      </w:r>
      <w:r>
        <w:rPr>
          <w:rFonts w:ascii="Arial" w:cs="Arial" w:eastAsia="Arial" w:hAnsi="Arial"/>
          <w:sz w:val="19"/>
          <w:szCs w:val="19"/>
          <w:color w:val="auto"/>
        </w:rPr>
        <w:t>, with any changes thereto (whether material or immaterial) as the Borrower and the Administrative Agent may agree in their respective reasonable discretion.</w:t>
      </w:r>
    </w:p>
    <w:p>
      <w:pPr>
        <w:spacing w:after="0" w:line="179" w:lineRule="exact"/>
        <w:rPr>
          <w:sz w:val="20"/>
          <w:szCs w:val="20"/>
          <w:color w:val="auto"/>
        </w:rPr>
      </w:pPr>
    </w:p>
    <w:p>
      <w:pPr>
        <w:jc w:val="both"/>
        <w:ind w:left="100" w:right="59" w:firstLine="74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Latest Maturity Date</w:t>
      </w:r>
      <w:r>
        <w:rPr>
          <w:rFonts w:ascii="Arial" w:cs="Arial" w:eastAsia="Arial" w:hAnsi="Arial"/>
          <w:sz w:val="19"/>
          <w:szCs w:val="19"/>
          <w:color w:val="auto"/>
        </w:rPr>
        <w:t>” means, as of any date of determination, the latest maturity or expiration date applicable to any Loan or commitment hereunder at such time, including the latest maturity or expiration date of any Term Loan, Term Commitment, Revolving Loan or Revolving Credit Commitment.</w:t>
      </w:r>
    </w:p>
    <w:p>
      <w:pPr>
        <w:spacing w:after="0" w:line="179" w:lineRule="exact"/>
        <w:rPr>
          <w:sz w:val="20"/>
          <w:szCs w:val="20"/>
          <w:color w:val="auto"/>
        </w:rPr>
      </w:pPr>
    </w:p>
    <w:p>
      <w:pPr>
        <w:ind w:left="100" w:right="1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Latest Revolving Credit Maturity Date</w:t>
      </w:r>
      <w:r>
        <w:rPr>
          <w:rFonts w:ascii="Arial" w:cs="Arial" w:eastAsia="Arial" w:hAnsi="Arial"/>
          <w:sz w:val="19"/>
          <w:szCs w:val="19"/>
          <w:color w:val="auto"/>
        </w:rPr>
        <w:t>” means, as of any date of determination, the latest maturity or expiration date applicable to any Revolving Loan or Revolving Credit Commitment hereunder at such time.</w:t>
      </w:r>
    </w:p>
    <w:p>
      <w:pPr>
        <w:spacing w:after="0" w:line="187" w:lineRule="exact"/>
        <w:rPr>
          <w:sz w:val="20"/>
          <w:szCs w:val="20"/>
          <w:color w:val="auto"/>
        </w:rPr>
      </w:pPr>
    </w:p>
    <w:p>
      <w:pPr>
        <w:ind w:left="100" w:right="9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Latest Term Loan Maturity Date</w:t>
      </w:r>
      <w:r>
        <w:rPr>
          <w:rFonts w:ascii="Arial" w:cs="Arial" w:eastAsia="Arial" w:hAnsi="Arial"/>
          <w:sz w:val="19"/>
          <w:szCs w:val="19"/>
          <w:color w:val="auto"/>
        </w:rPr>
        <w:t>” means, as of any date of determination, the latest maturity or expiration date applicable to any Term Loan hereunder at such time.</w:t>
      </w:r>
    </w:p>
    <w:p>
      <w:pPr>
        <w:spacing w:after="0" w:line="173"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Collateral Account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2.05(i)</w:t>
      </w:r>
      <w:r>
        <w:rPr>
          <w:rFonts w:ascii="Arial" w:cs="Arial" w:eastAsia="Arial" w:hAnsi="Arial"/>
          <w:sz w:val="19"/>
          <w:szCs w:val="19"/>
          <w:color w:val="auto"/>
        </w:rPr>
        <w:t>.</w:t>
      </w:r>
    </w:p>
    <w:p>
      <w:pPr>
        <w:spacing w:after="0" w:line="2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or disbursement made by an Issuing Bank pursuant to a Letter of Credit.</w:t>
      </w:r>
    </w:p>
    <w:p>
      <w:pPr>
        <w:spacing w:after="0" w:line="212" w:lineRule="exact"/>
        <w:rPr>
          <w:sz w:val="20"/>
          <w:szCs w:val="20"/>
          <w:color w:val="auto"/>
        </w:rPr>
      </w:pPr>
    </w:p>
    <w:p>
      <w:pPr>
        <w:jc w:val="both"/>
        <w:ind w:left="100" w:right="59" w:firstLine="74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Exposure</w:t>
      </w:r>
      <w:r>
        <w:rPr>
          <w:rFonts w:ascii="Arial" w:cs="Arial" w:eastAsia="Arial" w:hAnsi="Arial"/>
          <w:sz w:val="17"/>
          <w:szCs w:val="17"/>
          <w:color w:val="auto"/>
        </w:rPr>
        <w:t>” means, at any time, the sum of (a) the aggregate undrawn amount of all outstanding Letters of Credit (other than any Letter of Credit that is subject to Letter of Credit Support at such time) at such time and (b) the aggregate principal amount of all LC Disbursements that have not yet been reimbursed at such time. The LC Exposure of any Revolving Lender at any time shall equal its Applicable Revolving Credit Percentage of the aggregate LC Exposure at such time.</w:t>
      </w:r>
    </w:p>
    <w:p>
      <w:pPr>
        <w:spacing w:after="0" w:line="153" w:lineRule="exact"/>
        <w:rPr>
          <w:sz w:val="20"/>
          <w:szCs w:val="20"/>
          <w:color w:val="auto"/>
        </w:rPr>
      </w:pPr>
    </w:p>
    <w:p>
      <w:pPr>
        <w:ind w:left="100" w:right="9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Legal Reservations</w:t>
      </w:r>
      <w:r>
        <w:rPr>
          <w:rFonts w:ascii="Arial" w:cs="Arial" w:eastAsia="Arial" w:hAnsi="Arial"/>
          <w:sz w:val="19"/>
          <w:szCs w:val="19"/>
          <w:color w:val="auto"/>
        </w:rPr>
        <w:t>” means the application of the relevant Debtor Relief Laws, general principles of equity and/or principles of good faith and fair dealing.</w:t>
      </w:r>
    </w:p>
    <w:p>
      <w:pPr>
        <w:spacing w:after="0" w:line="187" w:lineRule="exact"/>
        <w:rPr>
          <w:sz w:val="20"/>
          <w:szCs w:val="20"/>
          <w:color w:val="auto"/>
        </w:rPr>
      </w:pPr>
    </w:p>
    <w:p>
      <w:pPr>
        <w:ind w:left="100" w:right="119" w:firstLine="749"/>
        <w:spacing w:after="0" w:line="30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Lenders</w:t>
      </w:r>
      <w:r>
        <w:rPr>
          <w:rFonts w:ascii="Arial" w:cs="Arial" w:eastAsia="Arial" w:hAnsi="Arial"/>
          <w:sz w:val="17"/>
          <w:szCs w:val="17"/>
          <w:color w:val="auto"/>
        </w:rPr>
        <w:t>” means the Term Lenders, the Revolving Lenders and any other Person that becomes a party hereto pursuant to an Assignment Agreement, other than any such Person that ceases to be a party hereto pursuant to an Assignment Agreement.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43</w:t>
      </w:r>
      <w:r>
        <w:rPr>
          <w:rFonts w:ascii="Arial" w:cs="Arial" w:eastAsia="Arial" w:hAnsi="Arial"/>
          <w:sz w:val="18"/>
          <w:szCs w:val="18"/>
          <w:u w:val="single" w:color="auto"/>
          <w:color w:val="0000FF"/>
          <w:strike w:val="1"/>
        </w:rPr>
        <w:t>43</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11" w:name="page112"/>
    <w:bookmarkEnd w:id="111"/>
    <w:p>
      <w:pPr>
        <w:jc w:val="both"/>
        <w:ind w:left="100" w:right="59" w:firstLine="749"/>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(or, in the case of any Existing Letter of Credit, deemed to be issued) pursuant to this Agreement (which, for the avoidance of doubt, shall exclude any Commercial Letter of Credit).</w:t>
      </w:r>
    </w:p>
    <w:p>
      <w:pPr>
        <w:spacing w:after="0" w:line="136" w:lineRule="exact"/>
        <w:rPr>
          <w:sz w:val="20"/>
          <w:szCs w:val="20"/>
          <w:color w:val="auto"/>
        </w:rPr>
      </w:pPr>
    </w:p>
    <w:p>
      <w:pPr>
        <w:jc w:val="both"/>
        <w:ind w:left="100" w:right="79" w:firstLine="74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Commitment</w:t>
      </w:r>
      <w:r>
        <w:rPr>
          <w:rFonts w:ascii="Arial" w:cs="Arial" w:eastAsia="Arial" w:hAnsi="Arial"/>
          <w:sz w:val="19"/>
          <w:szCs w:val="19"/>
          <w:color w:val="auto"/>
        </w:rPr>
        <w:t>” means with respect to each Issuing Bank, the commitment of such Issuing Bank to issue Letters of Credit in an aggregate amount to not exceed the amount set forth opposite such Person’s name on the Commitment Schedule.</w:t>
      </w:r>
    </w:p>
    <w:p>
      <w:pPr>
        <w:spacing w:after="0" w:line="7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Reimbursement Loan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2.05(d)(i)</w:t>
      </w:r>
      <w:r>
        <w:rPr>
          <w:rFonts w:ascii="Arial" w:cs="Arial" w:eastAsia="Arial" w:hAnsi="Arial"/>
          <w:sz w:val="18"/>
          <w:szCs w:val="18"/>
          <w:color w:val="auto"/>
        </w:rPr>
        <w:t>. “</w:t>
      </w:r>
      <w:r>
        <w:rPr>
          <w:rFonts w:ascii="Arial" w:cs="Arial" w:eastAsia="Arial" w:hAnsi="Arial"/>
          <w:sz w:val="18"/>
          <w:szCs w:val="18"/>
          <w:u w:val="single" w:color="auto"/>
          <w:color w:val="auto"/>
        </w:rPr>
        <w:t>Letter of Credit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9"/>
          <w:szCs w:val="19"/>
          <w:u w:val="single" w:color="auto"/>
          <w:color w:val="auto"/>
        </w:rPr>
        <w:t>Request</w:t>
      </w:r>
      <w:r>
        <w:rPr>
          <w:rFonts w:ascii="Arial" w:cs="Arial" w:eastAsia="Arial" w:hAnsi="Arial"/>
          <w:sz w:val="19"/>
          <w:szCs w:val="19"/>
          <w:color w:val="auto"/>
        </w:rPr>
        <w:t>” means a request by the Borrower for a new Letter of Credit or an</w:t>
      </w:r>
    </w:p>
    <w:p>
      <w:pPr>
        <w:spacing w:after="0" w:line="106" w:lineRule="exact"/>
        <w:rPr>
          <w:sz w:val="20"/>
          <w:szCs w:val="20"/>
          <w:color w:val="auto"/>
        </w:rPr>
      </w:pPr>
    </w:p>
    <w:p>
      <w:pPr>
        <w:jc w:val="both"/>
        <w:ind w:left="100" w:right="59"/>
        <w:spacing w:after="0" w:line="246" w:lineRule="auto"/>
        <w:rPr>
          <w:sz w:val="20"/>
          <w:szCs w:val="20"/>
          <w:color w:val="auto"/>
        </w:rPr>
      </w:pPr>
      <w:r>
        <w:rPr>
          <w:rFonts w:ascii="Arial" w:cs="Arial" w:eastAsia="Arial" w:hAnsi="Arial"/>
          <w:sz w:val="19"/>
          <w:szCs w:val="19"/>
          <w:color w:val="auto"/>
        </w:rPr>
        <w:t xml:space="preserve">amendment to any existing Letter of Credit in accordance with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and substantially in the form of </w:t>
      </w:r>
      <w:r>
        <w:rPr>
          <w:rFonts w:ascii="Arial" w:cs="Arial" w:eastAsia="Arial" w:hAnsi="Arial"/>
          <w:sz w:val="19"/>
          <w:szCs w:val="19"/>
          <w:u w:val="single" w:color="auto"/>
          <w:color w:val="auto"/>
        </w:rPr>
        <w:t>Exhibit N</w:t>
      </w:r>
      <w:r>
        <w:rPr>
          <w:rFonts w:ascii="Arial" w:cs="Arial" w:eastAsia="Arial" w:hAnsi="Arial"/>
          <w:sz w:val="19"/>
          <w:szCs w:val="19"/>
          <w:color w:val="auto"/>
        </w:rPr>
        <w:t xml:space="preserve"> or such other form that is reasonably satisfactory to the relevant Issuing Bank and the Borrower.</w:t>
      </w:r>
    </w:p>
    <w:p>
      <w:pPr>
        <w:spacing w:after="0" w:line="187"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Letter-of-Credit Right</w:t>
      </w:r>
      <w:r>
        <w:rPr>
          <w:rFonts w:ascii="Arial" w:cs="Arial" w:eastAsia="Arial" w:hAnsi="Arial"/>
          <w:sz w:val="19"/>
          <w:szCs w:val="19"/>
          <w:color w:val="auto"/>
        </w:rPr>
        <w:t>” has the meaning set forth in Article 9 of the UCC.</w:t>
      </w:r>
    </w:p>
    <w:p>
      <w:pPr>
        <w:spacing w:after="0" w:line="9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xml:space="preserve">” means $15,000,000, subject to increase in accordance with </w:t>
      </w:r>
      <w:r>
        <w:rPr>
          <w:rFonts w:ascii="Arial" w:cs="Arial" w:eastAsia="Arial" w:hAnsi="Arial"/>
          <w:sz w:val="18"/>
          <w:szCs w:val="18"/>
          <w:u w:val="single" w:color="auto"/>
          <w:color w:val="auto"/>
        </w:rPr>
        <w:t>Section 2.22</w:t>
      </w:r>
      <w:r>
        <w:rPr>
          <w:rFonts w:ascii="Arial" w:cs="Arial" w:eastAsia="Arial" w:hAnsi="Arial"/>
          <w:sz w:val="18"/>
          <w:szCs w:val="18"/>
          <w:color w:val="auto"/>
        </w:rPr>
        <w:t>. “</w:t>
      </w:r>
      <w:r>
        <w:rPr>
          <w:rFonts w:ascii="Arial" w:cs="Arial" w:eastAsia="Arial" w:hAnsi="Arial"/>
          <w:sz w:val="18"/>
          <w:szCs w:val="18"/>
          <w:u w:val="single" w:color="auto"/>
          <w:color w:val="auto"/>
        </w:rPr>
        <w:t>Letter of Credit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9"/>
          <w:szCs w:val="19"/>
          <w:u w:val="single" w:color="auto"/>
          <w:color w:val="auto"/>
        </w:rPr>
        <w:t>Support</w:t>
      </w:r>
      <w:r>
        <w:rPr>
          <w:rFonts w:ascii="Arial" w:cs="Arial" w:eastAsia="Arial" w:hAnsi="Arial"/>
          <w:sz w:val="19"/>
          <w:szCs w:val="19"/>
          <w:color w:val="auto"/>
        </w:rPr>
        <w:t>” means, with respect to any Letter of Credit, that (a) such Letter of Credit</w:t>
      </w:r>
    </w:p>
    <w:p>
      <w:pPr>
        <w:spacing w:after="0" w:line="106" w:lineRule="exact"/>
        <w:rPr>
          <w:sz w:val="20"/>
          <w:szCs w:val="20"/>
          <w:color w:val="auto"/>
        </w:rPr>
      </w:pPr>
    </w:p>
    <w:p>
      <w:pPr>
        <w:jc w:val="both"/>
        <w:ind w:left="100" w:right="19"/>
        <w:spacing w:after="0" w:line="234" w:lineRule="auto"/>
        <w:rPr>
          <w:sz w:val="20"/>
          <w:szCs w:val="20"/>
          <w:color w:val="auto"/>
        </w:rPr>
      </w:pPr>
      <w:r>
        <w:rPr>
          <w:rFonts w:ascii="Arial" w:cs="Arial" w:eastAsia="Arial" w:hAnsi="Arial"/>
          <w:sz w:val="19"/>
          <w:szCs w:val="19"/>
          <w:color w:val="auto"/>
        </w:rPr>
        <w:t>has been Cash collateralized in an amount equal to 100% of the face amount of such Letter of Credit, (b) a separate letter of credit has been issued in favor of the Issuing Bank (or its designee) with respect to such Letter of Credit pursuant to arrangements reasonably satisfactory to such Issuing Bank and in an amount equal to 100% of the face amount of the applicable Letter of Credit issued hereunder, (c) such Letter of Credit has been deemed reissued under another agreement in a manner reasonably acceptable to the applicable Issuing Bank or (d) other arrangements reasonably acceptable to the relevant Issuing Bank with respect to such Letter of Credit.</w:t>
      </w:r>
    </w:p>
    <w:p>
      <w:pPr>
        <w:spacing w:after="0" w:line="180" w:lineRule="exact"/>
        <w:rPr>
          <w:sz w:val="20"/>
          <w:szCs w:val="20"/>
          <w:color w:val="auto"/>
        </w:rPr>
      </w:pPr>
    </w:p>
    <w:p>
      <w:pPr>
        <w:jc w:val="both"/>
        <w:ind w:left="100" w:right="59" w:firstLine="749"/>
        <w:spacing w:after="0" w:line="241" w:lineRule="auto"/>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LIBO Rate</w:t>
      </w:r>
      <w:r>
        <w:rPr>
          <w:rFonts w:ascii="Arial" w:cs="Arial" w:eastAsia="Arial" w:hAnsi="Arial"/>
          <w:sz w:val="19"/>
          <w:szCs w:val="19"/>
          <w:color w:val="FF0000"/>
          <w:strike w:val="1"/>
        </w:rPr>
        <w:t xml:space="preserve">” means, the Published LIBO Rate, as adjusted to reflect applicable reserves prescr ibed by Governmental Author ities;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 xml:space="preserve"> that, solely with respect to the Initial Term Loans and the Initial Revolving Loans, in no event shall the LIBO Rate be less than 0.00% per annum.</w:t>
      </w:r>
    </w:p>
    <w:p>
      <w:pPr>
        <w:spacing w:after="0" w:line="260" w:lineRule="exact"/>
        <w:rPr>
          <w:sz w:val="20"/>
          <w:szCs w:val="20"/>
          <w:color w:val="auto"/>
        </w:rPr>
      </w:pPr>
    </w:p>
    <w:p>
      <w:pPr>
        <w:jc w:val="both"/>
        <w:ind w:left="100" w:right="59" w:firstLine="74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xml:space="preserve">” means any mortgage, pledge, hypothecation,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Capital Lease having substantially the same economic effect as any of the foregoing), in each case, in the nature of security;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 operating lease in and of itself be deemed to constitute a Lien.</w:t>
      </w:r>
    </w:p>
    <w:p>
      <w:pPr>
        <w:spacing w:after="0" w:line="172" w:lineRule="exact"/>
        <w:rPr>
          <w:sz w:val="20"/>
          <w:szCs w:val="20"/>
          <w:color w:val="auto"/>
        </w:rPr>
      </w:pPr>
    </w:p>
    <w:p>
      <w:pPr>
        <w:jc w:val="both"/>
        <w:ind w:left="100" w:right="59" w:firstLine="749"/>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any Promissory Note, each Loan Guaranty, the Collateral Documents, any Intercreditor Agreement (if any) to which the Borrower is a party, any Perfection Certificate, each Refinancing Amendment, each Incremental Facility Amendment, each Extension Amendment and any other document or instrument designated by the Borrower and the Administrative Agent as a “Loan Document”. Any reference in this Agreement or any other Loan Document to a Loan Document shall include all appendices, exhibits or schedules thereto.</w:t>
      </w:r>
    </w:p>
    <w:p>
      <w:pPr>
        <w:spacing w:after="0" w:line="173"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Guarantor</w:t>
      </w:r>
      <w:r>
        <w:rPr>
          <w:rFonts w:ascii="Arial" w:cs="Arial" w:eastAsia="Arial" w:hAnsi="Arial"/>
          <w:sz w:val="19"/>
          <w:szCs w:val="19"/>
          <w:color w:val="auto"/>
        </w:rPr>
        <w:t>” means (a) Holdings and (b) any Subsidiary Guarantor.</w:t>
      </w:r>
    </w:p>
    <w:p>
      <w:pPr>
        <w:spacing w:after="0" w:line="200" w:lineRule="exact"/>
        <w:rPr>
          <w:sz w:val="20"/>
          <w:szCs w:val="20"/>
          <w:color w:val="auto"/>
        </w:rPr>
      </w:pPr>
    </w:p>
    <w:p>
      <w:pPr>
        <w:jc w:val="both"/>
        <w:ind w:left="100" w:right="59" w:firstLine="749"/>
        <w:spacing w:after="0" w:line="32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Guaranty</w:t>
      </w:r>
      <w:r>
        <w:rPr>
          <w:rFonts w:ascii="Arial" w:cs="Arial" w:eastAsia="Arial" w:hAnsi="Arial"/>
          <w:sz w:val="17"/>
          <w:szCs w:val="17"/>
          <w:color w:val="auto"/>
        </w:rPr>
        <w:t xml:space="preserve">” means the Loan Guaranty, substantially in the form of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executed by each Loan Party thereto and the Administrative Agent for the benefit of the Secured Parties, as supplemented in accordance with the terms of </w:t>
      </w:r>
      <w:r>
        <w:rPr>
          <w:rFonts w:ascii="Arial" w:cs="Arial" w:eastAsia="Arial" w:hAnsi="Arial"/>
          <w:sz w:val="17"/>
          <w:szCs w:val="17"/>
          <w:u w:val="single" w:color="auto"/>
          <w:color w:val="auto"/>
        </w:rPr>
        <w:t>Section 5.12</w:t>
      </w:r>
      <w:r>
        <w:rPr>
          <w:rFonts w:ascii="Arial" w:cs="Arial" w:eastAsia="Arial" w:hAnsi="Arial"/>
          <w:sz w:val="17"/>
          <w:szCs w:val="17"/>
          <w:color w:val="auto"/>
        </w:rPr>
        <w:t>.</w:t>
      </w:r>
    </w:p>
    <w:p>
      <w:pPr>
        <w:spacing w:after="0" w:line="113"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Installment Date</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2.10(a)</w:t>
      </w:r>
      <w:r>
        <w:rPr>
          <w:rFonts w:ascii="Arial" w:cs="Arial" w:eastAsia="Arial" w:hAnsi="Arial"/>
          <w:sz w:val="19"/>
          <w:szCs w:val="19"/>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44</w:t>
      </w:r>
      <w:r>
        <w:rPr>
          <w:rFonts w:ascii="Arial" w:cs="Arial" w:eastAsia="Arial" w:hAnsi="Arial"/>
          <w:sz w:val="18"/>
          <w:szCs w:val="18"/>
          <w:u w:val="single" w:color="auto"/>
          <w:color w:val="0000FF"/>
          <w:strike w:val="1"/>
        </w:rPr>
        <w:t>44</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12" w:name="page113"/>
    <w:bookmarkEnd w:id="112"/>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Parties</w:t>
      </w:r>
      <w:r>
        <w:rPr>
          <w:rFonts w:ascii="Arial" w:cs="Arial" w:eastAsia="Arial" w:hAnsi="Arial"/>
          <w:sz w:val="19"/>
          <w:szCs w:val="19"/>
          <w:color w:val="auto"/>
        </w:rPr>
        <w:t>” means the Borrower and each Loan Guarantor.</w:t>
      </w:r>
    </w:p>
    <w:p>
      <w:pPr>
        <w:spacing w:after="0" w:line="214" w:lineRule="exact"/>
        <w:rPr>
          <w:sz w:val="20"/>
          <w:szCs w:val="20"/>
          <w:color w:val="auto"/>
        </w:rPr>
      </w:pPr>
    </w:p>
    <w:p>
      <w:pPr>
        <w:jc w:val="both"/>
        <w:ind w:left="100" w:right="7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Loans</w:t>
      </w:r>
      <w:r>
        <w:rPr>
          <w:rFonts w:ascii="Arial" w:cs="Arial" w:eastAsia="Arial" w:hAnsi="Arial"/>
          <w:sz w:val="19"/>
          <w:szCs w:val="19"/>
          <w:color w:val="auto"/>
        </w:rPr>
        <w:t>” means any Initial Term Loan, any Additional Term Loan, any Revolving Loan, any Swingline Loan or any Additional Revolving Loan.</w:t>
      </w:r>
    </w:p>
    <w:p>
      <w:pPr>
        <w:spacing w:after="0" w:line="173" w:lineRule="exact"/>
        <w:rPr>
          <w:sz w:val="20"/>
          <w:szCs w:val="20"/>
          <w:color w:val="auto"/>
        </w:rPr>
      </w:pPr>
    </w:p>
    <w:p>
      <w:pPr>
        <w:jc w:val="both"/>
        <w:ind w:left="100" w:right="59" w:firstLine="749"/>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Investors</w:t>
      </w:r>
      <w:r>
        <w:rPr>
          <w:rFonts w:ascii="Arial" w:cs="Arial" w:eastAsia="Arial" w:hAnsi="Arial"/>
          <w:sz w:val="18"/>
          <w:szCs w:val="18"/>
          <w:color w:val="auto"/>
        </w:rPr>
        <w:t>” means (a) Jason Krantz and (b) the current and former officers, directors, managers, employees and members of management of the Borrower, any Parent Company and/or any subsidiary of the Borrower.</w:t>
      </w:r>
    </w:p>
    <w:p>
      <w:pPr>
        <w:spacing w:after="0" w:line="136"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Margin Stock</w:t>
      </w:r>
      <w:r>
        <w:rPr>
          <w:rFonts w:ascii="Arial" w:cs="Arial" w:eastAsia="Arial" w:hAnsi="Arial"/>
          <w:sz w:val="19"/>
          <w:szCs w:val="19"/>
          <w:color w:val="auto"/>
        </w:rPr>
        <w:t>” has the meaning assigned to such term in Regulation U.</w:t>
      </w:r>
    </w:p>
    <w:p>
      <w:pPr>
        <w:spacing w:after="0" w:line="200" w:lineRule="exact"/>
        <w:rPr>
          <w:sz w:val="20"/>
          <w:szCs w:val="20"/>
          <w:color w:val="auto"/>
        </w:rPr>
      </w:pPr>
    </w:p>
    <w:p>
      <w:pPr>
        <w:ind w:left="100" w:right="499" w:firstLine="74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Acquisition</w:t>
      </w:r>
      <w:r>
        <w:rPr>
          <w:rFonts w:ascii="Arial" w:cs="Arial" w:eastAsia="Arial" w:hAnsi="Arial"/>
          <w:sz w:val="19"/>
          <w:szCs w:val="19"/>
          <w:color w:val="auto"/>
        </w:rPr>
        <w:t>” means an acquisition or other similar Investment with total consideration, including earn-out payments and other contingent payment obligations, in an amount not less than</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9"/>
          <w:szCs w:val="19"/>
          <w:color w:val="auto"/>
        </w:rPr>
        <w:t>$40,000,000.</w:t>
      </w:r>
    </w:p>
    <w:p>
      <w:pPr>
        <w:spacing w:after="0" w:line="184"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 material adverse effect on (i) the business, assets or financial condition, in each case, of the Borrower and its Restricted Subsidiaries, taken as a whole, (ii) the rights and remedies (taken as a whole) of the Administrative Agent under the applicable Loan Documents or (iii) the ability of the Loan Parties (taken as a whole) to perform their payment obligations under the applicable Loan Documents.</w:t>
      </w:r>
    </w:p>
    <w:p>
      <w:pPr>
        <w:spacing w:after="0" w:line="180" w:lineRule="exact"/>
        <w:rPr>
          <w:sz w:val="20"/>
          <w:szCs w:val="20"/>
          <w:color w:val="auto"/>
        </w:rPr>
      </w:pPr>
    </w:p>
    <w:p>
      <w:pPr>
        <w:jc w:val="both"/>
        <w:ind w:left="100" w:right="59" w:firstLine="74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Debt Instrument</w:t>
      </w:r>
      <w:r>
        <w:rPr>
          <w:rFonts w:ascii="Arial" w:cs="Arial" w:eastAsia="Arial" w:hAnsi="Arial"/>
          <w:sz w:val="19"/>
          <w:szCs w:val="19"/>
          <w:color w:val="auto"/>
        </w:rPr>
        <w:t>” means any physical instrument evidencing any Indebtedness for borrowed money owing from any Person other than any Loan Party which is required to be pledged and delivered to the Administrative Agent (or its bailee) pursuant to the Security Agreement.</w:t>
      </w:r>
    </w:p>
    <w:p>
      <w:pPr>
        <w:spacing w:after="0" w:line="179" w:lineRule="exact"/>
        <w:rPr>
          <w:sz w:val="20"/>
          <w:szCs w:val="20"/>
          <w:color w:val="auto"/>
        </w:rPr>
      </w:pPr>
    </w:p>
    <w:p>
      <w:pPr>
        <w:jc w:val="both"/>
        <w:ind w:left="100" w:right="59" w:firstLine="74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Intellectual Property</w:t>
      </w:r>
      <w:r>
        <w:rPr>
          <w:rFonts w:ascii="Arial" w:cs="Arial" w:eastAsia="Arial" w:hAnsi="Arial"/>
          <w:sz w:val="19"/>
          <w:szCs w:val="19"/>
          <w:color w:val="auto"/>
        </w:rPr>
        <w:t>” means any intellectual property owned by any Loan Party that is, in the good faith determination of the Borrower, material to the operation of the business of the Borrower and its Restricted Subsidiaries, taken as a whole.</w:t>
      </w:r>
    </w:p>
    <w:p>
      <w:pPr>
        <w:spacing w:after="0" w:line="179" w:lineRule="exact"/>
        <w:rPr>
          <w:sz w:val="20"/>
          <w:szCs w:val="20"/>
          <w:color w:val="auto"/>
        </w:rPr>
      </w:pPr>
    </w:p>
    <w:p>
      <w:pPr>
        <w:jc w:val="both"/>
        <w:ind w:left="100" w:right="59" w:firstLine="749"/>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(a) with respect to the Initial Revolving Facility, the Initial Revolving Credit Maturity Date, (b) with respect to the Initial Term Loans, the Initial Term Loan Maturity Date, (c) with respect to any Replacement Term Loan or Revolver Replacement Facility, the final maturity date for such Replacement Term Loan or Revolver Replacement Facility, as the case may be, as set forth in the applicable Refinancing Amendment, (d) with respect to any Incremental Facility, the final maturity date set forth in the applicable Incremental Facility Amendment, and (e) with respect to any Extended Revolving Credit Commitment or Extended Term Loans, the final maturity date set forth in the applicable Extension Amendment.</w:t>
      </w:r>
    </w:p>
    <w:p>
      <w:pPr>
        <w:spacing w:after="0" w:line="175"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Maximum Rate</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9.19</w:t>
      </w:r>
      <w:r>
        <w:rPr>
          <w:rFonts w:ascii="Arial" w:cs="Arial" w:eastAsia="Arial" w:hAnsi="Arial"/>
          <w:sz w:val="19"/>
          <w:szCs w:val="19"/>
          <w:color w:val="auto"/>
        </w:rPr>
        <w:t>.</w:t>
      </w:r>
    </w:p>
    <w:p>
      <w:pPr>
        <w:spacing w:after="0" w:line="295" w:lineRule="exact"/>
        <w:rPr>
          <w:sz w:val="20"/>
          <w:szCs w:val="20"/>
          <w:color w:val="auto"/>
        </w:rPr>
      </w:pPr>
    </w:p>
    <w:p>
      <w:pPr>
        <w:ind w:left="840" w:right="959"/>
        <w:spacing w:after="0" w:line="40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Minimum Extension Condition</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2.23(b)</w:t>
      </w:r>
      <w:r>
        <w:rPr>
          <w:rFonts w:ascii="Arial" w:cs="Arial" w:eastAsia="Arial" w:hAnsi="Arial"/>
          <w:sz w:val="19"/>
          <w:szCs w:val="19"/>
          <w:color w:val="auto"/>
        </w:rPr>
        <w:t>. “</w:t>
      </w:r>
      <w:r>
        <w:rPr>
          <w:rFonts w:ascii="Arial" w:cs="Arial" w:eastAsia="Arial" w:hAnsi="Arial"/>
          <w:sz w:val="19"/>
          <w:szCs w:val="19"/>
          <w:u w:val="single" w:color="auto"/>
          <w:color w:val="auto"/>
        </w:rPr>
        <w:t>Moody’s</w:t>
      </w:r>
      <w:r>
        <w:rPr>
          <w:rFonts w:ascii="Arial" w:cs="Arial" w:eastAsia="Arial" w:hAnsi="Arial"/>
          <w:sz w:val="19"/>
          <w:szCs w:val="19"/>
          <w:color w:val="auto"/>
        </w:rPr>
        <w:t>” means Moody’s Investors Service, Inc.</w:t>
      </w:r>
    </w:p>
    <w:p>
      <w:pPr>
        <w:spacing w:after="0" w:line="1"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Multiemployer Plan</w:t>
      </w:r>
      <w:r>
        <w:rPr>
          <w:rFonts w:ascii="Arial" w:cs="Arial" w:eastAsia="Arial" w:hAnsi="Arial"/>
          <w:sz w:val="19"/>
          <w:szCs w:val="19"/>
          <w:color w:val="auto"/>
        </w:rPr>
        <w:t>” means any employee benefit plan which is a “multiemployer plan” as defined in Section 3(37) of ERISA that is subject to the provisions of Title IV of ERISA, and in respect of which Holdings, the Borrower or any of its Restricted Subsidiaries, or any of their respective ERISA Affiliates, makes or is obligated to make contributions or with respect to which any of them has any ongoing obligation or liability, contingent or otherwise.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45</w:t>
      </w:r>
      <w:r>
        <w:rPr>
          <w:rFonts w:ascii="Arial" w:cs="Arial" w:eastAsia="Arial" w:hAnsi="Arial"/>
          <w:sz w:val="18"/>
          <w:szCs w:val="18"/>
          <w:u w:val="single" w:color="auto"/>
          <w:color w:val="0000FF"/>
          <w:strike w:val="1"/>
        </w:rPr>
        <w:t>45</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13" w:name="page114"/>
    <w:bookmarkEnd w:id="113"/>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Insurance/Condemnation Proceeds</w:t>
      </w:r>
      <w:r>
        <w:rPr>
          <w:rFonts w:ascii="Arial" w:cs="Arial" w:eastAsia="Arial" w:hAnsi="Arial"/>
          <w:sz w:val="19"/>
          <w:szCs w:val="19"/>
          <w:color w:val="auto"/>
        </w:rPr>
        <w:t>” means an amount equal to:</w:t>
      </w:r>
    </w:p>
    <w:p>
      <w:pPr>
        <w:spacing w:after="0" w:line="214" w:lineRule="exact"/>
        <w:rPr>
          <w:sz w:val="20"/>
          <w:szCs w:val="20"/>
          <w:color w:val="auto"/>
        </w:rPr>
      </w:pPr>
    </w:p>
    <w:p>
      <w:pPr>
        <w:jc w:val="both"/>
        <w:ind w:left="840" w:right="59" w:firstLine="751"/>
        <w:spacing w:after="0" w:line="276" w:lineRule="auto"/>
        <w:tabs>
          <w:tab w:leader="none" w:pos="2209"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any Cash payment or proceeds (including Cash Equivalents) received by the Borrower or any of its Restricted Subsidiaries (i) under any casualty insurance policy in respect of a covered loss thereunder of any asset of the Borrower or any of its Restricted Subsidiaries or (ii) as a result of the taking of any asset of the Borrower or any of its Restricted Subsidiaries by any Person pursuant to the power of eminent domain, condemnation or otherwise, or pursuant to a sale of any such assets to a purchaser with such power under threat of such a taking, in each case other than any amount that is attributable to business interruption and/or lost profit; </w:t>
      </w:r>
      <w:r>
        <w:rPr>
          <w:rFonts w:ascii="Arial" w:cs="Arial" w:eastAsia="Arial" w:hAnsi="Arial"/>
          <w:sz w:val="17"/>
          <w:szCs w:val="17"/>
          <w:u w:val="single" w:color="auto"/>
          <w:color w:val="auto"/>
        </w:rPr>
        <w:t>minus</w:t>
      </w:r>
    </w:p>
    <w:p>
      <w:pPr>
        <w:spacing w:after="0" w:line="244" w:lineRule="exact"/>
        <w:rPr>
          <w:rFonts w:ascii="Arial" w:cs="Arial" w:eastAsia="Arial" w:hAnsi="Arial"/>
          <w:sz w:val="17"/>
          <w:szCs w:val="17"/>
          <w:color w:val="auto"/>
        </w:rPr>
      </w:pPr>
    </w:p>
    <w:p>
      <w:pPr>
        <w:ind w:left="2340" w:hanging="748"/>
        <w:spacing w:after="0"/>
        <w:tabs>
          <w:tab w:leader="none" w:pos="2340"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sum of the following:</w:t>
      </w:r>
    </w:p>
    <w:p>
      <w:pPr>
        <w:spacing w:after="0" w:line="213" w:lineRule="exact"/>
        <w:rPr>
          <w:rFonts w:ascii="Arial" w:cs="Arial" w:eastAsia="Arial" w:hAnsi="Arial"/>
          <w:sz w:val="19"/>
          <w:szCs w:val="19"/>
          <w:color w:val="auto"/>
        </w:rPr>
      </w:pPr>
    </w:p>
    <w:p>
      <w:pPr>
        <w:jc w:val="both"/>
        <w:ind w:left="1600" w:right="59" w:firstLine="741"/>
        <w:spacing w:after="0" w:line="256" w:lineRule="auto"/>
        <w:tabs>
          <w:tab w:leader="none" w:pos="3063" w:val="left"/>
        </w:tabs>
        <w:numPr>
          <w:ilvl w:val="1"/>
          <w:numId w:val="82"/>
        </w:numPr>
        <w:rPr>
          <w:rFonts w:ascii="Arial" w:cs="Arial" w:eastAsia="Arial" w:hAnsi="Arial"/>
          <w:sz w:val="19"/>
          <w:szCs w:val="19"/>
          <w:color w:val="auto"/>
        </w:rPr>
      </w:pPr>
      <w:r>
        <w:rPr>
          <w:rFonts w:ascii="Arial" w:cs="Arial" w:eastAsia="Arial" w:hAnsi="Arial"/>
          <w:sz w:val="19"/>
          <w:szCs w:val="19"/>
          <w:color w:val="auto"/>
        </w:rPr>
        <w:t>any actual out-of-pocket cost and/or expense incurred by the Borrower or any of its Restricted Subsidiaries in connection with the adjustment, settlement or collection of any claims of the Borrower or the relevant Restricted Subsidiary in respect thereof;</w:t>
      </w:r>
    </w:p>
    <w:p>
      <w:pPr>
        <w:spacing w:after="0" w:line="178" w:lineRule="exact"/>
        <w:rPr>
          <w:rFonts w:ascii="Arial" w:cs="Arial" w:eastAsia="Arial" w:hAnsi="Arial"/>
          <w:sz w:val="19"/>
          <w:szCs w:val="19"/>
          <w:color w:val="auto"/>
        </w:rPr>
      </w:pPr>
    </w:p>
    <w:p>
      <w:pPr>
        <w:jc w:val="both"/>
        <w:ind w:left="1600" w:right="39" w:firstLine="741"/>
        <w:spacing w:after="0" w:line="283" w:lineRule="auto"/>
        <w:tabs>
          <w:tab w:leader="none" w:pos="3065" w:val="left"/>
        </w:tabs>
        <w:numPr>
          <w:ilvl w:val="1"/>
          <w:numId w:val="82"/>
        </w:numPr>
        <w:rPr>
          <w:rFonts w:ascii="Arial" w:cs="Arial" w:eastAsia="Arial" w:hAnsi="Arial"/>
          <w:sz w:val="17"/>
          <w:szCs w:val="17"/>
          <w:color w:val="auto"/>
        </w:rPr>
      </w:pPr>
      <w:r>
        <w:rPr>
          <w:rFonts w:ascii="Arial" w:cs="Arial" w:eastAsia="Arial" w:hAnsi="Arial"/>
          <w:sz w:val="17"/>
          <w:szCs w:val="17"/>
          <w:color w:val="auto"/>
        </w:rPr>
        <w:t>payment of the outstanding principal amount of, premium or penalty, if any, and interest and other amounts on any Indebtedness (other than the Loans and/or any after First Lien Debt and/or Junior Lien Debt) that is secured by a Lien on the assets in question and that is required to be repaid or otherwise comes due or would be in default under the terms thereof as a result of such loss, taking or sale;</w:t>
      </w:r>
    </w:p>
    <w:p>
      <w:pPr>
        <w:spacing w:after="0" w:line="158" w:lineRule="exact"/>
        <w:rPr>
          <w:rFonts w:ascii="Arial" w:cs="Arial" w:eastAsia="Arial" w:hAnsi="Arial"/>
          <w:sz w:val="17"/>
          <w:szCs w:val="17"/>
          <w:color w:val="auto"/>
        </w:rPr>
      </w:pPr>
    </w:p>
    <w:p>
      <w:pPr>
        <w:ind w:left="3060" w:hanging="719"/>
        <w:spacing w:after="0"/>
        <w:tabs>
          <w:tab w:leader="none" w:pos="30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reasonable out-of-pocket costs of putting any affected property in a safe and secure</w:t>
      </w:r>
    </w:p>
    <w:p>
      <w:pPr>
        <w:spacing w:after="0" w:line="25"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9"/>
          <w:szCs w:val="19"/>
          <w:color w:val="auto"/>
        </w:rPr>
        <w:t>position;</w:t>
      </w:r>
    </w:p>
    <w:p>
      <w:pPr>
        <w:spacing w:after="0" w:line="197" w:lineRule="exact"/>
        <w:rPr>
          <w:rFonts w:ascii="Arial" w:cs="Arial" w:eastAsia="Arial" w:hAnsi="Arial"/>
          <w:sz w:val="18"/>
          <w:szCs w:val="18"/>
          <w:color w:val="auto"/>
        </w:rPr>
      </w:pPr>
    </w:p>
    <w:p>
      <w:pPr>
        <w:jc w:val="both"/>
        <w:ind w:left="1600" w:right="19" w:firstLine="741"/>
        <w:spacing w:after="0" w:line="257" w:lineRule="auto"/>
        <w:tabs>
          <w:tab w:leader="none" w:pos="3066"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any selling costs and/or out-of-pocket expense (including reasonable broker’s fees or commissions, legal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 transfer and similar Taxes and the Borrower’s good faith estimate of income Taxes paid or payable (including pursuant to Tax sharing arrangements or any intercompany distribution)) in connection with any sale or taking of such assets as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definition; it being understood that the reduction of any net operating loss resulting from such Disposition shall be deemed to constitute an income Tax “paid or payable” for purposes of this </w:t>
      </w:r>
      <w:r>
        <w:rPr>
          <w:rFonts w:ascii="Arial" w:cs="Arial" w:eastAsia="Arial" w:hAnsi="Arial"/>
          <w:sz w:val="18"/>
          <w:szCs w:val="18"/>
          <w:u w:val="single" w:color="auto"/>
          <w:color w:val="auto"/>
        </w:rPr>
        <w:t>clause (iv)</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jc w:val="both"/>
        <w:ind w:left="1600" w:right="19" w:firstLine="741"/>
        <w:spacing w:after="0" w:line="283" w:lineRule="auto"/>
        <w:tabs>
          <w:tab w:leader="none" w:pos="3067" w:val="left"/>
        </w:tabs>
        <w:numPr>
          <w:ilvl w:val="1"/>
          <w:numId w:val="82"/>
        </w:numPr>
        <w:rPr>
          <w:rFonts w:ascii="Arial" w:cs="Arial" w:eastAsia="Arial" w:hAnsi="Arial"/>
          <w:sz w:val="17"/>
          <w:szCs w:val="17"/>
          <w:color w:val="auto"/>
        </w:rPr>
      </w:pPr>
      <w:r>
        <w:rPr>
          <w:rFonts w:ascii="Arial" w:cs="Arial" w:eastAsia="Arial" w:hAnsi="Arial"/>
          <w:sz w:val="17"/>
          <w:szCs w:val="17"/>
          <w:color w:val="auto"/>
        </w:rPr>
        <w:t xml:space="preserve">any amount provided as a reserve in accordance with GAAP against any liabilities under any indemnification obligation or purchase price adjustments associated with any sale or taking of such assets as referred to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this definition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and at the time any such amount is released from such reserve, such amounts shall constitute Net Insurance/Condemnation Proceeds); and</w:t>
      </w:r>
    </w:p>
    <w:p>
      <w:pPr>
        <w:spacing w:after="0" w:line="158" w:lineRule="exact"/>
        <w:rPr>
          <w:rFonts w:ascii="Arial" w:cs="Arial" w:eastAsia="Arial" w:hAnsi="Arial"/>
          <w:sz w:val="17"/>
          <w:szCs w:val="17"/>
          <w:color w:val="auto"/>
        </w:rPr>
      </w:pPr>
    </w:p>
    <w:p>
      <w:pPr>
        <w:jc w:val="both"/>
        <w:ind w:left="1600" w:right="39" w:firstLine="741"/>
        <w:spacing w:after="0" w:line="250" w:lineRule="auto"/>
        <w:tabs>
          <w:tab w:leader="none" w:pos="3063" w:val="left"/>
        </w:tabs>
        <w:numPr>
          <w:ilvl w:val="1"/>
          <w:numId w:val="82"/>
        </w:numPr>
        <w:rPr>
          <w:rFonts w:ascii="Arial" w:cs="Arial" w:eastAsia="Arial" w:hAnsi="Arial"/>
          <w:sz w:val="19"/>
          <w:szCs w:val="19"/>
          <w:color w:val="auto"/>
        </w:rPr>
      </w:pPr>
      <w:r>
        <w:rPr>
          <w:rFonts w:ascii="Arial" w:cs="Arial" w:eastAsia="Arial" w:hAnsi="Arial"/>
          <w:sz w:val="19"/>
          <w:szCs w:val="19"/>
          <w:color w:val="auto"/>
        </w:rPr>
        <w:t xml:space="preserve">in the case of any covered loss or taking from any non-Wholly-Owned Subsidiary, the pro rata portion thereof (calculated without regard to this </w:t>
      </w:r>
      <w:r>
        <w:rPr>
          <w:rFonts w:ascii="Arial" w:cs="Arial" w:eastAsia="Arial" w:hAnsi="Arial"/>
          <w:sz w:val="19"/>
          <w:szCs w:val="19"/>
          <w:u w:val="single" w:color="auto"/>
          <w:color w:val="auto"/>
        </w:rPr>
        <w:t>clause (vi)</w:t>
      </w:r>
      <w:r>
        <w:rPr>
          <w:rFonts w:ascii="Arial" w:cs="Arial" w:eastAsia="Arial" w:hAnsi="Arial"/>
          <w:sz w:val="19"/>
          <w:szCs w:val="19"/>
          <w:color w:val="auto"/>
        </w:rPr>
        <w:t>) attributable to minority interests and not available for distribution to or for the account of the Borrower or a Wholly-Owned Subsidiary as a result thereof.</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Proceeds</w:t>
      </w:r>
      <w:r>
        <w:rPr>
          <w:rFonts w:ascii="Arial" w:cs="Arial" w:eastAsia="Arial" w:hAnsi="Arial"/>
          <w:sz w:val="19"/>
          <w:szCs w:val="19"/>
          <w:color w:val="auto"/>
        </w:rPr>
        <w:t>” means:</w:t>
      </w:r>
    </w:p>
    <w:p>
      <w:pPr>
        <w:spacing w:after="0" w:line="200" w:lineRule="exact"/>
        <w:rPr>
          <w:sz w:val="20"/>
          <w:szCs w:val="20"/>
          <w:color w:val="auto"/>
        </w:rPr>
      </w:pPr>
    </w:p>
    <w:p>
      <w:pPr>
        <w:jc w:val="both"/>
        <w:ind w:left="840" w:right="59" w:firstLine="751"/>
        <w:spacing w:after="0" w:line="249" w:lineRule="auto"/>
        <w:tabs>
          <w:tab w:leader="none" w:pos="2209" w:val="left"/>
        </w:tabs>
        <w:numPr>
          <w:ilvl w:val="0"/>
          <w:numId w:val="83"/>
        </w:numPr>
        <w:rPr>
          <w:rFonts w:ascii="Arial" w:cs="Arial" w:eastAsia="Arial" w:hAnsi="Arial"/>
          <w:sz w:val="19"/>
          <w:szCs w:val="19"/>
          <w:color w:val="auto"/>
        </w:rPr>
      </w:pPr>
      <w:r>
        <w:rPr>
          <w:rFonts w:ascii="Arial" w:cs="Arial" w:eastAsia="Arial" w:hAnsi="Arial"/>
          <w:sz w:val="19"/>
          <w:szCs w:val="19"/>
          <w:color w:val="auto"/>
        </w:rPr>
        <w:t>with respect to any Disposition (including any Prepayment Asset Sale), the Cash proceeds (including Cash Equivalents and Cash proceeds subsequently received (as and when received) in respect of non-cash consideration initially received), net of:</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46</w:t>
      </w:r>
      <w:r>
        <w:rPr>
          <w:rFonts w:ascii="Arial" w:cs="Arial" w:eastAsia="Arial" w:hAnsi="Arial"/>
          <w:sz w:val="18"/>
          <w:szCs w:val="18"/>
          <w:u w:val="single" w:color="auto"/>
          <w:color w:val="0000FF"/>
          <w:strike w:val="1"/>
        </w:rPr>
        <w:t>46</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14" w:name="page115"/>
    <w:bookmarkEnd w:id="114"/>
    <w:p>
      <w:pPr>
        <w:jc w:val="both"/>
        <w:ind w:left="1600" w:right="19" w:firstLine="741"/>
        <w:spacing w:after="0" w:line="275" w:lineRule="auto"/>
        <w:tabs>
          <w:tab w:leader="none" w:pos="3065" w:val="left"/>
        </w:tabs>
        <w:numPr>
          <w:ilvl w:val="1"/>
          <w:numId w:val="84"/>
        </w:numPr>
        <w:rPr>
          <w:rFonts w:ascii="Arial" w:cs="Arial" w:eastAsia="Arial" w:hAnsi="Arial"/>
          <w:sz w:val="17"/>
          <w:szCs w:val="17"/>
          <w:color w:val="auto"/>
        </w:rPr>
      </w:pPr>
      <w:r>
        <w:rPr>
          <w:rFonts w:ascii="Arial" w:cs="Arial" w:eastAsia="Arial" w:hAnsi="Arial"/>
          <w:sz w:val="17"/>
          <w:szCs w:val="17"/>
          <w:color w:val="auto"/>
        </w:rPr>
        <w:t xml:space="preserve">selling costs and out-of-pocket expenses (including reasonable broker’s fees or commissions, legal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 and transfer and similar Taxes and the Borrower’s good faith estimate of income Taxes paid or payable (including pursuant to any Tax sharing arrangement and/or any intercompany distribution) in connection with such Disposition); it being understood that the reduction in the amount of any net operating loss resulting from such Disposition shall be deemed to constitute an income Tax “paid or payable” for purposes of this </w:t>
      </w:r>
      <w:r>
        <w:rPr>
          <w:rFonts w:ascii="Arial" w:cs="Arial" w:eastAsia="Arial" w:hAnsi="Arial"/>
          <w:sz w:val="17"/>
          <w:szCs w:val="17"/>
          <w:u w:val="single" w:color="auto"/>
          <w:color w:val="auto"/>
        </w:rPr>
        <w:t>clause (i)</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left="1600" w:right="39" w:firstLine="741"/>
        <w:spacing w:after="0" w:line="245" w:lineRule="auto"/>
        <w:tabs>
          <w:tab w:leader="none" w:pos="3064" w:val="left"/>
        </w:tabs>
        <w:numPr>
          <w:ilvl w:val="1"/>
          <w:numId w:val="84"/>
        </w:numPr>
        <w:rPr>
          <w:rFonts w:ascii="Arial" w:cs="Arial" w:eastAsia="Arial" w:hAnsi="Arial"/>
          <w:sz w:val="19"/>
          <w:szCs w:val="19"/>
          <w:color w:val="auto"/>
        </w:rPr>
      </w:pPr>
      <w:r>
        <w:rPr>
          <w:rFonts w:ascii="Arial" w:cs="Arial" w:eastAsia="Arial" w:hAnsi="Arial"/>
          <w:sz w:val="19"/>
          <w:szCs w:val="19"/>
          <w:color w:val="auto"/>
        </w:rPr>
        <w:t>amounts provided as a reserve in accordance with GAAP against any liabilities under any indemnification obligation or purchase price adjustment associated with such Disposition (provided that to the extent and at the time any such amount is released from such reserve, such amounts shall constitute Net Proceeds);</w:t>
      </w:r>
    </w:p>
    <w:p>
      <w:pPr>
        <w:spacing w:after="0" w:line="187" w:lineRule="exact"/>
        <w:rPr>
          <w:rFonts w:ascii="Arial" w:cs="Arial" w:eastAsia="Arial" w:hAnsi="Arial"/>
          <w:sz w:val="19"/>
          <w:szCs w:val="19"/>
          <w:color w:val="auto"/>
        </w:rPr>
      </w:pPr>
    </w:p>
    <w:p>
      <w:pPr>
        <w:jc w:val="both"/>
        <w:ind w:left="1600" w:right="19" w:firstLine="741"/>
        <w:spacing w:after="0" w:line="246" w:lineRule="auto"/>
        <w:tabs>
          <w:tab w:leader="none" w:pos="3066" w:val="left"/>
        </w:tabs>
        <w:numPr>
          <w:ilvl w:val="1"/>
          <w:numId w:val="84"/>
        </w:numPr>
        <w:rPr>
          <w:rFonts w:ascii="Arial" w:cs="Arial" w:eastAsia="Arial" w:hAnsi="Arial"/>
          <w:sz w:val="19"/>
          <w:szCs w:val="19"/>
          <w:color w:val="auto"/>
        </w:rPr>
      </w:pPr>
      <w:r>
        <w:rPr>
          <w:rFonts w:ascii="Arial" w:cs="Arial" w:eastAsia="Arial" w:hAnsi="Arial"/>
          <w:sz w:val="19"/>
          <w:szCs w:val="19"/>
          <w:color w:val="auto"/>
        </w:rPr>
        <w:t>the principal amount, premium or penalty, if any, interest and other amounts on any Indebtedness (other than the Loans and any other Indebtedness that constitutes First Lien Debt or Junior Lien Debt) which is secured by the asset sold in such Disposition and which is required to be repaid or otherwise comes due or would be in default and is repaid (other than any such Indebtedness that is assumed by the purchaser of such asset);</w:t>
      </w:r>
    </w:p>
    <w:p>
      <w:pPr>
        <w:spacing w:after="0" w:line="189" w:lineRule="exact"/>
        <w:rPr>
          <w:rFonts w:ascii="Arial" w:cs="Arial" w:eastAsia="Arial" w:hAnsi="Arial"/>
          <w:sz w:val="19"/>
          <w:szCs w:val="19"/>
          <w:color w:val="auto"/>
        </w:rPr>
      </w:pPr>
    </w:p>
    <w:p>
      <w:pPr>
        <w:ind w:left="1600" w:right="59" w:firstLine="741"/>
        <w:spacing w:after="0" w:line="261" w:lineRule="auto"/>
        <w:tabs>
          <w:tab w:leader="none" w:pos="3063" w:val="left"/>
        </w:tabs>
        <w:numPr>
          <w:ilvl w:val="1"/>
          <w:numId w:val="84"/>
        </w:numPr>
        <w:rPr>
          <w:rFonts w:ascii="Arial" w:cs="Arial" w:eastAsia="Arial" w:hAnsi="Arial"/>
          <w:sz w:val="19"/>
          <w:szCs w:val="19"/>
          <w:color w:val="auto"/>
        </w:rPr>
      </w:pPr>
      <w:r>
        <w:rPr>
          <w:rFonts w:ascii="Arial" w:cs="Arial" w:eastAsia="Arial" w:hAnsi="Arial"/>
          <w:sz w:val="19"/>
          <w:szCs w:val="19"/>
          <w:color w:val="auto"/>
        </w:rPr>
        <w:t>any Cash escrow (until released from escrow to the Borrower or any of its Restricted Subsidiaries) from the sale price for such Disposition;</w:t>
      </w:r>
    </w:p>
    <w:p>
      <w:pPr>
        <w:spacing w:after="0" w:line="172" w:lineRule="exact"/>
        <w:rPr>
          <w:rFonts w:ascii="Arial" w:cs="Arial" w:eastAsia="Arial" w:hAnsi="Arial"/>
          <w:sz w:val="19"/>
          <w:szCs w:val="19"/>
          <w:color w:val="auto"/>
        </w:rPr>
      </w:pPr>
    </w:p>
    <w:p>
      <w:pPr>
        <w:jc w:val="both"/>
        <w:ind w:left="1600" w:right="39" w:firstLine="741"/>
        <w:spacing w:after="0" w:line="245" w:lineRule="auto"/>
        <w:tabs>
          <w:tab w:leader="none" w:pos="3064" w:val="left"/>
        </w:tabs>
        <w:numPr>
          <w:ilvl w:val="1"/>
          <w:numId w:val="84"/>
        </w:numPr>
        <w:rPr>
          <w:rFonts w:ascii="Arial" w:cs="Arial" w:eastAsia="Arial" w:hAnsi="Arial"/>
          <w:sz w:val="19"/>
          <w:szCs w:val="19"/>
          <w:color w:val="auto"/>
        </w:rPr>
      </w:pPr>
      <w:r>
        <w:rPr>
          <w:rFonts w:ascii="Arial" w:cs="Arial" w:eastAsia="Arial" w:hAnsi="Arial"/>
          <w:sz w:val="19"/>
          <w:szCs w:val="19"/>
          <w:color w:val="auto"/>
        </w:rPr>
        <w:t xml:space="preserve">in the case of any Disposition by any non-Wholly-Owned Subsidiary, the pro rata portion of the Net Proceeds thereof (calculated without regard to this </w:t>
      </w:r>
      <w:r>
        <w:rPr>
          <w:rFonts w:ascii="Arial" w:cs="Arial" w:eastAsia="Arial" w:hAnsi="Arial"/>
          <w:sz w:val="19"/>
          <w:szCs w:val="19"/>
          <w:u w:val="single" w:color="auto"/>
          <w:color w:val="auto"/>
        </w:rPr>
        <w:t>clause (v)</w:t>
      </w:r>
      <w:r>
        <w:rPr>
          <w:rFonts w:ascii="Arial" w:cs="Arial" w:eastAsia="Arial" w:hAnsi="Arial"/>
          <w:sz w:val="19"/>
          <w:szCs w:val="19"/>
          <w:color w:val="auto"/>
        </w:rPr>
        <w:t>) that is attributable to any minority interest and not available for distribution to or for the account of the Borrower or a Wholly-Owned Subsidiary as a result thereof; and</w:t>
      </w:r>
    </w:p>
    <w:p>
      <w:pPr>
        <w:spacing w:after="0" w:line="187" w:lineRule="exact"/>
        <w:rPr>
          <w:rFonts w:ascii="Arial" w:cs="Arial" w:eastAsia="Arial" w:hAnsi="Arial"/>
          <w:sz w:val="19"/>
          <w:szCs w:val="19"/>
          <w:color w:val="auto"/>
        </w:rPr>
      </w:pPr>
    </w:p>
    <w:p>
      <w:pPr>
        <w:ind w:left="1600" w:right="59" w:firstLine="741"/>
        <w:spacing w:after="0" w:line="261" w:lineRule="auto"/>
        <w:tabs>
          <w:tab w:leader="none" w:pos="3063" w:val="left"/>
        </w:tabs>
        <w:numPr>
          <w:ilvl w:val="1"/>
          <w:numId w:val="84"/>
        </w:numPr>
        <w:rPr>
          <w:rFonts w:ascii="Arial" w:cs="Arial" w:eastAsia="Arial" w:hAnsi="Arial"/>
          <w:sz w:val="19"/>
          <w:szCs w:val="19"/>
          <w:color w:val="auto"/>
        </w:rPr>
      </w:pPr>
      <w:r>
        <w:rPr>
          <w:rFonts w:ascii="Arial" w:cs="Arial" w:eastAsia="Arial" w:hAnsi="Arial"/>
          <w:sz w:val="19"/>
          <w:szCs w:val="19"/>
          <w:color w:val="auto"/>
        </w:rPr>
        <w:t>any amount used to repay or return any customer deposit required to be repaid or returned as a result of such Disposition; and</w:t>
      </w:r>
    </w:p>
    <w:p>
      <w:pPr>
        <w:spacing w:after="0" w:line="172" w:lineRule="exact"/>
        <w:rPr>
          <w:rFonts w:ascii="Arial" w:cs="Arial" w:eastAsia="Arial" w:hAnsi="Arial"/>
          <w:sz w:val="19"/>
          <w:szCs w:val="19"/>
          <w:color w:val="auto"/>
        </w:rPr>
      </w:pPr>
    </w:p>
    <w:p>
      <w:pPr>
        <w:jc w:val="both"/>
        <w:ind w:left="840" w:right="19" w:firstLine="752"/>
        <w:spacing w:after="0" w:line="268" w:lineRule="auto"/>
        <w:tabs>
          <w:tab w:leader="none" w:pos="2212" w:val="left"/>
        </w:tabs>
        <w:numPr>
          <w:ilvl w:val="0"/>
          <w:numId w:val="85"/>
        </w:numPr>
        <w:rPr>
          <w:rFonts w:ascii="Arial" w:cs="Arial" w:eastAsia="Arial" w:hAnsi="Arial"/>
          <w:sz w:val="18"/>
          <w:szCs w:val="18"/>
          <w:color w:val="auto"/>
        </w:rPr>
      </w:pPr>
      <w:r>
        <w:rPr>
          <w:rFonts w:ascii="Arial" w:cs="Arial" w:eastAsia="Arial" w:hAnsi="Arial"/>
          <w:sz w:val="18"/>
          <w:szCs w:val="18"/>
          <w:color w:val="auto"/>
        </w:rPr>
        <w:t>with respect to any issuance or incurrence of Indebtedness, issuance of Capital Stock and/or any contribution in respect of any Capital Stock, the Cash proceeds thereof, net of all Taxes and customary fees, commissions, costs, underwriting discounts and other fees and expenses incurred in connection therewith, including any cost associated with the unwinding of any Hedge Agreement in connection with such Indebtedness.</w:t>
      </w:r>
    </w:p>
    <w:p>
      <w:pPr>
        <w:spacing w:after="0" w:line="169"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Short Lender</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9.02(e)</w:t>
      </w:r>
      <w:r>
        <w:rPr>
          <w:rFonts w:ascii="Arial" w:cs="Arial" w:eastAsia="Arial" w:hAnsi="Arial"/>
          <w:sz w:val="19"/>
          <w:szCs w:val="19"/>
          <w:color w:val="auto"/>
        </w:rPr>
        <w:t>.</w:t>
      </w:r>
    </w:p>
    <w:p>
      <w:pPr>
        <w:spacing w:after="0" w:line="200" w:lineRule="exact"/>
        <w:rPr>
          <w:sz w:val="20"/>
          <w:szCs w:val="20"/>
          <w:color w:val="auto"/>
        </w:rPr>
      </w:pPr>
    </w:p>
    <w:p>
      <w:pPr>
        <w:ind w:left="100" w:right="9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Non-Debt Fund Affiliate</w:t>
      </w:r>
      <w:r>
        <w:rPr>
          <w:rFonts w:ascii="Arial" w:cs="Arial" w:eastAsia="Arial" w:hAnsi="Arial"/>
          <w:sz w:val="19"/>
          <w:szCs w:val="19"/>
          <w:color w:val="auto"/>
        </w:rPr>
        <w:t>” means any Investor (which is an Affiliate of Holdings) and any Affiliate of any such Investor, other than any Debt Fund Affiliate.</w:t>
      </w:r>
    </w:p>
    <w:p>
      <w:pPr>
        <w:spacing w:after="0" w:line="7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Revolving Lenders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2.21(d)(i)</w:t>
      </w:r>
      <w:r>
        <w:rPr>
          <w:rFonts w:ascii="Arial" w:cs="Arial" w:eastAsia="Arial" w:hAnsi="Arial"/>
          <w:sz w:val="18"/>
          <w:szCs w:val="18"/>
          <w:color w:val="auto"/>
        </w:rPr>
        <w:t>. “</w:t>
      </w:r>
      <w:r>
        <w:rPr>
          <w:rFonts w:ascii="Arial" w:cs="Arial" w:eastAsia="Arial" w:hAnsi="Arial"/>
          <w:sz w:val="18"/>
          <w:szCs w:val="18"/>
          <w:u w:val="single" w:color="auto"/>
          <w:color w:val="auto"/>
        </w:rPr>
        <w:t>Notice of Loan</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9"/>
          <w:szCs w:val="19"/>
          <w:u w:val="single" w:color="auto"/>
          <w:color w:val="auto"/>
        </w:rPr>
        <w:t>Prepayment</w:t>
      </w:r>
      <w:r>
        <w:rPr>
          <w:rFonts w:ascii="Arial" w:cs="Arial" w:eastAsia="Arial" w:hAnsi="Arial"/>
          <w:sz w:val="19"/>
          <w:szCs w:val="19"/>
          <w:color w:val="auto"/>
        </w:rPr>
        <w:t>” means a notice of prepayment with respect to a Loan, which shall be</w:t>
      </w:r>
    </w:p>
    <w:p>
      <w:pPr>
        <w:spacing w:after="0" w:line="106" w:lineRule="exact"/>
        <w:rPr>
          <w:sz w:val="20"/>
          <w:szCs w:val="20"/>
          <w:color w:val="auto"/>
        </w:rPr>
      </w:pPr>
    </w:p>
    <w:p>
      <w:pPr>
        <w:jc w:val="both"/>
        <w:ind w:left="100" w:right="19"/>
        <w:spacing w:after="0" w:line="241" w:lineRule="auto"/>
        <w:rPr>
          <w:sz w:val="20"/>
          <w:szCs w:val="20"/>
          <w:color w:val="auto"/>
        </w:rPr>
      </w:pPr>
      <w:r>
        <w:rPr>
          <w:rFonts w:ascii="Arial" w:cs="Arial" w:eastAsia="Arial" w:hAnsi="Arial"/>
          <w:sz w:val="19"/>
          <w:szCs w:val="19"/>
          <w:color w:val="auto"/>
        </w:rPr>
        <w:t xml:space="preserve">substantially in the form of </w:t>
      </w:r>
      <w:r>
        <w:rPr>
          <w:rFonts w:ascii="Arial" w:cs="Arial" w:eastAsia="Arial" w:hAnsi="Arial"/>
          <w:sz w:val="19"/>
          <w:szCs w:val="19"/>
          <w:u w:val="single" w:color="auto"/>
          <w:color w:val="auto"/>
        </w:rPr>
        <w:t>Exhibit Q</w:t>
      </w:r>
      <w:r>
        <w:rPr>
          <w:rFonts w:ascii="Arial" w:cs="Arial" w:eastAsia="Arial" w:hAnsi="Arial"/>
          <w:sz w:val="19"/>
          <w:szCs w:val="19"/>
          <w:color w:val="auto"/>
        </w:rPr>
        <w:t xml:space="preserve"> or such other form as may be approved by the Administrative Agent and the Borrower (including any form on an electronic platform or electronic transmission system as shall be approved by the Administrative Agent and the Borrower), appropriately completed and signed by a Responsible Officer.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47</w:t>
      </w:r>
      <w:r>
        <w:rPr>
          <w:rFonts w:ascii="Arial" w:cs="Arial" w:eastAsia="Arial" w:hAnsi="Arial"/>
          <w:sz w:val="18"/>
          <w:szCs w:val="18"/>
          <w:u w:val="single" w:color="auto"/>
          <w:color w:val="0000FF"/>
          <w:strike w:val="1"/>
        </w:rPr>
        <w:t>47</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15" w:name="page116"/>
    <w:bookmarkEnd w:id="115"/>
    <w:p>
      <w:pPr>
        <w:jc w:val="both"/>
        <w:ind w:left="100" w:right="59" w:firstLine="749"/>
        <w:spacing w:after="0" w:line="23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 Otherwise Applied</w:t>
      </w:r>
      <w:r>
        <w:rPr>
          <w:rFonts w:ascii="Arial" w:cs="Arial" w:eastAsia="Arial" w:hAnsi="Arial"/>
          <w:sz w:val="19"/>
          <w:szCs w:val="19"/>
          <w:color w:val="auto"/>
        </w:rPr>
        <w:t xml:space="preserve">” means, with respect to the proceeds of the issuance of Qualified Capital Stock or contribution with respect to Qualified Capital Stock, that as of any date of determination such proceeds have not previously been applied to permit a transaction in reliance on </w:t>
      </w:r>
      <w:r>
        <w:rPr>
          <w:rFonts w:ascii="Arial" w:cs="Arial" w:eastAsia="Arial" w:hAnsi="Arial"/>
          <w:sz w:val="19"/>
          <w:szCs w:val="19"/>
          <w:u w:val="single" w:color="auto"/>
          <w:color w:val="auto"/>
        </w:rPr>
        <w:t>Sections 6.04(a)(ii)(B)</w:t>
      </w:r>
      <w:r>
        <w:rPr>
          <w:rFonts w:ascii="Arial" w:cs="Arial" w:eastAsia="Arial" w:hAnsi="Arial"/>
          <w:sz w:val="19"/>
          <w:szCs w:val="19"/>
          <w:color w:val="auto"/>
        </w:rPr>
        <w:t xml:space="preserve">, </w:t>
      </w:r>
      <w:r>
        <w:rPr>
          <w:rFonts w:ascii="Arial" w:cs="Arial" w:eastAsia="Arial" w:hAnsi="Arial"/>
          <w:sz w:val="19"/>
          <w:szCs w:val="19"/>
          <w:u w:val="single" w:color="auto"/>
          <w:color w:val="auto"/>
        </w:rPr>
        <w:t>(a)(iii)(A)</w:t>
      </w:r>
      <w:r>
        <w:rPr>
          <w:rFonts w:ascii="Arial" w:cs="Arial" w:eastAsia="Arial" w:hAnsi="Arial"/>
          <w:sz w:val="19"/>
          <w:szCs w:val="19"/>
          <w:color w:val="auto"/>
        </w:rPr>
        <w:t xml:space="preserve"> (to the extent a Restricted Payment is made in reliance on </w:t>
      </w:r>
      <w:r>
        <w:rPr>
          <w:rFonts w:ascii="Arial" w:cs="Arial" w:eastAsia="Arial" w:hAnsi="Arial"/>
          <w:sz w:val="19"/>
          <w:szCs w:val="19"/>
          <w:u w:val="single" w:color="auto"/>
          <w:color w:val="auto"/>
        </w:rPr>
        <w:t>clause (a)(iii)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(a)(xiv)</w:t>
      </w:r>
      <w:r>
        <w:rPr>
          <w:rFonts w:ascii="Arial" w:cs="Arial" w:eastAsia="Arial" w:hAnsi="Arial"/>
          <w:sz w:val="19"/>
          <w:szCs w:val="19"/>
          <w:color w:val="auto"/>
        </w:rPr>
        <w:t xml:space="preserve"> of the definition of “Available Amount”), </w:t>
      </w:r>
      <w:r>
        <w:rPr>
          <w:rFonts w:ascii="Arial" w:cs="Arial" w:eastAsia="Arial" w:hAnsi="Arial"/>
          <w:sz w:val="19"/>
          <w:szCs w:val="19"/>
          <w:u w:val="single" w:color="auto"/>
          <w:color w:val="auto"/>
        </w:rPr>
        <w:t>6.04(a)(iii)(B) 6.04(a)(viii)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6.04(b)(v)</w:t>
      </w:r>
      <w:r>
        <w:rPr>
          <w:rFonts w:ascii="Arial" w:cs="Arial" w:eastAsia="Arial" w:hAnsi="Arial"/>
          <w:sz w:val="19"/>
          <w:szCs w:val="19"/>
          <w:color w:val="auto"/>
        </w:rPr>
        <w:t xml:space="preserve">, </w:t>
      </w:r>
      <w:r>
        <w:rPr>
          <w:rFonts w:ascii="Arial" w:cs="Arial" w:eastAsia="Arial" w:hAnsi="Arial"/>
          <w:sz w:val="19"/>
          <w:szCs w:val="19"/>
          <w:u w:val="single" w:color="auto"/>
          <w:color w:val="auto"/>
        </w:rPr>
        <w:t>(b)(vi)(A)</w:t>
      </w:r>
      <w:r>
        <w:rPr>
          <w:rFonts w:ascii="Arial" w:cs="Arial" w:eastAsia="Arial" w:hAnsi="Arial"/>
          <w:sz w:val="19"/>
          <w:szCs w:val="19"/>
          <w:color w:val="auto"/>
        </w:rPr>
        <w:t xml:space="preserve"> (to the extent a Restricted Debt Payment is made in reliance on </w:t>
      </w:r>
      <w:r>
        <w:rPr>
          <w:rFonts w:ascii="Arial" w:cs="Arial" w:eastAsia="Arial" w:hAnsi="Arial"/>
          <w:sz w:val="19"/>
          <w:szCs w:val="19"/>
          <w:u w:val="single" w:color="auto"/>
          <w:color w:val="auto"/>
        </w:rPr>
        <w:t>clause (a)(iii)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(a)(xiv)</w:t>
      </w:r>
      <w:r>
        <w:rPr>
          <w:rFonts w:ascii="Arial" w:cs="Arial" w:eastAsia="Arial" w:hAnsi="Arial"/>
          <w:sz w:val="19"/>
          <w:szCs w:val="19"/>
          <w:color w:val="auto"/>
        </w:rPr>
        <w:t xml:space="preserve"> of the definition of “Available Amount”), </w:t>
      </w:r>
      <w:r>
        <w:rPr>
          <w:rFonts w:ascii="Arial" w:cs="Arial" w:eastAsia="Arial" w:hAnsi="Arial"/>
          <w:sz w:val="19"/>
          <w:szCs w:val="19"/>
          <w:u w:val="single" w:color="auto"/>
          <w:color w:val="auto"/>
        </w:rPr>
        <w:t>6.06(n)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6.06(r)(i)</w:t>
      </w:r>
      <w:r>
        <w:rPr>
          <w:rFonts w:ascii="Arial" w:cs="Arial" w:eastAsia="Arial" w:hAnsi="Arial"/>
          <w:sz w:val="19"/>
          <w:szCs w:val="19"/>
          <w:color w:val="auto"/>
        </w:rPr>
        <w:t xml:space="preserve"> (to the extent an Investment is made in reliance on </w:t>
      </w:r>
      <w:r>
        <w:rPr>
          <w:rFonts w:ascii="Arial" w:cs="Arial" w:eastAsia="Arial" w:hAnsi="Arial"/>
          <w:sz w:val="19"/>
          <w:szCs w:val="19"/>
          <w:u w:val="single" w:color="auto"/>
          <w:color w:val="auto"/>
        </w:rPr>
        <w:t>clause (a)(iii)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(a)(xiv)</w:t>
      </w:r>
      <w:r>
        <w:rPr>
          <w:rFonts w:ascii="Arial" w:cs="Arial" w:eastAsia="Arial" w:hAnsi="Arial"/>
          <w:sz w:val="19"/>
          <w:szCs w:val="19"/>
          <w:color w:val="auto"/>
        </w:rPr>
        <w:t xml:space="preserve"> of the definition of “Available Amount”) and/or </w:t>
      </w:r>
      <w:r>
        <w:rPr>
          <w:rFonts w:ascii="Arial" w:cs="Arial" w:eastAsia="Arial" w:hAnsi="Arial"/>
          <w:sz w:val="19"/>
          <w:szCs w:val="19"/>
          <w:u w:val="single" w:color="auto"/>
          <w:color w:val="auto"/>
        </w:rPr>
        <w:t>6.06(r)(ii)</w:t>
      </w:r>
      <w:r>
        <w:rPr>
          <w:rFonts w:ascii="Arial" w:cs="Arial" w:eastAsia="Arial" w:hAnsi="Arial"/>
          <w:sz w:val="19"/>
          <w:szCs w:val="19"/>
          <w:color w:val="auto"/>
        </w:rPr>
        <w:t>.</w:t>
      </w:r>
    </w:p>
    <w:p>
      <w:pPr>
        <w:spacing w:after="0" w:line="182" w:lineRule="exact"/>
        <w:rPr>
          <w:sz w:val="20"/>
          <w:szCs w:val="20"/>
          <w:color w:val="auto"/>
        </w:rPr>
      </w:pPr>
    </w:p>
    <w:p>
      <w:pPr>
        <w:jc w:val="both"/>
        <w:ind w:left="100" w:right="19" w:firstLine="74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unpaid principal of and accrued and unpaid interest (including interest accruing during the pendency of any bankruptcy, insolvency, receivership or other similar proceeding, regardless of whether allowed or allowable in such proceeding) on the Loans, all LC Exposure, all accrued and unpaid fees and all expenses (including fees and expenses accruing during the pendency of any bankruptcy, insolvency, receivership or other similar proceeding, regardless of whether allowed or allowable in such proceeding), reimbursements, indemnities and all other advances to, debts, liabilities and obligations of any Loan Party to the Lenders or to any Lender, the Administrative Agent, any Issuing Bank or any indemnified party arising under the Loan Documents in respect of any Loan or Letter of Credit, whether direct or indirect (including those acquired by assumption), absolute, contingent, due or to become due, now existing or hereafter arising.</w:t>
      </w:r>
    </w:p>
    <w:p>
      <w:pPr>
        <w:spacing w:after="0" w:line="10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 Derivative Instrument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9.05(d)(ii)</w:t>
      </w:r>
      <w:r>
        <w:rPr>
          <w:rFonts w:ascii="Arial" w:cs="Arial" w:eastAsia="Arial" w:hAnsi="Arial"/>
          <w:sz w:val="18"/>
          <w:szCs w:val="18"/>
          <w:color w:val="auto"/>
        </w:rPr>
        <w:t>. “</w:t>
      </w:r>
      <w:r>
        <w:rPr>
          <w:rFonts w:ascii="Arial" w:cs="Arial" w:eastAsia="Arial" w:hAnsi="Arial"/>
          <w:sz w:val="18"/>
          <w:szCs w:val="18"/>
          <w:u w:val="single" w:color="auto"/>
          <w:color w:val="auto"/>
        </w:rPr>
        <w:t>OFAC</w:t>
      </w:r>
      <w:r>
        <w:rPr>
          <w:rFonts w:ascii="Arial" w:cs="Arial" w:eastAsia="Arial" w:hAnsi="Arial"/>
          <w:sz w:val="18"/>
          <w:szCs w:val="18"/>
          <w:color w:val="auto"/>
        </w:rPr>
        <w:t>” means the</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7"/>
          <w:szCs w:val="17"/>
          <w:color w:val="auto"/>
        </w:rPr>
        <w:t>Office of Foreign Asset Control of the U.S. Treasury Department. “</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 means (a) with respect to</w:t>
      </w:r>
    </w:p>
    <w:p>
      <w:pPr>
        <w:spacing w:after="0" w:line="250" w:lineRule="exact"/>
        <w:rPr>
          <w:sz w:val="20"/>
          <w:szCs w:val="20"/>
          <w:color w:val="auto"/>
        </w:rPr>
      </w:pPr>
    </w:p>
    <w:p>
      <w:pPr>
        <w:ind w:left="840"/>
        <w:spacing w:after="0"/>
        <w:rPr>
          <w:sz w:val="20"/>
          <w:szCs w:val="20"/>
          <w:color w:val="auto"/>
        </w:rPr>
      </w:pPr>
      <w:r>
        <w:rPr>
          <w:rFonts w:ascii="Arial" w:cs="Arial" w:eastAsia="Arial" w:hAnsi="Arial"/>
          <w:sz w:val="19"/>
          <w:szCs w:val="19"/>
          <w:color w:val="auto"/>
        </w:rPr>
        <w:t>any corporation, its certificate or articles of</w:t>
      </w:r>
    </w:p>
    <w:p>
      <w:pPr>
        <w:spacing w:after="0" w:line="65" w:lineRule="exact"/>
        <w:rPr>
          <w:sz w:val="20"/>
          <w:szCs w:val="20"/>
          <w:color w:val="auto"/>
        </w:rPr>
      </w:pPr>
    </w:p>
    <w:p>
      <w:pPr>
        <w:ind w:left="100"/>
        <w:spacing w:after="0"/>
        <w:rPr>
          <w:sz w:val="20"/>
          <w:szCs w:val="20"/>
          <w:color w:val="auto"/>
        </w:rPr>
      </w:pPr>
      <w:r>
        <w:rPr>
          <w:rFonts w:ascii="Arial" w:cs="Arial" w:eastAsia="Arial" w:hAnsi="Arial"/>
          <w:sz w:val="19"/>
          <w:szCs w:val="19"/>
          <w:color w:val="auto"/>
        </w:rPr>
        <w:t>incorporation or organization and its by-laws, (b) with respect to any limited partnership, its certificate of</w:t>
      </w:r>
    </w:p>
    <w:p>
      <w:pPr>
        <w:jc w:val="both"/>
        <w:ind w:left="100" w:right="59"/>
        <w:spacing w:after="0" w:line="243" w:lineRule="auto"/>
        <w:rPr>
          <w:sz w:val="20"/>
          <w:szCs w:val="20"/>
          <w:color w:val="auto"/>
        </w:rPr>
      </w:pPr>
      <w:r>
        <w:rPr>
          <w:rFonts w:ascii="Arial" w:cs="Arial" w:eastAsia="Arial" w:hAnsi="Arial"/>
          <w:sz w:val="18"/>
          <w:szCs w:val="18"/>
          <w:color w:val="auto"/>
        </w:rPr>
        <w:t>limited partnership and its partnership agreement, (c) with respect to any general partnership, its partnership agreement, (d) with respect to any limited liability company, its articles of organization or certificate of formation, and its operating agreement, and (e) with respect to any other form of entity, such other organizational documents required by local Requirements of Law or customary under such jurisdiction to document the formation and governance principles of such type of entity. In the event that any term or condition of this Agreement or any other Loan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12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Applicable Indebtedness</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2.11(b)(ii)</w:t>
      </w:r>
      <w:r>
        <w:rPr>
          <w:rFonts w:ascii="Arial" w:cs="Arial" w:eastAsia="Arial" w:hAnsi="Arial"/>
          <w:sz w:val="17"/>
          <w:szCs w:val="17"/>
          <w:color w:val="auto"/>
        </w:rPr>
        <w:t>. “</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w:t>
      </w:r>
    </w:p>
    <w:p>
      <w:pPr>
        <w:spacing w:after="0" w:line="237" w:lineRule="exact"/>
        <w:rPr>
          <w:sz w:val="20"/>
          <w:szCs w:val="20"/>
          <w:color w:val="auto"/>
        </w:rPr>
      </w:pPr>
    </w:p>
    <w:p>
      <w:pPr>
        <w:ind w:left="840"/>
        <w:spacing w:after="0"/>
        <w:rPr>
          <w:sz w:val="20"/>
          <w:szCs w:val="20"/>
          <w:color w:val="auto"/>
        </w:rPr>
      </w:pPr>
      <w:r>
        <w:rPr>
          <w:rFonts w:ascii="Arial" w:cs="Arial" w:eastAsia="Arial" w:hAnsi="Arial"/>
          <w:sz w:val="19"/>
          <w:szCs w:val="19"/>
          <w:color w:val="auto"/>
        </w:rPr>
        <w:t>means, with respect to any Lender, any Issuing Bank or the</w:t>
      </w:r>
    </w:p>
    <w:p>
      <w:pPr>
        <w:spacing w:after="0" w:line="79" w:lineRule="exact"/>
        <w:rPr>
          <w:sz w:val="20"/>
          <w:szCs w:val="20"/>
          <w:color w:val="auto"/>
        </w:rPr>
      </w:pPr>
    </w:p>
    <w:p>
      <w:pPr>
        <w:ind w:left="100"/>
        <w:spacing w:after="0"/>
        <w:rPr>
          <w:sz w:val="20"/>
          <w:szCs w:val="20"/>
          <w:color w:val="auto"/>
        </w:rPr>
      </w:pPr>
      <w:r>
        <w:rPr>
          <w:rFonts w:ascii="Arial" w:cs="Arial" w:eastAsia="Arial" w:hAnsi="Arial"/>
          <w:sz w:val="19"/>
          <w:szCs w:val="19"/>
          <w:color w:val="auto"/>
        </w:rPr>
        <w:t>Administrative Agent Taxes imposed as a result of a present or former connection between such recipient and</w:t>
      </w:r>
    </w:p>
    <w:p>
      <w:pPr>
        <w:jc w:val="both"/>
        <w:ind w:left="100" w:right="19"/>
        <w:spacing w:after="0" w:line="266" w:lineRule="auto"/>
        <w:rPr>
          <w:sz w:val="20"/>
          <w:szCs w:val="20"/>
          <w:color w:val="auto"/>
        </w:rPr>
      </w:pPr>
      <w:r>
        <w:rPr>
          <w:rFonts w:ascii="Arial" w:cs="Arial" w:eastAsia="Arial" w:hAnsi="Arial"/>
          <w:sz w:val="17"/>
          <w:szCs w:val="17"/>
          <w:color w:val="auto"/>
        </w:rPr>
        <w:t>the jurisdiction imposing such Tax (other than connections arising solely from such recipient having executed, delivered, become a party to, performed its obligations under, received payments under, received or perfected a security interest under, or engaged in any other transaction pursuant to or enforced any Loan Document, or sold or assigned an interest in any Loan or Loan Document).</w:t>
      </w:r>
    </w:p>
    <w:p>
      <w:pPr>
        <w:spacing w:after="0" w:line="171" w:lineRule="exact"/>
        <w:rPr>
          <w:sz w:val="20"/>
          <w:szCs w:val="20"/>
          <w:color w:val="auto"/>
        </w:rPr>
      </w:pPr>
    </w:p>
    <w:p>
      <w:pPr>
        <w:jc w:val="both"/>
        <w:ind w:left="100" w:right="39" w:firstLine="749"/>
        <w:spacing w:after="0" w:line="23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xml:space="preserve">” means all present or future stamp, court or documentary Taxes or any intangible, recording, filing or other similar Taxes arising from any payment made under any Loan Document or from the execution, delivery or enforcement or registration, from the receipt or perfection of a security interest under, or otherwise with respect to, any Loan Document, but excluding (i) any Excluded Taxes, and (ii) any such Taxes that are Other Connection Taxes imposed with respect to an assignment or participation (other than an assignment made pursuant to </w:t>
      </w:r>
      <w:r>
        <w:rPr>
          <w:rFonts w:ascii="Arial" w:cs="Arial" w:eastAsia="Arial" w:hAnsi="Arial"/>
          <w:sz w:val="19"/>
          <w:szCs w:val="19"/>
          <w:u w:val="single" w:color="auto"/>
          <w:color w:val="auto"/>
        </w:rPr>
        <w:t>Section 2.19</w:t>
      </w:r>
      <w:r>
        <w:rPr>
          <w:rFonts w:ascii="Arial" w:cs="Arial" w:eastAsia="Arial" w:hAnsi="Arial"/>
          <w:sz w:val="19"/>
          <w:szCs w:val="19"/>
          <w:color w:val="auto"/>
        </w:rPr>
        <w:t>).</w:t>
      </w:r>
    </w:p>
    <w:p>
      <w:pPr>
        <w:spacing w:after="0" w:line="181" w:lineRule="exact"/>
        <w:rPr>
          <w:sz w:val="20"/>
          <w:szCs w:val="20"/>
          <w:color w:val="auto"/>
        </w:rPr>
      </w:pPr>
    </w:p>
    <w:p>
      <w:pPr>
        <w:ind w:left="100" w:right="59" w:firstLine="74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Outstanding Amount</w:t>
      </w:r>
      <w:r>
        <w:rPr>
          <w:rFonts w:ascii="Arial" w:cs="Arial" w:eastAsia="Arial" w:hAnsi="Arial"/>
          <w:sz w:val="19"/>
          <w:szCs w:val="19"/>
          <w:color w:val="auto"/>
        </w:rPr>
        <w:t>” means (a) with respect to any Term Loan, Revolving Loan and/or Swingline Loan on any date, the aggregate outstanding principal amount thereof after giving effect to any borrowing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48</w:t>
      </w:r>
      <w:r>
        <w:rPr>
          <w:rFonts w:ascii="Arial" w:cs="Arial" w:eastAsia="Arial" w:hAnsi="Arial"/>
          <w:sz w:val="18"/>
          <w:szCs w:val="18"/>
          <w:u w:val="single" w:color="auto"/>
          <w:color w:val="0000FF"/>
          <w:strike w:val="1"/>
        </w:rPr>
        <w:t>48</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16" w:name="page117"/>
    <w:bookmarkEnd w:id="116"/>
    <w:p>
      <w:pPr>
        <w:jc w:val="both"/>
        <w:ind w:left="100" w:right="59"/>
        <w:spacing w:after="0" w:line="263" w:lineRule="auto"/>
        <w:rPr>
          <w:sz w:val="20"/>
          <w:szCs w:val="20"/>
          <w:color w:val="auto"/>
        </w:rPr>
      </w:pPr>
      <w:r>
        <w:rPr>
          <w:rFonts w:ascii="Arial" w:cs="Arial" w:eastAsia="Arial" w:hAnsi="Arial"/>
          <w:sz w:val="17"/>
          <w:szCs w:val="17"/>
          <w:color w:val="auto"/>
        </w:rPr>
        <w:t>and/or prepayment or repayment of such Term Loan, Revolving Loan and/or Swingline Loans, as the case may be, occurring on such date, (b) with respect to any Letter of Credit, the aggregate amount available to be drawn under such Letter of Credit after giving effect to any change in the aggregate amount available to be drawn under such Letter of Credit or the issuance or expiry of such Letter of Credit, including as a result of any LC Disbursement and (c) with respect to any LC Disbursement on any date, the amount of the aggregate outstanding amount of such LC Disbursement on such date after giving effect to any disbursement with respect to any Letter of Credit occurring on such date and any other change in the aggregate amount of such LC Disbursement as of such date, including as a result of any reimbursement by the Borrower of such unreimbursed LC Disbursement.</w:t>
      </w:r>
    </w:p>
    <w:p>
      <w:pPr>
        <w:spacing w:after="0" w:line="161"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w:t>
      </w:r>
      <w:r>
        <w:rPr>
          <w:rFonts w:ascii="Arial" w:cs="Arial" w:eastAsia="Arial" w:hAnsi="Arial"/>
          <w:sz w:val="19"/>
          <w:szCs w:val="19"/>
          <w:color w:val="auto"/>
        </w:rPr>
        <w:t>” has the meaning assigned to such term in the preamble to this Agreement.</w:t>
      </w:r>
    </w:p>
    <w:p>
      <w:pPr>
        <w:spacing w:after="0" w:line="214" w:lineRule="exact"/>
        <w:rPr>
          <w:sz w:val="20"/>
          <w:szCs w:val="20"/>
          <w:color w:val="auto"/>
        </w:rPr>
      </w:pPr>
    </w:p>
    <w:p>
      <w:pPr>
        <w:ind w:left="100" w:right="7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Company</w:t>
      </w:r>
      <w:r>
        <w:rPr>
          <w:rFonts w:ascii="Arial" w:cs="Arial" w:eastAsia="Arial" w:hAnsi="Arial"/>
          <w:sz w:val="19"/>
          <w:szCs w:val="19"/>
          <w:color w:val="auto"/>
        </w:rPr>
        <w:t>” means (a) the Parent and (b) any Person of which the Borrower is a direct or indirect Wholly-Owned Subsidiary.</w:t>
      </w:r>
    </w:p>
    <w:p>
      <w:pPr>
        <w:spacing w:after="0" w:line="173" w:lineRule="exact"/>
        <w:rPr>
          <w:sz w:val="20"/>
          <w:szCs w:val="20"/>
          <w:color w:val="auto"/>
        </w:rPr>
      </w:pPr>
    </w:p>
    <w:p>
      <w:pPr>
        <w:jc w:val="both"/>
        <w:ind w:left="100" w:right="59" w:firstLine="74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Pari Passu Intercreditor Agreement</w:t>
      </w:r>
      <w:r>
        <w:rPr>
          <w:rFonts w:ascii="Arial" w:cs="Arial" w:eastAsia="Arial" w:hAnsi="Arial"/>
          <w:sz w:val="19"/>
          <w:szCs w:val="19"/>
          <w:color w:val="auto"/>
        </w:rPr>
        <w:t xml:space="preserve">” means an intercreditor agreement substantially in the form of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with any changes thereto (whether material or immaterial) as the Borrower and the Administrative Agent may agree in their respective reasonable discretion.</w:t>
      </w:r>
    </w:p>
    <w:p>
      <w:pPr>
        <w:spacing w:after="0" w:line="273" w:lineRule="exact"/>
        <w:rPr>
          <w:sz w:val="20"/>
          <w:szCs w:val="20"/>
          <w:color w:val="auto"/>
        </w:rPr>
      </w:pPr>
    </w:p>
    <w:p>
      <w:pPr>
        <w:ind w:left="840" w:right="1519"/>
        <w:spacing w:after="0" w:line="40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9.05(c)(i)</w:t>
      </w:r>
      <w:r>
        <w:rPr>
          <w:rFonts w:ascii="Arial" w:cs="Arial" w:eastAsia="Arial" w:hAnsi="Arial"/>
          <w:sz w:val="19"/>
          <w:szCs w:val="19"/>
          <w:color w:val="auto"/>
        </w:rPr>
        <w:t>. “</w:t>
      </w:r>
      <w:r>
        <w:rPr>
          <w:rFonts w:ascii="Arial" w:cs="Arial" w:eastAsia="Arial" w:hAnsi="Arial"/>
          <w:sz w:val="19"/>
          <w:szCs w:val="19"/>
          <w:u w:val="single" w:color="auto"/>
          <w:color w:val="auto"/>
        </w:rPr>
        <w:t>Participant/SPC Register</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9.05(c)</w:t>
      </w:r>
      <w:r>
        <w:rPr>
          <w:rFonts w:ascii="Arial" w:cs="Arial" w:eastAsia="Arial" w:hAnsi="Arial"/>
          <w:sz w:val="19"/>
          <w:szCs w:val="19"/>
          <w:color w:val="auto"/>
        </w:rPr>
        <w:t>.</w:t>
      </w:r>
    </w:p>
    <w:p>
      <w:pPr>
        <w:spacing w:after="0" w:line="1" w:lineRule="exact"/>
        <w:rPr>
          <w:sz w:val="20"/>
          <w:szCs w:val="20"/>
          <w:color w:val="auto"/>
        </w:rPr>
      </w:pPr>
    </w:p>
    <w:p>
      <w:pPr>
        <w:jc w:val="both"/>
        <w:ind w:left="100" w:right="3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Patent</w:t>
      </w:r>
      <w:r>
        <w:rPr>
          <w:rFonts w:ascii="Arial" w:cs="Arial" w:eastAsia="Arial" w:hAnsi="Arial"/>
          <w:sz w:val="19"/>
          <w:szCs w:val="19"/>
          <w:color w:val="auto"/>
        </w:rPr>
        <w:t>” means the following: (a) any and all patents and patent applications; (b) all inventions described and claimed therein; (c) all reissues, divisions, continuations, renewals, extensions and continuations in part thereof; (d) all income, royalties, damages, claims, and payments now or hereafter due or payable under and with respect thereto, including, without limitation, damages and payments for past and future infringements thereof; (e) all rights to sue for past, present, and future infringements thereof; and (f) all rights corresponding to any of the foregoing.</w:t>
      </w:r>
    </w:p>
    <w:p>
      <w:pPr>
        <w:spacing w:after="0" w:line="276" w:lineRule="exact"/>
        <w:rPr>
          <w:sz w:val="20"/>
          <w:szCs w:val="20"/>
          <w:color w:val="auto"/>
        </w:rPr>
      </w:pPr>
    </w:p>
    <w:p>
      <w:pPr>
        <w:ind w:left="840" w:right="2039"/>
        <w:spacing w:after="0" w:line="40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Payment Recipient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8.14(a)</w:t>
      </w:r>
      <w:r>
        <w:rPr>
          <w:rFonts w:ascii="Arial" w:cs="Arial" w:eastAsia="Arial" w:hAnsi="Arial"/>
          <w:sz w:val="19"/>
          <w:szCs w:val="19"/>
          <w:color w:val="auto"/>
        </w:rPr>
        <w:t>. “</w:t>
      </w:r>
      <w:r>
        <w:rPr>
          <w:rFonts w:ascii="Arial" w:cs="Arial" w:eastAsia="Arial" w:hAnsi="Arial"/>
          <w:sz w:val="19"/>
          <w:szCs w:val="19"/>
          <w:u w:val="single" w:color="auto"/>
          <w:color w:val="auto"/>
        </w:rPr>
        <w:t>PBGC</w:t>
      </w:r>
      <w:r>
        <w:rPr>
          <w:rFonts w:ascii="Arial" w:cs="Arial" w:eastAsia="Arial" w:hAnsi="Arial"/>
          <w:sz w:val="19"/>
          <w:szCs w:val="19"/>
          <w:color w:val="auto"/>
        </w:rPr>
        <w:t>” means the Pension Benefit Guaranty Corporation.</w:t>
      </w:r>
    </w:p>
    <w:p>
      <w:pPr>
        <w:spacing w:after="0" w:line="1"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Pension Plan</w:t>
      </w:r>
      <w:r>
        <w:rPr>
          <w:rFonts w:ascii="Arial" w:cs="Arial" w:eastAsia="Arial" w:hAnsi="Arial"/>
          <w:sz w:val="19"/>
          <w:szCs w:val="19"/>
          <w:color w:val="auto"/>
        </w:rPr>
        <w:t>” means any employee pension benefit plan, as defined in Section 3(2) of ERISA (other than a Multiemployer Plan), that is subject to the provisions of Title IV of ERISA or Section 412 of the Code or Section 302 of ERISA, which Holdings, the Borrower or any of its Restricted Subsidiaries, or any of their respective ERISA Affiliates, maintains or contributes to or has an obligation to contribute to, or otherwise has any liability, contingent or otherwise.</w:t>
      </w:r>
    </w:p>
    <w:p>
      <w:pPr>
        <w:spacing w:after="0" w:line="180" w:lineRule="exact"/>
        <w:rPr>
          <w:sz w:val="20"/>
          <w:szCs w:val="20"/>
          <w:color w:val="auto"/>
        </w:rPr>
      </w:pPr>
    </w:p>
    <w:p>
      <w:pPr>
        <w:ind w:left="100" w:right="9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Perfection Certificate</w:t>
      </w:r>
      <w:r>
        <w:rPr>
          <w:rFonts w:ascii="Arial" w:cs="Arial" w:eastAsia="Arial" w:hAnsi="Arial"/>
          <w:sz w:val="19"/>
          <w:szCs w:val="19"/>
          <w:color w:val="auto"/>
        </w:rPr>
        <w:t xml:space="preserve">” means a certificate substantially in the form of </w:t>
      </w:r>
      <w:r>
        <w:rPr>
          <w:rFonts w:ascii="Arial" w:cs="Arial" w:eastAsia="Arial" w:hAnsi="Arial"/>
          <w:sz w:val="19"/>
          <w:szCs w:val="19"/>
          <w:u w:val="single" w:color="auto"/>
          <w:color w:val="auto"/>
        </w:rPr>
        <w:t>Exhibit J</w:t>
      </w:r>
      <w:r>
        <w:rPr>
          <w:rFonts w:ascii="Arial" w:cs="Arial" w:eastAsia="Arial" w:hAnsi="Arial"/>
          <w:sz w:val="19"/>
          <w:szCs w:val="19"/>
          <w:color w:val="auto"/>
        </w:rPr>
        <w:t xml:space="preserve"> or such other form that is reasonably acceptable to the Administrative Agent and the Borrower.</w:t>
      </w:r>
    </w:p>
    <w:p>
      <w:pPr>
        <w:spacing w:after="0" w:line="187" w:lineRule="exact"/>
        <w:rPr>
          <w:sz w:val="20"/>
          <w:szCs w:val="20"/>
          <w:color w:val="auto"/>
        </w:rPr>
      </w:pPr>
    </w:p>
    <w:p>
      <w:pPr>
        <w:jc w:val="both"/>
        <w:ind w:left="100" w:right="59" w:firstLine="749"/>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Perfection Requirements</w:t>
      </w:r>
      <w:r>
        <w:rPr>
          <w:rFonts w:ascii="Arial" w:cs="Arial" w:eastAsia="Arial" w:hAnsi="Arial"/>
          <w:sz w:val="17"/>
          <w:szCs w:val="17"/>
          <w:color w:val="auto"/>
        </w:rPr>
        <w:t>” means (a) with respect to any Loan Party (other than any Discretionary Guarantor that is a Foreign Subsidiary), the filing of appropriate financing statements with the office of the Secretary of State or other appropriate office of the state of organization of each Loan Party, the filing of Intellectual Property Security Agreements or other appropriate instruments or notices with the US Patent and Trademark Office and the US Copyright Office (solely as required under applicable Requirements of Law), and the delivery to the Administrative Agent of, solely to the extent the same constitutes Collateral, any stock certificate or promissory note, together with instruments of transfer executed in blank and (b) with respect to any Discretionary Guarantor that is a Foreign Subsidiary, any recording, filing, registration, notification 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49</w:t>
      </w:r>
      <w:r>
        <w:rPr>
          <w:rFonts w:ascii="Arial" w:cs="Arial" w:eastAsia="Arial" w:hAnsi="Arial"/>
          <w:sz w:val="18"/>
          <w:szCs w:val="18"/>
          <w:u w:val="single" w:color="auto"/>
          <w:color w:val="0000FF"/>
          <w:strike w:val="1"/>
        </w:rPr>
        <w:t>49</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17" w:name="page118"/>
    <w:bookmarkEnd w:id="117"/>
    <w:p>
      <w:pPr>
        <w:ind w:left="100" w:right="639"/>
        <w:spacing w:after="0" w:line="261" w:lineRule="auto"/>
        <w:rPr>
          <w:sz w:val="20"/>
          <w:szCs w:val="20"/>
          <w:color w:val="auto"/>
        </w:rPr>
      </w:pPr>
      <w:r>
        <w:rPr>
          <w:rFonts w:ascii="Arial" w:cs="Arial" w:eastAsia="Arial" w:hAnsi="Arial"/>
          <w:sz w:val="19"/>
          <w:szCs w:val="19"/>
          <w:color w:val="auto"/>
        </w:rPr>
        <w:t xml:space="preserve">other action required to be taken in the applicable jurisdiction, in each case of the foregoing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to the extent required by the applicable Loan Documents.</w:t>
      </w:r>
    </w:p>
    <w:p>
      <w:pPr>
        <w:spacing w:after="0" w:line="159" w:lineRule="exact"/>
        <w:rPr>
          <w:sz w:val="20"/>
          <w:szCs w:val="20"/>
          <w:color w:val="auto"/>
        </w:rPr>
      </w:pPr>
    </w:p>
    <w:p>
      <w:pPr>
        <w:jc w:val="both"/>
        <w:ind w:left="100" w:right="59" w:firstLine="749"/>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xml:space="preserve">” means any acquisition made by the Borrower or any of its Restricted Subsidiaries, whether by purchase, merger or otherwise, of (a) all or substantially all of the assets, or any business line, unit or division or product line (including research and development and related assets in respect of any product) of, any Person or (b) of a majority of the outstanding Capital Stock of any Person, in each case, so long as the Borrower is in compliance with </w:t>
      </w:r>
      <w:r>
        <w:rPr>
          <w:rFonts w:ascii="Arial" w:cs="Arial" w:eastAsia="Arial" w:hAnsi="Arial"/>
          <w:sz w:val="18"/>
          <w:szCs w:val="18"/>
          <w:u w:val="single" w:color="auto"/>
          <w:color w:val="auto"/>
        </w:rPr>
        <w:t>Section 6.10(a)</w:t>
      </w:r>
      <w:r>
        <w:rPr>
          <w:rFonts w:ascii="Arial" w:cs="Arial" w:eastAsia="Arial" w:hAnsi="Arial"/>
          <w:sz w:val="18"/>
          <w:szCs w:val="18"/>
          <w:color w:val="auto"/>
        </w:rPr>
        <w:t xml:space="preserve"> on a Pro Forma Basis; it being understood and agreed that “Permitted Acquisition” shall include any Investment in (x) any Restricted Subsidiary the effect of which is to increase the Borrower’s or any Restricted Subsidiary’s equity ownership in such Restricted Subsidiary or (y) any joint venture for the purpose of increasing the Borrower’s or its relevant Restricted Subsidiary’s ownership interest in such joint venture, in each case if (1) such Person is or becomes a Restricted Subsidiary or (2) such Person, in one transaction or a series of related transactions, is amalgamated, merged or consolidated with or into, or transfers or conveys all or a substantial portion of its assets (or such division, business line, unit or product line) to, or is liquidated into, the Borrower and/or any Restricted Subsidiary as a result of such transaction.</w:t>
      </w:r>
    </w:p>
    <w:p>
      <w:pPr>
        <w:spacing w:after="0" w:line="179" w:lineRule="exact"/>
        <w:rPr>
          <w:sz w:val="20"/>
          <w:szCs w:val="20"/>
          <w:color w:val="auto"/>
        </w:rPr>
      </w:pPr>
    </w:p>
    <w:p>
      <w:pPr>
        <w:jc w:val="both"/>
        <w:ind w:left="100" w:right="59" w:firstLine="74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Asset Swap</w:t>
      </w:r>
      <w:r>
        <w:rPr>
          <w:rFonts w:ascii="Arial" w:cs="Arial" w:eastAsia="Arial" w:hAnsi="Arial"/>
          <w:sz w:val="19"/>
          <w:szCs w:val="19"/>
          <w:color w:val="auto"/>
        </w:rPr>
        <w:t>” means the concurrent purchase and sale or exchange of Related Business Assets or any combination of Related Business Assets between the Borrower and/or any Restricted Subsidiary, on the one hand, and any other Person, on the other hand.</w:t>
      </w:r>
    </w:p>
    <w:p>
      <w:pPr>
        <w:spacing w:after="0" w:line="179" w:lineRule="exact"/>
        <w:rPr>
          <w:sz w:val="20"/>
          <w:szCs w:val="20"/>
          <w:color w:val="auto"/>
        </w:rPr>
      </w:pPr>
    </w:p>
    <w:p>
      <w:pPr>
        <w:jc w:val="both"/>
        <w:ind w:left="100" w:right="59" w:firstLine="749"/>
        <w:spacing w:after="0" w:line="23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Bond Hedge Transaction</w:t>
      </w:r>
      <w:r>
        <w:rPr>
          <w:rFonts w:ascii="Arial" w:cs="Arial" w:eastAsia="Arial" w:hAnsi="Arial"/>
          <w:sz w:val="19"/>
          <w:szCs w:val="19"/>
          <w:color w:val="auto"/>
        </w:rPr>
        <w:t xml:space="preserve">” means any call or capped call option (or substantively equivalent derivative transaction) with respect to the Parent’s common equity that is purchased by the Parent in connection with the issuance of any Convertible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in the case of any such transaction entered into after the Closing Date, such transaction is consummated substantially simultaneously with the issuance of such Convertible Indebtedness and (y) the purchase price for such Permitted Bond Hedge Transaction, less the proceeds received by the Parent from the sale of any related Permitted Warrant Transaction, does not exceed the net proceeds received by the Parent from the Convertible Indebtedness issued in connection with such Permitted Bond Hedge Transaction.</w:t>
      </w:r>
    </w:p>
    <w:p>
      <w:pPr>
        <w:spacing w:after="0" w:line="182" w:lineRule="exact"/>
        <w:rPr>
          <w:sz w:val="20"/>
          <w:szCs w:val="20"/>
          <w:color w:val="auto"/>
        </w:rPr>
      </w:pPr>
    </w:p>
    <w:p>
      <w:pPr>
        <w:jc w:val="both"/>
        <w:ind w:left="100" w:right="79" w:firstLine="749"/>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Holders</w:t>
      </w:r>
      <w:r>
        <w:rPr>
          <w:rFonts w:ascii="Arial" w:cs="Arial" w:eastAsia="Arial" w:hAnsi="Arial"/>
          <w:sz w:val="17"/>
          <w:szCs w:val="17"/>
          <w:color w:val="auto"/>
        </w:rPr>
        <w:t xml:space="preserve">” means (a) the Investors and (b) any Person with which one or more Investors and/or management form a “group” (within the meaning of Section 14(d) of the Exchange Act) so long as, in the case of this </w:t>
      </w:r>
      <w:r>
        <w:rPr>
          <w:rFonts w:ascii="Arial" w:cs="Arial" w:eastAsia="Arial" w:hAnsi="Arial"/>
          <w:sz w:val="17"/>
          <w:szCs w:val="17"/>
          <w:u w:val="single" w:color="auto"/>
          <w:color w:val="auto"/>
        </w:rPr>
        <w:t>clause (b)</w:t>
      </w:r>
      <w:r>
        <w:rPr>
          <w:rFonts w:ascii="Arial" w:cs="Arial" w:eastAsia="Arial" w:hAnsi="Arial"/>
          <w:sz w:val="17"/>
          <w:szCs w:val="17"/>
          <w:color w:val="auto"/>
        </w:rPr>
        <w:t>, the relevant Investors beneficially own more than 50% of the relevant voting Capital Stock beneficially owned by the group.</w:t>
      </w:r>
    </w:p>
    <w:p>
      <w:pPr>
        <w:spacing w:after="0" w:line="143"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xml:space="preserve">” means Liens permitted pursuant to </w:t>
      </w:r>
      <w:r>
        <w:rPr>
          <w:rFonts w:ascii="Arial" w:cs="Arial" w:eastAsia="Arial" w:hAnsi="Arial"/>
          <w:sz w:val="19"/>
          <w:szCs w:val="19"/>
          <w:u w:val="single" w:color="auto"/>
          <w:color w:val="auto"/>
        </w:rPr>
        <w:t>Section 6.02</w:t>
      </w:r>
      <w:r>
        <w:rPr>
          <w:rFonts w:ascii="Arial" w:cs="Arial" w:eastAsia="Arial" w:hAnsi="Arial"/>
          <w:sz w:val="19"/>
          <w:szCs w:val="19"/>
          <w:color w:val="auto"/>
        </w:rPr>
        <w:t>.</w:t>
      </w:r>
    </w:p>
    <w:p>
      <w:pPr>
        <w:spacing w:after="0" w:line="214" w:lineRule="exact"/>
        <w:rPr>
          <w:sz w:val="20"/>
          <w:szCs w:val="20"/>
          <w:color w:val="auto"/>
        </w:rPr>
      </w:pPr>
    </w:p>
    <w:p>
      <w:pPr>
        <w:jc w:val="both"/>
        <w:ind w:left="100" w:right="3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Warrant Transaction</w:t>
      </w:r>
      <w:r>
        <w:rPr>
          <w:rFonts w:ascii="Arial" w:cs="Arial" w:eastAsia="Arial" w:hAnsi="Arial"/>
          <w:sz w:val="19"/>
          <w:szCs w:val="19"/>
          <w:color w:val="auto"/>
        </w:rPr>
        <w:t>” means any call option, warrant or right to purchase (or substantively equivalent derivative transaction) with respect to the Parent’s common equity sold by the Parent substantially concurrently with a related Permitted Bond Hedge Transaction.</w:t>
      </w:r>
    </w:p>
    <w:p>
      <w:pPr>
        <w:spacing w:after="0" w:line="179" w:lineRule="exact"/>
        <w:rPr>
          <w:sz w:val="20"/>
          <w:szCs w:val="20"/>
          <w:color w:val="auto"/>
        </w:rPr>
      </w:pPr>
    </w:p>
    <w:p>
      <w:pPr>
        <w:ind w:left="100" w:right="99" w:firstLine="74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any natural person, corporation, limited liability company, trust, joint venture, association, company, partnership, Governmental Authority or any other entity.</w:t>
      </w:r>
    </w:p>
    <w:p>
      <w:pPr>
        <w:spacing w:after="0" w:line="159" w:lineRule="exact"/>
        <w:rPr>
          <w:sz w:val="20"/>
          <w:szCs w:val="20"/>
          <w:color w:val="auto"/>
        </w:rPr>
      </w:pPr>
    </w:p>
    <w:p>
      <w:pPr>
        <w:ind w:left="100" w:right="13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Personal Information</w:t>
      </w:r>
      <w:r>
        <w:rPr>
          <w:rFonts w:ascii="Arial" w:cs="Arial" w:eastAsia="Arial" w:hAnsi="Arial"/>
          <w:sz w:val="19"/>
          <w:szCs w:val="19"/>
          <w:color w:val="auto"/>
        </w:rPr>
        <w:t>” has the same meaning as the term “personal data,” “personal information,” “protected health information” or the equivalent under applicable Requirements of Law.</w:t>
      </w:r>
    </w:p>
    <w:p>
      <w:pPr>
        <w:spacing w:after="0" w:line="187"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any “employee benefit plan” (as such term is defined in Section 3(3) of ERISA) maintained by Holdings and/or any Restricted Subsidiary or, with respect to any such plan that is subject to Section 412 of the Code or Title IV of ERISA, any of its ERISA Affiliates, other than any Multiemployer Plan.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50</w:t>
      </w:r>
      <w:r>
        <w:rPr>
          <w:rFonts w:ascii="Arial" w:cs="Arial" w:eastAsia="Arial" w:hAnsi="Arial"/>
          <w:sz w:val="18"/>
          <w:szCs w:val="18"/>
          <w:u w:val="single" w:color="auto"/>
          <w:color w:val="0000FF"/>
          <w:strike w:val="1"/>
        </w:rPr>
        <w:t>50</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18" w:name="page119"/>
    <w:bookmarkEnd w:id="118"/>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Platform</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5.01</w:t>
      </w:r>
      <w:r>
        <w:rPr>
          <w:rFonts w:ascii="Arial" w:cs="Arial" w:eastAsia="Arial" w:hAnsi="Arial"/>
          <w:sz w:val="19"/>
          <w:szCs w:val="19"/>
          <w:color w:val="auto"/>
        </w:rPr>
        <w:t>.</w:t>
      </w:r>
    </w:p>
    <w:p>
      <w:pPr>
        <w:spacing w:after="0" w:line="214" w:lineRule="exact"/>
        <w:rPr>
          <w:sz w:val="20"/>
          <w:szCs w:val="20"/>
          <w:color w:val="auto"/>
        </w:rPr>
      </w:pPr>
    </w:p>
    <w:p>
      <w:pPr>
        <w:ind w:left="100" w:right="9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Prepayment Asset Sale</w:t>
      </w:r>
      <w:r>
        <w:rPr>
          <w:rFonts w:ascii="Arial" w:cs="Arial" w:eastAsia="Arial" w:hAnsi="Arial"/>
          <w:sz w:val="19"/>
          <w:szCs w:val="19"/>
          <w:color w:val="auto"/>
        </w:rPr>
        <w:t xml:space="preserve">” means any Disposition by the Borrower or any Restricted Subsidiary made outside the ordinary course of business pursuant in reliance on </w:t>
      </w:r>
      <w:r>
        <w:rPr>
          <w:rFonts w:ascii="Arial" w:cs="Arial" w:eastAsia="Arial" w:hAnsi="Arial"/>
          <w:sz w:val="19"/>
          <w:szCs w:val="19"/>
          <w:u w:val="single" w:color="auto"/>
          <w:color w:val="auto"/>
        </w:rPr>
        <w:t>Section 6.07(h)</w:t>
      </w:r>
      <w:r>
        <w:rPr>
          <w:rFonts w:ascii="Arial" w:cs="Arial" w:eastAsia="Arial" w:hAnsi="Arial"/>
          <w:sz w:val="19"/>
          <w:szCs w:val="19"/>
          <w:color w:val="auto"/>
        </w:rPr>
        <w:t>.</w:t>
      </w:r>
    </w:p>
    <w:p>
      <w:pPr>
        <w:spacing w:after="0" w:line="173"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Primary Obligor</w:t>
      </w:r>
      <w:r>
        <w:rPr>
          <w:rFonts w:ascii="Arial" w:cs="Arial" w:eastAsia="Arial" w:hAnsi="Arial"/>
          <w:sz w:val="19"/>
          <w:szCs w:val="19"/>
          <w:color w:val="auto"/>
        </w:rPr>
        <w:t>” has the meaning assigned to such term in the definition of “Guarantee”.</w:t>
      </w:r>
    </w:p>
    <w:p>
      <w:pPr>
        <w:spacing w:after="0" w:line="214" w:lineRule="exact"/>
        <w:rPr>
          <w:sz w:val="20"/>
          <w:szCs w:val="20"/>
          <w:color w:val="auto"/>
        </w:rPr>
      </w:pPr>
    </w:p>
    <w:p>
      <w:pPr>
        <w:jc w:val="both"/>
        <w:ind w:left="100" w:right="39" w:firstLine="74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(a) the rate of interest publicly announced, from time to time, by the Administrative Agent at its principal office in New York City as its “prime rate,” with the understanding that the “prime rate” is one of the Administrative Agent’s base rates (not necessarily the lowest of such rates) and serves as the basis upon which effective rates of interest are calculated for those loans making reference thereto and is evidenced by the recording thereof after its announcement in such internal publications as the Administrative Agent may designate or (b) if the Administrative Agent has no “prime rate,”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reasonably determined by the Administrative Agent) or any similar release by the Federal Reserve Board (as reasonably determined by the Administrative Agent).</w:t>
      </w:r>
    </w:p>
    <w:p>
      <w:pPr>
        <w:spacing w:after="0" w:line="194"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Forma Basis</w:t>
      </w:r>
      <w:r>
        <w:rPr>
          <w:rFonts w:ascii="Arial" w:cs="Arial" w:eastAsia="Arial" w:hAnsi="Arial"/>
          <w:sz w:val="19"/>
          <w:szCs w:val="19"/>
          <w:color w:val="auto"/>
        </w:rPr>
        <w:t>” or “</w:t>
      </w:r>
      <w:r>
        <w:rPr>
          <w:rFonts w:ascii="Arial" w:cs="Arial" w:eastAsia="Arial" w:hAnsi="Arial"/>
          <w:sz w:val="19"/>
          <w:szCs w:val="19"/>
          <w:u w:val="single" w:color="auto"/>
          <w:color w:val="auto"/>
        </w:rPr>
        <w:t>pro forma effect</w:t>
      </w:r>
      <w:r>
        <w:rPr>
          <w:rFonts w:ascii="Arial" w:cs="Arial" w:eastAsia="Arial" w:hAnsi="Arial"/>
          <w:sz w:val="19"/>
          <w:szCs w:val="19"/>
          <w:color w:val="auto"/>
        </w:rPr>
        <w:t>” means, with respect to any determination of the Total Net Leverage Ratio, the First Lien Net Leverage Ratio, the Secured Net Leverage Ratio, Consolidated Adjusted EBITDA or Consolidated Total Assets (including any component definition thereof), that:</w:t>
      </w:r>
    </w:p>
    <w:p>
      <w:pPr>
        <w:spacing w:after="0" w:line="179" w:lineRule="exact"/>
        <w:rPr>
          <w:sz w:val="20"/>
          <w:szCs w:val="20"/>
          <w:color w:val="auto"/>
        </w:rPr>
      </w:pPr>
    </w:p>
    <w:p>
      <w:pPr>
        <w:jc w:val="both"/>
        <w:ind w:left="840" w:right="59" w:firstLine="751"/>
        <w:spacing w:after="0" w:line="277" w:lineRule="auto"/>
        <w:tabs>
          <w:tab w:leader="none" w:pos="2209"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in the case of (i) any Disposition of all or substantially all of the Capital Stock of any Restricted Subsidiary or any division and/or product line of the Borrower and/or any Restricted Subsidiary, (ii) any designation of a Restricted Subsidiary as an Unrestricted Subsidiary (iii) the implementation of any Business Optimization Initiative relating to a cost-savings action and/or (iv) if applicable, any Subject Transaction described in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of the definition thereof, income statement items (whether positive or negative and including any expected cost saving) attributable to the property or Person subject to such Subject Transaction, shall be excluded as of the first day of the applicable Test Period with respect to any test or covenant for which the relevant determination is being made;</w:t>
      </w:r>
    </w:p>
    <w:p>
      <w:pPr>
        <w:spacing w:after="0" w:line="162" w:lineRule="exact"/>
        <w:rPr>
          <w:rFonts w:ascii="Arial" w:cs="Arial" w:eastAsia="Arial" w:hAnsi="Arial"/>
          <w:sz w:val="17"/>
          <w:szCs w:val="17"/>
          <w:color w:val="auto"/>
        </w:rPr>
      </w:pPr>
    </w:p>
    <w:p>
      <w:pPr>
        <w:jc w:val="both"/>
        <w:ind w:left="840" w:right="39" w:firstLine="751"/>
        <w:spacing w:after="0" w:line="260" w:lineRule="auto"/>
        <w:tabs>
          <w:tab w:leader="none" w:pos="221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in the case of (i) any Permitted Acquisition or other Investment, (ii) any designation of any Unrestricted Subsidiary as a Restricted Subsidiary, and/or (iii) if applicable, any Subject Transaction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the definition thereof, income statement items (whether positive or negative) attributable to the property or Person subject to such Subject Transaction shall be included as of the first day of the applicable Test Period with respect to any test or covenant for which the relevant determination is being made;</w:t>
      </w:r>
    </w:p>
    <w:p>
      <w:pPr>
        <w:spacing w:after="0" w:line="174" w:lineRule="exact"/>
        <w:rPr>
          <w:rFonts w:ascii="Arial" w:cs="Arial" w:eastAsia="Arial" w:hAnsi="Arial"/>
          <w:sz w:val="18"/>
          <w:szCs w:val="18"/>
          <w:color w:val="auto"/>
        </w:rPr>
      </w:pPr>
    </w:p>
    <w:p>
      <w:pPr>
        <w:ind w:left="2340" w:hanging="748"/>
        <w:spacing w:after="0"/>
        <w:tabs>
          <w:tab w:leader="none" w:pos="23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[reserved];</w:t>
      </w:r>
    </w:p>
    <w:p>
      <w:pPr>
        <w:spacing w:after="0" w:line="227" w:lineRule="exact"/>
        <w:rPr>
          <w:rFonts w:ascii="Arial" w:cs="Arial" w:eastAsia="Arial" w:hAnsi="Arial"/>
          <w:sz w:val="19"/>
          <w:szCs w:val="19"/>
          <w:color w:val="auto"/>
        </w:rPr>
      </w:pPr>
    </w:p>
    <w:p>
      <w:pPr>
        <w:jc w:val="both"/>
        <w:ind w:left="840" w:right="59" w:firstLine="751"/>
        <w:spacing w:after="0" w:line="249" w:lineRule="auto"/>
        <w:tabs>
          <w:tab w:leader="none" w:pos="2210" w:val="left"/>
        </w:tabs>
        <w:numPr>
          <w:ilvl w:val="0"/>
          <w:numId w:val="86"/>
        </w:numPr>
        <w:rPr>
          <w:rFonts w:ascii="Arial" w:cs="Arial" w:eastAsia="Arial" w:hAnsi="Arial"/>
          <w:sz w:val="19"/>
          <w:szCs w:val="19"/>
          <w:color w:val="auto"/>
        </w:rPr>
      </w:pPr>
      <w:r>
        <w:rPr>
          <w:rFonts w:ascii="Arial" w:cs="Arial" w:eastAsia="Arial" w:hAnsi="Arial"/>
          <w:sz w:val="19"/>
          <w:szCs w:val="19"/>
          <w:color w:val="auto"/>
        </w:rPr>
        <w:t>any retirement or repayment of Indebtedness by the Borrower or any of its Subsidiaries that constitutes a Subject Transaction shall be deemed to have occurred as of the first day of the applicable Test Period with respect to any test or covenant for which the relevant determination is being made;</w:t>
      </w:r>
    </w:p>
    <w:p>
      <w:pPr>
        <w:spacing w:after="0" w:line="183" w:lineRule="exact"/>
        <w:rPr>
          <w:rFonts w:ascii="Arial" w:cs="Arial" w:eastAsia="Arial" w:hAnsi="Arial"/>
          <w:sz w:val="19"/>
          <w:szCs w:val="19"/>
          <w:color w:val="auto"/>
        </w:rPr>
      </w:pPr>
    </w:p>
    <w:p>
      <w:pPr>
        <w:jc w:val="both"/>
        <w:ind w:left="840" w:right="59" w:firstLine="751"/>
        <w:spacing w:after="0" w:line="243" w:lineRule="auto"/>
        <w:tabs>
          <w:tab w:leader="none" w:pos="2209"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any Indebtedness incurred by the Borrower or any of its Restricted Subsidiaries in connection therewith that constitutes a Subject Transaction shall be deemed to have occurred as of the first day of the applicable Test Period with respect to any test or covenant for which the relevant determination is being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such Indebtedness has a floating or formula rate, such Indebtedness shall have an implied rate of interest for the applicable Test Period for purposes of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51</w:t>
      </w:r>
      <w:r>
        <w:rPr>
          <w:rFonts w:ascii="Arial" w:cs="Arial" w:eastAsia="Arial" w:hAnsi="Arial"/>
          <w:sz w:val="18"/>
          <w:szCs w:val="18"/>
          <w:u w:val="single" w:color="auto"/>
          <w:color w:val="0000FF"/>
          <w:strike w:val="1"/>
        </w:rPr>
        <w:t>51</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19" w:name="page120"/>
    <w:bookmarkEnd w:id="119"/>
    <w:p>
      <w:pPr>
        <w:jc w:val="both"/>
        <w:ind w:left="840" w:right="19"/>
        <w:spacing w:after="0" w:line="266" w:lineRule="auto"/>
        <w:rPr>
          <w:sz w:val="20"/>
          <w:szCs w:val="20"/>
          <w:color w:val="auto"/>
        </w:rPr>
      </w:pPr>
      <w:r>
        <w:rPr>
          <w:rFonts w:ascii="Arial" w:cs="Arial" w:eastAsia="Arial" w:hAnsi="Arial"/>
          <w:sz w:val="17"/>
          <w:szCs w:val="17"/>
          <w:color w:val="auto"/>
        </w:rPr>
        <w:t>this definition determined by utilizing the rate that is or would be in effect with respect to such Indebtedness at the relevant date of determination (taking into account any interest hedging arrangements applicable to such Indebtedness),</w:t>
      </w:r>
    </w:p>
    <w:p>
      <w:pPr>
        <w:spacing w:after="0" w:line="1" w:lineRule="exact"/>
        <w:rPr>
          <w:sz w:val="20"/>
          <w:szCs w:val="20"/>
          <w:color w:val="auto"/>
        </w:rPr>
      </w:pPr>
    </w:p>
    <w:p>
      <w:pPr>
        <w:jc w:val="both"/>
        <w:ind w:left="840" w:right="19" w:firstLine="3"/>
        <w:spacing w:after="0" w:line="261" w:lineRule="auto"/>
        <w:tabs>
          <w:tab w:leader="none" w:pos="1132"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interest on any obligation with respect to any Capital Lease shall be deemed to accrue at an interest rate reasonably determined by a Responsible Officer of the Borrower in good faith to be the rate of interest implicit in such obligation in accordance with GAAP and (iii) interest on any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by the Borrower;</w:t>
      </w:r>
    </w:p>
    <w:p>
      <w:pPr>
        <w:spacing w:after="0" w:line="163" w:lineRule="exact"/>
        <w:rPr>
          <w:rFonts w:ascii="Arial" w:cs="Arial" w:eastAsia="Arial" w:hAnsi="Arial"/>
          <w:sz w:val="17"/>
          <w:szCs w:val="17"/>
          <w:color w:val="auto"/>
        </w:rPr>
      </w:pPr>
    </w:p>
    <w:p>
      <w:pPr>
        <w:jc w:val="both"/>
        <w:ind w:left="840" w:right="39" w:firstLine="751"/>
        <w:spacing w:after="0" w:line="261" w:lineRule="auto"/>
        <w:tabs>
          <w:tab w:leader="none" w:pos="2210"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the acquisition of any asset included in calculating Consolidated Total Assets (other than the amount Cash or Cash Equivalents, which is addressed in </w:t>
      </w:r>
      <w:r>
        <w:rPr>
          <w:rFonts w:ascii="Arial" w:cs="Arial" w:eastAsia="Arial" w:hAnsi="Arial"/>
          <w:sz w:val="18"/>
          <w:szCs w:val="18"/>
          <w:u w:val="single" w:color="auto"/>
          <w:color w:val="auto"/>
        </w:rPr>
        <w:t>clause (g)</w:t>
      </w:r>
      <w:r>
        <w:rPr>
          <w:rFonts w:ascii="Arial" w:cs="Arial" w:eastAsia="Arial" w:hAnsi="Arial"/>
          <w:sz w:val="18"/>
          <w:szCs w:val="18"/>
          <w:color w:val="auto"/>
        </w:rPr>
        <w:t xml:space="preserve"> below), whether pursuant to any Subject Transaction or any Person becoming a subsidiary or merging, amalgamating or consolidating with or into the Borrower or any of its subsidiaries, or the Disposition of any asset included in calculating Consolidated Total Assets described in the definition of “Subject Transaction”, shall be deemed to have occurred as of the last day of the applicable Test Period with respect to any test or covenant for which such calculation is being made;</w:t>
      </w:r>
    </w:p>
    <w:p>
      <w:pPr>
        <w:spacing w:after="0" w:line="174" w:lineRule="exact"/>
        <w:rPr>
          <w:rFonts w:ascii="Arial" w:cs="Arial" w:eastAsia="Arial" w:hAnsi="Arial"/>
          <w:sz w:val="18"/>
          <w:szCs w:val="18"/>
          <w:color w:val="auto"/>
        </w:rPr>
      </w:pPr>
    </w:p>
    <w:p>
      <w:pPr>
        <w:jc w:val="both"/>
        <w:ind w:left="840" w:right="39" w:firstLine="751"/>
        <w:spacing w:after="0" w:line="243" w:lineRule="auto"/>
        <w:tabs>
          <w:tab w:leader="none" w:pos="2210" w:val="left"/>
        </w:tabs>
        <w:numPr>
          <w:ilvl w:val="1"/>
          <w:numId w:val="87"/>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other than, for the avoidance of doubt, for purposes of </w:t>
      </w:r>
      <w:r>
        <w:rPr>
          <w:rFonts w:ascii="Arial" w:cs="Arial" w:eastAsia="Arial" w:hAnsi="Arial"/>
          <w:sz w:val="19"/>
          <w:szCs w:val="19"/>
          <w:u w:val="single" w:color="auto"/>
          <w:color w:val="auto"/>
        </w:rPr>
        <w:t>Section 6.10(a)</w:t>
      </w:r>
      <w:r>
        <w:rPr>
          <w:rFonts w:ascii="Arial" w:cs="Arial" w:eastAsia="Arial" w:hAnsi="Arial"/>
          <w:sz w:val="19"/>
          <w:szCs w:val="19"/>
          <w:color w:val="auto"/>
        </w:rPr>
        <w:t>, the Unrestricted Cash Amount shall be calculated as of the date of the consummation of such Subject Transaction after giving pro forma effect thereto, including any application of cash proceeds in connection therewith (other than, for the avoidance of doubt, the cash proceeds of any Indebtedness that is the Subject Transaction for which such a calculation is being made); and</w:t>
      </w:r>
    </w:p>
    <w:p>
      <w:pPr>
        <w:spacing w:after="0" w:line="189" w:lineRule="exact"/>
        <w:rPr>
          <w:rFonts w:ascii="Arial" w:cs="Arial" w:eastAsia="Arial" w:hAnsi="Arial"/>
          <w:sz w:val="19"/>
          <w:szCs w:val="19"/>
          <w:color w:val="auto"/>
        </w:rPr>
      </w:pPr>
    </w:p>
    <w:p>
      <w:pPr>
        <w:jc w:val="both"/>
        <w:ind w:left="840" w:right="59" w:firstLine="751"/>
        <w:spacing w:after="0" w:line="256" w:lineRule="auto"/>
        <w:tabs>
          <w:tab w:leader="none" w:pos="2209" w:val="left"/>
        </w:tabs>
        <w:numPr>
          <w:ilvl w:val="1"/>
          <w:numId w:val="87"/>
        </w:numPr>
        <w:rPr>
          <w:rFonts w:ascii="Arial" w:cs="Arial" w:eastAsia="Arial" w:hAnsi="Arial"/>
          <w:sz w:val="19"/>
          <w:szCs w:val="19"/>
          <w:color w:val="auto"/>
        </w:rPr>
      </w:pPr>
      <w:r>
        <w:rPr>
          <w:rFonts w:ascii="Arial" w:cs="Arial" w:eastAsia="Arial" w:hAnsi="Arial"/>
          <w:sz w:val="19"/>
          <w:szCs w:val="19"/>
          <w:color w:val="auto"/>
        </w:rPr>
        <w:t>each other Subject Transaction shall be deemed to have occurred as of the first day of the applicable Test Period (or, in the case of Consolidated Total Assets, as of the last day of such Test Period) with respect to any test or covenant for which such calculation is being made.</w:t>
      </w:r>
    </w:p>
    <w:p>
      <w:pPr>
        <w:spacing w:after="0" w:line="178" w:lineRule="exact"/>
        <w:rPr>
          <w:sz w:val="20"/>
          <w:szCs w:val="20"/>
          <w:color w:val="auto"/>
        </w:rPr>
      </w:pPr>
    </w:p>
    <w:p>
      <w:pPr>
        <w:ind w:left="100" w:right="99" w:firstLine="749"/>
        <w:spacing w:after="0" w:line="246" w:lineRule="auto"/>
        <w:rPr>
          <w:sz w:val="20"/>
          <w:szCs w:val="20"/>
          <w:color w:val="auto"/>
        </w:rPr>
      </w:pPr>
      <w:r>
        <w:rPr>
          <w:rFonts w:ascii="Arial" w:cs="Arial" w:eastAsia="Arial" w:hAnsi="Arial"/>
          <w:sz w:val="18"/>
          <w:szCs w:val="18"/>
          <w:color w:val="auto"/>
        </w:rPr>
        <w:t xml:space="preserve">It is hereby agreed that for purposes of determining pro forma compliance with </w:t>
      </w:r>
      <w:r>
        <w:rPr>
          <w:rFonts w:ascii="Arial" w:cs="Arial" w:eastAsia="Arial" w:hAnsi="Arial"/>
          <w:sz w:val="18"/>
          <w:szCs w:val="18"/>
          <w:u w:val="single" w:color="auto"/>
          <w:color w:val="auto"/>
        </w:rPr>
        <w:t>Section 6.10(a)</w:t>
      </w:r>
      <w:r>
        <w:rPr>
          <w:rFonts w:ascii="Arial" w:cs="Arial" w:eastAsia="Arial" w:hAnsi="Arial"/>
          <w:sz w:val="18"/>
          <w:szCs w:val="18"/>
          <w:color w:val="auto"/>
        </w:rPr>
        <w:t xml:space="preserve"> prior to the last day of the first full Fiscal Quarter after the Closing Date, the applicable level shall be the level cited in </w:t>
      </w:r>
      <w:r>
        <w:rPr>
          <w:rFonts w:ascii="Arial" w:cs="Arial" w:eastAsia="Arial" w:hAnsi="Arial"/>
          <w:sz w:val="18"/>
          <w:szCs w:val="18"/>
          <w:u w:val="single" w:color="auto"/>
          <w:color w:val="auto"/>
        </w:rPr>
        <w:t>Section 6.10(a)</w:t>
      </w:r>
      <w:r>
        <w:rPr>
          <w:rFonts w:ascii="Arial" w:cs="Arial" w:eastAsia="Arial" w:hAnsi="Arial"/>
          <w:sz w:val="18"/>
          <w:szCs w:val="18"/>
          <w:color w:val="auto"/>
        </w:rPr>
        <w:t xml:space="preserve">. Notwithstanding anything to the contrary set forth in the immediately preceding paragraph, for the avoidance of doubt, when calculating the Total Net Leverage Ratio for purposes of the definitions of “Applicable Rate” and “Commitment Fee Rate” and for purposes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6.10(a)</w:t>
      </w:r>
      <w:r>
        <w:rPr>
          <w:rFonts w:ascii="Arial" w:cs="Arial" w:eastAsia="Arial" w:hAnsi="Arial"/>
          <w:sz w:val="18"/>
          <w:szCs w:val="18"/>
          <w:color w:val="auto"/>
        </w:rPr>
        <w:t xml:space="preserve"> (other than for the purpose of determining pro forma compliance with </w:t>
      </w:r>
      <w:r>
        <w:rPr>
          <w:rFonts w:ascii="Arial" w:cs="Arial" w:eastAsia="Arial" w:hAnsi="Arial"/>
          <w:sz w:val="18"/>
          <w:szCs w:val="18"/>
          <w:u w:val="single" w:color="auto"/>
          <w:color w:val="auto"/>
        </w:rPr>
        <w:t>Section 6.10(a)</w:t>
      </w:r>
      <w:r>
        <w:rPr>
          <w:rFonts w:ascii="Arial" w:cs="Arial" w:eastAsia="Arial" w:hAnsi="Arial"/>
          <w:sz w:val="18"/>
          <w:szCs w:val="18"/>
          <w:color w:val="auto"/>
        </w:rPr>
        <w:t xml:space="preserve"> as a condition to taking any action under this Agreement), the events described in the immediately preceding paragraph that occurred subsequent to the end of the applicable Test Period shall not be given pro forma effect.</w:t>
      </w:r>
    </w:p>
    <w:p>
      <w:pPr>
        <w:spacing w:after="0" w:line="175" w:lineRule="exact"/>
        <w:rPr>
          <w:sz w:val="20"/>
          <w:szCs w:val="20"/>
          <w:color w:val="auto"/>
        </w:rPr>
      </w:pPr>
    </w:p>
    <w:p>
      <w:pPr>
        <w:jc w:val="both"/>
        <w:ind w:left="100" w:right="79" w:firstLine="749"/>
        <w:spacing w:after="0" w:line="30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Projections</w:t>
      </w:r>
      <w:r>
        <w:rPr>
          <w:rFonts w:ascii="Arial" w:cs="Arial" w:eastAsia="Arial" w:hAnsi="Arial"/>
          <w:sz w:val="17"/>
          <w:szCs w:val="17"/>
          <w:color w:val="auto"/>
        </w:rPr>
        <w:t>” means the financial projections, forecasts, financial estimates and other forward-looking and/or projected information of or relating to the Borrower and its subsidiaries included in the Financial Model (or a supplement thereto).</w:t>
      </w:r>
    </w:p>
    <w:p>
      <w:pPr>
        <w:spacing w:after="0" w:line="127" w:lineRule="exact"/>
        <w:rPr>
          <w:sz w:val="20"/>
          <w:szCs w:val="20"/>
          <w:color w:val="auto"/>
        </w:rPr>
      </w:pPr>
    </w:p>
    <w:p>
      <w:pPr>
        <w:jc w:val="both"/>
        <w:ind w:left="100" w:right="59" w:firstLine="74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Promissory Note</w:t>
      </w:r>
      <w:r>
        <w:rPr>
          <w:rFonts w:ascii="Arial" w:cs="Arial" w:eastAsia="Arial" w:hAnsi="Arial"/>
          <w:sz w:val="19"/>
          <w:szCs w:val="19"/>
          <w:color w:val="auto"/>
        </w:rPr>
        <w:t xml:space="preserve">” means a promissory note of the Borrower payable to any Lender or its registered assigns, in substantially the form of </w:t>
      </w:r>
      <w:r>
        <w:rPr>
          <w:rFonts w:ascii="Arial" w:cs="Arial" w:eastAsia="Arial" w:hAnsi="Arial"/>
          <w:sz w:val="19"/>
          <w:szCs w:val="19"/>
          <w:u w:val="single" w:color="auto"/>
          <w:color w:val="auto"/>
        </w:rPr>
        <w:t>Exhibit L</w:t>
      </w:r>
      <w:r>
        <w:rPr>
          <w:rFonts w:ascii="Arial" w:cs="Arial" w:eastAsia="Arial" w:hAnsi="Arial"/>
          <w:sz w:val="19"/>
          <w:szCs w:val="19"/>
          <w:color w:val="auto"/>
        </w:rPr>
        <w:t>, evidencing the aggregate outstanding principal amount of Loans of the Borrower to such Lender resulting from the Loans made by such Lender.</w:t>
      </w:r>
    </w:p>
    <w:p>
      <w:pPr>
        <w:spacing w:after="0" w:line="179" w:lineRule="exact"/>
        <w:rPr>
          <w:sz w:val="20"/>
          <w:szCs w:val="20"/>
          <w:color w:val="auto"/>
        </w:rPr>
      </w:pPr>
    </w:p>
    <w:p>
      <w:pPr>
        <w:ind w:left="100" w:right="99" w:firstLine="74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PTE</w:t>
      </w:r>
      <w:r>
        <w:rPr>
          <w:rFonts w:ascii="Arial" w:cs="Arial" w:eastAsia="Arial" w:hAnsi="Arial"/>
          <w:sz w:val="19"/>
          <w:szCs w:val="19"/>
          <w:color w:val="auto"/>
        </w:rPr>
        <w:t>” means a prohibited transaction class exemption issued by the U.S. Department of Labor, as any such exemption may be amended from time to time.</w:t>
      </w:r>
    </w:p>
    <w:p>
      <w:pPr>
        <w:spacing w:after="0" w:line="159" w:lineRule="exact"/>
        <w:rPr>
          <w:sz w:val="20"/>
          <w:szCs w:val="20"/>
          <w:color w:val="auto"/>
        </w:rPr>
      </w:pPr>
    </w:p>
    <w:p>
      <w:pPr>
        <w:ind w:left="100" w:right="99" w:firstLine="749"/>
        <w:spacing w:after="0" w:line="23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Public Company Costs</w:t>
      </w:r>
      <w:r>
        <w:rPr>
          <w:rFonts w:ascii="Arial" w:cs="Arial" w:eastAsia="Arial" w:hAnsi="Arial"/>
          <w:sz w:val="19"/>
          <w:szCs w:val="19"/>
          <w:color w:val="auto"/>
        </w:rPr>
        <w:t>” means Charges associated with, or in anticipation of, or preparation for, compliance with the requirements of the Sarbanes-Oxley Act of 2002 (and, in each case, similar Requirements of Law under other jurisdictions) and the rules and regulations promulgated in connection therewith and Charges relating to compliance with the provisions of the Securities Act and the Exchange Act (and, in each case, similar Requirements of Law under other jurisdictions), as applicable to companies with equity or debt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52</w:t>
      </w:r>
      <w:r>
        <w:rPr>
          <w:rFonts w:ascii="Arial" w:cs="Arial" w:eastAsia="Arial" w:hAnsi="Arial"/>
          <w:sz w:val="18"/>
          <w:szCs w:val="18"/>
          <w:u w:val="single" w:color="auto"/>
          <w:color w:val="0000FF"/>
          <w:strike w:val="1"/>
        </w:rPr>
        <w:t>52</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20" w:name="page121"/>
    <w:bookmarkEnd w:id="120"/>
    <w:p>
      <w:pPr>
        <w:jc w:val="both"/>
        <w:ind w:left="100" w:right="59"/>
        <w:spacing w:after="0" w:line="236" w:lineRule="auto"/>
        <w:rPr>
          <w:sz w:val="20"/>
          <w:szCs w:val="20"/>
          <w:color w:val="auto"/>
        </w:rPr>
      </w:pPr>
      <w:r>
        <w:rPr>
          <w:rFonts w:ascii="Arial" w:cs="Arial" w:eastAsia="Arial" w:hAnsi="Arial"/>
          <w:sz w:val="19"/>
          <w:szCs w:val="19"/>
          <w:color w:val="auto"/>
        </w:rPr>
        <w:t>securities held by the public, the rules of national securities exchange companies with listed equity or debt securities, directors’, managers’ and/or employees’ compensation, fees and expense reimbursement, Charges relating to investor relations, shareholder meetings and reports to shareholders or debtholders, directors’ and officers’ insurance and other executive costs, legal and other professional fees (including auditors’ and accountants’ fees), listing fees, filing fees and other costs and/or expenses associated with being a public company.</w:t>
      </w:r>
    </w:p>
    <w:p>
      <w:pPr>
        <w:spacing w:after="0" w:line="181"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Public Lender</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9.01(d)</w:t>
      </w:r>
      <w:r>
        <w:rPr>
          <w:rFonts w:ascii="Arial" w:cs="Arial" w:eastAsia="Arial" w:hAnsi="Arial"/>
          <w:sz w:val="19"/>
          <w:szCs w:val="19"/>
          <w:color w:val="auto"/>
        </w:rPr>
        <w:t>.</w:t>
      </w:r>
    </w:p>
    <w:p>
      <w:pPr>
        <w:spacing w:after="0" w:line="200" w:lineRule="exact"/>
        <w:rPr>
          <w:sz w:val="20"/>
          <w:szCs w:val="20"/>
          <w:color w:val="auto"/>
        </w:rPr>
      </w:pPr>
    </w:p>
    <w:p>
      <w:pPr>
        <w:jc w:val="both"/>
        <w:ind w:left="100" w:right="59" w:firstLine="749"/>
        <w:spacing w:after="0" w:line="263"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u w:val="single" w:color="auto"/>
          <w:color w:val="FF0000"/>
          <w:strike w:val="1"/>
        </w:rPr>
        <w:t>Published LIBO Rate</w:t>
      </w:r>
      <w:r>
        <w:rPr>
          <w:rFonts w:ascii="Arial" w:cs="Arial" w:eastAsia="Arial" w:hAnsi="Arial"/>
          <w:sz w:val="17"/>
          <w:szCs w:val="17"/>
          <w:color w:val="FF0000"/>
          <w:strike w:val="1"/>
        </w:rPr>
        <w:t>” means, with respect to any Interest Per iod when used in reference to</w:t>
      </w:r>
      <w:r>
        <w:rPr>
          <w:rFonts w:ascii="Arial" w:cs="Arial" w:eastAsia="Arial" w:hAnsi="Arial"/>
          <w:sz w:val="17"/>
          <w:szCs w:val="17"/>
          <w:color w:val="FF0000"/>
        </w:rPr>
        <w:t xml:space="preserve"> any Loan or Borrowing, (a) the rate of interest appearing on Reuters Screen LIBOR01 Page (or on any successor or substitute page of such service, or any successor to such service as determined by Administrative Agent) as the London interbank offered rate for deposits in Dollars or any Alternate Currency, as applicable, for a term comparable to such Interest Period, at approximately 11:00 a.m. </w:t>
      </w:r>
      <w:r>
        <w:rPr>
          <w:rFonts w:ascii="Arial" w:cs="Arial" w:eastAsia="Arial" w:hAnsi="Arial"/>
          <w:sz w:val="17"/>
          <w:szCs w:val="17"/>
          <w:color w:val="FF0000"/>
          <w:strike w:val="1"/>
        </w:rPr>
        <w:t>(London time) on</w:t>
      </w:r>
      <w:r>
        <w:rPr>
          <w:rFonts w:ascii="Arial" w:cs="Arial" w:eastAsia="Arial" w:hAnsi="Arial"/>
          <w:sz w:val="17"/>
          <w:szCs w:val="17"/>
          <w:color w:val="FF0000"/>
        </w:rPr>
        <w:t xml:space="preserve"> </w:t>
      </w:r>
      <w:r>
        <w:rPr>
          <w:rFonts w:ascii="Arial" w:cs="Arial" w:eastAsia="Arial" w:hAnsi="Arial"/>
          <w:sz w:val="17"/>
          <w:szCs w:val="17"/>
          <w:color w:val="FF0000"/>
          <w:strike w:val="1"/>
        </w:rPr>
        <w:t>the date that is two</w:t>
      </w:r>
      <w:r>
        <w:rPr>
          <w:rFonts w:ascii="Arial" w:cs="Arial" w:eastAsia="Arial" w:hAnsi="Arial"/>
          <w:sz w:val="17"/>
          <w:szCs w:val="17"/>
          <w:color w:val="FF0000"/>
        </w:rPr>
        <w:t xml:space="preserve"> </w:t>
      </w:r>
      <w:r>
        <w:rPr>
          <w:rFonts w:ascii="Arial" w:cs="Arial" w:eastAsia="Arial" w:hAnsi="Arial"/>
          <w:sz w:val="17"/>
          <w:szCs w:val="17"/>
          <w:i w:val="1"/>
          <w:iCs w:val="1"/>
          <w:color w:val="008000"/>
          <w:strike w:val="1"/>
        </w:rPr>
        <w:t>Business Days prior to the commencement of such Interest Period</w:t>
      </w:r>
      <w:r>
        <w:rPr>
          <w:rFonts w:ascii="Arial" w:cs="Arial" w:eastAsia="Arial" w:hAnsi="Arial"/>
          <w:sz w:val="17"/>
          <w:szCs w:val="17"/>
          <w:color w:val="FF0000"/>
        </w:rPr>
        <w:t xml:space="preserve"> (but if more than one rate is specified on such page, the rate will be an arithmetic average of all such rates) or (b) if the rates described in </w:t>
      </w:r>
      <w:r>
        <w:rPr>
          <w:rFonts w:ascii="Arial" w:cs="Arial" w:eastAsia="Arial" w:hAnsi="Arial"/>
          <w:sz w:val="17"/>
          <w:szCs w:val="17"/>
          <w:u w:val="single" w:color="auto"/>
          <w:color w:val="FF0000"/>
        </w:rPr>
        <w:t>clause (a)</w:t>
      </w:r>
      <w:r>
        <w:rPr>
          <w:rFonts w:ascii="Arial" w:cs="Arial" w:eastAsia="Arial" w:hAnsi="Arial"/>
          <w:sz w:val="17"/>
          <w:szCs w:val="17"/>
          <w:color w:val="FF0000"/>
        </w:rPr>
        <w:t xml:space="preserve"> is not available at such time for any reason, then the </w:t>
      </w:r>
      <w:r>
        <w:rPr>
          <w:rFonts w:ascii="Arial" w:cs="Arial" w:eastAsia="Arial" w:hAnsi="Arial"/>
          <w:sz w:val="17"/>
          <w:szCs w:val="17"/>
          <w:color w:val="FF0000"/>
          <w:strike w:val="1"/>
        </w:rPr>
        <w:t>“Published LIBO Rate” for such Interest Per iod shall be determined in accordance with</w:t>
      </w:r>
      <w:r>
        <w:rPr>
          <w:rFonts w:ascii="Arial" w:cs="Arial" w:eastAsia="Arial" w:hAnsi="Arial"/>
          <w:sz w:val="17"/>
          <w:szCs w:val="17"/>
          <w:color w:val="FF0000"/>
        </w:rPr>
        <w:t xml:space="preserve"> </w:t>
      </w:r>
      <w:r>
        <w:rPr>
          <w:rFonts w:ascii="Arial" w:cs="Arial" w:eastAsia="Arial" w:hAnsi="Arial"/>
          <w:sz w:val="17"/>
          <w:szCs w:val="17"/>
          <w:u w:val="single" w:color="auto"/>
          <w:color w:val="FF0000"/>
          <w:strike w:val="1"/>
        </w:rPr>
        <w:t>Section 2.14</w:t>
      </w:r>
      <w:r>
        <w:rPr>
          <w:rFonts w:ascii="Arial" w:cs="Arial" w:eastAsia="Arial" w:hAnsi="Arial"/>
          <w:sz w:val="17"/>
          <w:szCs w:val="17"/>
          <w:color w:val="FF0000"/>
          <w:strike w:val="1"/>
        </w:rPr>
        <w:t>.</w:t>
      </w:r>
    </w:p>
    <w:p>
      <w:pPr>
        <w:spacing w:after="0" w:line="242"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QFC Credit Support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9.26</w:t>
      </w:r>
      <w:r>
        <w:rPr>
          <w:rFonts w:ascii="Arial" w:cs="Arial" w:eastAsia="Arial" w:hAnsi="Arial"/>
          <w:sz w:val="19"/>
          <w:szCs w:val="19"/>
          <w:color w:val="auto"/>
        </w:rPr>
        <w:t>.</w:t>
      </w:r>
    </w:p>
    <w:p>
      <w:pPr>
        <w:spacing w:after="0" w:line="2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Capital Stock</w:t>
      </w:r>
      <w:r>
        <w:rPr>
          <w:rFonts w:ascii="Arial" w:cs="Arial" w:eastAsia="Arial" w:hAnsi="Arial"/>
          <w:sz w:val="17"/>
          <w:szCs w:val="17"/>
          <w:color w:val="auto"/>
        </w:rPr>
        <w:t>” of any Person means any Capital Stock of such Person that is not Disqualified Capital Stock.</w:t>
      </w:r>
    </w:p>
    <w:p>
      <w:pPr>
        <w:spacing w:after="0" w:line="223" w:lineRule="exact"/>
        <w:rPr>
          <w:sz w:val="20"/>
          <w:szCs w:val="20"/>
          <w:color w:val="auto"/>
        </w:rPr>
      </w:pPr>
    </w:p>
    <w:p>
      <w:pPr>
        <w:ind w:left="100" w:right="9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Quality of Earnings Report</w:t>
      </w:r>
      <w:r>
        <w:rPr>
          <w:rFonts w:ascii="Arial" w:cs="Arial" w:eastAsia="Arial" w:hAnsi="Arial"/>
          <w:sz w:val="19"/>
          <w:szCs w:val="19"/>
          <w:color w:val="auto"/>
        </w:rPr>
        <w:t>” has the meaning assigned to such term in the definition of “Consolidated Adjusted EBITDA”.</w:t>
      </w:r>
    </w:p>
    <w:p>
      <w:pPr>
        <w:spacing w:after="0" w:line="187"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Ratio Debt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6.01(w)</w:t>
      </w:r>
      <w:r>
        <w:rPr>
          <w:rFonts w:ascii="Arial" w:cs="Arial" w:eastAsia="Arial" w:hAnsi="Arial"/>
          <w:sz w:val="19"/>
          <w:szCs w:val="19"/>
          <w:color w:val="auto"/>
        </w:rPr>
        <w:t>.</w:t>
      </w:r>
    </w:p>
    <w:p>
      <w:pPr>
        <w:spacing w:after="0" w:line="200" w:lineRule="exact"/>
        <w:rPr>
          <w:sz w:val="20"/>
          <w:szCs w:val="20"/>
          <w:color w:val="auto"/>
        </w:rPr>
      </w:pPr>
    </w:p>
    <w:p>
      <w:pPr>
        <w:jc w:val="both"/>
        <w:ind w:left="100" w:right="59" w:firstLine="749"/>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Estate Asset</w:t>
      </w:r>
      <w:r>
        <w:rPr>
          <w:rFonts w:ascii="Arial" w:cs="Arial" w:eastAsia="Arial" w:hAnsi="Arial"/>
          <w:sz w:val="18"/>
          <w:szCs w:val="18"/>
          <w:color w:val="auto"/>
        </w:rPr>
        <w:t>” means, at any time of determination, all right, title and interest (fee, leasehold or otherwise) of any Person in and to real property (including, but not limited to, land, improvements and fixtures thereon).</w:t>
      </w:r>
    </w:p>
    <w:p>
      <w:pPr>
        <w:spacing w:after="0" w:line="150" w:lineRule="exact"/>
        <w:rPr>
          <w:sz w:val="20"/>
          <w:szCs w:val="20"/>
          <w:color w:val="auto"/>
        </w:rPr>
      </w:pPr>
    </w:p>
    <w:p>
      <w:pPr>
        <w:jc w:val="both"/>
        <w:ind w:left="100" w:right="59" w:firstLine="749"/>
        <w:spacing w:after="0" w:line="2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Receivables Facility</w:t>
      </w:r>
      <w:r>
        <w:rPr>
          <w:rFonts w:ascii="Arial" w:cs="Arial" w:eastAsia="Arial" w:hAnsi="Arial"/>
          <w:sz w:val="19"/>
          <w:szCs w:val="19"/>
          <w:color w:val="auto"/>
        </w:rPr>
        <w:t xml:space="preserve">” means any receivables, factoring and/or securitization facility, arrangement or program that is, other than in the case of any factoring arrangement, non-recourse to the Borrower and/or any Restricted Subsidiary that is not a Receivables Subsidiary (except for customary (in the good faith determination of the Borrower) representations, warranties, covenants, performance undertakings, indemnities, guarantees and liens) pursuant to which the Borrower and/or any of its Restricted Subsidiaries sells, contributes, transfers and/or grants a security interest in (i) receivables, payables or securitization assets (including royalty and other revenue streams or other rights to payment and the proceeds thereof) and/or similar and/or related assets and (ii) contract rights, lockbox accounts, deposit accounts, securities accounts and records with respect to the assets described in the foregoing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(each of the assets described in the foregoing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a “</w:t>
      </w:r>
      <w:r>
        <w:rPr>
          <w:rFonts w:ascii="Arial" w:cs="Arial" w:eastAsia="Arial" w:hAnsi="Arial"/>
          <w:sz w:val="19"/>
          <w:szCs w:val="19"/>
          <w:u w:val="single" w:color="auto"/>
          <w:color w:val="auto"/>
        </w:rPr>
        <w:t>Receivables Facility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Asset</w:t>
      </w:r>
      <w:r>
        <w:rPr>
          <w:rFonts w:ascii="Arial" w:cs="Arial" w:eastAsia="Arial" w:hAnsi="Arial"/>
          <w:sz w:val="19"/>
          <w:szCs w:val="19"/>
          <w:color w:val="auto"/>
        </w:rPr>
        <w:t>”) to either (A) a person that is not a Restricted Subsidiary or (B) a Receivables Subsidiary that, in turn, pledges, sells or otherwise transfers its Receivables Facility Assets to a Person that is not a Restricted Subsidiary (including any subsidiary of the Borrower).</w:t>
      </w:r>
    </w:p>
    <w:p>
      <w:pPr>
        <w:spacing w:after="0" w:line="184"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Receivables Facility Asset</w:t>
      </w:r>
      <w:r>
        <w:rPr>
          <w:rFonts w:ascii="Arial" w:cs="Arial" w:eastAsia="Arial" w:hAnsi="Arial"/>
          <w:sz w:val="19"/>
          <w:szCs w:val="19"/>
          <w:color w:val="auto"/>
        </w:rPr>
        <w:t>” has the meaning assigned to such term in the definition of “Receivables Facility”.</w:t>
      </w:r>
    </w:p>
    <w:p>
      <w:pPr>
        <w:spacing w:after="0" w:line="200" w:lineRule="exact"/>
        <w:rPr>
          <w:sz w:val="20"/>
          <w:szCs w:val="20"/>
          <w:color w:val="auto"/>
        </w:rPr>
      </w:pPr>
    </w:p>
    <w:p>
      <w:pPr>
        <w:ind w:left="100" w:right="1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Receivables Subsidiary</w:t>
      </w:r>
      <w:r>
        <w:rPr>
          <w:rFonts w:ascii="Arial" w:cs="Arial" w:eastAsia="Arial" w:hAnsi="Arial"/>
          <w:sz w:val="19"/>
          <w:szCs w:val="19"/>
          <w:color w:val="auto"/>
        </w:rPr>
        <w:t>” means any subsidiary of the Borrower formed for the purpose of implementing, or that solely engages in, activities relating to, any permitted securitization, receivables facility,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53</w:t>
      </w:r>
      <w:r>
        <w:rPr>
          <w:rFonts w:ascii="Arial" w:cs="Arial" w:eastAsia="Arial" w:hAnsi="Arial"/>
          <w:sz w:val="18"/>
          <w:szCs w:val="18"/>
          <w:u w:val="single" w:color="auto"/>
          <w:color w:val="0000FF"/>
          <w:strike w:val="1"/>
        </w:rPr>
        <w:t>53</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21" w:name="page122"/>
    <w:bookmarkEnd w:id="121"/>
    <w:p>
      <w:pPr>
        <w:ind w:left="100" w:right="519"/>
        <w:spacing w:after="0" w:line="261" w:lineRule="auto"/>
        <w:rPr>
          <w:sz w:val="20"/>
          <w:szCs w:val="20"/>
          <w:color w:val="auto"/>
        </w:rPr>
      </w:pPr>
      <w:r>
        <w:rPr>
          <w:rFonts w:ascii="Arial" w:cs="Arial" w:eastAsia="Arial" w:hAnsi="Arial"/>
          <w:sz w:val="19"/>
          <w:szCs w:val="19"/>
          <w:color w:val="auto"/>
        </w:rPr>
        <w:t>receivables financing, any Receivables Facility and/or any other receivables arrangement and/or any other activity reasonably related thereto.</w:t>
      </w:r>
    </w:p>
    <w:p>
      <w:pPr>
        <w:spacing w:after="0" w:line="159" w:lineRule="exact"/>
        <w:rPr>
          <w:sz w:val="20"/>
          <w:szCs w:val="20"/>
          <w:color w:val="auto"/>
        </w:rPr>
      </w:pPr>
    </w:p>
    <w:p>
      <w:pPr>
        <w:ind w:left="100" w:right="179" w:firstLine="74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Refinancing Amendment</w:t>
      </w:r>
      <w:r>
        <w:rPr>
          <w:rFonts w:ascii="Arial" w:cs="Arial" w:eastAsia="Arial" w:hAnsi="Arial"/>
          <w:sz w:val="19"/>
          <w:szCs w:val="19"/>
          <w:color w:val="auto"/>
        </w:rPr>
        <w:t>” means an amendment to this Agreement that is reasonably satisfactory to the Administrative Agent and the Borrower executed by (a) the Borrower, (b) the Administrative Agent and</w:t>
      </w:r>
    </w:p>
    <w:p>
      <w:pPr>
        <w:spacing w:after="0" w:line="1" w:lineRule="exact"/>
        <w:rPr>
          <w:sz w:val="20"/>
          <w:szCs w:val="20"/>
          <w:color w:val="auto"/>
        </w:rPr>
      </w:pPr>
    </w:p>
    <w:p>
      <w:pPr>
        <w:ind w:left="100" w:right="219" w:hanging="7"/>
        <w:spacing w:after="0" w:line="234" w:lineRule="auto"/>
        <w:tabs>
          <w:tab w:leader="none" w:pos="357"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each Lender that agrees to provide all or any portion of the Replacement Term Loans or the Revolver Replacement Facility, as applicable, being incurred pursuant thereto and in accordance with </w:t>
      </w:r>
      <w:r>
        <w:rPr>
          <w:rFonts w:ascii="Arial" w:cs="Arial" w:eastAsia="Arial" w:hAnsi="Arial"/>
          <w:sz w:val="19"/>
          <w:szCs w:val="19"/>
          <w:u w:val="single" w:color="auto"/>
          <w:color w:val="auto"/>
        </w:rPr>
        <w:t>Section 9.02(c)</w:t>
      </w:r>
      <w:r>
        <w:rPr>
          <w:rFonts w:ascii="Arial" w:cs="Arial" w:eastAsia="Arial" w:hAnsi="Arial"/>
          <w:sz w:val="19"/>
          <w:szCs w:val="19"/>
          <w:color w:val="auto"/>
        </w:rPr>
        <w:t>.</w:t>
      </w:r>
    </w:p>
    <w:p>
      <w:pPr>
        <w:spacing w:after="0" w:line="273" w:lineRule="exact"/>
        <w:rPr>
          <w:sz w:val="20"/>
          <w:szCs w:val="20"/>
          <w:color w:val="auto"/>
        </w:rPr>
      </w:pPr>
    </w:p>
    <w:p>
      <w:pPr>
        <w:ind w:left="840" w:right="659"/>
        <w:spacing w:after="0" w:line="4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Refinancing Indebtedness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6.01(p)</w:t>
      </w:r>
      <w:r>
        <w:rPr>
          <w:rFonts w:ascii="Arial" w:cs="Arial" w:eastAsia="Arial" w:hAnsi="Arial"/>
          <w:sz w:val="19"/>
          <w:szCs w:val="19"/>
          <w:color w:val="auto"/>
        </w:rPr>
        <w:t>. “</w:t>
      </w:r>
      <w:r>
        <w:rPr>
          <w:rFonts w:ascii="Arial" w:cs="Arial" w:eastAsia="Arial" w:hAnsi="Arial"/>
          <w:sz w:val="19"/>
          <w:szCs w:val="19"/>
          <w:u w:val="single" w:color="auto"/>
          <w:color w:val="auto"/>
        </w:rPr>
        <w:t>Refunding Capital Stock</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6.04(a)(viii)</w:t>
      </w:r>
      <w:r>
        <w:rPr>
          <w:rFonts w:ascii="Arial" w:cs="Arial" w:eastAsia="Arial" w:hAnsi="Arial"/>
          <w:sz w:val="19"/>
          <w:szCs w:val="19"/>
          <w:color w:val="auto"/>
        </w:rPr>
        <w:t>. “</w:t>
      </w:r>
      <w:r>
        <w:rPr>
          <w:rFonts w:ascii="Arial" w:cs="Arial" w:eastAsia="Arial" w:hAnsi="Arial"/>
          <w:sz w:val="19"/>
          <w:szCs w:val="19"/>
          <w:u w:val="single" w:color="auto"/>
          <w:color w:val="auto"/>
        </w:rPr>
        <w:t>Register</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9.05(b)</w:t>
      </w:r>
      <w:r>
        <w:rPr>
          <w:rFonts w:ascii="Arial" w:cs="Arial" w:eastAsia="Arial" w:hAnsi="Arial"/>
          <w:sz w:val="19"/>
          <w:szCs w:val="19"/>
          <w:color w:val="auto"/>
        </w:rPr>
        <w:t>.</w:t>
      </w:r>
    </w:p>
    <w:p>
      <w:pPr>
        <w:jc w:val="both"/>
        <w:ind w:left="100" w:right="5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Regulated Bank</w:t>
      </w:r>
      <w:r>
        <w:rPr>
          <w:rFonts w:ascii="Arial" w:cs="Arial" w:eastAsia="Arial" w:hAnsi="Arial"/>
          <w:sz w:val="19"/>
          <w:szCs w:val="19"/>
          <w:color w:val="auto"/>
        </w:rPr>
        <w:t>” means any insured depository institution that is regulated by foreign, federal or state banking regulators, including, without limitation, the United States Office of the Comptroller of the Currency, the Federal Deposit Insurance Corporation or the Board.</w:t>
      </w:r>
    </w:p>
    <w:p>
      <w:pPr>
        <w:spacing w:after="0" w:line="192" w:lineRule="exact"/>
        <w:rPr>
          <w:sz w:val="20"/>
          <w:szCs w:val="20"/>
          <w:color w:val="auto"/>
        </w:rPr>
      </w:pPr>
    </w:p>
    <w:p>
      <w:pPr>
        <w:ind w:left="100" w:right="7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D</w:t>
      </w:r>
      <w:r>
        <w:rPr>
          <w:rFonts w:ascii="Arial" w:cs="Arial" w:eastAsia="Arial" w:hAnsi="Arial"/>
          <w:sz w:val="19"/>
          <w:szCs w:val="19"/>
          <w:color w:val="auto"/>
        </w:rPr>
        <w:t>” means Regulation D of the Board as from time to time in effect and all official rulings and interpretations thereunder or thereof.</w:t>
      </w:r>
    </w:p>
    <w:p>
      <w:pPr>
        <w:spacing w:after="0" w:line="173" w:lineRule="exact"/>
        <w:rPr>
          <w:sz w:val="20"/>
          <w:szCs w:val="20"/>
          <w:color w:val="auto"/>
        </w:rPr>
      </w:pPr>
    </w:p>
    <w:p>
      <w:pPr>
        <w:ind w:left="100" w:right="79" w:firstLine="74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U</w:t>
      </w:r>
      <w:r>
        <w:rPr>
          <w:rFonts w:ascii="Arial" w:cs="Arial" w:eastAsia="Arial" w:hAnsi="Arial"/>
          <w:sz w:val="19"/>
          <w:szCs w:val="19"/>
          <w:color w:val="auto"/>
        </w:rPr>
        <w:t>” means Regulation U of the Board as from time to time in effect and all official rulings and interpretations thereunder or thereof.</w:t>
      </w:r>
    </w:p>
    <w:p>
      <w:pPr>
        <w:spacing w:after="0" w:line="159" w:lineRule="exact"/>
        <w:rPr>
          <w:sz w:val="20"/>
          <w:szCs w:val="20"/>
          <w:color w:val="auto"/>
        </w:rPr>
      </w:pPr>
    </w:p>
    <w:p>
      <w:pPr>
        <w:jc w:val="both"/>
        <w:ind w:left="100" w:right="59" w:firstLine="74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Business Assets</w:t>
      </w:r>
      <w:r>
        <w:rPr>
          <w:rFonts w:ascii="Arial" w:cs="Arial" w:eastAsia="Arial" w:hAnsi="Arial"/>
          <w:sz w:val="17"/>
          <w:szCs w:val="17"/>
          <w:color w:val="auto"/>
        </w:rPr>
        <w:t xml:space="preserve">” means assets (other than cash or Cash Equivalents) used or useful in a Similar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asset received by the Borrower or any Restricted Subsidiary in exchange for any asset transferred by the Borrower or any Restricted Subsidiary shall not be deemed to constitute a Related Business Asset if such asset consists of securities of a Person, unless upon receipt of the securities of such Person, such Person would become a Restricted Subsidiary.</w:t>
      </w:r>
    </w:p>
    <w:p>
      <w:pPr>
        <w:spacing w:after="0" w:line="153" w:lineRule="exact"/>
        <w:rPr>
          <w:sz w:val="20"/>
          <w:szCs w:val="20"/>
          <w:color w:val="auto"/>
        </w:rPr>
      </w:pPr>
    </w:p>
    <w:p>
      <w:pPr>
        <w:jc w:val="both"/>
        <w:ind w:left="100" w:right="5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Funds</w:t>
      </w:r>
      <w:r>
        <w:rPr>
          <w:rFonts w:ascii="Arial" w:cs="Arial" w:eastAsia="Arial" w:hAnsi="Arial"/>
          <w:sz w:val="19"/>
          <w:szCs w:val="19"/>
          <w:color w:val="auto"/>
        </w:rPr>
        <w:t>” means with respect to any Lender that is an Approved Fund, any other Approved Fund that is managed by the same investment advisor as such Lender or by an Affiliate of such investment advisor.</w:t>
      </w:r>
    </w:p>
    <w:p>
      <w:pPr>
        <w:spacing w:after="0" w:line="187" w:lineRule="exact"/>
        <w:rPr>
          <w:sz w:val="20"/>
          <w:szCs w:val="20"/>
          <w:color w:val="auto"/>
        </w:rPr>
      </w:pPr>
    </w:p>
    <w:p>
      <w:pPr>
        <w:ind w:left="100" w:right="19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 with respect to any specified Person, such Person’s Affiliates and the respective directors, managers, officers, shareholders, trustees, employees, partners, agents, advisors and other representatives of such Person and such Person’s Affiliates.</w:t>
      </w:r>
    </w:p>
    <w:p>
      <w:pPr>
        <w:spacing w:after="0" w:line="192" w:lineRule="exact"/>
        <w:rPr>
          <w:sz w:val="20"/>
          <w:szCs w:val="20"/>
          <w:color w:val="auto"/>
        </w:rPr>
      </w:pPr>
    </w:p>
    <w:p>
      <w:pPr>
        <w:jc w:val="both"/>
        <w:ind w:left="100" w:right="59" w:firstLine="74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pumping, pouring, injection, escaping, deposit, disposal, discharge, dispersal, dumping, leaching or migration of any Hazardous Material into the Environment (including the abandonment or disposal of any barrels, containers or other closed receptacles containing any Hazardous Material), including the movement of any Hazardous Material through the air, soil, surface water or groundwater.</w:t>
      </w:r>
    </w:p>
    <w:p>
      <w:pPr>
        <w:spacing w:after="0" w:line="170" w:lineRule="exact"/>
        <w:rPr>
          <w:sz w:val="20"/>
          <w:szCs w:val="20"/>
          <w:color w:val="auto"/>
        </w:rPr>
      </w:pPr>
    </w:p>
    <w:p>
      <w:pPr>
        <w:jc w:val="both"/>
        <w:ind w:left="100" w:right="1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Relevant Governmental Body</w:t>
      </w:r>
      <w:r>
        <w:rPr>
          <w:rFonts w:ascii="Arial" w:cs="Arial" w:eastAsia="Arial" w:hAnsi="Arial"/>
          <w:sz w:val="19"/>
          <w:szCs w:val="19"/>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287" w:lineRule="exact"/>
        <w:rPr>
          <w:sz w:val="20"/>
          <w:szCs w:val="20"/>
          <w:color w:val="auto"/>
        </w:rPr>
      </w:pPr>
    </w:p>
    <w:p>
      <w:pPr>
        <w:ind w:left="840" w:right="919"/>
        <w:spacing w:after="0" w:line="4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Replaced Revolving Facility</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9.02(c)(ii)</w:t>
      </w:r>
      <w:r>
        <w:rPr>
          <w:rFonts w:ascii="Arial" w:cs="Arial" w:eastAsia="Arial" w:hAnsi="Arial"/>
          <w:sz w:val="19"/>
          <w:szCs w:val="19"/>
          <w:color w:val="auto"/>
        </w:rPr>
        <w:t>. “</w:t>
      </w:r>
      <w:r>
        <w:rPr>
          <w:rFonts w:ascii="Arial" w:cs="Arial" w:eastAsia="Arial" w:hAnsi="Arial"/>
          <w:sz w:val="19"/>
          <w:szCs w:val="19"/>
          <w:u w:val="single" w:color="auto"/>
          <w:color w:val="auto"/>
        </w:rPr>
        <w:t>Replaced Term</w:t>
      </w:r>
      <w:r>
        <w:rPr>
          <w:rFonts w:ascii="Arial" w:cs="Arial" w:eastAsia="Arial" w:hAnsi="Arial"/>
          <w:sz w:val="19"/>
          <w:szCs w:val="19"/>
          <w:color w:val="auto"/>
        </w:rPr>
        <w:t xml:space="preserve"> </w:t>
      </w:r>
      <w:r>
        <w:rPr>
          <w:rFonts w:ascii="Arial" w:cs="Arial" w:eastAsia="Arial" w:hAnsi="Arial"/>
          <w:sz w:val="19"/>
          <w:szCs w:val="19"/>
          <w:u w:val="single" w:color="auto"/>
          <w:color w:val="auto"/>
        </w:rPr>
        <w:t>Loans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9.02(c)(i)</w:t>
      </w:r>
      <w:r>
        <w:rPr>
          <w:rFonts w:ascii="Arial" w:cs="Arial" w:eastAsia="Arial" w:hAnsi="Arial"/>
          <w:sz w:val="19"/>
          <w:szCs w:val="19"/>
          <w:color w:val="auto"/>
        </w:rPr>
        <w:t>.</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54</w:t>
      </w:r>
      <w:r>
        <w:rPr>
          <w:rFonts w:ascii="Arial" w:cs="Arial" w:eastAsia="Arial" w:hAnsi="Arial"/>
          <w:sz w:val="18"/>
          <w:szCs w:val="18"/>
          <w:u w:val="single" w:color="auto"/>
          <w:color w:val="0000FF"/>
          <w:strike w:val="1"/>
        </w:rPr>
        <w:t>54</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22" w:name="page123"/>
    <w:bookmarkEnd w:id="122"/>
    <w:p>
      <w:pPr>
        <w:jc w:val="both"/>
        <w:ind w:left="100" w:right="5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Replacement Debt</w:t>
      </w:r>
      <w:r>
        <w:rPr>
          <w:rFonts w:ascii="Arial" w:cs="Arial" w:eastAsia="Arial" w:hAnsi="Arial"/>
          <w:sz w:val="19"/>
          <w:szCs w:val="19"/>
          <w:color w:val="auto"/>
        </w:rPr>
        <w:t xml:space="preserve">” means any Refinancing Indebtedness (whether borrowed in the form of secured or unsecured loans, issued in a public offering, Rule 144A under the Securities Act or other private placement or bridge financing in lieu of the foregoing or otherwise) incurred in respect of Indebtedness permitted under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(and any subsequent refinancing of such Replacement Debt).</w:t>
      </w:r>
    </w:p>
    <w:p>
      <w:pPr>
        <w:spacing w:after="0" w:line="194"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Replacement Term Loans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9.02(c)(i)</w:t>
      </w:r>
      <w:r>
        <w:rPr>
          <w:rFonts w:ascii="Arial" w:cs="Arial" w:eastAsia="Arial" w:hAnsi="Arial"/>
          <w:sz w:val="19"/>
          <w:szCs w:val="19"/>
          <w:color w:val="auto"/>
        </w:rPr>
        <w:t>.</w:t>
      </w:r>
    </w:p>
    <w:p>
      <w:pPr>
        <w:spacing w:after="0" w:line="200" w:lineRule="exact"/>
        <w:rPr>
          <w:sz w:val="20"/>
          <w:szCs w:val="20"/>
          <w:color w:val="auto"/>
        </w:rPr>
      </w:pPr>
    </w:p>
    <w:p>
      <w:pPr>
        <w:jc w:val="both"/>
        <w:ind w:left="100" w:right="39" w:firstLine="74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Reportable Event</w:t>
      </w:r>
      <w:r>
        <w:rPr>
          <w:rFonts w:ascii="Arial" w:cs="Arial" w:eastAsia="Arial" w:hAnsi="Arial"/>
          <w:sz w:val="19"/>
          <w:szCs w:val="19"/>
          <w:color w:val="auto"/>
        </w:rPr>
        <w:t>” means, with respect to any Pension Plan or Multiemployer Plan, any of the events described in Section 4043(c) of ERISA or the regulations issued thereunder, other than those events as to which the 30-day notice period is waived under PBGC Reg. Section 4043.</w:t>
      </w:r>
    </w:p>
    <w:p>
      <w:pPr>
        <w:spacing w:after="0" w:line="179"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Representatives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9.13</w:t>
      </w:r>
      <w:r>
        <w:rPr>
          <w:rFonts w:ascii="Arial" w:cs="Arial" w:eastAsia="Arial" w:hAnsi="Arial"/>
          <w:sz w:val="19"/>
          <w:szCs w:val="19"/>
          <w:color w:val="auto"/>
        </w:rPr>
        <w:t>.</w:t>
      </w:r>
    </w:p>
    <w:p>
      <w:pPr>
        <w:spacing w:after="0" w:line="200" w:lineRule="exact"/>
        <w:rPr>
          <w:sz w:val="20"/>
          <w:szCs w:val="20"/>
          <w:color w:val="auto"/>
        </w:rPr>
      </w:pPr>
    </w:p>
    <w:p>
      <w:pPr>
        <w:ind w:left="100" w:right="13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means, at any time, Lenders having Loans or unused Commitments representing more than 50% of the sum of the total Loans and such unused Commitments at such time.</w:t>
      </w:r>
    </w:p>
    <w:p>
      <w:pPr>
        <w:spacing w:after="0" w:line="187" w:lineRule="exact"/>
        <w:rPr>
          <w:sz w:val="20"/>
          <w:szCs w:val="20"/>
          <w:color w:val="auto"/>
        </w:rPr>
      </w:pPr>
    </w:p>
    <w:p>
      <w:pPr>
        <w:jc w:val="both"/>
        <w:ind w:left="100" w:right="59" w:firstLine="749"/>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Revolving Lenders</w:t>
      </w:r>
      <w:r>
        <w:rPr>
          <w:rFonts w:ascii="Arial" w:cs="Arial" w:eastAsia="Arial" w:hAnsi="Arial"/>
          <w:sz w:val="18"/>
          <w:szCs w:val="18"/>
          <w:color w:val="auto"/>
        </w:rPr>
        <w:t>” means, at any time, Lenders having Revolving Loans, Additional Revolving Loans, unused Revolving Credit Commitments or unused Additional Revolving Credit Commitments representing more than 50% of the sum of the total Revolving Loans, Additional Revolving Loans and such unused commitments at such time.</w:t>
      </w:r>
    </w:p>
    <w:p>
      <w:pPr>
        <w:spacing w:after="0" w:line="180" w:lineRule="exact"/>
        <w:rPr>
          <w:sz w:val="20"/>
          <w:szCs w:val="20"/>
          <w:color w:val="auto"/>
        </w:rPr>
      </w:pPr>
    </w:p>
    <w:p>
      <w:pPr>
        <w:jc w:val="both"/>
        <w:ind w:left="100" w:right="59" w:firstLine="749"/>
        <w:spacing w:after="0" w:line="2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Requirements of Law</w:t>
      </w:r>
      <w:r>
        <w:rPr>
          <w:rFonts w:ascii="Arial" w:cs="Arial" w:eastAsia="Arial" w:hAnsi="Arial"/>
          <w:sz w:val="19"/>
          <w:szCs w:val="19"/>
          <w:color w:val="auto"/>
        </w:rPr>
        <w:t>” means, with respect to any Person, collectively, the common law and all federal, state,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w:t>
      </w:r>
    </w:p>
    <w:p>
      <w:pPr>
        <w:spacing w:after="0" w:line="183" w:lineRule="exact"/>
        <w:rPr>
          <w:sz w:val="20"/>
          <w:szCs w:val="20"/>
          <w:color w:val="auto"/>
        </w:rPr>
      </w:pPr>
    </w:p>
    <w:p>
      <w:pPr>
        <w:ind w:left="100" w:right="79" w:firstLine="74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Resolution Authority</w:t>
      </w:r>
      <w:r>
        <w:rPr>
          <w:rFonts w:ascii="Arial" w:cs="Arial" w:eastAsia="Arial" w:hAnsi="Arial"/>
          <w:sz w:val="19"/>
          <w:szCs w:val="19"/>
          <w:color w:val="auto"/>
        </w:rPr>
        <w:t>” means an EEA Resolution Authority or, with respect to any UK Financial Institution, a UK Resolution Authority.</w:t>
      </w:r>
    </w:p>
    <w:p>
      <w:pPr>
        <w:spacing w:after="0" w:line="159" w:lineRule="exact"/>
        <w:rPr>
          <w:sz w:val="20"/>
          <w:szCs w:val="20"/>
          <w:color w:val="auto"/>
        </w:rPr>
      </w:pPr>
    </w:p>
    <w:p>
      <w:pPr>
        <w:ind w:left="100" w:right="79" w:firstLine="749"/>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xml:space="preserve">” means, with respect to any Person, the chief executive officer, the president, the chief financial officer, the treasurer, any assistant treasurer of such Person and any other individual or similar official thereof, any executive vice president, any senior vice president, any vice president or the chief operating officer or other officer responsible for the administration of the obligations of such Person in respect of this Agreement, any member of the board of directors (in the case of any Person that is not incorporated in the US), and, as to any document delivered on the Closing Date, shall include any secretary or assistant secretary or any other individual or similar official thereof with substantially equivalent responsibilities of a Loan Party and, solely for purposes of notices given pursuant to </w:t>
      </w:r>
      <w:r>
        <w:rPr>
          <w:rFonts w:ascii="Arial" w:cs="Arial" w:eastAsia="Arial" w:hAnsi="Arial"/>
          <w:sz w:val="18"/>
          <w:szCs w:val="18"/>
          <w:u w:val="single" w:color="auto"/>
          <w:color w:val="auto"/>
        </w:rPr>
        <w:t>Article 2</w:t>
      </w:r>
      <w:r>
        <w:rPr>
          <w:rFonts w:ascii="Arial" w:cs="Arial" w:eastAsia="Arial" w:hAnsi="Arial"/>
          <w:sz w:val="18"/>
          <w:szCs w:val="18"/>
          <w:color w:val="auto"/>
        </w:rPr>
        <w:t>, any other officer of the applicable Loan Party so designated in writing by the Borrower to the Administrative Agent. Any document delivered hereunder that is signed by a Responsible Officer of any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79"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Amount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2.11(b)(iv)</w:t>
      </w:r>
      <w:r>
        <w:rPr>
          <w:rFonts w:ascii="Arial" w:cs="Arial" w:eastAsia="Arial" w:hAnsi="Arial"/>
          <w:sz w:val="19"/>
          <w:szCs w:val="19"/>
          <w:color w:val="auto"/>
        </w:rPr>
        <w:t>.</w:t>
      </w:r>
    </w:p>
    <w:p>
      <w:pPr>
        <w:spacing w:after="0" w:line="214"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Debt</w:t>
      </w:r>
      <w:r>
        <w:rPr>
          <w:rFonts w:ascii="Arial" w:cs="Arial" w:eastAsia="Arial" w:hAnsi="Arial"/>
          <w:sz w:val="19"/>
          <w:szCs w:val="19"/>
          <w:color w:val="auto"/>
        </w:rPr>
        <w:t xml:space="preserve">” means any Indebtedness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the definition of “Indebtedness” (other than such Indebtedness among Holdings, the Borrower or any of their respective subsidiaries) of any Loan Party that (a)(i) is contractually subordinated in right of payment to the Obligations, (ii) constitutes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55</w:t>
      </w:r>
      <w:r>
        <w:rPr>
          <w:rFonts w:ascii="Arial" w:cs="Arial" w:eastAsia="Arial" w:hAnsi="Arial"/>
          <w:sz w:val="18"/>
          <w:szCs w:val="18"/>
          <w:u w:val="single" w:color="auto"/>
          <w:color w:val="0000FF"/>
          <w:strike w:val="1"/>
        </w:rPr>
        <w:t>55</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23" w:name="page124"/>
    <w:bookmarkEnd w:id="123"/>
    <w:p>
      <w:pPr>
        <w:ind w:left="100"/>
        <w:spacing w:after="0"/>
        <w:rPr>
          <w:sz w:val="20"/>
          <w:szCs w:val="20"/>
          <w:color w:val="auto"/>
        </w:rPr>
      </w:pPr>
      <w:r>
        <w:rPr>
          <w:rFonts w:ascii="Arial" w:cs="Arial" w:eastAsia="Arial" w:hAnsi="Arial"/>
          <w:sz w:val="17"/>
          <w:szCs w:val="17"/>
          <w:color w:val="auto"/>
        </w:rPr>
        <w:t>Junior Lien Debt or (iii) is unsecured and (b) has an individual outstanding principal amount in excess of the Threshold Amount.</w:t>
      </w:r>
    </w:p>
    <w:p>
      <w:pPr>
        <w:spacing w:after="0" w:line="237"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Debt Payment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6.04(b)</w:t>
      </w:r>
      <w:r>
        <w:rPr>
          <w:rFonts w:ascii="Arial" w:cs="Arial" w:eastAsia="Arial" w:hAnsi="Arial"/>
          <w:sz w:val="19"/>
          <w:szCs w:val="19"/>
          <w:color w:val="auto"/>
        </w:rPr>
        <w:t>.</w:t>
      </w:r>
    </w:p>
    <w:p>
      <w:pPr>
        <w:spacing w:after="0" w:line="200" w:lineRule="exact"/>
        <w:rPr>
          <w:sz w:val="20"/>
          <w:szCs w:val="20"/>
          <w:color w:val="auto"/>
        </w:rPr>
      </w:pPr>
    </w:p>
    <w:p>
      <w:pPr>
        <w:jc w:val="both"/>
        <w:ind w:left="100" w:right="59" w:firstLine="74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Payment</w:t>
      </w:r>
      <w:r>
        <w:rPr>
          <w:rFonts w:ascii="Arial" w:cs="Arial" w:eastAsia="Arial" w:hAnsi="Arial"/>
          <w:sz w:val="17"/>
          <w:szCs w:val="17"/>
          <w:color w:val="auto"/>
        </w:rPr>
        <w:t>” means (a) any dividend or other distribution on account of any shares of any class of the Capital Stock of the Borrower, except a dividend payable solely in shares of Qualified Capital Stock to the holders of such class; (b) any redemption, retirement, sinking fund or similar payment, purchase or other acquisition for value of any shares of any class of the Capital Stock of the Borrower and (c) any payment made to retire, or to obtain the surrender of, any outstanding warrants, options or other rights to acquire shares of any class of the Capital Stock of the Borrower now or hereafter outstanding.</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Subsidiary</w:t>
      </w:r>
      <w:r>
        <w:rPr>
          <w:rFonts w:ascii="Arial" w:cs="Arial" w:eastAsia="Arial" w:hAnsi="Arial"/>
          <w:sz w:val="17"/>
          <w:szCs w:val="17"/>
          <w:color w:val="auto"/>
        </w:rPr>
        <w:t>” means, as to any Person, any subsidiary of such Person that is not an Unrestricted Subsidiary.</w:t>
      </w:r>
    </w:p>
    <w:p>
      <w:pPr>
        <w:spacing w:after="0" w:line="37" w:lineRule="exact"/>
        <w:rPr>
          <w:sz w:val="20"/>
          <w:szCs w:val="20"/>
          <w:color w:val="auto"/>
        </w:rPr>
      </w:pPr>
    </w:p>
    <w:p>
      <w:pPr>
        <w:ind w:left="100"/>
        <w:spacing w:after="0"/>
        <w:rPr>
          <w:sz w:val="20"/>
          <w:szCs w:val="20"/>
          <w:color w:val="auto"/>
        </w:rPr>
      </w:pPr>
      <w:r>
        <w:rPr>
          <w:rFonts w:ascii="Arial" w:cs="Arial" w:eastAsia="Arial" w:hAnsi="Arial"/>
          <w:sz w:val="19"/>
          <w:szCs w:val="19"/>
          <w:color w:val="auto"/>
        </w:rPr>
        <w:t>Unless otherwise specified, “Restricted Subsidiary” means any Restricted Subsidiary of the Borrower.</w:t>
      </w:r>
    </w:p>
    <w:p>
      <w:pPr>
        <w:spacing w:after="0" w:line="184" w:lineRule="exact"/>
        <w:rPr>
          <w:sz w:val="20"/>
          <w:szCs w:val="20"/>
          <w:color w:val="auto"/>
        </w:rPr>
      </w:pPr>
    </w:p>
    <w:p>
      <w:pPr>
        <w:jc w:val="both"/>
        <w:ind w:left="100" w:right="59" w:firstLine="74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Revaluation Date</w:t>
      </w:r>
      <w:r>
        <w:rPr>
          <w:rFonts w:ascii="Arial" w:cs="Arial" w:eastAsia="Arial" w:hAnsi="Arial"/>
          <w:sz w:val="17"/>
          <w:szCs w:val="17"/>
          <w:color w:val="auto"/>
        </w:rPr>
        <w:t xml:space="preserve">” means (a) with respect to any Revolving Loan denominated in an Alternate Currency, each of the following: (i) each date of any Borrowing of such Revolving Loan, (ii) each date of any continuation of such Revolving Loan pursuant to the terms of this Agreement, (iii) the last day of each Fiscal Quarter and (iv) the date of any voluntary reduction of a Revolving Credit Commitment pursuant to </w:t>
      </w:r>
      <w:r>
        <w:rPr>
          <w:rFonts w:ascii="Arial" w:cs="Arial" w:eastAsia="Arial" w:hAnsi="Arial"/>
          <w:sz w:val="17"/>
          <w:szCs w:val="17"/>
          <w:u w:val="single" w:color="auto"/>
          <w:color w:val="auto"/>
        </w:rPr>
        <w:t>Section 2.09(c)</w:t>
      </w:r>
      <w:r>
        <w:rPr>
          <w:rFonts w:ascii="Arial" w:cs="Arial" w:eastAsia="Arial" w:hAnsi="Arial"/>
          <w:sz w:val="17"/>
          <w:szCs w:val="17"/>
          <w:color w:val="auto"/>
        </w:rPr>
        <w:t>; and (b) with respect to any Letter of Credit denominated in an Alternate Currency, each of the following: (i) each date of issuance of such a Letter of Credit, (ii) each date of an amendment of such a Letter of Credit that increases the face amount thereof and (iii) the last day of each Fiscal Quarter.</w:t>
      </w:r>
    </w:p>
    <w:p>
      <w:pPr>
        <w:spacing w:after="0" w:line="9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Revolver Replacement Facility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9.02(c)(ii)</w:t>
      </w:r>
      <w:r>
        <w:rPr>
          <w:rFonts w:ascii="Arial" w:cs="Arial" w:eastAsia="Arial" w:hAnsi="Arial"/>
          <w:sz w:val="18"/>
          <w:szCs w:val="18"/>
          <w:color w:val="auto"/>
        </w:rPr>
        <w:t>. “</w:t>
      </w:r>
      <w:r>
        <w:rPr>
          <w:rFonts w:ascii="Arial" w:cs="Arial" w:eastAsia="Arial" w:hAnsi="Arial"/>
          <w:sz w:val="18"/>
          <w:szCs w:val="18"/>
          <w:u w:val="single" w:color="auto"/>
          <w:color w:val="auto"/>
        </w:rPr>
        <w:t>Revolving Credit</w:t>
      </w:r>
    </w:p>
    <w:p>
      <w:pPr>
        <w:spacing w:after="0" w:line="225" w:lineRule="exact"/>
        <w:rPr>
          <w:sz w:val="20"/>
          <w:szCs w:val="20"/>
          <w:color w:val="auto"/>
        </w:rPr>
      </w:pPr>
    </w:p>
    <w:p>
      <w:pPr>
        <w:ind w:left="100" w:right="3799" w:firstLine="750"/>
        <w:spacing w:after="0" w:line="365" w:lineRule="auto"/>
        <w:rPr>
          <w:sz w:val="20"/>
          <w:szCs w:val="20"/>
          <w:color w:val="auto"/>
        </w:rPr>
      </w:pPr>
      <w:r>
        <w:rPr>
          <w:rFonts w:ascii="Arial" w:cs="Arial" w:eastAsia="Arial" w:hAnsi="Arial"/>
          <w:sz w:val="19"/>
          <w:szCs w:val="19"/>
          <w:u w:val="single" w:color="auto"/>
          <w:color w:val="auto"/>
        </w:rPr>
        <w:t>Commitment</w:t>
      </w:r>
      <w:r>
        <w:rPr>
          <w:rFonts w:ascii="Arial" w:cs="Arial" w:eastAsia="Arial" w:hAnsi="Arial"/>
          <w:sz w:val="19"/>
          <w:szCs w:val="19"/>
          <w:color w:val="auto"/>
        </w:rPr>
        <w:t>” means any Initial Revolving Credit Commitment and any Additional Revolving Credit Commitment.</w:t>
      </w:r>
    </w:p>
    <w:p>
      <w:pPr>
        <w:spacing w:after="0" w:line="51" w:lineRule="exact"/>
        <w:rPr>
          <w:sz w:val="20"/>
          <w:szCs w:val="20"/>
          <w:color w:val="auto"/>
        </w:rPr>
      </w:pPr>
    </w:p>
    <w:p>
      <w:pPr>
        <w:jc w:val="both"/>
        <w:ind w:left="100" w:right="7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Exposure</w:t>
      </w:r>
      <w:r>
        <w:rPr>
          <w:rFonts w:ascii="Arial" w:cs="Arial" w:eastAsia="Arial" w:hAnsi="Arial"/>
          <w:sz w:val="19"/>
          <w:szCs w:val="19"/>
          <w:color w:val="auto"/>
        </w:rPr>
        <w:t>” means, with respect to any Lender at any time, the aggregate Outstanding Amount at such time of such Lender’s Initial Revolving Credit Exposure and Additional Revolving Credit Exposure.</w:t>
      </w:r>
    </w:p>
    <w:p>
      <w:pPr>
        <w:spacing w:after="0" w:line="187" w:lineRule="exact"/>
        <w:rPr>
          <w:sz w:val="20"/>
          <w:szCs w:val="20"/>
          <w:color w:val="auto"/>
        </w:rPr>
      </w:pPr>
    </w:p>
    <w:p>
      <w:pPr>
        <w:jc w:val="both"/>
        <w:ind w:left="100" w:right="59" w:firstLine="749"/>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Facility</w:t>
      </w:r>
      <w:r>
        <w:rPr>
          <w:rFonts w:ascii="Arial" w:cs="Arial" w:eastAsia="Arial" w:hAnsi="Arial"/>
          <w:sz w:val="18"/>
          <w:szCs w:val="18"/>
          <w:color w:val="auto"/>
        </w:rPr>
        <w:t>” means the Initial Revolving Facility, any Incremental Revolving Facility, any facility governing Extended Revolving Credit Commitments or Extended Revolving Loans and any Revolver Replacement Facility.</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Lender</w:t>
      </w:r>
      <w:r>
        <w:rPr>
          <w:rFonts w:ascii="Arial" w:cs="Arial" w:eastAsia="Arial" w:hAnsi="Arial"/>
          <w:sz w:val="19"/>
          <w:szCs w:val="19"/>
          <w:color w:val="auto"/>
        </w:rPr>
        <w:t>” means any Initial Revolving Lender and any Additional Revolving Lender.</w:t>
      </w:r>
    </w:p>
    <w:p>
      <w:pPr>
        <w:spacing w:after="0" w:line="9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Unless the context otherwise requires, the term “Revolving Lender” shall include the Swingline Lender. “</w:t>
      </w:r>
      <w:r>
        <w:rPr>
          <w:rFonts w:ascii="Arial" w:cs="Arial" w:eastAsia="Arial" w:hAnsi="Arial"/>
          <w:sz w:val="17"/>
          <w:szCs w:val="17"/>
          <w:u w:val="single" w:color="auto"/>
          <w:color w:val="auto"/>
        </w:rPr>
        <w:t>Revolving Loans</w:t>
      </w:r>
      <w:r>
        <w:rPr>
          <w:rFonts w:ascii="Arial" w:cs="Arial" w:eastAsia="Arial" w:hAnsi="Arial"/>
          <w:sz w:val="17"/>
          <w:szCs w:val="17"/>
          <w:color w:val="auto"/>
        </w:rPr>
        <w:t>” means</w:t>
      </w:r>
    </w:p>
    <w:p>
      <w:pPr>
        <w:spacing w:after="0" w:line="210" w:lineRule="exact"/>
        <w:rPr>
          <w:sz w:val="20"/>
          <w:szCs w:val="20"/>
          <w:color w:val="auto"/>
        </w:rPr>
      </w:pPr>
    </w:p>
    <w:p>
      <w:pPr>
        <w:ind w:left="840"/>
        <w:spacing w:after="0"/>
        <w:rPr>
          <w:sz w:val="20"/>
          <w:szCs w:val="20"/>
          <w:color w:val="auto"/>
        </w:rPr>
      </w:pPr>
      <w:r>
        <w:rPr>
          <w:rFonts w:ascii="Arial" w:cs="Arial" w:eastAsia="Arial" w:hAnsi="Arial"/>
          <w:sz w:val="19"/>
          <w:szCs w:val="19"/>
          <w:color w:val="auto"/>
        </w:rPr>
        <w:t>any Initial Revolving Loan and any Additional Revolving Loan.</w:t>
      </w:r>
    </w:p>
    <w:p>
      <w:pPr>
        <w:spacing w:after="0" w:line="10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Run-Rate Synergies</w:t>
      </w:r>
      <w:r>
        <w:rPr>
          <w:rFonts w:ascii="Arial" w:cs="Arial" w:eastAsia="Arial" w:hAnsi="Arial"/>
          <w:sz w:val="18"/>
          <w:szCs w:val="18"/>
          <w:color w:val="auto"/>
        </w:rPr>
        <w:t>” has the meaning assigned to such term in the definition of “Consolidated Adjusted EBITDA”.</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S&amp;P</w:t>
      </w:r>
      <w:r>
        <w:rPr>
          <w:rFonts w:ascii="Arial" w:cs="Arial" w:eastAsia="Arial" w:hAnsi="Arial"/>
          <w:sz w:val="19"/>
          <w:szCs w:val="19"/>
          <w:color w:val="auto"/>
        </w:rPr>
        <w:t>” means Standard &amp; Poor’s Financial Services LLC, a subsidiary of the S&amp;P Global, Inc.</w:t>
      </w:r>
    </w:p>
    <w:p>
      <w:pPr>
        <w:spacing w:after="0" w:line="200" w:lineRule="exact"/>
        <w:rPr>
          <w:sz w:val="20"/>
          <w:szCs w:val="20"/>
          <w:color w:val="auto"/>
        </w:rPr>
      </w:pPr>
    </w:p>
    <w:p>
      <w:pPr>
        <w:jc w:val="both"/>
        <w:ind w:left="100" w:right="59" w:firstLine="74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Sale and Lease-Back Transaction</w:t>
      </w:r>
      <w:r>
        <w:rPr>
          <w:rFonts w:ascii="Arial" w:cs="Arial" w:eastAsia="Arial" w:hAnsi="Arial"/>
          <w:sz w:val="19"/>
          <w:szCs w:val="19"/>
          <w:color w:val="auto"/>
        </w:rPr>
        <w:t>” means any arrangement providing for the lease by the Borrower and/or any Restricted Subsidiary of any property, which property has been or is to be sold or transferred by the Borrower or such Restricted Subsidiary in contemplation of such lease arrangement.</w:t>
      </w:r>
    </w:p>
    <w:p>
      <w:pPr>
        <w:spacing w:after="0" w:line="179" w:lineRule="exact"/>
        <w:rPr>
          <w:sz w:val="20"/>
          <w:szCs w:val="20"/>
          <w:color w:val="auto"/>
        </w:rPr>
      </w:pPr>
    </w:p>
    <w:p>
      <w:pPr>
        <w:jc w:val="both"/>
        <w:ind w:left="100" w:right="5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Sanctions</w:t>
      </w:r>
      <w:r>
        <w:rPr>
          <w:rFonts w:ascii="Arial" w:cs="Arial" w:eastAsia="Arial" w:hAnsi="Arial"/>
          <w:sz w:val="19"/>
          <w:szCs w:val="19"/>
          <w:color w:val="auto"/>
        </w:rPr>
        <w:t>” means economic or financial sanctions or trade embargoes imposed, administered or enforced from time to time by (a) the U.S. government, including those administered by OFAC or the U.S.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56</w:t>
      </w:r>
      <w:r>
        <w:rPr>
          <w:rFonts w:ascii="Arial" w:cs="Arial" w:eastAsia="Arial" w:hAnsi="Arial"/>
          <w:sz w:val="18"/>
          <w:szCs w:val="18"/>
          <w:u w:val="single" w:color="auto"/>
          <w:color w:val="0000FF"/>
          <w:strike w:val="1"/>
        </w:rPr>
        <w:t>56</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24" w:name="page125"/>
    <w:bookmarkEnd w:id="124"/>
    <w:p>
      <w:pPr>
        <w:jc w:val="both"/>
        <w:ind w:left="100" w:right="59"/>
        <w:spacing w:after="0" w:line="241" w:lineRule="auto"/>
        <w:rPr>
          <w:sz w:val="20"/>
          <w:szCs w:val="20"/>
          <w:color w:val="auto"/>
        </w:rPr>
      </w:pPr>
      <w:r>
        <w:rPr>
          <w:rFonts w:ascii="Arial" w:cs="Arial" w:eastAsia="Arial" w:hAnsi="Arial"/>
          <w:sz w:val="19"/>
          <w:szCs w:val="19"/>
          <w:color w:val="auto"/>
        </w:rPr>
        <w:t>Department of State, or (b) to the extent such regimes are applicable to the business of the Borrower and its Restricted Subsidiaries, the United Nations Security Council, the European Union, any European Union member state or Her Majesty’s Treasury of the United Kingdom</w:t>
      </w:r>
    </w:p>
    <w:p>
      <w:pPr>
        <w:spacing w:after="0" w:line="179" w:lineRule="exact"/>
        <w:rPr>
          <w:sz w:val="20"/>
          <w:szCs w:val="20"/>
          <w:color w:val="auto"/>
        </w:rPr>
      </w:pPr>
    </w:p>
    <w:p>
      <w:pPr>
        <w:jc w:val="both"/>
        <w:ind w:left="100" w:right="59" w:firstLine="74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Country</w:t>
      </w:r>
      <w:r>
        <w:rPr>
          <w:rFonts w:ascii="Arial" w:cs="Arial" w:eastAsia="Arial" w:hAnsi="Arial"/>
          <w:sz w:val="19"/>
          <w:szCs w:val="19"/>
          <w:color w:val="auto"/>
        </w:rPr>
        <w:t>” means, at any time, a country or territory that is itself the target of comprehensive Sanctions (as of the date of this Agreement, Cuba, Iran, North Korea, Syria, and the Crimea region of Ukraine).</w:t>
      </w:r>
    </w:p>
    <w:p>
      <w:pPr>
        <w:spacing w:after="0" w:line="159" w:lineRule="exact"/>
        <w:rPr>
          <w:sz w:val="20"/>
          <w:szCs w:val="20"/>
          <w:color w:val="auto"/>
        </w:rPr>
      </w:pPr>
    </w:p>
    <w:p>
      <w:pPr>
        <w:jc w:val="both"/>
        <w:ind w:left="100" w:right="39" w:firstLine="749"/>
        <w:spacing w:after="0" w:line="2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means any Person that is the target of Sanctions, including (a) any Person listed in any Sanctions-related list of designated Persons maintained by (i) OFAC or the U.S. Department of State or</w:t>
      </w:r>
    </w:p>
    <w:p>
      <w:pPr>
        <w:jc w:val="both"/>
        <w:ind w:left="100" w:right="59" w:hanging="7"/>
        <w:spacing w:after="0" w:line="268" w:lineRule="auto"/>
        <w:tabs>
          <w:tab w:leader="none" w:pos="771" w:val="left"/>
        </w:tabs>
        <w:numPr>
          <w:ilvl w:val="0"/>
          <w:numId w:val="89"/>
        </w:numPr>
        <w:rPr>
          <w:rFonts w:ascii="Arial" w:cs="Arial" w:eastAsia="Arial" w:hAnsi="Arial"/>
          <w:sz w:val="18"/>
          <w:szCs w:val="18"/>
          <w:color w:val="FF0000"/>
        </w:rPr>
      </w:pPr>
      <w:r>
        <w:rPr>
          <w:rFonts w:ascii="Arial" w:cs="Arial" w:eastAsia="Arial" w:hAnsi="Arial"/>
          <w:sz w:val="18"/>
          <w:szCs w:val="18"/>
          <w:color w:val="auto"/>
        </w:rPr>
        <w:t>to the extent the laws of such regimes are applicable to the Borrower and its Restricted Subsidiaries, the United Nations Security Council, the European Union, any European Union member state or Her Majesty’s Treasury of the United Kingdom; (b) any Person organized or resident in a Sanctioned Country; or (c) the government of a Sanctioned Country.</w:t>
      </w:r>
    </w:p>
    <w:p>
      <w:pPr>
        <w:spacing w:after="0" w:line="168" w:lineRule="exact"/>
        <w:rPr>
          <w:sz w:val="20"/>
          <w:szCs w:val="20"/>
          <w:color w:val="auto"/>
        </w:rPr>
      </w:pPr>
    </w:p>
    <w:p>
      <w:pPr>
        <w:ind w:left="100" w:right="7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Scheduled Payment Date</w:t>
      </w:r>
      <w:r>
        <w:rPr>
          <w:rFonts w:ascii="Arial" w:cs="Arial" w:eastAsia="Arial" w:hAnsi="Arial"/>
          <w:sz w:val="19"/>
          <w:szCs w:val="19"/>
          <w:color w:val="auto"/>
        </w:rPr>
        <w:t>” means the last day of each March, June, September and December (commencing December 31, 2021).</w:t>
      </w:r>
    </w:p>
    <w:p>
      <w:pPr>
        <w:spacing w:after="0" w:line="173"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Scheduled Unavailability Date</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1.13(a)</w:t>
      </w:r>
      <w:r>
        <w:rPr>
          <w:rFonts w:ascii="Arial" w:cs="Arial" w:eastAsia="Arial" w:hAnsi="Arial"/>
          <w:sz w:val="19"/>
          <w:szCs w:val="19"/>
          <w:u w:val="single" w:color="auto"/>
          <w:color w:val="FF0000"/>
          <w:strike w:val="1"/>
        </w:rPr>
        <w:t>(ii)</w:t>
      </w:r>
      <w:r>
        <w:rPr>
          <w:rFonts w:ascii="Arial" w:cs="Arial" w:eastAsia="Arial" w:hAnsi="Arial"/>
          <w:sz w:val="19"/>
          <w:szCs w:val="19"/>
          <w:color w:val="auto"/>
        </w:rPr>
        <w:t>.</w:t>
      </w:r>
    </w:p>
    <w:p>
      <w:pPr>
        <w:spacing w:after="0" w:line="281" w:lineRule="exact"/>
        <w:rPr>
          <w:sz w:val="20"/>
          <w:szCs w:val="20"/>
          <w:color w:val="auto"/>
        </w:rPr>
      </w:pPr>
    </w:p>
    <w:p>
      <w:pPr>
        <w:ind w:left="100" w:right="9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w:t>
      </w:r>
      <w:r>
        <w:rPr>
          <w:rFonts w:ascii="Arial" w:cs="Arial" w:eastAsia="Arial" w:hAnsi="Arial"/>
          <w:sz w:val="19"/>
          <w:szCs w:val="19"/>
          <w:color w:val="auto"/>
        </w:rPr>
        <w:t>” means the Securities and Exchange Commission, or any Governmental Authority succeeding to any or all of its functions.</w:t>
      </w:r>
    </w:p>
    <w:p>
      <w:pPr>
        <w:spacing w:after="0" w:line="187" w:lineRule="exact"/>
        <w:rPr>
          <w:sz w:val="20"/>
          <w:szCs w:val="20"/>
          <w:color w:val="auto"/>
        </w:rPr>
      </w:pPr>
    </w:p>
    <w:p>
      <w:pPr>
        <w:jc w:val="both"/>
        <w:ind w:left="100" w:right="39" w:firstLine="749"/>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Hedging Obligations</w:t>
      </w:r>
      <w:r>
        <w:rPr>
          <w:rFonts w:ascii="Arial" w:cs="Arial" w:eastAsia="Arial" w:hAnsi="Arial"/>
          <w:sz w:val="18"/>
          <w:szCs w:val="18"/>
          <w:color w:val="auto"/>
        </w:rPr>
        <w:t xml:space="preserve">” means all Hedging Obligations (other than any Excluded Swap Obligation) under each Hedge Agreement that is in effect on the Closing Date or entered into at any time on or after the Closing Date between any Loan Party and (a) a counterparty that is (or is an Affiliate of) the Administrative Agent, a Lender or an Arranger as of the Closing Date or at the time such Hedge Agreement is entered into and/or (b) any other Person designated by the Borrower to the Administrative Agent, in each case, for which such Loan Party agrees to provide security and in each case that has been designated to the Administrative Agent in writing by the Borrower as being a Secured Hedging Obligation for purposes of the Loan Documents (provided that the Borrower may designate all Hedge Agreements under a specified ISDA master agreement as being Secured Hedging Obligations without the need for separate notices for each Hedge Agreement), it being understood that each counterparty thereto shall be deemed (A) to appoint the Administrative Agent as its agent under the applicable Loan Documents and (B) to agree to be bound by the provisions of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and any applicable Intercreditor Agreement as if it were a Lender.</w:t>
      </w:r>
    </w:p>
    <w:p>
      <w:pPr>
        <w:spacing w:after="0" w:line="179" w:lineRule="exact"/>
        <w:rPr>
          <w:sz w:val="20"/>
          <w:szCs w:val="20"/>
          <w:color w:val="auto"/>
        </w:rPr>
      </w:pPr>
    </w:p>
    <w:p>
      <w:pPr>
        <w:jc w:val="both"/>
        <w:ind w:left="100" w:right="59" w:firstLine="74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Net Leverage Ratio</w:t>
      </w:r>
      <w:r>
        <w:rPr>
          <w:rFonts w:ascii="Arial" w:cs="Arial" w:eastAsia="Arial" w:hAnsi="Arial"/>
          <w:sz w:val="19"/>
          <w:szCs w:val="19"/>
          <w:color w:val="auto"/>
        </w:rPr>
        <w:t>” means the ratio, as of any date of determination, of (a) Consolidated Secured Debt as of the last day of the most recently ended Test Period to (b) Consolidated Adjusted EBITDA for the most recently ended Test Period, in each case, of the Borrower and its Restricted Subsidiaries on a consolidated basis.</w:t>
      </w:r>
    </w:p>
    <w:p>
      <w:pPr>
        <w:spacing w:after="0" w:line="179" w:lineRule="exact"/>
        <w:rPr>
          <w:sz w:val="20"/>
          <w:szCs w:val="20"/>
          <w:color w:val="auto"/>
        </w:rPr>
      </w:pPr>
    </w:p>
    <w:p>
      <w:pPr>
        <w:ind w:left="100" w:right="1659" w:firstLine="751"/>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Obligations</w:t>
      </w:r>
      <w:r>
        <w:rPr>
          <w:rFonts w:ascii="Arial" w:cs="Arial" w:eastAsia="Arial" w:hAnsi="Arial"/>
          <w:sz w:val="19"/>
          <w:szCs w:val="19"/>
          <w:color w:val="auto"/>
        </w:rPr>
        <w:t>” means all Obligations, together with (a) all Banking Services Obligations and (b) all Secured Hedging Obligations.</w:t>
      </w:r>
    </w:p>
    <w:p>
      <w:pPr>
        <w:spacing w:after="0" w:line="187" w:lineRule="exact"/>
        <w:rPr>
          <w:sz w:val="20"/>
          <w:szCs w:val="20"/>
          <w:color w:val="auto"/>
        </w:rPr>
      </w:pPr>
    </w:p>
    <w:p>
      <w:pPr>
        <w:jc w:val="both"/>
        <w:ind w:left="100" w:right="59" w:firstLine="74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Parties</w:t>
      </w:r>
      <w:r>
        <w:rPr>
          <w:rFonts w:ascii="Arial" w:cs="Arial" w:eastAsia="Arial" w:hAnsi="Arial"/>
          <w:sz w:val="17"/>
          <w:szCs w:val="17"/>
          <w:color w:val="auto"/>
        </w:rPr>
        <w:t>” means (a) the Lenders, the Issuing Banks and the Swingline Lender, (b) the Administrative Agent, (c) each counterparty to a Hedge Agreement with a Loan Party the obligations under which constitute Secured Hedging Obligations,</w:t>
      </w:r>
    </w:p>
    <w:p>
      <w:pPr>
        <w:spacing w:after="0" w:line="1" w:lineRule="exact"/>
        <w:rPr>
          <w:sz w:val="20"/>
          <w:szCs w:val="20"/>
          <w:color w:val="auto"/>
        </w:rPr>
      </w:pPr>
    </w:p>
    <w:p>
      <w:pPr>
        <w:ind w:left="360" w:hanging="267"/>
        <w:spacing w:after="0"/>
        <w:tabs>
          <w:tab w:leader="none" w:pos="3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each provider of Banking Services to any Loan Party the obligations under which constitute Banking Services Obligations, and</w:t>
      </w:r>
    </w:p>
    <w:p>
      <w:pPr>
        <w:spacing w:after="0" w:line="7" w:lineRule="exact"/>
        <w:rPr>
          <w:rFonts w:ascii="Arial" w:cs="Arial" w:eastAsia="Arial" w:hAnsi="Arial"/>
          <w:sz w:val="17"/>
          <w:szCs w:val="17"/>
          <w:color w:val="auto"/>
        </w:rPr>
      </w:pPr>
    </w:p>
    <w:p>
      <w:pPr>
        <w:ind w:left="340" w:hanging="247"/>
        <w:spacing w:after="0"/>
        <w:tabs>
          <w:tab w:leader="none" w:pos="340" w:val="left"/>
        </w:tabs>
        <w:numPr>
          <w:ilvl w:val="0"/>
          <w:numId w:val="90"/>
        </w:numPr>
        <w:rPr>
          <w:rFonts w:ascii="Arial" w:cs="Arial" w:eastAsia="Arial" w:hAnsi="Arial"/>
          <w:sz w:val="19"/>
          <w:szCs w:val="19"/>
          <w:color w:val="auto"/>
        </w:rPr>
      </w:pPr>
      <w:r>
        <w:rPr>
          <w:rFonts w:ascii="Arial" w:cs="Arial" w:eastAsia="Arial" w:hAnsi="Arial"/>
          <w:sz w:val="19"/>
          <w:szCs w:val="19"/>
          <w:color w:val="auto"/>
        </w:rPr>
        <w:t>any beneficiary of any indemnification obligation undertaken by any Loan Party under any Loan Document.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57</w:t>
      </w:r>
      <w:r>
        <w:rPr>
          <w:rFonts w:ascii="Arial" w:cs="Arial" w:eastAsia="Arial" w:hAnsi="Arial"/>
          <w:sz w:val="18"/>
          <w:szCs w:val="18"/>
          <w:u w:val="single" w:color="auto"/>
          <w:color w:val="0000FF"/>
          <w:strike w:val="1"/>
        </w:rPr>
        <w:t>57</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25" w:name="page126"/>
    <w:bookmarkEnd w:id="125"/>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Securities Act of 1933 and the rules and regulations of the SEC promulgated thereunder.</w:t>
      </w:r>
    </w:p>
    <w:p>
      <w:pPr>
        <w:spacing w:after="0" w:line="237"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w:t>
      </w:r>
      <w:r>
        <w:rPr>
          <w:rFonts w:ascii="Arial" w:cs="Arial" w:eastAsia="Arial" w:hAnsi="Arial"/>
          <w:sz w:val="19"/>
          <w:szCs w:val="19"/>
          <w:color w:val="auto"/>
        </w:rPr>
        <w:t>” means a fungible financial instrument that holds some monetary value, such as representing (a) an ownership interest in a publicly-traded company or rights to such ownership, or (b) a creditor relationship with a Governmental Authority or company.</w:t>
      </w:r>
    </w:p>
    <w:p>
      <w:pPr>
        <w:spacing w:after="0" w:line="192" w:lineRule="exact"/>
        <w:rPr>
          <w:sz w:val="20"/>
          <w:szCs w:val="20"/>
          <w:color w:val="auto"/>
        </w:rPr>
      </w:pPr>
    </w:p>
    <w:p>
      <w:pPr>
        <w:jc w:val="both"/>
        <w:ind w:left="100" w:right="7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Agreement</w:t>
      </w:r>
      <w:r>
        <w:rPr>
          <w:rFonts w:ascii="Arial" w:cs="Arial" w:eastAsia="Arial" w:hAnsi="Arial"/>
          <w:sz w:val="19"/>
          <w:szCs w:val="19"/>
          <w:color w:val="auto"/>
        </w:rPr>
        <w:t xml:space="preserve">” means the Pledge and Security Agreement, substantially in the form of </w:t>
      </w:r>
      <w:r>
        <w:rPr>
          <w:rFonts w:ascii="Arial" w:cs="Arial" w:eastAsia="Arial" w:hAnsi="Arial"/>
          <w:sz w:val="19"/>
          <w:szCs w:val="19"/>
          <w:u w:val="single" w:color="auto"/>
          <w:color w:val="auto"/>
        </w:rPr>
        <w:t>Exhibit M</w:t>
      </w:r>
      <w:r>
        <w:rPr>
          <w:rFonts w:ascii="Arial" w:cs="Arial" w:eastAsia="Arial" w:hAnsi="Arial"/>
          <w:sz w:val="19"/>
          <w:szCs w:val="19"/>
          <w:color w:val="auto"/>
        </w:rPr>
        <w:t>, among the Loan Parties, as grantors, and the Administrative Agent for the benefit of the Secured Parties.</w:t>
      </w:r>
    </w:p>
    <w:p>
      <w:pPr>
        <w:spacing w:after="0" w:line="173" w:lineRule="exact"/>
        <w:rPr>
          <w:sz w:val="20"/>
          <w:szCs w:val="20"/>
          <w:color w:val="auto"/>
        </w:rPr>
      </w:pPr>
    </w:p>
    <w:p>
      <w:pPr>
        <w:ind w:left="100" w:right="99" w:firstLine="749"/>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Similar Business</w:t>
      </w:r>
      <w:r>
        <w:rPr>
          <w:rFonts w:ascii="Arial" w:cs="Arial" w:eastAsia="Arial" w:hAnsi="Arial"/>
          <w:sz w:val="18"/>
          <w:szCs w:val="18"/>
          <w:color w:val="auto"/>
        </w:rPr>
        <w:t xml:space="preserve">” means any Person the majority of the revenues of which are derived from a business that would be permitted by </w:t>
      </w:r>
      <w:r>
        <w:rPr>
          <w:rFonts w:ascii="Arial" w:cs="Arial" w:eastAsia="Arial" w:hAnsi="Arial"/>
          <w:sz w:val="18"/>
          <w:szCs w:val="18"/>
          <w:u w:val="single" w:color="auto"/>
          <w:color w:val="auto"/>
        </w:rPr>
        <w:t>Section 5.18</w:t>
      </w:r>
      <w:r>
        <w:rPr>
          <w:rFonts w:ascii="Arial" w:cs="Arial" w:eastAsia="Arial" w:hAnsi="Arial"/>
          <w:sz w:val="18"/>
          <w:szCs w:val="18"/>
          <w:color w:val="auto"/>
        </w:rPr>
        <w:t xml:space="preserve"> if the references to “Restricted Subsidiaries” in </w:t>
      </w:r>
      <w:r>
        <w:rPr>
          <w:rFonts w:ascii="Arial" w:cs="Arial" w:eastAsia="Arial" w:hAnsi="Arial"/>
          <w:sz w:val="18"/>
          <w:szCs w:val="18"/>
          <w:u w:val="single" w:color="auto"/>
          <w:color w:val="auto"/>
        </w:rPr>
        <w:t>Section 5.18</w:t>
      </w:r>
      <w:r>
        <w:rPr>
          <w:rFonts w:ascii="Arial" w:cs="Arial" w:eastAsia="Arial" w:hAnsi="Arial"/>
          <w:sz w:val="18"/>
          <w:szCs w:val="18"/>
          <w:color w:val="auto"/>
        </w:rPr>
        <w:t xml:space="preserve"> were read to refer to such Person.</w:t>
      </w:r>
    </w:p>
    <w:p>
      <w:pPr>
        <w:spacing w:after="0" w:line="150" w:lineRule="exact"/>
        <w:rPr>
          <w:sz w:val="20"/>
          <w:szCs w:val="20"/>
          <w:color w:val="auto"/>
        </w:rPr>
      </w:pPr>
    </w:p>
    <w:p>
      <w:pPr>
        <w:jc w:val="both"/>
        <w:ind w:left="100" w:right="59" w:firstLine="749"/>
        <w:spacing w:after="0" w:line="23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w:t>
      </w:r>
      <w:r>
        <w:rPr>
          <w:rFonts w:ascii="Arial" w:cs="Arial" w:eastAsia="Arial" w:hAnsi="Arial"/>
          <w:sz w:val="19"/>
          <w:szCs w:val="19"/>
          <w:color w:val="auto"/>
        </w:rPr>
        <w:t xml:space="preserve">” means, </w:t>
      </w:r>
      <w:r>
        <w:rPr>
          <w:rFonts w:ascii="Arial" w:cs="Arial" w:eastAsia="Arial" w:hAnsi="Arial"/>
          <w:sz w:val="19"/>
          <w:szCs w:val="19"/>
          <w:color w:val="FF0000"/>
          <w:strike w:val="1"/>
        </w:rPr>
        <w:t>with respect to any Business Day, the secured overnight financing rate published for such day</w:t>
      </w:r>
      <w:r>
        <w:rPr>
          <w:rFonts w:ascii="Arial" w:cs="Arial" w:eastAsia="Arial" w:hAnsi="Arial"/>
          <w:sz w:val="19"/>
          <w:szCs w:val="19"/>
          <w:u w:val="single" w:color="auto"/>
          <w:color w:val="0000FF"/>
        </w:rPr>
        <w:t>the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Secured Overnight Financing Rate as administered</w:t>
      </w:r>
      <w:r>
        <w:rPr>
          <w:rFonts w:ascii="Arial" w:cs="Arial" w:eastAsia="Arial" w:hAnsi="Arial"/>
          <w:sz w:val="19"/>
          <w:szCs w:val="19"/>
          <w:color w:val="0000FF"/>
        </w:rPr>
        <w:t xml:space="preserve"> </w:t>
      </w:r>
      <w:r>
        <w:rPr>
          <w:rFonts w:ascii="Arial" w:cs="Arial" w:eastAsia="Arial" w:hAnsi="Arial"/>
          <w:sz w:val="19"/>
          <w:szCs w:val="19"/>
          <w:color w:val="000000"/>
        </w:rPr>
        <w:t>by the Federal Reserve Bank of New York</w:t>
      </w:r>
      <w:r>
        <w:rPr>
          <w:rFonts w:ascii="Arial" w:cs="Arial" w:eastAsia="Arial" w:hAnsi="Arial"/>
          <w:sz w:val="19"/>
          <w:szCs w:val="19"/>
          <w:color w:val="FF0000"/>
          <w:strike w:val="1"/>
        </w:rPr>
        <w:t>, as the administrator of the</w:t>
      </w:r>
      <w:r>
        <w:rPr>
          <w:rFonts w:ascii="Arial" w:cs="Arial" w:eastAsia="Arial" w:hAnsi="Arial"/>
          <w:sz w:val="19"/>
          <w:szCs w:val="19"/>
          <w:color w:val="0000FF"/>
        </w:rPr>
        <w:t xml:space="preserve"> </w:t>
      </w:r>
      <w:r>
        <w:rPr>
          <w:rFonts w:ascii="Arial" w:cs="Arial" w:eastAsia="Arial" w:hAnsi="Arial"/>
          <w:sz w:val="19"/>
          <w:szCs w:val="19"/>
          <w:color w:val="FF0000"/>
          <w:strike w:val="1"/>
        </w:rPr>
        <w:t>benchmark,</w:t>
      </w:r>
      <w:r>
        <w:rPr>
          <w:rFonts w:ascii="Arial" w:cs="Arial" w:eastAsia="Arial" w:hAnsi="Arial"/>
          <w:sz w:val="19"/>
          <w:szCs w:val="19"/>
          <w:color w:val="FF0000"/>
        </w:rPr>
        <w:t xml:space="preserve"> </w:t>
      </w:r>
      <w:r>
        <w:rPr>
          <w:rFonts w:ascii="Arial" w:cs="Arial" w:eastAsia="Arial" w:hAnsi="Arial"/>
          <w:sz w:val="19"/>
          <w:szCs w:val="19"/>
          <w:color w:val="000000"/>
        </w:rPr>
        <w:t>(or a successor administrator)</w:t>
      </w:r>
      <w:r>
        <w:rPr>
          <w:rFonts w:ascii="Arial" w:cs="Arial" w:eastAsia="Arial" w:hAnsi="Arial"/>
          <w:sz w:val="19"/>
          <w:szCs w:val="19"/>
          <w:color w:val="FF0000"/>
        </w:rPr>
        <w:t xml:space="preserve"> on the Federal </w:t>
      </w:r>
      <w:r>
        <w:rPr>
          <w:rFonts w:ascii="Arial" w:cs="Arial" w:eastAsia="Arial" w:hAnsi="Arial"/>
          <w:sz w:val="19"/>
          <w:szCs w:val="19"/>
          <w:color w:val="FF0000"/>
          <w:strike w:val="1"/>
        </w:rPr>
        <w:t>Reserve Bank of New York’s Website (or any successor source) at</w:t>
      </w:r>
      <w:r>
        <w:rPr>
          <w:rFonts w:ascii="Arial" w:cs="Arial" w:eastAsia="Arial" w:hAnsi="Arial"/>
          <w:sz w:val="19"/>
          <w:szCs w:val="19"/>
          <w:color w:val="FF0000"/>
        </w:rPr>
        <w:t xml:space="preserve"> </w:t>
      </w:r>
      <w:r>
        <w:rPr>
          <w:rFonts w:ascii="Arial" w:cs="Arial" w:eastAsia="Arial" w:hAnsi="Arial"/>
          <w:sz w:val="19"/>
          <w:szCs w:val="19"/>
          <w:color w:val="FF0000"/>
          <w:strike w:val="1"/>
        </w:rPr>
        <w:t>approximately 8:00 a.m. (New York City time) on the immediately succeeding Business Day and, in each case, that has been selected and recommended by the Relevant Governmental Body.</w:t>
      </w:r>
      <w:r>
        <w:rPr>
          <w:rFonts w:ascii="Arial" w:cs="Arial" w:eastAsia="Arial" w:hAnsi="Arial"/>
          <w:sz w:val="19"/>
          <w:szCs w:val="19"/>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-332740</wp:posOffset>
            </wp:positionV>
            <wp:extent cx="76771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4">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256" w:lineRule="exact"/>
        <w:rPr>
          <w:sz w:val="20"/>
          <w:szCs w:val="20"/>
          <w:color w:val="auto"/>
        </w:rPr>
      </w:pPr>
    </w:p>
    <w:p>
      <w:pPr>
        <w:ind w:left="840"/>
        <w:spacing w:after="0"/>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SOFR-Based Rate</w:t>
      </w:r>
      <w:r>
        <w:rPr>
          <w:rFonts w:ascii="Arial" w:cs="Arial" w:eastAsia="Arial" w:hAnsi="Arial"/>
          <w:sz w:val="19"/>
          <w:szCs w:val="19"/>
          <w:color w:val="FF0000"/>
          <w:strike w:val="1"/>
        </w:rPr>
        <w:t>” means SOFR or Term SOFR.</w:t>
      </w:r>
    </w:p>
    <w:p>
      <w:pPr>
        <w:spacing w:after="0" w:line="281" w:lineRule="exact"/>
        <w:rPr>
          <w:sz w:val="20"/>
          <w:szCs w:val="20"/>
          <w:color w:val="auto"/>
        </w:rPr>
      </w:pPr>
    </w:p>
    <w:p>
      <w:pPr>
        <w:jc w:val="both"/>
        <w:ind w:left="100" w:right="59" w:firstLine="749"/>
        <w:spacing w:after="0" w:line="303" w:lineRule="auto"/>
        <w:rPr>
          <w:sz w:val="20"/>
          <w:szCs w:val="20"/>
          <w:color w:val="auto"/>
        </w:rPr>
      </w:pPr>
      <w:r>
        <w:rPr>
          <w:rFonts w:ascii="Arial" w:cs="Arial" w:eastAsia="Arial" w:hAnsi="Arial"/>
          <w:sz w:val="17"/>
          <w:szCs w:val="17"/>
          <w:u w:val="single" w:color="auto"/>
          <w:color w:val="0000FF"/>
        </w:rPr>
        <w:t>“SOFR Adjustment” means, with respect to Term SOFR (i) with an Interest Per iod of one, three or six months, 0.10% , and (ii) otherwise, such adjustment as mutually agreed by the Borrower , the Administrative Agent and each relevant Lender .</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SPC</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9.05(e)</w:t>
      </w:r>
      <w:r>
        <w:rPr>
          <w:rFonts w:ascii="Arial" w:cs="Arial" w:eastAsia="Arial" w:hAnsi="Arial"/>
          <w:sz w:val="19"/>
          <w:szCs w:val="19"/>
          <w:color w:val="auto"/>
        </w:rPr>
        <w:t>.</w:t>
      </w:r>
    </w:p>
    <w:p>
      <w:pPr>
        <w:spacing w:after="0" w:line="295"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Commitment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1.12(g)</w:t>
      </w:r>
      <w:r>
        <w:rPr>
          <w:rFonts w:ascii="Arial" w:cs="Arial" w:eastAsia="Arial" w:hAnsi="Arial"/>
          <w:sz w:val="19"/>
          <w:szCs w:val="19"/>
          <w:color w:val="auto"/>
        </w:rPr>
        <w:t>. “</w:t>
      </w:r>
      <w:r>
        <w:rPr>
          <w:rFonts w:ascii="Arial" w:cs="Arial" w:eastAsia="Arial" w:hAnsi="Arial"/>
          <w:sz w:val="19"/>
          <w:szCs w:val="19"/>
          <w:u w:val="single" w:color="auto"/>
          <w:color w:val="auto"/>
        </w:rPr>
        <w:t>Specified Commitment</w:t>
      </w:r>
    </w:p>
    <w:p>
      <w:pPr>
        <w:spacing w:after="0" w:line="187" w:lineRule="exact"/>
        <w:rPr>
          <w:sz w:val="20"/>
          <w:szCs w:val="20"/>
          <w:color w:val="auto"/>
        </w:rPr>
      </w:pPr>
    </w:p>
    <w:p>
      <w:pPr>
        <w:ind w:left="840"/>
        <w:spacing w:after="0"/>
        <w:rPr>
          <w:sz w:val="20"/>
          <w:szCs w:val="20"/>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1.12(g)</w:t>
      </w:r>
      <w:r>
        <w:rPr>
          <w:rFonts w:ascii="Arial" w:cs="Arial" w:eastAsia="Arial" w:hAnsi="Arial"/>
          <w:sz w:val="19"/>
          <w:szCs w:val="19"/>
          <w:color w:val="auto"/>
        </w:rPr>
        <w:t>.</w:t>
      </w:r>
    </w:p>
    <w:p>
      <w:pPr>
        <w:spacing w:after="0" w:line="20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Guarantor Release Provision</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8.09</w:t>
      </w:r>
      <w:r>
        <w:rPr>
          <w:rFonts w:ascii="Arial" w:cs="Arial" w:eastAsia="Arial" w:hAnsi="Arial"/>
          <w:sz w:val="17"/>
          <w:szCs w:val="17"/>
          <w:color w:val="auto"/>
        </w:rPr>
        <w:t>. “</w:t>
      </w:r>
      <w:r>
        <w:rPr>
          <w:rFonts w:ascii="Arial" w:cs="Arial" w:eastAsia="Arial" w:hAnsi="Arial"/>
          <w:sz w:val="17"/>
          <w:szCs w:val="17"/>
          <w:u w:val="single" w:color="auto"/>
          <w:color w:val="auto"/>
        </w:rPr>
        <w:t>Specified Subsidiary</w:t>
      </w:r>
      <w:r>
        <w:rPr>
          <w:rFonts w:ascii="Arial" w:cs="Arial" w:eastAsia="Arial" w:hAnsi="Arial"/>
          <w:sz w:val="17"/>
          <w:szCs w:val="17"/>
          <w:color w:val="auto"/>
        </w:rPr>
        <w:t>”</w:t>
      </w:r>
    </w:p>
    <w:p>
      <w:pPr>
        <w:spacing w:after="0" w:line="223"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has the meaning assigned to such term in </w:t>
      </w:r>
      <w:r>
        <w:rPr>
          <w:rFonts w:ascii="Arial" w:cs="Arial" w:eastAsia="Arial" w:hAnsi="Arial"/>
          <w:sz w:val="19"/>
          <w:szCs w:val="19"/>
          <w:u w:val="single" w:color="auto"/>
          <w:color w:val="auto"/>
        </w:rPr>
        <w:t>Section 2.11(b)(iv)</w:t>
      </w:r>
      <w:r>
        <w:rPr>
          <w:rFonts w:ascii="Arial" w:cs="Arial" w:eastAsia="Arial" w:hAnsi="Arial"/>
          <w:sz w:val="19"/>
          <w:szCs w:val="19"/>
          <w:color w:val="auto"/>
        </w:rPr>
        <w:t>.</w:t>
      </w:r>
    </w:p>
    <w:p>
      <w:pPr>
        <w:spacing w:after="0" w:line="92" w:lineRule="exact"/>
        <w:rPr>
          <w:sz w:val="20"/>
          <w:szCs w:val="20"/>
          <w:color w:val="auto"/>
        </w:rPr>
      </w:pPr>
    </w:p>
    <w:p>
      <w:pPr>
        <w:jc w:val="both"/>
        <w:ind w:left="100" w:right="59" w:firstLine="749"/>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Spectrum</w:t>
      </w:r>
      <w:r>
        <w:rPr>
          <w:rFonts w:ascii="Arial" w:cs="Arial" w:eastAsia="Arial" w:hAnsi="Arial"/>
          <w:sz w:val="17"/>
          <w:szCs w:val="17"/>
          <w:color w:val="auto"/>
        </w:rPr>
        <w:t>” means, collectively, Spectrum Equity Management, L.P. together with its controlled or managed Affiliates and funds managed or advised by any of them or their respective controlled or managed Affiliates, including for the avoidance of doubt, SE VII DHC AIV, L.P., Spectrum VII Investment Managers’ Fund, L.P., and Spectrum VII Co-Investment Fund, L.P.</w:t>
      </w:r>
    </w:p>
    <w:p>
      <w:pPr>
        <w:spacing w:after="0" w:line="143"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Sponsor</w:t>
      </w:r>
      <w:r>
        <w:rPr>
          <w:rFonts w:ascii="Arial" w:cs="Arial" w:eastAsia="Arial" w:hAnsi="Arial"/>
          <w:sz w:val="19"/>
          <w:szCs w:val="19"/>
          <w:color w:val="auto"/>
        </w:rPr>
        <w:t>” means each of Advent, Spectrum and 22C Capital.</w:t>
      </w:r>
    </w:p>
    <w:p>
      <w:pPr>
        <w:spacing w:after="0" w:line="200" w:lineRule="exact"/>
        <w:rPr>
          <w:sz w:val="20"/>
          <w:szCs w:val="20"/>
          <w:color w:val="auto"/>
        </w:rPr>
      </w:pPr>
    </w:p>
    <w:p>
      <w:pPr>
        <w:jc w:val="both"/>
        <w:ind w:left="100" w:right="59" w:firstLine="74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Spot Rate</w:t>
      </w:r>
      <w:r>
        <w:rPr>
          <w:rFonts w:ascii="Arial" w:cs="Arial" w:eastAsia="Arial" w:hAnsi="Arial"/>
          <w:sz w:val="17"/>
          <w:szCs w:val="17"/>
          <w:color w:val="auto"/>
        </w:rPr>
        <w:t xml:space="preserve">” means, for any currency, on any Revaluation Date or other relevant date of determination, the rate determined by the Administrative Agent to be the rate quoted by the Administrative Agent as the spot rate for the purchase by the Administrative Agent of such currency with another currency through its principal foreign exchange trading office at approximately 11:00 a.m. on the date that is two Business Days prior to the date as of which the foreign exchange computation is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may obtain such spot rate from another financial institution designated by the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58</w:t>
      </w:r>
      <w:r>
        <w:rPr>
          <w:rFonts w:ascii="Arial" w:cs="Arial" w:eastAsia="Arial" w:hAnsi="Arial"/>
          <w:sz w:val="18"/>
          <w:szCs w:val="18"/>
          <w:u w:val="single" w:color="auto"/>
          <w:color w:val="0000FF"/>
          <w:strike w:val="1"/>
        </w:rPr>
        <w:t>58</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26" w:name="page127"/>
    <w:bookmarkEnd w:id="126"/>
    <w:p>
      <w:pPr>
        <w:ind w:left="100" w:right="439"/>
        <w:spacing w:after="0" w:line="261" w:lineRule="auto"/>
        <w:rPr>
          <w:sz w:val="20"/>
          <w:szCs w:val="20"/>
          <w:color w:val="auto"/>
        </w:rPr>
      </w:pPr>
      <w:r>
        <w:rPr>
          <w:rFonts w:ascii="Arial" w:cs="Arial" w:eastAsia="Arial" w:hAnsi="Arial"/>
          <w:sz w:val="19"/>
          <w:szCs w:val="19"/>
          <w:color w:val="auto"/>
        </w:rPr>
        <w:t>Administrative Agent if the Administrative Agent does not have as of the date of determination a spot buying rate for any such currency.</w:t>
      </w:r>
    </w:p>
    <w:p>
      <w:pPr>
        <w:spacing w:after="0" w:line="159"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Stated Amount</w:t>
      </w:r>
      <w:r>
        <w:rPr>
          <w:rFonts w:ascii="Arial" w:cs="Arial" w:eastAsia="Arial" w:hAnsi="Arial"/>
          <w:sz w:val="19"/>
          <w:szCs w:val="19"/>
          <w:color w:val="auto"/>
        </w:rPr>
        <w:t>” means, with respect to any Letter of Credit, at any time, the maximum amount available to be drawn thereunder, in each case determined (a) as if any future automatic increase in the maximum available amount provided for in any such Letter of Credit had in fact occurred at such time and (b) without regard to whether any conditions to drawing could then be met but after giving effect to all previous drawings made thereunder.</w:t>
      </w:r>
    </w:p>
    <w:p>
      <w:pPr>
        <w:spacing w:after="0" w:line="275"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Subject Indebtedness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1.03</w:t>
      </w:r>
      <w:r>
        <w:rPr>
          <w:rFonts w:ascii="Arial" w:cs="Arial" w:eastAsia="Arial" w:hAnsi="Arial"/>
          <w:sz w:val="19"/>
          <w:szCs w:val="19"/>
          <w:color w:val="auto"/>
        </w:rPr>
        <w:t>. “</w:t>
      </w:r>
      <w:r>
        <w:rPr>
          <w:rFonts w:ascii="Arial" w:cs="Arial" w:eastAsia="Arial" w:hAnsi="Arial"/>
          <w:sz w:val="19"/>
          <w:szCs w:val="19"/>
          <w:u w:val="single" w:color="auto"/>
          <w:color w:val="auto"/>
        </w:rPr>
        <w:t>Subject</w:t>
      </w:r>
    </w:p>
    <w:p>
      <w:pPr>
        <w:spacing w:after="0" w:line="200" w:lineRule="exact"/>
        <w:rPr>
          <w:sz w:val="20"/>
          <w:szCs w:val="20"/>
          <w:color w:val="auto"/>
        </w:rPr>
      </w:pPr>
    </w:p>
    <w:p>
      <w:pPr>
        <w:ind w:left="840"/>
        <w:spacing w:after="0"/>
        <w:rPr>
          <w:sz w:val="20"/>
          <w:szCs w:val="20"/>
          <w:color w:val="auto"/>
        </w:rPr>
      </w:pPr>
      <w:r>
        <w:rPr>
          <w:rFonts w:ascii="Arial" w:cs="Arial" w:eastAsia="Arial" w:hAnsi="Arial"/>
          <w:sz w:val="19"/>
          <w:szCs w:val="19"/>
          <w:u w:val="single" w:color="auto"/>
          <w:color w:val="auto"/>
        </w:rPr>
        <w:t>Loans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2.11(b)(ii)</w:t>
      </w:r>
      <w:r>
        <w:rPr>
          <w:rFonts w:ascii="Arial" w:cs="Arial" w:eastAsia="Arial" w:hAnsi="Arial"/>
          <w:sz w:val="19"/>
          <w:szCs w:val="19"/>
          <w:color w:val="auto"/>
        </w:rPr>
        <w:t>.</w:t>
      </w:r>
    </w:p>
    <w:p>
      <w:pPr>
        <w:spacing w:after="0" w:line="92"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Subject Person</w:t>
      </w:r>
      <w:r>
        <w:rPr>
          <w:rFonts w:ascii="Arial" w:cs="Arial" w:eastAsia="Arial" w:hAnsi="Arial"/>
          <w:sz w:val="19"/>
          <w:szCs w:val="19"/>
          <w:color w:val="auto"/>
        </w:rPr>
        <w:t>” has the meaning assigned to such term in the definition of “Consolidated Net Income”.</w:t>
      </w:r>
    </w:p>
    <w:p>
      <w:pPr>
        <w:spacing w:after="0" w:line="308" w:lineRule="exact"/>
        <w:rPr>
          <w:sz w:val="20"/>
          <w:szCs w:val="20"/>
          <w:color w:val="auto"/>
        </w:rPr>
      </w:pPr>
    </w:p>
    <w:p>
      <w:pPr>
        <w:ind w:left="840" w:right="1919"/>
        <w:spacing w:after="0" w:line="40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Subject Proceeds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2.11(b)(ii)</w:t>
      </w:r>
      <w:r>
        <w:rPr>
          <w:rFonts w:ascii="Arial" w:cs="Arial" w:eastAsia="Arial" w:hAnsi="Arial"/>
          <w:sz w:val="19"/>
          <w:szCs w:val="19"/>
          <w:color w:val="auto"/>
        </w:rPr>
        <w:t>. “</w:t>
      </w:r>
      <w:r>
        <w:rPr>
          <w:rFonts w:ascii="Arial" w:cs="Arial" w:eastAsia="Arial" w:hAnsi="Arial"/>
          <w:sz w:val="19"/>
          <w:szCs w:val="19"/>
          <w:u w:val="single" w:color="auto"/>
          <w:color w:val="auto"/>
        </w:rPr>
        <w:t>Subject</w:t>
      </w:r>
      <w:r>
        <w:rPr>
          <w:rFonts w:ascii="Arial" w:cs="Arial" w:eastAsia="Arial" w:hAnsi="Arial"/>
          <w:sz w:val="19"/>
          <w:szCs w:val="19"/>
          <w:color w:val="auto"/>
        </w:rPr>
        <w:t xml:space="preserve"> </w:t>
      </w:r>
      <w:r>
        <w:rPr>
          <w:rFonts w:ascii="Arial" w:cs="Arial" w:eastAsia="Arial" w:hAnsi="Arial"/>
          <w:sz w:val="19"/>
          <w:szCs w:val="19"/>
          <w:u w:val="single" w:color="auto"/>
          <w:color w:val="auto"/>
        </w:rPr>
        <w:t>Transaction</w:t>
      </w:r>
      <w:r>
        <w:rPr>
          <w:rFonts w:ascii="Arial" w:cs="Arial" w:eastAsia="Arial" w:hAnsi="Arial"/>
          <w:sz w:val="19"/>
          <w:szCs w:val="19"/>
          <w:color w:val="auto"/>
        </w:rPr>
        <w:t>” means:</w:t>
      </w:r>
    </w:p>
    <w:p>
      <w:pPr>
        <w:spacing w:after="0" w:line="1" w:lineRule="exact"/>
        <w:rPr>
          <w:sz w:val="20"/>
          <w:szCs w:val="20"/>
          <w:color w:val="auto"/>
        </w:rPr>
      </w:pPr>
    </w:p>
    <w:p>
      <w:pPr>
        <w:ind w:left="2340" w:hanging="748"/>
        <w:spacing w:after="0"/>
        <w:tabs>
          <w:tab w:leader="none" w:pos="2340"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Transactions;</w:t>
      </w:r>
    </w:p>
    <w:p>
      <w:pPr>
        <w:spacing w:after="0" w:line="213" w:lineRule="exact"/>
        <w:rPr>
          <w:rFonts w:ascii="Arial" w:cs="Arial" w:eastAsia="Arial" w:hAnsi="Arial"/>
          <w:sz w:val="19"/>
          <w:szCs w:val="19"/>
          <w:color w:val="auto"/>
        </w:rPr>
      </w:pPr>
    </w:p>
    <w:p>
      <w:pPr>
        <w:jc w:val="both"/>
        <w:ind w:left="840" w:right="19" w:firstLine="752"/>
        <w:spacing w:after="0" w:line="276" w:lineRule="auto"/>
        <w:tabs>
          <w:tab w:leader="none" w:pos="2257"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Permitted Acquisition or any other acquisition or similar Investment, whether by purchase, merger or otherwise, of all or substantially all of the assets of, or any business line, unit or division of, any Person or of a majority of the outstanding Capital Stock of any Person (and, in any event, including any Investment in (i) any Restricted Subsidiary the effect of which is to increase the Borrower’s or any Restricted Subsidiary’s respective equity ownership in such Restricted Subsidiary or (ii) any joint venture for the purpose of increasing the Borrower’s or its relevant Restricted Subsidiary’s ownership interest in such joint venture), in each case that is permitted by this Agreement;</w:t>
      </w:r>
    </w:p>
    <w:p>
      <w:pPr>
        <w:spacing w:after="0" w:line="163" w:lineRule="exact"/>
        <w:rPr>
          <w:rFonts w:ascii="Arial" w:cs="Arial" w:eastAsia="Arial" w:hAnsi="Arial"/>
          <w:sz w:val="17"/>
          <w:szCs w:val="17"/>
          <w:color w:val="auto"/>
        </w:rPr>
      </w:pPr>
    </w:p>
    <w:p>
      <w:pPr>
        <w:jc w:val="both"/>
        <w:ind w:left="840" w:right="59" w:firstLine="751"/>
        <w:spacing w:after="0" w:line="249" w:lineRule="auto"/>
        <w:tabs>
          <w:tab w:leader="none" w:pos="2254" w:val="left"/>
        </w:tabs>
        <w:numPr>
          <w:ilvl w:val="0"/>
          <w:numId w:val="91"/>
        </w:numPr>
        <w:rPr>
          <w:rFonts w:ascii="Arial" w:cs="Arial" w:eastAsia="Arial" w:hAnsi="Arial"/>
          <w:sz w:val="19"/>
          <w:szCs w:val="19"/>
          <w:color w:val="auto"/>
        </w:rPr>
      </w:pPr>
      <w:r>
        <w:rPr>
          <w:rFonts w:ascii="Arial" w:cs="Arial" w:eastAsia="Arial" w:hAnsi="Arial"/>
          <w:sz w:val="19"/>
          <w:szCs w:val="19"/>
          <w:color w:val="auto"/>
        </w:rPr>
        <w:t>any Disposition of (i) all or substantially all of the assets or (ii) the Capital Stock of any subsidiary (or any business unit, line of business or division of the Borrower and/or any Restricted Subsidiary) not prohibited by this Agreement;</w:t>
      </w:r>
    </w:p>
    <w:p>
      <w:pPr>
        <w:spacing w:after="0" w:line="183" w:lineRule="exact"/>
        <w:rPr>
          <w:rFonts w:ascii="Arial" w:cs="Arial" w:eastAsia="Arial" w:hAnsi="Arial"/>
          <w:sz w:val="19"/>
          <w:szCs w:val="19"/>
          <w:color w:val="auto"/>
        </w:rPr>
      </w:pPr>
    </w:p>
    <w:p>
      <w:pPr>
        <w:ind w:left="840" w:right="59" w:firstLine="751"/>
        <w:spacing w:after="0" w:line="261" w:lineRule="auto"/>
        <w:tabs>
          <w:tab w:leader="none" w:pos="2254"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the designation of a Restricted Subsidiary as an Unrestricted Subsidiary or an Unrestricted Subsidiary as a Restricted Subsidiary in accordance with </w:t>
      </w:r>
      <w:r>
        <w:rPr>
          <w:rFonts w:ascii="Arial" w:cs="Arial" w:eastAsia="Arial" w:hAnsi="Arial"/>
          <w:sz w:val="19"/>
          <w:szCs w:val="19"/>
          <w:u w:val="single" w:color="auto"/>
          <w:color w:val="auto"/>
        </w:rPr>
        <w:t>Section 5.10</w:t>
      </w:r>
      <w:r>
        <w:rPr>
          <w:rFonts w:ascii="Arial" w:cs="Arial" w:eastAsia="Arial" w:hAnsi="Arial"/>
          <w:sz w:val="19"/>
          <w:szCs w:val="19"/>
          <w:color w:val="auto"/>
        </w:rPr>
        <w:t>;</w:t>
      </w:r>
    </w:p>
    <w:p>
      <w:pPr>
        <w:spacing w:after="0" w:line="172" w:lineRule="exact"/>
        <w:rPr>
          <w:rFonts w:ascii="Arial" w:cs="Arial" w:eastAsia="Arial" w:hAnsi="Arial"/>
          <w:sz w:val="19"/>
          <w:szCs w:val="19"/>
          <w:color w:val="auto"/>
        </w:rPr>
      </w:pPr>
    </w:p>
    <w:p>
      <w:pPr>
        <w:jc w:val="both"/>
        <w:ind w:left="840" w:right="39" w:firstLine="751"/>
        <w:spacing w:after="0" w:line="256" w:lineRule="auto"/>
        <w:tabs>
          <w:tab w:leader="none" w:pos="2254" w:val="left"/>
        </w:tabs>
        <w:numPr>
          <w:ilvl w:val="0"/>
          <w:numId w:val="91"/>
        </w:numPr>
        <w:rPr>
          <w:rFonts w:ascii="Arial" w:cs="Arial" w:eastAsia="Arial" w:hAnsi="Arial"/>
          <w:sz w:val="19"/>
          <w:szCs w:val="19"/>
          <w:color w:val="auto"/>
        </w:rPr>
      </w:pPr>
      <w:r>
        <w:rPr>
          <w:rFonts w:ascii="Arial" w:cs="Arial" w:eastAsia="Arial" w:hAnsi="Arial"/>
          <w:sz w:val="19"/>
          <w:szCs w:val="19"/>
          <w:color w:val="auto"/>
        </w:rPr>
        <w:t>any incurrence, retirement, redemption, repayment and/or prepayment of Indebtedness (other than any Indebtedness incurred or repaid under any revolving credit facility in the ordinary course of business for working capital purposes);</w:t>
      </w:r>
    </w:p>
    <w:p>
      <w:pPr>
        <w:spacing w:after="0" w:line="178" w:lineRule="exact"/>
        <w:rPr>
          <w:rFonts w:ascii="Arial" w:cs="Arial" w:eastAsia="Arial" w:hAnsi="Arial"/>
          <w:sz w:val="19"/>
          <w:szCs w:val="19"/>
          <w:color w:val="auto"/>
        </w:rPr>
      </w:pPr>
    </w:p>
    <w:p>
      <w:pPr>
        <w:ind w:left="840" w:right="59" w:firstLine="751"/>
        <w:spacing w:after="0" w:line="261" w:lineRule="auto"/>
        <w:tabs>
          <w:tab w:leader="none" w:pos="2254" w:val="left"/>
        </w:tabs>
        <w:numPr>
          <w:ilvl w:val="0"/>
          <w:numId w:val="91"/>
        </w:numPr>
        <w:rPr>
          <w:rFonts w:ascii="Arial" w:cs="Arial" w:eastAsia="Arial" w:hAnsi="Arial"/>
          <w:sz w:val="19"/>
          <w:szCs w:val="19"/>
          <w:color w:val="auto"/>
        </w:rPr>
      </w:pPr>
      <w:r>
        <w:rPr>
          <w:rFonts w:ascii="Arial" w:cs="Arial" w:eastAsia="Arial" w:hAnsi="Arial"/>
          <w:sz w:val="19"/>
          <w:szCs w:val="19"/>
          <w:color w:val="auto"/>
        </w:rPr>
        <w:t>any capital contribution in respect of Qualified Capital Stock or any issuance of Qualified Capital Stock (other than any amount constituting a Cure Amount);</w:t>
      </w:r>
    </w:p>
    <w:p>
      <w:pPr>
        <w:spacing w:after="0" w:line="172" w:lineRule="exact"/>
        <w:rPr>
          <w:rFonts w:ascii="Arial" w:cs="Arial" w:eastAsia="Arial" w:hAnsi="Arial"/>
          <w:sz w:val="19"/>
          <w:szCs w:val="19"/>
          <w:color w:val="auto"/>
        </w:rPr>
      </w:pPr>
    </w:p>
    <w:p>
      <w:pPr>
        <w:ind w:left="2340" w:hanging="748"/>
        <w:spacing w:after="0"/>
        <w:tabs>
          <w:tab w:leader="none" w:pos="2340"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implementation of any Business Optimization Initiative;</w:t>
      </w:r>
    </w:p>
    <w:p>
      <w:pPr>
        <w:spacing w:after="0" w:line="213" w:lineRule="exact"/>
        <w:rPr>
          <w:rFonts w:ascii="Arial" w:cs="Arial" w:eastAsia="Arial" w:hAnsi="Arial"/>
          <w:sz w:val="19"/>
          <w:szCs w:val="19"/>
          <w:color w:val="auto"/>
        </w:rPr>
      </w:pPr>
    </w:p>
    <w:p>
      <w:pPr>
        <w:ind w:left="2340" w:hanging="748"/>
        <w:spacing w:after="0"/>
        <w:tabs>
          <w:tab w:leader="none" w:pos="2340" w:val="left"/>
        </w:tabs>
        <w:numPr>
          <w:ilvl w:val="0"/>
          <w:numId w:val="91"/>
        </w:numPr>
        <w:rPr>
          <w:rFonts w:ascii="Arial" w:cs="Arial" w:eastAsia="Arial" w:hAnsi="Arial"/>
          <w:sz w:val="19"/>
          <w:szCs w:val="19"/>
          <w:color w:val="auto"/>
        </w:rPr>
      </w:pPr>
      <w:r>
        <w:rPr>
          <w:rFonts w:ascii="Arial" w:cs="Arial" w:eastAsia="Arial" w:hAnsi="Arial"/>
          <w:sz w:val="19"/>
          <w:szCs w:val="19"/>
          <w:color w:val="auto"/>
        </w:rPr>
        <w:t>at the election of the Borrower, any discontinued operation; and/or</w:t>
      </w:r>
    </w:p>
    <w:p>
      <w:pPr>
        <w:spacing w:after="0" w:line="213" w:lineRule="exact"/>
        <w:rPr>
          <w:rFonts w:ascii="Arial" w:cs="Arial" w:eastAsia="Arial" w:hAnsi="Arial"/>
          <w:sz w:val="19"/>
          <w:szCs w:val="19"/>
          <w:color w:val="auto"/>
        </w:rPr>
      </w:pPr>
    </w:p>
    <w:p>
      <w:pPr>
        <w:ind w:left="840" w:right="59" w:firstLine="751"/>
        <w:spacing w:after="0" w:line="261" w:lineRule="auto"/>
        <w:tabs>
          <w:tab w:leader="none" w:pos="2254" w:val="left"/>
        </w:tabs>
        <w:numPr>
          <w:ilvl w:val="0"/>
          <w:numId w:val="91"/>
        </w:numPr>
        <w:rPr>
          <w:rFonts w:ascii="Arial" w:cs="Arial" w:eastAsia="Arial" w:hAnsi="Arial"/>
          <w:sz w:val="19"/>
          <w:szCs w:val="19"/>
          <w:color w:val="auto"/>
        </w:rPr>
      </w:pPr>
      <w:r>
        <w:rPr>
          <w:rFonts w:ascii="Arial" w:cs="Arial" w:eastAsia="Arial" w:hAnsi="Arial"/>
          <w:sz w:val="19"/>
          <w:szCs w:val="19"/>
          <w:color w:val="auto"/>
        </w:rPr>
        <w:t>any other event that by the terms of the Loan Documents requires pro forma compliance with a test or covenant hereunder or requires such test or covenant to be calculated on a pro forma basis.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59</w:t>
      </w:r>
      <w:r>
        <w:rPr>
          <w:rFonts w:ascii="Arial" w:cs="Arial" w:eastAsia="Arial" w:hAnsi="Arial"/>
          <w:sz w:val="18"/>
          <w:szCs w:val="18"/>
          <w:u w:val="single" w:color="auto"/>
          <w:color w:val="0000FF"/>
          <w:strike w:val="1"/>
        </w:rPr>
        <w:t>59</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27" w:name="page128"/>
    <w:bookmarkEnd w:id="127"/>
    <w:p>
      <w:pPr>
        <w:jc w:val="both"/>
        <w:ind w:left="100" w:right="59" w:firstLine="749"/>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xml:space="preserve">” means, with respect to any Person, any corporation, partnership, limited liability company, association, joint venture or other business entity of which more than 50% of the total voting power of stock or other ownership interests entitled (without regard to the occurrence of any contingency) to vote in the election of the Person or Persons (whether directors, trustees or other Persons performing similar functions) having the power to direct or cause the direction of the management and policies thereof is at the time owned or controlled, directly or indirectly, by such Person or one or more of the other subsidiaries of such Person or a combination thereof, in each case to the extent the relevant entity’s financial results are required to be included in such Person’s consolidated financial statements under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determining the percentage of ownership interests of any Person controlled by another Person, no ownership interests in the nature of a “qualifying share” of the former Person shall be deemed to be outstanding. Unless otherwise specified, “subsidiary” shall mean any subsidiary of the Borrower.</w:t>
      </w:r>
    </w:p>
    <w:p>
      <w:pPr>
        <w:spacing w:after="0" w:line="166" w:lineRule="exact"/>
        <w:rPr>
          <w:sz w:val="20"/>
          <w:szCs w:val="20"/>
          <w:color w:val="auto"/>
        </w:rPr>
      </w:pPr>
    </w:p>
    <w:p>
      <w:pPr>
        <w:jc w:val="both"/>
        <w:ind w:left="100" w:right="59" w:firstLine="749"/>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xml:space="preserve">” means (a) on the Closing Date each subsidiary of the Borrower (other than any such subsidiary that is an Excluded Subsidiary on the Closing Date) and (b) thereafter, each subsidiary of the Borrower that becomes a Guarantor of the Secured Obligations pursuant to the terms of this Agreement (including any such subsidiary designated as a Discretionary Guarantor pursuant to </w:t>
      </w:r>
      <w:r>
        <w:rPr>
          <w:rFonts w:ascii="Arial" w:cs="Arial" w:eastAsia="Arial" w:hAnsi="Arial"/>
          <w:sz w:val="18"/>
          <w:szCs w:val="18"/>
          <w:u w:val="single" w:color="auto"/>
          <w:color w:val="auto"/>
        </w:rPr>
        <w:t>Section 5.12(c)</w:t>
      </w:r>
      <w:r>
        <w:rPr>
          <w:rFonts w:ascii="Arial" w:cs="Arial" w:eastAsia="Arial" w:hAnsi="Arial"/>
          <w:sz w:val="18"/>
          <w:szCs w:val="18"/>
          <w:color w:val="auto"/>
        </w:rPr>
        <w:t>), in each case, until such time as the relevant subsidiary is released from its obligations under the Loan Guaranty in accordance with the terms and provisions hereof.</w:t>
      </w:r>
    </w:p>
    <w:p>
      <w:pPr>
        <w:spacing w:after="0" w:line="281"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Successor Borrower</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6.07(a)</w:t>
      </w:r>
      <w:r>
        <w:rPr>
          <w:rFonts w:ascii="Arial" w:cs="Arial" w:eastAsia="Arial" w:hAnsi="Arial"/>
          <w:sz w:val="19"/>
          <w:szCs w:val="19"/>
          <w:color w:val="auto"/>
        </w:rPr>
        <w:t>. “</w:t>
      </w:r>
      <w:r>
        <w:rPr>
          <w:rFonts w:ascii="Arial" w:cs="Arial" w:eastAsia="Arial" w:hAnsi="Arial"/>
          <w:sz w:val="19"/>
          <w:szCs w:val="19"/>
          <w:u w:val="single" w:color="auto"/>
          <w:color w:val="auto"/>
        </w:rPr>
        <w:t>Successor</w:t>
      </w:r>
    </w:p>
    <w:p>
      <w:pPr>
        <w:spacing w:after="0" w:line="187" w:lineRule="exact"/>
        <w:rPr>
          <w:sz w:val="20"/>
          <w:szCs w:val="20"/>
          <w:color w:val="auto"/>
        </w:rPr>
      </w:pPr>
    </w:p>
    <w:p>
      <w:pPr>
        <w:ind w:left="840"/>
        <w:spacing w:after="0"/>
        <w:rPr>
          <w:sz w:val="20"/>
          <w:szCs w:val="20"/>
          <w:color w:val="auto"/>
        </w:rPr>
      </w:pPr>
      <w:r>
        <w:rPr>
          <w:rFonts w:ascii="Arial" w:cs="Arial" w:eastAsia="Arial" w:hAnsi="Arial"/>
          <w:sz w:val="19"/>
          <w:szCs w:val="19"/>
          <w:u w:val="single" w:color="auto"/>
          <w:color w:val="auto"/>
        </w:rPr>
        <w:t>Holdings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6.09(b)</w:t>
      </w:r>
      <w:r>
        <w:rPr>
          <w:rFonts w:ascii="Arial" w:cs="Arial" w:eastAsia="Arial" w:hAnsi="Arial"/>
          <w:sz w:val="19"/>
          <w:szCs w:val="19"/>
          <w:color w:val="auto"/>
        </w:rPr>
        <w:t>. “</w:t>
      </w:r>
      <w:r>
        <w:rPr>
          <w:rFonts w:ascii="Arial" w:cs="Arial" w:eastAsia="Arial" w:hAnsi="Arial"/>
          <w:sz w:val="19"/>
          <w:szCs w:val="19"/>
          <w:u w:val="single" w:color="auto"/>
          <w:color w:val="auto"/>
        </w:rPr>
        <w:t>Successor Rate</w:t>
      </w:r>
      <w:r>
        <w:rPr>
          <w:rFonts w:ascii="Arial" w:cs="Arial" w:eastAsia="Arial" w:hAnsi="Arial"/>
          <w:sz w:val="19"/>
          <w:szCs w:val="19"/>
          <w:color w:val="auto"/>
        </w:rPr>
        <w:t>” has the</w:t>
      </w:r>
    </w:p>
    <w:p>
      <w:pPr>
        <w:spacing w:after="0" w:line="200"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meaning assigned to such term in </w:t>
      </w:r>
      <w:r>
        <w:rPr>
          <w:rFonts w:ascii="Arial" w:cs="Arial" w:eastAsia="Arial" w:hAnsi="Arial"/>
          <w:sz w:val="19"/>
          <w:szCs w:val="19"/>
          <w:u w:val="single" w:color="auto"/>
          <w:color w:val="auto"/>
        </w:rPr>
        <w:t>Section 1.13(a)</w:t>
      </w:r>
      <w:r>
        <w:rPr>
          <w:rFonts w:ascii="Arial" w:cs="Arial" w:eastAsia="Arial" w:hAnsi="Arial"/>
          <w:sz w:val="19"/>
          <w:szCs w:val="19"/>
          <w:color w:val="auto"/>
        </w:rPr>
        <w:t>.</w:t>
      </w:r>
    </w:p>
    <w:p>
      <w:pPr>
        <w:spacing w:after="0" w:line="92" w:lineRule="exact"/>
        <w:rPr>
          <w:sz w:val="20"/>
          <w:szCs w:val="20"/>
          <w:color w:val="auto"/>
        </w:rPr>
      </w:pPr>
    </w:p>
    <w:p>
      <w:pPr>
        <w:ind w:left="840"/>
        <w:spacing w:after="0"/>
        <w:rPr>
          <w:sz w:val="20"/>
          <w:szCs w:val="20"/>
          <w:color w:val="auto"/>
        </w:rPr>
      </w:pPr>
      <w:r>
        <w:rPr>
          <w:rFonts w:ascii="Arial" w:cs="Arial" w:eastAsia="Arial" w:hAnsi="Arial"/>
          <w:sz w:val="17"/>
          <w:szCs w:val="17"/>
          <w:color w:val="FF0000"/>
          <w:strike w:val="1"/>
        </w:rPr>
        <w:t>“</w:t>
      </w:r>
      <w:r>
        <w:rPr>
          <w:rFonts w:ascii="Arial" w:cs="Arial" w:eastAsia="Arial" w:hAnsi="Arial"/>
          <w:sz w:val="17"/>
          <w:szCs w:val="17"/>
          <w:u w:val="single" w:color="auto"/>
          <w:color w:val="FF0000"/>
          <w:strike w:val="1"/>
        </w:rPr>
        <w:t>Successor Rate Conforming Changes</w:t>
      </w:r>
      <w:r>
        <w:rPr>
          <w:rFonts w:ascii="Arial" w:cs="Arial" w:eastAsia="Arial" w:hAnsi="Arial"/>
          <w:sz w:val="17"/>
          <w:szCs w:val="17"/>
          <w:color w:val="FF0000"/>
          <w:strike w:val="1"/>
        </w:rPr>
        <w:t>” means, with respect to any proposed Successor Rate, any conforming changes to</w:t>
      </w:r>
    </w:p>
    <w:p>
      <w:pPr>
        <w:spacing w:after="0" w:line="37" w:lineRule="exact"/>
        <w:rPr>
          <w:sz w:val="20"/>
          <w:szCs w:val="20"/>
          <w:color w:val="auto"/>
        </w:rPr>
      </w:pPr>
    </w:p>
    <w:p>
      <w:pPr>
        <w:jc w:val="both"/>
        <w:ind w:left="100" w:right="19"/>
        <w:spacing w:after="0" w:line="252" w:lineRule="auto"/>
        <w:rPr>
          <w:sz w:val="20"/>
          <w:szCs w:val="20"/>
          <w:color w:val="auto"/>
        </w:rPr>
      </w:pPr>
      <w:r>
        <w:rPr>
          <w:rFonts w:ascii="Arial" w:cs="Arial" w:eastAsia="Arial" w:hAnsi="Arial"/>
          <w:sz w:val="17"/>
          <w:szCs w:val="17"/>
          <w:color w:val="FF0000"/>
          <w:strike w:val="1"/>
        </w:rPr>
        <w:t>the definition of Base Rate, Interest Per iod</w:t>
      </w:r>
      <w:r>
        <w:rPr>
          <w:rFonts w:ascii="Arial" w:cs="Arial" w:eastAsia="Arial" w:hAnsi="Arial"/>
          <w:sz w:val="17"/>
          <w:szCs w:val="17"/>
          <w:i w:val="1"/>
          <w:iCs w:val="1"/>
          <w:color w:val="008000"/>
          <w:strike w:val="1"/>
        </w:rPr>
        <w:t>, timing and frequency of</w:t>
      </w:r>
      <w:r>
        <w:rPr>
          <w:rFonts w:ascii="Arial" w:cs="Arial" w:eastAsia="Arial" w:hAnsi="Arial"/>
          <w:sz w:val="17"/>
          <w:szCs w:val="17"/>
          <w:color w:val="FF0000"/>
        </w:rPr>
        <w:t xml:space="preserve"> </w:t>
      </w:r>
      <w:r>
        <w:rPr>
          <w:rFonts w:ascii="Arial" w:cs="Arial" w:eastAsia="Arial" w:hAnsi="Arial"/>
          <w:sz w:val="17"/>
          <w:szCs w:val="17"/>
          <w:i w:val="1"/>
          <w:iCs w:val="1"/>
          <w:color w:val="008000"/>
        </w:rPr>
        <w:t>determining rates and making payments of interest and other</w:t>
      </w:r>
      <w:r>
        <w:rPr>
          <w:rFonts w:ascii="Arial" w:cs="Arial" w:eastAsia="Arial" w:hAnsi="Arial"/>
          <w:sz w:val="17"/>
          <w:szCs w:val="17"/>
          <w:color w:val="FF0000"/>
        </w:rPr>
        <w:t xml:space="preserve"> </w:t>
      </w:r>
      <w:r>
        <w:rPr>
          <w:rFonts w:ascii="Arial" w:cs="Arial" w:eastAsia="Arial" w:hAnsi="Arial"/>
          <w:sz w:val="17"/>
          <w:szCs w:val="17"/>
          <w:i w:val="1"/>
          <w:iCs w:val="1"/>
          <w:color w:val="008000"/>
        </w:rPr>
        <w:t xml:space="preserve">technical, administrative or operational matters </w:t>
      </w:r>
      <w:r>
        <w:rPr>
          <w:rFonts w:ascii="Arial" w:cs="Arial" w:eastAsia="Arial" w:hAnsi="Arial"/>
          <w:sz w:val="17"/>
          <w:szCs w:val="17"/>
          <w:i w:val="1"/>
          <w:iCs w:val="1"/>
          <w:color w:val="008000"/>
          <w:strike w:val="1"/>
        </w:rPr>
        <w:t>(including, for the avoidance of doubt, the</w:t>
      </w:r>
      <w:r>
        <w:rPr>
          <w:rFonts w:ascii="Arial" w:cs="Arial" w:eastAsia="Arial" w:hAnsi="Arial"/>
          <w:sz w:val="17"/>
          <w:szCs w:val="17"/>
          <w:i w:val="1"/>
          <w:iCs w:val="1"/>
          <w:color w:val="008000"/>
        </w:rPr>
        <w:t xml:space="preserve"> </w:t>
      </w:r>
      <w:r>
        <w:rPr>
          <w:rFonts w:ascii="Arial" w:cs="Arial" w:eastAsia="Arial" w:hAnsi="Arial"/>
          <w:sz w:val="17"/>
          <w:szCs w:val="17"/>
          <w:color w:val="FF0000"/>
          <w:strike w:val="1"/>
        </w:rPr>
        <w:t>definition of Business Day</w:t>
      </w:r>
      <w:r>
        <w:rPr>
          <w:rFonts w:ascii="Arial" w:cs="Arial" w:eastAsia="Arial" w:hAnsi="Arial"/>
          <w:sz w:val="17"/>
          <w:szCs w:val="17"/>
          <w:i w:val="1"/>
          <w:iCs w:val="1"/>
          <w:color w:val="008000"/>
          <w:strike w:val="1"/>
        </w:rPr>
        <w:t>, timing of</w:t>
      </w:r>
      <w:r>
        <w:rPr>
          <w:rFonts w:ascii="Arial" w:cs="Arial" w:eastAsia="Arial" w:hAnsi="Arial"/>
          <w:sz w:val="17"/>
          <w:szCs w:val="17"/>
          <w:i w:val="1"/>
          <w:iCs w:val="1"/>
          <w:color w:val="008000"/>
        </w:rPr>
        <w:t xml:space="preserve"> </w:t>
      </w:r>
      <w:r>
        <w:rPr>
          <w:rFonts w:ascii="Arial" w:cs="Arial" w:eastAsia="Arial" w:hAnsi="Arial"/>
          <w:sz w:val="17"/>
          <w:szCs w:val="17"/>
          <w:i w:val="1"/>
          <w:iCs w:val="1"/>
          <w:color w:val="008000"/>
          <w:strike w:val="1"/>
        </w:rPr>
        <w:t>borrowing requests or</w:t>
      </w:r>
      <w:r>
        <w:rPr>
          <w:rFonts w:ascii="Arial" w:cs="Arial" w:eastAsia="Arial" w:hAnsi="Arial"/>
          <w:sz w:val="17"/>
          <w:szCs w:val="17"/>
          <w:i w:val="1"/>
          <w:iCs w:val="1"/>
          <w:color w:val="008000"/>
        </w:rPr>
        <w:t xml:space="preserve"> prepayment, conversion or continuation notices and length of lookback periods) as may be appropriate, in the </w:t>
      </w:r>
      <w:r>
        <w:rPr>
          <w:rFonts w:ascii="Arial" w:cs="Arial" w:eastAsia="Arial" w:hAnsi="Arial"/>
          <w:sz w:val="17"/>
          <w:szCs w:val="17"/>
          <w:color w:val="FF0000"/>
        </w:rPr>
        <w:t>reasonable discretion of the Administrative Agent and in consultation with the Borrower, to reflect the</w:t>
      </w:r>
      <w:r>
        <w:rPr>
          <w:rFonts w:ascii="Arial" w:cs="Arial" w:eastAsia="Arial" w:hAnsi="Arial"/>
          <w:sz w:val="17"/>
          <w:szCs w:val="17"/>
          <w:i w:val="1"/>
          <w:iCs w:val="1"/>
          <w:color w:val="008000"/>
        </w:rPr>
        <w:t xml:space="preserve"> </w:t>
      </w:r>
      <w:r>
        <w:rPr>
          <w:rFonts w:ascii="Arial" w:cs="Arial" w:eastAsia="Arial" w:hAnsi="Arial"/>
          <w:sz w:val="17"/>
          <w:szCs w:val="17"/>
          <w:color w:val="FF0000"/>
          <w:strike w:val="1"/>
        </w:rPr>
        <w:t>adoption and</w:t>
      </w:r>
    </w:p>
    <w:p>
      <w:pPr>
        <w:spacing w:after="0" w:line="3" w:lineRule="exact"/>
        <w:rPr>
          <w:sz w:val="20"/>
          <w:szCs w:val="20"/>
          <w:color w:val="auto"/>
        </w:rPr>
      </w:pPr>
    </w:p>
    <w:p>
      <w:pPr>
        <w:jc w:val="both"/>
        <w:ind w:left="100" w:right="19"/>
        <w:spacing w:after="0" w:line="228" w:lineRule="auto"/>
        <w:rPr>
          <w:sz w:val="20"/>
          <w:szCs w:val="20"/>
          <w:color w:val="auto"/>
        </w:rPr>
      </w:pPr>
      <w:r>
        <w:rPr>
          <w:rFonts w:ascii="Arial" w:cs="Arial" w:eastAsia="Arial" w:hAnsi="Arial"/>
          <w:sz w:val="19"/>
          <w:szCs w:val="19"/>
          <w:color w:val="FF0000"/>
          <w:strike w:val="1"/>
        </w:rPr>
        <w:t>implementation of such Successor Rate</w:t>
      </w:r>
      <w:r>
        <w:rPr>
          <w:rFonts w:ascii="Arial" w:cs="Arial" w:eastAsia="Arial" w:hAnsi="Arial"/>
          <w:sz w:val="19"/>
          <w:szCs w:val="19"/>
          <w:color w:val="FF0000"/>
        </w:rPr>
        <w:t xml:space="preserve"> </w:t>
      </w:r>
      <w:r>
        <w:rPr>
          <w:rFonts w:ascii="Arial" w:cs="Arial" w:eastAsia="Arial" w:hAnsi="Arial"/>
          <w:sz w:val="19"/>
          <w:szCs w:val="19"/>
          <w:i w:val="1"/>
          <w:iCs w:val="1"/>
          <w:color w:val="008000"/>
          <w:strike w:val="1"/>
        </w:rPr>
        <w:t>and to permit the administration thereof by the</w:t>
      </w:r>
      <w:r>
        <w:rPr>
          <w:rFonts w:ascii="Arial" w:cs="Arial" w:eastAsia="Arial" w:hAnsi="Arial"/>
          <w:sz w:val="19"/>
          <w:szCs w:val="19"/>
          <w:color w:val="FF0000"/>
        </w:rPr>
        <w:t xml:space="preserve"> </w:t>
      </w:r>
      <w:r>
        <w:rPr>
          <w:rFonts w:ascii="Arial" w:cs="Arial" w:eastAsia="Arial" w:hAnsi="Arial"/>
          <w:sz w:val="19"/>
          <w:szCs w:val="19"/>
          <w:i w:val="1"/>
          <w:iCs w:val="1"/>
          <w:color w:val="008000"/>
        </w:rPr>
        <w:t>Administrative Agent in a manner</w:t>
      </w:r>
      <w:r>
        <w:rPr>
          <w:rFonts w:ascii="Arial" w:cs="Arial" w:eastAsia="Arial" w:hAnsi="Arial"/>
          <w:sz w:val="19"/>
          <w:szCs w:val="19"/>
          <w:color w:val="FF0000"/>
        </w:rPr>
        <w:t xml:space="preserve"> </w:t>
      </w:r>
      <w:r>
        <w:rPr>
          <w:rFonts w:ascii="Arial" w:cs="Arial" w:eastAsia="Arial" w:hAnsi="Arial"/>
          <w:sz w:val="19"/>
          <w:szCs w:val="19"/>
          <w:i w:val="1"/>
          <w:iCs w:val="1"/>
          <w:color w:val="008000"/>
        </w:rPr>
        <w:t xml:space="preserve">substantially consistent with market practice (or, if the Administrative </w:t>
      </w:r>
      <w:r>
        <w:rPr>
          <w:rFonts w:ascii="Arial" w:cs="Arial" w:eastAsia="Arial" w:hAnsi="Arial"/>
          <w:sz w:val="19"/>
          <w:szCs w:val="19"/>
          <w:i w:val="1"/>
          <w:iCs w:val="1"/>
          <w:color w:val="008000"/>
          <w:strike w:val="1"/>
        </w:rPr>
        <w:t>Agent</w:t>
      </w:r>
      <w:r>
        <w:rPr>
          <w:rFonts w:ascii="Arial" w:cs="Arial" w:eastAsia="Arial" w:hAnsi="Arial"/>
          <w:sz w:val="19"/>
          <w:szCs w:val="19"/>
          <w:i w:val="1"/>
          <w:iCs w:val="1"/>
          <w:color w:val="008000"/>
        </w:rPr>
        <w:t xml:space="preserve"> </w:t>
      </w:r>
      <w:r>
        <w:rPr>
          <w:rFonts w:ascii="Arial" w:cs="Arial" w:eastAsia="Arial" w:hAnsi="Arial"/>
          <w:sz w:val="19"/>
          <w:szCs w:val="19"/>
          <w:color w:val="FF0000"/>
          <w:strike w:val="1"/>
        </w:rPr>
        <w:t>reasonably</w:t>
      </w:r>
      <w:r>
        <w:rPr>
          <w:rFonts w:ascii="Arial" w:cs="Arial" w:eastAsia="Arial" w:hAnsi="Arial"/>
          <w:sz w:val="19"/>
          <w:szCs w:val="19"/>
          <w:i w:val="1"/>
          <w:iCs w:val="1"/>
          <w:color w:val="008000"/>
        </w:rPr>
        <w:t xml:space="preserve"> </w:t>
      </w:r>
      <w:r>
        <w:rPr>
          <w:rFonts w:ascii="Arial" w:cs="Arial" w:eastAsia="Arial" w:hAnsi="Arial"/>
          <w:sz w:val="19"/>
          <w:szCs w:val="19"/>
          <w:i w:val="1"/>
          <w:iCs w:val="1"/>
          <w:color w:val="008000"/>
          <w:strike w:val="1"/>
        </w:rPr>
        <w:t>determines that adoption of any portion of</w:t>
      </w:r>
      <w:r>
        <w:rPr>
          <w:rFonts w:ascii="Arial" w:cs="Arial" w:eastAsia="Arial" w:hAnsi="Arial"/>
          <w:sz w:val="19"/>
          <w:szCs w:val="19"/>
          <w:i w:val="1"/>
          <w:iCs w:val="1"/>
          <w:color w:val="008000"/>
        </w:rPr>
        <w:t xml:space="preserve"> </w:t>
      </w:r>
      <w:r>
        <w:rPr>
          <w:rFonts w:ascii="Arial" w:cs="Arial" w:eastAsia="Arial" w:hAnsi="Arial"/>
          <w:sz w:val="19"/>
          <w:szCs w:val="19"/>
          <w:i w:val="1"/>
          <w:iCs w:val="1"/>
          <w:color w:val="008000"/>
          <w:strike w:val="1"/>
        </w:rPr>
        <w:t xml:space="preserve">such market practice is not administratively feasible or that no market practice for </w:t>
      </w:r>
      <w:r>
        <w:rPr>
          <w:rFonts w:ascii="Arial" w:cs="Arial" w:eastAsia="Arial" w:hAnsi="Arial"/>
          <w:sz w:val="19"/>
          <w:szCs w:val="19"/>
          <w:color w:val="FF0000"/>
          <w:strike w:val="1"/>
        </w:rPr>
        <w:t>comparable syndicated credit facilities for the</w:t>
      </w:r>
      <w:r>
        <w:rPr>
          <w:rFonts w:ascii="Arial" w:cs="Arial" w:eastAsia="Arial" w:hAnsi="Arial"/>
          <w:sz w:val="19"/>
          <w:szCs w:val="19"/>
          <w:i w:val="1"/>
          <w:iCs w:val="1"/>
          <w:color w:val="008000"/>
          <w:strike w:val="1"/>
        </w:rPr>
        <w:t xml:space="preserve"> </w:t>
      </w:r>
      <w:r>
        <w:rPr>
          <w:rFonts w:ascii="Arial" w:cs="Arial" w:eastAsia="Arial" w:hAnsi="Arial"/>
          <w:sz w:val="19"/>
          <w:szCs w:val="19"/>
          <w:color w:val="FF0000"/>
          <w:strike w:val="1"/>
        </w:rPr>
        <w:t xml:space="preserve">administration of such Successor Rate exists, in such other manner of administration that the Administrative Agent reasonably determines (in consultation with the Borrower) </w:t>
      </w:r>
      <w:r>
        <w:rPr>
          <w:rFonts w:ascii="Arial" w:cs="Arial" w:eastAsia="Arial" w:hAnsi="Arial"/>
          <w:sz w:val="19"/>
          <w:szCs w:val="19"/>
          <w:i w:val="1"/>
          <w:iCs w:val="1"/>
          <w:color w:val="008000"/>
          <w:strike w:val="1"/>
        </w:rPr>
        <w:t>is reasonably necessary in connection with the administration of this Agreement and</w:t>
      </w:r>
      <w:r>
        <w:rPr>
          <w:rFonts w:ascii="Arial" w:cs="Arial" w:eastAsia="Arial" w:hAnsi="Arial"/>
          <w:sz w:val="19"/>
          <w:szCs w:val="19"/>
          <w:color w:val="FF0000"/>
          <w:strike w:val="1"/>
        </w:rPr>
        <w:t xml:space="preserve"> </w:t>
      </w:r>
      <w:r>
        <w:rPr>
          <w:rFonts w:ascii="Arial" w:cs="Arial" w:eastAsia="Arial" w:hAnsi="Arial"/>
          <w:sz w:val="19"/>
          <w:szCs w:val="19"/>
          <w:i w:val="1"/>
          <w:iCs w:val="1"/>
          <w:color w:val="008000"/>
          <w:strike w:val="1"/>
        </w:rPr>
        <w:t>any other Loan Document).</w:t>
      </w:r>
    </w:p>
    <w:p>
      <w:pPr>
        <w:spacing w:after="0" w:line="278"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Supported QFC</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9.26</w:t>
      </w:r>
      <w:r>
        <w:rPr>
          <w:rFonts w:ascii="Arial" w:cs="Arial" w:eastAsia="Arial" w:hAnsi="Arial"/>
          <w:sz w:val="19"/>
          <w:szCs w:val="19"/>
          <w:color w:val="auto"/>
        </w:rPr>
        <w:t>.</w:t>
      </w:r>
    </w:p>
    <w:p>
      <w:pPr>
        <w:spacing w:after="0" w:line="200" w:lineRule="exact"/>
        <w:rPr>
          <w:sz w:val="20"/>
          <w:szCs w:val="20"/>
          <w:color w:val="auto"/>
        </w:rPr>
      </w:pPr>
    </w:p>
    <w:p>
      <w:pPr>
        <w:jc w:val="both"/>
        <w:ind w:left="100" w:right="59" w:firstLine="749"/>
        <w:spacing w:after="0" w:line="30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Obligations</w:t>
      </w:r>
      <w:r>
        <w:rPr>
          <w:rFonts w:ascii="Arial" w:cs="Arial" w:eastAsia="Arial" w:hAnsi="Arial"/>
          <w:sz w:val="17"/>
          <w:szCs w:val="17"/>
          <w:color w:val="auto"/>
        </w:rPr>
        <w:t>” means, with respect to any Loan Guarantor, any obligation to pay or perform under any agreement, contract or transaction that constitutes a “swap” within the meaning of Section 1a(47) of the Commodity Exchange Act.</w:t>
      </w:r>
    </w:p>
    <w:p>
      <w:pPr>
        <w:spacing w:after="0" w:line="141"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Exposure</w:t>
      </w:r>
      <w:r>
        <w:rPr>
          <w:rFonts w:ascii="Arial" w:cs="Arial" w:eastAsia="Arial" w:hAnsi="Arial"/>
          <w:sz w:val="19"/>
          <w:szCs w:val="19"/>
          <w:color w:val="auto"/>
        </w:rPr>
        <w:t>” means, at any time, the aggregate principal amount of all Swingline Loans outstanding at such time. The Swingline Exposure of any Revolving Lender at any time shall equal to its Applicable Revolving Credit Percentage of the aggregate Swingline Exposure at such time.</w:t>
      </w:r>
    </w:p>
    <w:p>
      <w:pPr>
        <w:spacing w:after="0" w:line="179" w:lineRule="exact"/>
        <w:rPr>
          <w:sz w:val="20"/>
          <w:szCs w:val="20"/>
          <w:color w:val="auto"/>
        </w:rPr>
      </w:pPr>
    </w:p>
    <w:p>
      <w:pPr>
        <w:ind w:left="100" w:right="99" w:firstLine="74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Lender</w:t>
      </w:r>
      <w:r>
        <w:rPr>
          <w:rFonts w:ascii="Arial" w:cs="Arial" w:eastAsia="Arial" w:hAnsi="Arial"/>
          <w:sz w:val="19"/>
          <w:szCs w:val="19"/>
          <w:color w:val="auto"/>
        </w:rPr>
        <w:t>” means Bank of America, in its capacity as lender of Swingline Loans hereunder, or any successor lender of Swingline Loans 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60</w:t>
      </w:r>
      <w:r>
        <w:rPr>
          <w:rFonts w:ascii="Arial" w:cs="Arial" w:eastAsia="Arial" w:hAnsi="Arial"/>
          <w:sz w:val="18"/>
          <w:szCs w:val="18"/>
          <w:u w:val="single" w:color="auto"/>
          <w:color w:val="0000FF"/>
          <w:strike w:val="1"/>
        </w:rPr>
        <w:t>60</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28" w:name="page129"/>
    <w:bookmarkEnd w:id="128"/>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Loan</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2.04</w:t>
      </w:r>
      <w:r>
        <w:rPr>
          <w:rFonts w:ascii="Arial" w:cs="Arial" w:eastAsia="Arial" w:hAnsi="Arial"/>
          <w:sz w:val="19"/>
          <w:szCs w:val="19"/>
          <w:color w:val="auto"/>
        </w:rPr>
        <w:t>.</w:t>
      </w:r>
    </w:p>
    <w:p>
      <w:pPr>
        <w:spacing w:after="0" w:line="214"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Compliance Certificate</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2.17(f)</w:t>
      </w:r>
      <w:r>
        <w:rPr>
          <w:rFonts w:ascii="Arial" w:cs="Arial" w:eastAsia="Arial" w:hAnsi="Arial"/>
          <w:sz w:val="19"/>
          <w:szCs w:val="19"/>
          <w:color w:val="auto"/>
        </w:rPr>
        <w:t>.</w:t>
      </w:r>
    </w:p>
    <w:p>
      <w:pPr>
        <w:spacing w:after="0" w:line="200" w:lineRule="exact"/>
        <w:rPr>
          <w:sz w:val="20"/>
          <w:szCs w:val="20"/>
          <w:color w:val="auto"/>
        </w:rPr>
      </w:pPr>
    </w:p>
    <w:p>
      <w:pPr>
        <w:jc w:val="both"/>
        <w:ind w:left="100" w:right="80" w:firstLine="74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Taxes</w:t>
      </w:r>
      <w:r>
        <w:rPr>
          <w:rFonts w:ascii="Arial" w:cs="Arial" w:eastAsia="Arial" w:hAnsi="Arial"/>
          <w:sz w:val="19"/>
          <w:szCs w:val="19"/>
          <w:color w:val="auto"/>
        </w:rPr>
        <w:t>” means all present and future taxes, levies, imposts, duties, deductions, withholdings (including backup withholding), assessments, fees or other charges imposed by any Governmental Authority, including any interest, additions to tax or penalties applicable thereto.</w:t>
      </w:r>
    </w:p>
    <w:p>
      <w:pPr>
        <w:spacing w:after="0" w:line="179"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Commitment</w:t>
      </w:r>
      <w:r>
        <w:rPr>
          <w:rFonts w:ascii="Arial" w:cs="Arial" w:eastAsia="Arial" w:hAnsi="Arial"/>
          <w:sz w:val="19"/>
          <w:szCs w:val="19"/>
          <w:color w:val="auto"/>
        </w:rPr>
        <w:t>” means any Initial Term Loan Commitment and any Additional Term Loan Commitment.</w:t>
      </w:r>
    </w:p>
    <w:p>
      <w:pPr>
        <w:spacing w:after="0" w:line="200" w:lineRule="exact"/>
        <w:rPr>
          <w:sz w:val="20"/>
          <w:szCs w:val="20"/>
          <w:color w:val="auto"/>
        </w:rPr>
      </w:pPr>
    </w:p>
    <w:p>
      <w:pPr>
        <w:ind w:left="100" w:right="100"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Facility</w:t>
      </w:r>
      <w:r>
        <w:rPr>
          <w:rFonts w:ascii="Arial" w:cs="Arial" w:eastAsia="Arial" w:hAnsi="Arial"/>
          <w:sz w:val="19"/>
          <w:szCs w:val="19"/>
          <w:color w:val="auto"/>
        </w:rPr>
        <w:t>” means the Term Loans provided to or for the benefit of the Borrower pursuant to the terms of this Agreement.</w:t>
      </w:r>
    </w:p>
    <w:p>
      <w:pPr>
        <w:spacing w:after="0" w:line="187"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Lender</w:t>
      </w:r>
      <w:r>
        <w:rPr>
          <w:rFonts w:ascii="Arial" w:cs="Arial" w:eastAsia="Arial" w:hAnsi="Arial"/>
          <w:sz w:val="19"/>
          <w:szCs w:val="19"/>
          <w:color w:val="auto"/>
        </w:rPr>
        <w:t>” means any Initial Term Lender and any Additional Term Lender.</w:t>
      </w:r>
    </w:p>
    <w:p>
      <w:pPr>
        <w:spacing w:after="0" w:line="200"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w:t>
      </w:r>
      <w:r>
        <w:rPr>
          <w:rFonts w:ascii="Arial" w:cs="Arial" w:eastAsia="Arial" w:hAnsi="Arial"/>
          <w:sz w:val="19"/>
          <w:szCs w:val="19"/>
          <w:color w:val="auto"/>
        </w:rPr>
        <w:t>” means the Initial Term Loans and, if applicable, any Additional Term Loans.</w:t>
      </w:r>
    </w:p>
    <w:p>
      <w:pPr>
        <w:spacing w:after="0" w:line="200" w:lineRule="exact"/>
        <w:rPr>
          <w:sz w:val="20"/>
          <w:szCs w:val="20"/>
          <w:color w:val="auto"/>
        </w:rPr>
      </w:pPr>
    </w:p>
    <w:p>
      <w:pPr>
        <w:ind w:left="840"/>
        <w:spacing w:after="0"/>
        <w:rPr>
          <w:sz w:val="20"/>
          <w:szCs w:val="20"/>
          <w:color w:val="auto"/>
        </w:rPr>
      </w:pPr>
      <w:r>
        <w:rPr>
          <w:rFonts w:ascii="Arial" w:cs="Arial" w:eastAsia="Arial" w:hAnsi="Arial"/>
          <w:sz w:val="19"/>
          <w:szCs w:val="19"/>
          <w:u w:val="single" w:color="auto"/>
          <w:color w:val="0000FF"/>
        </w:rPr>
        <w:t>“Term SOFR” means:</w:t>
      </w:r>
    </w:p>
    <w:p>
      <w:pPr>
        <w:spacing w:after="0" w:line="295" w:lineRule="exact"/>
        <w:rPr>
          <w:sz w:val="20"/>
          <w:szCs w:val="20"/>
          <w:color w:val="auto"/>
        </w:rPr>
      </w:pPr>
    </w:p>
    <w:p>
      <w:pPr>
        <w:jc w:val="both"/>
        <w:ind w:left="100" w:right="20" w:firstLine="1492"/>
        <w:spacing w:after="0" w:line="243" w:lineRule="auto"/>
        <w:tabs>
          <w:tab w:leader="none" w:pos="2272" w:val="left"/>
        </w:tabs>
        <w:numPr>
          <w:ilvl w:val="0"/>
          <w:numId w:val="92"/>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for any Interest Per iod with respect to a Term SOFR Loan, the rate per annum equal to the Term SOFR Screen Rate two U.S. Government Secur ities</w:t>
      </w:r>
      <w:r>
        <w:rPr>
          <w:rFonts w:ascii="Arial" w:cs="Arial" w:eastAsia="Arial" w:hAnsi="Arial"/>
          <w:sz w:val="19"/>
          <w:szCs w:val="19"/>
          <w:color w:val="0000FF"/>
        </w:rPr>
        <w:t xml:space="preserve"> </w:t>
      </w:r>
      <w:r>
        <w:rPr>
          <w:rFonts w:ascii="Arial" w:cs="Arial" w:eastAsia="Arial" w:hAnsi="Arial"/>
          <w:sz w:val="19"/>
          <w:szCs w:val="19"/>
          <w:i w:val="1"/>
          <w:iCs w:val="1"/>
          <w:color w:val="008000"/>
        </w:rPr>
        <w:t>Business Days prior to the commencement of such Interest Period</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with a term</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equivalent to such Interest Per iod; provided that if the rate is not published pr ior to 11:00 a.m. on such determination date then Term SOFR means the Term SOFR Screen Rate on the first U.S. Government Secur ities Business Day immediately pr ior thereto, in each case, plus the SOFR Adjustment for such Interest Per iod; and</w:t>
      </w:r>
    </w:p>
    <w:p>
      <w:pPr>
        <w:spacing w:after="0" w:line="270" w:lineRule="exact"/>
        <w:rPr>
          <w:rFonts w:ascii="Arial" w:cs="Arial" w:eastAsia="Arial" w:hAnsi="Arial"/>
          <w:sz w:val="19"/>
          <w:szCs w:val="19"/>
          <w:u w:val="single" w:color="auto"/>
          <w:color w:val="0000FF"/>
        </w:rPr>
      </w:pPr>
    </w:p>
    <w:p>
      <w:pPr>
        <w:ind w:left="100" w:right="220" w:firstLine="1492"/>
        <w:spacing w:after="0" w:line="261" w:lineRule="auto"/>
        <w:tabs>
          <w:tab w:leader="none" w:pos="2270" w:val="left"/>
        </w:tabs>
        <w:numPr>
          <w:ilvl w:val="0"/>
          <w:numId w:val="92"/>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for any interest calculation with respect to an ABR Loan on any date, the rate per annum equal to the Term SOFR Screen Rate with a term of one month commencing that day;</w:t>
      </w:r>
    </w:p>
    <w:p>
      <w:pPr>
        <w:spacing w:after="0" w:line="267" w:lineRule="exact"/>
        <w:rPr>
          <w:sz w:val="20"/>
          <w:szCs w:val="20"/>
          <w:color w:val="auto"/>
        </w:rPr>
      </w:pPr>
    </w:p>
    <w:p>
      <w:pPr>
        <w:ind w:left="100" w:right="60" w:firstLine="749"/>
        <w:spacing w:after="0" w:line="246" w:lineRule="auto"/>
        <w:rPr>
          <w:sz w:val="20"/>
          <w:szCs w:val="20"/>
          <w:color w:val="auto"/>
        </w:rPr>
      </w:pPr>
      <w:r>
        <w:rPr>
          <w:rFonts w:ascii="Arial" w:cs="Arial" w:eastAsia="Arial" w:hAnsi="Arial"/>
          <w:sz w:val="19"/>
          <w:szCs w:val="19"/>
          <w:u w:val="single" w:color="auto"/>
          <w:color w:val="0000FF"/>
        </w:rPr>
        <w:t>provided that if Term SOFR determined in accordance with either of the foregoing provisions (a) or (b) of this definition would otherwise be less than 0.00% , Term SOFR shall be deemed 0.00% for purposes of this Agreement.</w:t>
      </w:r>
    </w:p>
    <w:p>
      <w:pPr>
        <w:spacing w:after="0" w:line="254" w:lineRule="exact"/>
        <w:rPr>
          <w:sz w:val="20"/>
          <w:szCs w:val="20"/>
          <w:color w:val="auto"/>
        </w:rPr>
      </w:pPr>
    </w:p>
    <w:p>
      <w:pPr>
        <w:ind w:left="840"/>
        <w:spacing w:after="0"/>
        <w:rPr>
          <w:sz w:val="20"/>
          <w:szCs w:val="20"/>
          <w:color w:val="auto"/>
        </w:rPr>
      </w:pPr>
      <w:r>
        <w:rPr>
          <w:rFonts w:ascii="Arial" w:cs="Arial" w:eastAsia="Arial" w:hAnsi="Arial"/>
          <w:sz w:val="18"/>
          <w:szCs w:val="18"/>
          <w:u w:val="single" w:color="auto"/>
          <w:color w:val="0000FF"/>
        </w:rPr>
        <w:t>“Term SOFR Loan” means a Loan that bears interest at a rate based on clause (a) of the definition of Term SOFR.</w:t>
      </w:r>
    </w:p>
    <w:p>
      <w:pPr>
        <w:spacing w:after="0" w:line="306" w:lineRule="exact"/>
        <w:rPr>
          <w:sz w:val="20"/>
          <w:szCs w:val="20"/>
          <w:color w:val="auto"/>
        </w:rPr>
      </w:pPr>
    </w:p>
    <w:p>
      <w:pPr>
        <w:ind w:left="840"/>
        <w:spacing w:after="0"/>
        <w:rPr>
          <w:sz w:val="20"/>
          <w:szCs w:val="20"/>
          <w:color w:val="auto"/>
        </w:rPr>
      </w:pPr>
      <w:r>
        <w:rPr>
          <w:rFonts w:ascii="Arial" w:cs="Arial" w:eastAsia="Arial" w:hAnsi="Arial"/>
          <w:sz w:val="19"/>
          <w:szCs w:val="19"/>
          <w:u w:val="single" w:color="auto"/>
          <w:color w:val="0000FF"/>
        </w:rPr>
        <w:t>“Term SOFR Replacement Date” has the meaning assigned to such term in Section 1.13(a).</w:t>
      </w:r>
    </w:p>
    <w:p>
      <w:pPr>
        <w:spacing w:after="0" w:line="28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“Term SOFR </w:t>
      </w:r>
      <w:r>
        <w:rPr>
          <w:rFonts w:ascii="Arial" w:cs="Arial" w:eastAsia="Arial" w:hAnsi="Arial"/>
          <w:sz w:val="18"/>
          <w:szCs w:val="18"/>
          <w:color w:val="0000FF"/>
        </w:rPr>
        <w:t>Screen Rate</w:t>
      </w:r>
      <w:r>
        <w:rPr>
          <w:rFonts w:ascii="Arial" w:cs="Arial" w:eastAsia="Arial" w:hAnsi="Arial"/>
          <w:sz w:val="18"/>
          <w:szCs w:val="18"/>
          <w:color w:val="auto"/>
        </w:rPr>
        <w:t xml:space="preserve">” means the forward-looking </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term rate </w:t>
      </w:r>
      <w:r>
        <w:rPr>
          <w:rFonts w:ascii="Arial" w:cs="Arial" w:eastAsia="Arial" w:hAnsi="Arial"/>
          <w:sz w:val="18"/>
          <w:szCs w:val="18"/>
          <w:color w:val="FF0000"/>
          <w:strike w:val="1"/>
        </w:rPr>
        <w:t>for any per iod that is approximately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1195070</wp:posOffset>
            </wp:positionH>
            <wp:positionV relativeFrom="paragraph">
              <wp:posOffset>-5080</wp:posOffset>
            </wp:positionV>
            <wp:extent cx="66611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8">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5" w:lineRule="exact"/>
        <w:rPr>
          <w:sz w:val="20"/>
          <w:szCs w:val="20"/>
          <w:color w:val="auto"/>
        </w:rPr>
      </w:pPr>
    </w:p>
    <w:p>
      <w:pPr>
        <w:jc w:val="both"/>
        <w:ind w:left="100" w:right="20"/>
        <w:spacing w:after="0" w:line="254" w:lineRule="auto"/>
        <w:rPr>
          <w:sz w:val="20"/>
          <w:szCs w:val="20"/>
          <w:color w:val="auto"/>
        </w:rPr>
      </w:pPr>
      <w:r>
        <w:rPr>
          <w:rFonts w:ascii="Arial" w:cs="Arial" w:eastAsia="Arial" w:hAnsi="Arial"/>
          <w:sz w:val="17"/>
          <w:szCs w:val="17"/>
          <w:color w:val="FF0000"/>
          <w:strike w:val="1"/>
        </w:rPr>
        <w:t>reasonably determined by</w:t>
      </w:r>
      <w:r>
        <w:rPr>
          <w:rFonts w:ascii="Arial" w:cs="Arial" w:eastAsia="Arial" w:hAnsi="Arial"/>
          <w:sz w:val="17"/>
          <w:szCs w:val="17"/>
          <w:u w:val="single" w:color="auto"/>
          <w:color w:val="0000FF"/>
        </w:rPr>
        <w:t>administered by CME (or any successor administrator satisfactory to</w:t>
      </w:r>
      <w:r>
        <w:rPr>
          <w:rFonts w:ascii="Arial" w:cs="Arial" w:eastAsia="Arial" w:hAnsi="Arial"/>
          <w:sz w:val="17"/>
          <w:szCs w:val="17"/>
          <w:color w:val="FF0000"/>
        </w:rPr>
        <w:t xml:space="preserve"> </w:t>
      </w:r>
      <w:r>
        <w:rPr>
          <w:rFonts w:ascii="Arial" w:cs="Arial" w:eastAsia="Arial" w:hAnsi="Arial"/>
          <w:sz w:val="17"/>
          <w:szCs w:val="17"/>
          <w:color w:val="000000"/>
        </w:rPr>
        <w:t>the Administrative Agent)</w:t>
      </w:r>
      <w:r>
        <w:rPr>
          <w:rFonts w:ascii="Arial" w:cs="Arial" w:eastAsia="Arial" w:hAnsi="Arial"/>
          <w:sz w:val="17"/>
          <w:szCs w:val="17"/>
          <w:color w:val="FF0000"/>
        </w:rPr>
        <w:t xml:space="preserve"> </w:t>
      </w:r>
      <w:r>
        <w:rPr>
          <w:rFonts w:ascii="Arial" w:cs="Arial" w:eastAsia="Arial" w:hAnsi="Arial"/>
          <w:sz w:val="17"/>
          <w:szCs w:val="17"/>
          <w:color w:val="FF0000"/>
          <w:strike w:val="1"/>
        </w:rPr>
        <w:t>as long as</w:t>
      </w:r>
      <w:r>
        <w:rPr>
          <w:rFonts w:ascii="Arial" w:cs="Arial" w:eastAsia="Arial" w:hAnsi="Arial"/>
          <w:sz w:val="17"/>
          <w:szCs w:val="17"/>
          <w:color w:val="FF0000"/>
        </w:rPr>
        <w:t xml:space="preserve"> </w:t>
      </w:r>
      <w:r>
        <w:rPr>
          <w:rFonts w:ascii="Arial" w:cs="Arial" w:eastAsia="Arial" w:hAnsi="Arial"/>
          <w:sz w:val="17"/>
          <w:szCs w:val="17"/>
          <w:color w:val="FF0000"/>
          <w:strike w:val="1"/>
        </w:rPr>
        <w:t>any of the Interest Per iod options set forth in the definition of “Interest Per iod” and that is based on SOFR and that has been selected or recommended by the Relevant Governmental Body, in each case as published on an information service as selected</w:t>
      </w:r>
      <w:r>
        <w:rPr>
          <w:rFonts w:ascii="Arial" w:cs="Arial" w:eastAsia="Arial" w:hAnsi="Arial"/>
          <w:sz w:val="17"/>
          <w:szCs w:val="17"/>
          <w:u w:val="single" w:color="auto"/>
          <w:color w:val="0000FF"/>
          <w:strike w:val="1"/>
        </w:rPr>
        <w:t>and</w:t>
      </w:r>
    </w:p>
    <w:p>
      <w:pPr>
        <w:jc w:val="both"/>
        <w:ind w:left="100"/>
        <w:spacing w:after="0" w:line="284" w:lineRule="auto"/>
        <w:rPr>
          <w:sz w:val="20"/>
          <w:szCs w:val="20"/>
          <w:color w:val="auto"/>
        </w:rPr>
      </w:pPr>
      <w:r>
        <w:rPr>
          <w:rFonts w:ascii="Arial" w:cs="Arial" w:eastAsia="Arial" w:hAnsi="Arial"/>
          <w:sz w:val="17"/>
          <w:szCs w:val="17"/>
          <w:u w:val="single" w:color="auto"/>
          <w:color w:val="0000FF"/>
        </w:rPr>
        <w:t>published on the applicable Reuters screen page (or such other commercially available source providing such quotations as may be designated</w:t>
      </w:r>
      <w:r>
        <w:rPr>
          <w:rFonts w:ascii="Arial" w:cs="Arial" w:eastAsia="Arial" w:hAnsi="Arial"/>
          <w:sz w:val="17"/>
          <w:szCs w:val="17"/>
          <w:color w:val="0000FF"/>
        </w:rPr>
        <w:t xml:space="preserve"> </w:t>
      </w:r>
      <w:r>
        <w:rPr>
          <w:rFonts w:ascii="Arial" w:cs="Arial" w:eastAsia="Arial" w:hAnsi="Arial"/>
          <w:sz w:val="17"/>
          <w:szCs w:val="17"/>
          <w:color w:val="000000"/>
        </w:rPr>
        <w:t>by the Administrative Agent from time to time</w:t>
      </w:r>
      <w:r>
        <w:rPr>
          <w:rFonts w:ascii="Arial" w:cs="Arial" w:eastAsia="Arial" w:hAnsi="Arial"/>
          <w:sz w:val="17"/>
          <w:szCs w:val="17"/>
          <w:color w:val="0000FF"/>
        </w:rPr>
        <w:t xml:space="preserve"> </w:t>
      </w:r>
      <w:r>
        <w:rPr>
          <w:rFonts w:ascii="Arial" w:cs="Arial" w:eastAsia="Arial" w:hAnsi="Arial"/>
          <w:sz w:val="17"/>
          <w:szCs w:val="17"/>
          <w:color w:val="FF0000"/>
        </w:rPr>
        <w:t>in its reasonable</w:t>
      </w:r>
      <w:r>
        <w:rPr>
          <w:rFonts w:ascii="Arial" w:cs="Arial" w:eastAsia="Arial" w:hAnsi="Arial"/>
          <w:sz w:val="17"/>
          <w:szCs w:val="17"/>
          <w:color w:val="0000FF"/>
        </w:rPr>
        <w:t xml:space="preserve"> </w:t>
      </w:r>
      <w:r>
        <w:rPr>
          <w:rFonts w:ascii="Arial" w:cs="Arial" w:eastAsia="Arial" w:hAnsi="Arial"/>
          <w:sz w:val="17"/>
          <w:szCs w:val="17"/>
          <w:color w:val="FF0000"/>
          <w:strike w:val="1"/>
        </w:rPr>
        <w:t>discretion in consultation with the Borrower</w:t>
      </w:r>
      <w:r>
        <w:rPr>
          <w:rFonts w:ascii="Arial" w:cs="Arial" w:eastAsia="Arial" w:hAnsi="Arial"/>
          <w:sz w:val="17"/>
          <w:szCs w:val="17"/>
          <w:color w:val="0000FF"/>
        </w:rPr>
        <w:t xml:space="preserve"> )</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2845435</wp:posOffset>
            </wp:positionH>
            <wp:positionV relativeFrom="paragraph">
              <wp:posOffset>-100330</wp:posOffset>
            </wp:positionV>
            <wp:extent cx="8096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3"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Date</w:t>
      </w:r>
      <w:r>
        <w:rPr>
          <w:rFonts w:ascii="Arial" w:cs="Arial" w:eastAsia="Arial" w:hAnsi="Arial"/>
          <w:sz w:val="19"/>
          <w:szCs w:val="19"/>
          <w:color w:val="auto"/>
        </w:rPr>
        <w:t xml:space="preserve">” has the meaning assigned to such term in the lead-in to </w:t>
      </w:r>
      <w:r>
        <w:rPr>
          <w:rFonts w:ascii="Arial" w:cs="Arial" w:eastAsia="Arial" w:hAnsi="Arial"/>
          <w:sz w:val="19"/>
          <w:szCs w:val="19"/>
          <w:u w:val="single" w:color="auto"/>
          <w:color w:val="auto"/>
        </w:rPr>
        <w:t>Article 5</w:t>
      </w:r>
      <w:r>
        <w:rPr>
          <w:rFonts w:ascii="Arial" w:cs="Arial" w:eastAsia="Arial" w:hAnsi="Arial"/>
          <w:sz w:val="19"/>
          <w:szCs w:val="19"/>
          <w:color w:val="auto"/>
        </w:rPr>
        <w:t>.</w:t>
      </w:r>
    </w:p>
    <w:p>
      <w:pPr>
        <w:spacing w:after="0" w:line="200" w:lineRule="exact"/>
        <w:rPr>
          <w:sz w:val="20"/>
          <w:szCs w:val="20"/>
          <w:color w:val="auto"/>
        </w:rPr>
      </w:pPr>
    </w:p>
    <w:p>
      <w:pPr>
        <w:jc w:val="both"/>
        <w:ind w:left="100" w:right="60" w:firstLine="74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Test Period</w:t>
      </w:r>
      <w:r>
        <w:rPr>
          <w:rFonts w:ascii="Arial" w:cs="Arial" w:eastAsia="Arial" w:hAnsi="Arial"/>
          <w:sz w:val="19"/>
          <w:szCs w:val="19"/>
          <w:color w:val="auto"/>
        </w:rPr>
        <w:t xml:space="preserve">” means, as of any date, the period of four consecutive Fiscal Quarters then most recently ended for which financial statements under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5.01(b)</w:t>
      </w:r>
      <w:r>
        <w:rPr>
          <w:rFonts w:ascii="Arial" w:cs="Arial" w:eastAsia="Arial" w:hAnsi="Arial"/>
          <w:sz w:val="19"/>
          <w:szCs w:val="19"/>
          <w:color w:val="auto"/>
        </w:rPr>
        <w:t>, as applicable, have been delivered (or are required to have been delivered); it being understood and agreed that prior to the first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61</w:t>
      </w:r>
      <w:r>
        <w:rPr>
          <w:rFonts w:ascii="Arial" w:cs="Arial" w:eastAsia="Arial" w:hAnsi="Arial"/>
          <w:sz w:val="18"/>
          <w:szCs w:val="18"/>
          <w:u w:val="single" w:color="auto"/>
          <w:color w:val="0000FF"/>
          <w:strike w:val="1"/>
        </w:rPr>
        <w:t>61</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85" w:right="1439" w:bottom="1440" w:gutter="0" w:footer="0" w:header="0"/>
        </w:sectPr>
      </w:pPr>
    </w:p>
    <w:bookmarkStart w:id="129" w:name="page130"/>
    <w:bookmarkEnd w:id="129"/>
    <w:p>
      <w:pPr>
        <w:ind w:left="100" w:right="39"/>
        <w:spacing w:after="0" w:line="261" w:lineRule="auto"/>
        <w:rPr>
          <w:sz w:val="20"/>
          <w:szCs w:val="20"/>
          <w:color w:val="auto"/>
        </w:rPr>
      </w:pPr>
      <w:r>
        <w:rPr>
          <w:rFonts w:ascii="Arial" w:cs="Arial" w:eastAsia="Arial" w:hAnsi="Arial"/>
          <w:sz w:val="19"/>
          <w:szCs w:val="19"/>
          <w:color w:val="auto"/>
        </w:rPr>
        <w:t xml:space="preserve">delivery (or required delivery) of financial statements under </w:t>
      </w:r>
      <w:r>
        <w:rPr>
          <w:rFonts w:ascii="Arial" w:cs="Arial" w:eastAsia="Arial" w:hAnsi="Arial"/>
          <w:sz w:val="19"/>
          <w:szCs w:val="19"/>
          <w:u w:val="single" w:color="auto"/>
          <w:color w:val="auto"/>
        </w:rPr>
        <w:t>Sections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“Test Period” means the period of four consecutive Fiscal Quarters most recently ended for which financial statements of the Borrower are available.</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Threshold Amount</w:t>
      </w:r>
      <w:r>
        <w:rPr>
          <w:rFonts w:ascii="Arial" w:cs="Arial" w:eastAsia="Arial" w:hAnsi="Arial"/>
          <w:sz w:val="19"/>
          <w:szCs w:val="19"/>
          <w:color w:val="auto"/>
        </w:rPr>
        <w:t>” means $25,000,000.</w:t>
      </w:r>
    </w:p>
    <w:p>
      <w:pPr>
        <w:spacing w:after="0" w:line="200" w:lineRule="exact"/>
        <w:rPr>
          <w:sz w:val="20"/>
          <w:szCs w:val="20"/>
          <w:color w:val="auto"/>
        </w:rPr>
      </w:pPr>
    </w:p>
    <w:p>
      <w:pPr>
        <w:jc w:val="both"/>
        <w:ind w:left="100" w:right="19"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Net Leverage Ratio</w:t>
      </w:r>
      <w:r>
        <w:rPr>
          <w:rFonts w:ascii="Arial" w:cs="Arial" w:eastAsia="Arial" w:hAnsi="Arial"/>
          <w:sz w:val="18"/>
          <w:szCs w:val="18"/>
          <w:color w:val="auto"/>
        </w:rPr>
        <w:t>” means the ratio, as of any date of determination, of (a) Consolidated Total Debt outstanding as of the last day of the most recently ended Test Period to (b) Consolidated Adjusted EBITDA for the most recently ended Test Period, in each case, of the Borrower and its Restricted Subsidiaries on a consolidated basis.</w:t>
      </w:r>
    </w:p>
    <w:p>
      <w:pPr>
        <w:spacing w:after="0" w:line="162" w:lineRule="exact"/>
        <w:rPr>
          <w:sz w:val="20"/>
          <w:szCs w:val="20"/>
          <w:color w:val="auto"/>
        </w:rPr>
      </w:pPr>
    </w:p>
    <w:p>
      <w:pPr>
        <w:ind w:left="100" w:right="9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Revolving Credit Commitment</w:t>
      </w:r>
      <w:r>
        <w:rPr>
          <w:rFonts w:ascii="Arial" w:cs="Arial" w:eastAsia="Arial" w:hAnsi="Arial"/>
          <w:sz w:val="19"/>
          <w:szCs w:val="19"/>
          <w:color w:val="auto"/>
        </w:rPr>
        <w:t>” means, at any time, the aggregate amount of the Revolving Credit Commitments, as in effect at such time.</w:t>
      </w:r>
    </w:p>
    <w:p>
      <w:pPr>
        <w:spacing w:after="0" w:line="187" w:lineRule="exact"/>
        <w:rPr>
          <w:sz w:val="20"/>
          <w:szCs w:val="20"/>
          <w:color w:val="auto"/>
        </w:rPr>
      </w:pPr>
    </w:p>
    <w:p>
      <w:pPr>
        <w:jc w:val="both"/>
        <w:ind w:left="100" w:right="59" w:firstLine="74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Trademark</w:t>
      </w:r>
      <w:r>
        <w:rPr>
          <w:rFonts w:ascii="Arial" w:cs="Arial" w:eastAsia="Arial" w:hAnsi="Arial"/>
          <w:sz w:val="17"/>
          <w:szCs w:val="17"/>
          <w:color w:val="auto"/>
        </w:rPr>
        <w:t>” means the following: (a) all trademarks (including service marks), common law marks, trade names, trade dress, and logos, slogans and other indicia of origin under the Requirements of Law of any jurisdiction in the world, and the registrations and applications for registration thereof and the goodwill of the business symbolized by the foregoing, (b) all renewals of the foregoing, (c) all income, royalties, damages, and payments now or hereafter due or payable with respect thereto, including, without limitation, damages, claims, and payments for past and future infringements thereof, (d) all rights to sue for past, present, and future infringements of the foregoing, including the right to settle suits involving claims and demands for royalties owing and</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9"/>
          <w:szCs w:val="19"/>
          <w:color w:val="auto"/>
        </w:rPr>
        <w:t>(e) all domestic rights corresponding to any of the foregoing.</w:t>
      </w:r>
    </w:p>
    <w:p>
      <w:pPr>
        <w:spacing w:after="0" w:line="184" w:lineRule="exact"/>
        <w:rPr>
          <w:sz w:val="20"/>
          <w:szCs w:val="20"/>
          <w:color w:val="auto"/>
        </w:rPr>
      </w:pPr>
    </w:p>
    <w:p>
      <w:pPr>
        <w:jc w:val="both"/>
        <w:ind w:left="100" w:right="7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Costs</w:t>
      </w:r>
      <w:r>
        <w:rPr>
          <w:rFonts w:ascii="Arial" w:cs="Arial" w:eastAsia="Arial" w:hAnsi="Arial"/>
          <w:sz w:val="19"/>
          <w:szCs w:val="19"/>
          <w:color w:val="auto"/>
        </w:rPr>
        <w:t>” means fees, premiums, expenses and other transaction costs (including original issue discount or upfront fees) payable or otherwise borne by the Borrower, any Parent Company and/or its subsidiaries in connection with the Transactions and the transactions contemplated thereby.</w:t>
      </w:r>
    </w:p>
    <w:p>
      <w:pPr>
        <w:spacing w:after="0" w:line="192" w:lineRule="exact"/>
        <w:rPr>
          <w:sz w:val="20"/>
          <w:szCs w:val="20"/>
          <w:color w:val="auto"/>
        </w:rPr>
      </w:pPr>
    </w:p>
    <w:p>
      <w:pPr>
        <w:jc w:val="both"/>
        <w:ind w:left="100" w:right="79" w:firstLine="749"/>
        <w:spacing w:after="0" w:line="2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Transactions</w:t>
      </w:r>
      <w:r>
        <w:rPr>
          <w:rFonts w:ascii="Arial" w:cs="Arial" w:eastAsia="Arial" w:hAnsi="Arial"/>
          <w:sz w:val="19"/>
          <w:szCs w:val="19"/>
          <w:color w:val="auto"/>
        </w:rPr>
        <w:t>” means, collectively, (a) the execution, delivery and performance by the Loan Parties of the Loan Documents to which they are a party and the Borrowing of Loans hereunder on the Closing Date,</w:t>
      </w:r>
    </w:p>
    <w:p>
      <w:pPr>
        <w:ind w:left="100"/>
        <w:spacing w:after="0"/>
        <w:rPr>
          <w:sz w:val="20"/>
          <w:szCs w:val="20"/>
          <w:color w:val="auto"/>
        </w:rPr>
      </w:pPr>
      <w:r>
        <w:rPr>
          <w:rFonts w:ascii="Arial" w:cs="Arial" w:eastAsia="Arial" w:hAnsi="Arial"/>
          <w:sz w:val="19"/>
          <w:szCs w:val="19"/>
          <w:color w:val="auto"/>
        </w:rPr>
        <w:t>(b) the Closing Date Refinancing, (c) the consummation of the IPO and (d) the payment of the Transaction Costs.</w:t>
      </w:r>
    </w:p>
    <w:p>
      <w:pPr>
        <w:spacing w:after="0" w:line="292" w:lineRule="exact"/>
        <w:rPr>
          <w:sz w:val="20"/>
          <w:szCs w:val="20"/>
          <w:color w:val="auto"/>
        </w:rPr>
      </w:pPr>
    </w:p>
    <w:p>
      <w:pPr>
        <w:ind w:left="840" w:right="319"/>
        <w:spacing w:after="0" w:line="40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Treasury Capital Stock</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6.04(a)(viii)</w:t>
      </w:r>
      <w:r>
        <w:rPr>
          <w:rFonts w:ascii="Arial" w:cs="Arial" w:eastAsia="Arial" w:hAnsi="Arial"/>
          <w:sz w:val="19"/>
          <w:szCs w:val="19"/>
          <w:color w:val="auto"/>
        </w:rPr>
        <w:t>. “</w:t>
      </w:r>
      <w:r>
        <w:rPr>
          <w:rFonts w:ascii="Arial" w:cs="Arial" w:eastAsia="Arial" w:hAnsi="Arial"/>
          <w:sz w:val="19"/>
          <w:szCs w:val="19"/>
          <w:u w:val="single" w:color="auto"/>
          <w:color w:val="auto"/>
        </w:rPr>
        <w:t>Treasury Regulations</w:t>
      </w:r>
      <w:r>
        <w:rPr>
          <w:rFonts w:ascii="Arial" w:cs="Arial" w:eastAsia="Arial" w:hAnsi="Arial"/>
          <w:sz w:val="19"/>
          <w:szCs w:val="19"/>
          <w:color w:val="auto"/>
        </w:rPr>
        <w:t>” means the US federal income tax regulations promulgated under the Code.</w:t>
      </w:r>
    </w:p>
    <w:p>
      <w:pPr>
        <w:spacing w:after="0" w:line="1" w:lineRule="exact"/>
        <w:rPr>
          <w:sz w:val="20"/>
          <w:szCs w:val="20"/>
          <w:color w:val="auto"/>
        </w:rPr>
      </w:pPr>
    </w:p>
    <w:p>
      <w:pPr>
        <w:jc w:val="both"/>
        <w:ind w:left="100" w:right="79" w:firstLine="749"/>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xml:space="preserve">”, when used in reference to any Loan or Borrowing, refers to whether the rate of interest on such Loan, or on the Loans comprising such Borrowing, is determined by reference to the </w:t>
      </w:r>
      <w:r>
        <w:rPr>
          <w:rFonts w:ascii="Arial" w:cs="Arial" w:eastAsia="Arial" w:hAnsi="Arial"/>
          <w:sz w:val="18"/>
          <w:szCs w:val="18"/>
          <w:color w:val="FF0000"/>
          <w:strike w:val="1"/>
        </w:rPr>
        <w:t>LIBO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or the Alternate Base Rate.</w:t>
      </w:r>
    </w:p>
    <w:p>
      <w:pPr>
        <w:spacing w:after="0" w:line="231" w:lineRule="exact"/>
        <w:rPr>
          <w:sz w:val="20"/>
          <w:szCs w:val="20"/>
          <w:color w:val="auto"/>
        </w:rPr>
      </w:pPr>
    </w:p>
    <w:p>
      <w:pPr>
        <w:jc w:val="both"/>
        <w:ind w:left="100" w:right="79" w:firstLine="749"/>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the State of New York or any other state the laws of which are required to be applied in connection with the creation or perfection of security interests.</w:t>
      </w:r>
    </w:p>
    <w:p>
      <w:pPr>
        <w:spacing w:after="0" w:line="136" w:lineRule="exact"/>
        <w:rPr>
          <w:sz w:val="20"/>
          <w:szCs w:val="20"/>
          <w:color w:val="auto"/>
        </w:rPr>
      </w:pPr>
    </w:p>
    <w:p>
      <w:pPr>
        <w:jc w:val="both"/>
        <w:ind w:left="100" w:right="59" w:firstLine="74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Financial Institution</w:t>
      </w:r>
      <w:r>
        <w:rPr>
          <w:rFonts w:ascii="Arial" w:cs="Arial" w:eastAsia="Arial" w:hAnsi="Arial"/>
          <w:sz w:val="17"/>
          <w:szCs w:val="17"/>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53" w:lineRule="exact"/>
        <w:rPr>
          <w:sz w:val="20"/>
          <w:szCs w:val="20"/>
          <w:color w:val="auto"/>
        </w:rPr>
      </w:pPr>
    </w:p>
    <w:p>
      <w:pPr>
        <w:ind w:left="100" w:right="7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Resolution Authority</w:t>
      </w:r>
      <w:r>
        <w:rPr>
          <w:rFonts w:ascii="Arial" w:cs="Arial" w:eastAsia="Arial" w:hAnsi="Arial"/>
          <w:sz w:val="19"/>
          <w:szCs w:val="19"/>
          <w:color w:val="auto"/>
        </w:rPr>
        <w:t>” means the Bank of England or any other public administrative authority having responsibility for the resolution of any UK Financial Institution.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62</w:t>
      </w:r>
      <w:r>
        <w:rPr>
          <w:rFonts w:ascii="Arial" w:cs="Arial" w:eastAsia="Arial" w:hAnsi="Arial"/>
          <w:sz w:val="18"/>
          <w:szCs w:val="18"/>
          <w:u w:val="single" w:color="auto"/>
          <w:color w:val="0000FF"/>
          <w:strike w:val="1"/>
        </w:rPr>
        <w:t>62</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30" w:name="page131"/>
    <w:bookmarkEnd w:id="130"/>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Unrestricted Cash Amount</w:t>
      </w:r>
      <w:r>
        <w:rPr>
          <w:rFonts w:ascii="Arial" w:cs="Arial" w:eastAsia="Arial" w:hAnsi="Arial"/>
          <w:sz w:val="19"/>
          <w:szCs w:val="19"/>
          <w:color w:val="auto"/>
        </w:rPr>
        <w:t>” means, as to any Person on any date of determination, the amount of</w:t>
      </w:r>
    </w:p>
    <w:p>
      <w:pPr>
        <w:spacing w:after="0" w:line="14" w:lineRule="exact"/>
        <w:rPr>
          <w:sz w:val="20"/>
          <w:szCs w:val="20"/>
          <w:color w:val="auto"/>
        </w:rPr>
      </w:pPr>
    </w:p>
    <w:p>
      <w:pPr>
        <w:jc w:val="both"/>
        <w:ind w:left="100" w:right="59" w:hanging="7"/>
        <w:spacing w:after="0" w:line="274" w:lineRule="auto"/>
        <w:tabs>
          <w:tab w:leader="none" w:pos="395"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unrestricted Cash and Cash Equivalents of such Person and (b) Cash and Cash Equivalents of such Person that are restricted in favor of the Credit Facilities and/or other permitted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or junior secured Indebtedness (which may also include Cash and Cash Equivalents securing other Indebtedness that is secured by a Lien on Collateral along with the Credit Facilities and and/or other permitted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or junior secured indebtedness), in each case, (x) whether or not held in a pledged account and (y) calculated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Unrestricted Cash Amount shall not exceed $100,000,000.</w:t>
      </w:r>
    </w:p>
    <w:p>
      <w:pPr>
        <w:spacing w:after="0" w:line="164" w:lineRule="exact"/>
        <w:rPr>
          <w:sz w:val="20"/>
          <w:szCs w:val="20"/>
          <w:color w:val="auto"/>
        </w:rPr>
      </w:pPr>
    </w:p>
    <w:p>
      <w:pPr>
        <w:jc w:val="both"/>
        <w:ind w:left="100" w:right="59" w:firstLine="74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Unrestricted Subsidiary</w:t>
      </w:r>
      <w:r>
        <w:rPr>
          <w:rFonts w:ascii="Arial" w:cs="Arial" w:eastAsia="Arial" w:hAnsi="Arial"/>
          <w:sz w:val="19"/>
          <w:szCs w:val="19"/>
          <w:color w:val="auto"/>
        </w:rPr>
        <w:t xml:space="preserve">” means (a) any subsidiary of the Borrower that is listed on </w:t>
      </w:r>
      <w:r>
        <w:rPr>
          <w:rFonts w:ascii="Arial" w:cs="Arial" w:eastAsia="Arial" w:hAnsi="Arial"/>
          <w:sz w:val="19"/>
          <w:szCs w:val="19"/>
          <w:u w:val="single" w:color="auto"/>
          <w:color w:val="auto"/>
        </w:rPr>
        <w:t>Schedule 5.10</w:t>
      </w:r>
      <w:r>
        <w:rPr>
          <w:rFonts w:ascii="Arial" w:cs="Arial" w:eastAsia="Arial" w:hAnsi="Arial"/>
          <w:sz w:val="19"/>
          <w:szCs w:val="19"/>
          <w:color w:val="auto"/>
        </w:rPr>
        <w:t xml:space="preserve"> hereto or designated by the Borrower as an Unrestricted Subsidiary after the Closing Date pursuant to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and (b) each subsidiary of any Person described in the preceding </w:t>
      </w:r>
      <w:r>
        <w:rPr>
          <w:rFonts w:ascii="Arial" w:cs="Arial" w:eastAsia="Arial" w:hAnsi="Arial"/>
          <w:sz w:val="19"/>
          <w:szCs w:val="19"/>
          <w:u w:val="single" w:color="auto"/>
          <w:color w:val="auto"/>
        </w:rPr>
        <w:t>clause (a)</w:t>
      </w:r>
      <w:r>
        <w:rPr>
          <w:rFonts w:ascii="Arial" w:cs="Arial" w:eastAsia="Arial" w:hAnsi="Arial"/>
          <w:sz w:val="19"/>
          <w:szCs w:val="19"/>
          <w:color w:val="auto"/>
        </w:rPr>
        <w:t>.</w:t>
      </w:r>
    </w:p>
    <w:p>
      <w:pPr>
        <w:spacing w:after="0" w:line="179"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u w:val="single" w:color="auto"/>
          <w:color w:val="0000FF"/>
        </w:rPr>
        <w:t>“U.S. Government Secur ities Business Day” means any Business Day, except any Business Day on which any of the Secur 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261"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w:t>
      </w:r>
      <w:r>
        <w:rPr>
          <w:rFonts w:ascii="Arial" w:cs="Arial" w:eastAsia="Arial" w:hAnsi="Arial"/>
          <w:sz w:val="19"/>
          <w:szCs w:val="19"/>
          <w:color w:val="auto"/>
        </w:rPr>
        <w:t>” means the United States of America.</w:t>
      </w:r>
    </w:p>
    <w:p>
      <w:pPr>
        <w:spacing w:after="0" w:line="2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Special Resolution Regimes</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9.26</w:t>
      </w:r>
      <w:r>
        <w:rPr>
          <w:rFonts w:ascii="Arial" w:cs="Arial" w:eastAsia="Arial" w:hAnsi="Arial"/>
          <w:sz w:val="19"/>
          <w:szCs w:val="19"/>
          <w:color w:val="auto"/>
        </w:rPr>
        <w:t>.</w:t>
      </w:r>
    </w:p>
    <w:p>
      <w:pPr>
        <w:spacing w:after="0" w:line="200" w:lineRule="exact"/>
        <w:rPr>
          <w:sz w:val="20"/>
          <w:szCs w:val="20"/>
          <w:color w:val="auto"/>
        </w:rPr>
      </w:pPr>
    </w:p>
    <w:p>
      <w:pPr>
        <w:jc w:val="both"/>
        <w:ind w:left="100" w:right="59"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USA PATRIOT Act</w:t>
      </w:r>
      <w:r>
        <w:rPr>
          <w:rFonts w:ascii="Arial" w:cs="Arial" w:eastAsia="Arial" w:hAnsi="Arial"/>
          <w:sz w:val="19"/>
          <w:szCs w:val="19"/>
          <w:color w:val="auto"/>
        </w:rPr>
        <w:t>” means The Uniting and Strengthening America by Providing Appropriate Tools Required to Intercept and Obstruct Terrorism Act of 2001 (Title III of Pub. L. No. 107-56 (signed into law October 26, 2001)).</w:t>
      </w:r>
    </w:p>
    <w:p>
      <w:pPr>
        <w:spacing w:after="0" w:line="187" w:lineRule="exact"/>
        <w:rPr>
          <w:sz w:val="20"/>
          <w:szCs w:val="20"/>
          <w:color w:val="auto"/>
        </w:rPr>
      </w:pPr>
    </w:p>
    <w:p>
      <w:pPr>
        <w:jc w:val="both"/>
        <w:ind w:left="100" w:right="59" w:firstLine="749"/>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Life to Maturity</w:t>
      </w:r>
      <w:r>
        <w:rPr>
          <w:rFonts w:ascii="Arial" w:cs="Arial" w:eastAsia="Arial" w:hAnsi="Arial"/>
          <w:sz w:val="18"/>
          <w:szCs w:val="18"/>
          <w:color w:val="auto"/>
        </w:rPr>
        <w:t xml:space="preserve">” means, when applied to any Indebtedness at any date, the number of years obtained by </w:t>
      </w:r>
      <w:r>
        <w:rPr>
          <w:rFonts w:ascii="Arial" w:cs="Arial" w:eastAsia="Arial" w:hAnsi="Arial"/>
          <w:sz w:val="18"/>
          <w:szCs w:val="18"/>
          <w:u w:val="single" w:color="auto"/>
          <w:color w:val="auto"/>
        </w:rPr>
        <w:t>dividing</w:t>
      </w:r>
      <w:r>
        <w:rPr>
          <w:rFonts w:ascii="Arial" w:cs="Arial" w:eastAsia="Arial" w:hAnsi="Arial"/>
          <w:sz w:val="18"/>
          <w:szCs w:val="18"/>
          <w:color w:val="auto"/>
        </w:rPr>
        <w:t xml:space="preserve">: (a) the sum of the products obtained by </w:t>
      </w:r>
      <w:r>
        <w:rPr>
          <w:rFonts w:ascii="Arial" w:cs="Arial" w:eastAsia="Arial" w:hAnsi="Arial"/>
          <w:sz w:val="18"/>
          <w:szCs w:val="18"/>
          <w:u w:val="single" w:color="auto"/>
          <w:color w:val="auto"/>
        </w:rPr>
        <w:t>multiplying</w:t>
      </w:r>
      <w:r>
        <w:rPr>
          <w:rFonts w:ascii="Arial" w:cs="Arial" w:eastAsia="Arial" w:hAnsi="Arial"/>
          <w:sz w:val="18"/>
          <w:szCs w:val="18"/>
          <w:color w:val="auto"/>
        </w:rPr>
        <w:t xml:space="preserve"> (i) the amount of each then remaining installment, sinking fund, serial maturity or other required scheduled payments of principal, including payment at final maturity, in respect thereof, by (ii) the number of years (calculated to the nearest one-twelfth) that will elapse between such date and the making of such payment; by (b) the then outstanding principal amount of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effects of any prepayment made in respect of such Indebtedness shall be disregarded in making such calculation.</w:t>
      </w:r>
    </w:p>
    <w:p>
      <w:pPr>
        <w:spacing w:after="0" w:line="190"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Wholly-Owned Subsidiary</w:t>
      </w:r>
      <w:r>
        <w:rPr>
          <w:rFonts w:ascii="Arial" w:cs="Arial" w:eastAsia="Arial" w:hAnsi="Arial"/>
          <w:sz w:val="19"/>
          <w:szCs w:val="19"/>
          <w:color w:val="auto"/>
        </w:rPr>
        <w:t>” of any Person means a subsidiary of such Person, 100% of the Capital Stock of which (other than directors’ qualifying shares or shares required by Requirements of Law to be owned by a resident of the relevant jurisdiction) is owned by such Person or by one or more Wholly-Owned Subsidiaries of such Person.</w:t>
      </w:r>
    </w:p>
    <w:p>
      <w:pPr>
        <w:spacing w:after="0" w:line="192" w:lineRule="exact"/>
        <w:rPr>
          <w:sz w:val="20"/>
          <w:szCs w:val="20"/>
          <w:color w:val="auto"/>
        </w:rPr>
      </w:pPr>
    </w:p>
    <w:p>
      <w:pPr>
        <w:jc w:val="both"/>
        <w:ind w:left="100" w:right="79" w:firstLine="749"/>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Withdrawal Liability</w:t>
      </w:r>
      <w:r>
        <w:rPr>
          <w:rFonts w:ascii="Arial" w:cs="Arial" w:eastAsia="Arial" w:hAnsi="Arial"/>
          <w:sz w:val="19"/>
          <w:szCs w:val="19"/>
          <w:color w:val="auto"/>
        </w:rPr>
        <w:t>” means the liability to any Multiemployer Plan as the result of a “complete” or “partial” withdrawal by Holdings, the Borrower or any Restricted Subsidiary or any ERISA Affiliate from such Multiemployer Plan, as such terms are defined in Part I of Subtitle E of Title IV of ERISA.</w:t>
      </w:r>
    </w:p>
    <w:p>
      <w:pPr>
        <w:spacing w:after="0" w:line="179" w:lineRule="exact"/>
        <w:rPr>
          <w:sz w:val="20"/>
          <w:szCs w:val="20"/>
          <w:color w:val="auto"/>
        </w:rPr>
      </w:pPr>
    </w:p>
    <w:p>
      <w:pPr>
        <w:jc w:val="both"/>
        <w:ind w:left="100" w:right="59" w:firstLine="749"/>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63</w:t>
      </w:r>
      <w:r>
        <w:rPr>
          <w:rFonts w:ascii="Arial" w:cs="Arial" w:eastAsia="Arial" w:hAnsi="Arial"/>
          <w:sz w:val="18"/>
          <w:szCs w:val="18"/>
          <w:u w:val="single" w:color="auto"/>
          <w:color w:val="0000FF"/>
          <w:strike w:val="1"/>
        </w:rPr>
        <w:t>63</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31" w:name="page132"/>
    <w:bookmarkEnd w:id="131"/>
    <w:p>
      <w:pPr>
        <w:ind w:left="100" w:right="159"/>
        <w:spacing w:after="0" w:line="261" w:lineRule="auto"/>
        <w:rPr>
          <w:sz w:val="20"/>
          <w:szCs w:val="20"/>
          <w:color w:val="auto"/>
        </w:rPr>
      </w:pPr>
      <w:r>
        <w:rPr>
          <w:rFonts w:ascii="Arial" w:cs="Arial" w:eastAsia="Arial" w:hAnsi="Arial"/>
          <w:sz w:val="19"/>
          <w:szCs w:val="19"/>
          <w:color w:val="auto"/>
        </w:rPr>
        <w:t>suspend any obligation in respect of that liability or any of the powers under that Bail-In Legislation that are related to or ancillary to any of those powers.</w:t>
      </w:r>
    </w:p>
    <w:p>
      <w:pPr>
        <w:spacing w:after="0" w:line="159" w:lineRule="exact"/>
        <w:rPr>
          <w:sz w:val="20"/>
          <w:szCs w:val="20"/>
          <w:color w:val="auto"/>
        </w:rPr>
      </w:pPr>
    </w:p>
    <w:p>
      <w:pPr>
        <w:ind w:left="100" w:right="179" w:firstLine="749"/>
        <w:spacing w:after="0" w:line="272"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Classification of Loans and Borrowings</w:t>
      </w:r>
      <w:r>
        <w:rPr>
          <w:rFonts w:ascii="Arial" w:cs="Arial" w:eastAsia="Arial" w:hAnsi="Arial"/>
          <w:sz w:val="17"/>
          <w:szCs w:val="17"/>
          <w:color w:val="auto"/>
        </w:rPr>
        <w:t>. For purposes of this Agreement, Loans may be classified and referred to by Class (</w:t>
      </w:r>
      <w:r>
        <w:rPr>
          <w:rFonts w:ascii="Arial" w:cs="Arial" w:eastAsia="Arial" w:hAnsi="Arial"/>
          <w:sz w:val="17"/>
          <w:szCs w:val="17"/>
          <w:i w:val="1"/>
          <w:iCs w:val="1"/>
          <w:color w:val="auto"/>
        </w:rPr>
        <w:t>e.g</w:t>
      </w:r>
      <w:r>
        <w:rPr>
          <w:rFonts w:ascii="Arial" w:cs="Arial" w:eastAsia="Arial" w:hAnsi="Arial"/>
          <w:sz w:val="17"/>
          <w:szCs w:val="17"/>
          <w:color w:val="auto"/>
        </w:rPr>
        <w:t>., a “Term Loan”) or by Type (</w:t>
      </w:r>
      <w:r>
        <w:rPr>
          <w:rFonts w:ascii="Arial" w:cs="Arial" w:eastAsia="Arial" w:hAnsi="Arial"/>
          <w:sz w:val="17"/>
          <w:szCs w:val="17"/>
          <w:i w:val="1"/>
          <w:iCs w:val="1"/>
          <w:color w:val="auto"/>
        </w:rPr>
        <w:t>e.g</w:t>
      </w:r>
      <w:r>
        <w:rPr>
          <w:rFonts w:ascii="Arial" w:cs="Arial" w:eastAsia="Arial" w:hAnsi="Arial"/>
          <w:sz w:val="17"/>
          <w:szCs w:val="17"/>
          <w:color w:val="auto"/>
        </w:rPr>
        <w:t>., a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 or by Class and Type (</w:t>
      </w:r>
      <w:r>
        <w:rPr>
          <w:rFonts w:ascii="Arial" w:cs="Arial" w:eastAsia="Arial" w:hAnsi="Arial"/>
          <w:sz w:val="17"/>
          <w:szCs w:val="17"/>
          <w:i w:val="1"/>
          <w:iCs w:val="1"/>
          <w:color w:val="auto"/>
        </w:rPr>
        <w:t>e.g.</w:t>
      </w:r>
      <w:r>
        <w:rPr>
          <w:rFonts w:ascii="Arial" w:cs="Arial" w:eastAsia="Arial" w:hAnsi="Arial"/>
          <w:sz w:val="17"/>
          <w:szCs w:val="17"/>
          <w:color w:val="auto"/>
        </w:rPr>
        <w:t>, a “</w:t>
      </w:r>
      <w:r>
        <w:rPr>
          <w:rFonts w:ascii="Arial" w:cs="Arial" w:eastAsia="Arial" w:hAnsi="Arial"/>
          <w:sz w:val="17"/>
          <w:szCs w:val="17"/>
          <w:color w:val="FF0000"/>
          <w:strike w:val="1"/>
        </w:rPr>
        <w:t>LIBO</w:t>
      </w:r>
      <w:r>
        <w:rPr>
          <w:rFonts w:ascii="Arial" w:cs="Arial" w:eastAsia="Arial" w:hAnsi="Arial"/>
          <w:sz w:val="17"/>
          <w:szCs w:val="17"/>
          <w:color w:val="auto"/>
        </w:rPr>
        <w:t xml:space="preserve"> </w:t>
      </w:r>
      <w:r>
        <w:rPr>
          <w:rFonts w:ascii="Arial" w:cs="Arial" w:eastAsia="Arial" w:hAnsi="Arial"/>
          <w:sz w:val="17"/>
          <w:szCs w:val="17"/>
          <w:color w:val="FF0000"/>
          <w:strike w:val="1"/>
        </w:rPr>
        <w:t>Rate</w:t>
      </w:r>
      <w:r>
        <w:rPr>
          <w:rFonts w:ascii="Arial" w:cs="Arial" w:eastAsia="Arial" w:hAnsi="Arial"/>
          <w:sz w:val="17"/>
          <w:szCs w:val="17"/>
          <w:u w:val="single" w:color="auto"/>
          <w:color w:val="0000FF"/>
        </w:rPr>
        <w:t>Term SOFR</w:t>
      </w:r>
      <w:r>
        <w:rPr>
          <w:rFonts w:ascii="Arial" w:cs="Arial" w:eastAsia="Arial" w:hAnsi="Arial"/>
          <w:sz w:val="17"/>
          <w:szCs w:val="17"/>
          <w:color w:val="FF0000"/>
        </w:rPr>
        <w:t xml:space="preserve"> </w:t>
      </w:r>
      <w:r>
        <w:rPr>
          <w:rFonts w:ascii="Arial" w:cs="Arial" w:eastAsia="Arial" w:hAnsi="Arial"/>
          <w:sz w:val="17"/>
          <w:szCs w:val="17"/>
          <w:color w:val="000000"/>
        </w:rPr>
        <w:t>Term Loan”). Borrowings also may be classified and referred to by Class (</w:t>
      </w:r>
      <w:r>
        <w:rPr>
          <w:rFonts w:ascii="Arial" w:cs="Arial" w:eastAsia="Arial" w:hAnsi="Arial"/>
          <w:sz w:val="17"/>
          <w:szCs w:val="17"/>
          <w:i w:val="1"/>
          <w:iCs w:val="1"/>
          <w:color w:val="000000"/>
        </w:rPr>
        <w:t>e.g.</w:t>
      </w:r>
      <w:r>
        <w:rPr>
          <w:rFonts w:ascii="Arial" w:cs="Arial" w:eastAsia="Arial" w:hAnsi="Arial"/>
          <w:sz w:val="17"/>
          <w:szCs w:val="17"/>
          <w:color w:val="000000"/>
        </w:rPr>
        <w:t>, a “Term Loan Borrowing”) or by</w:t>
      </w:r>
      <w:r>
        <w:rPr>
          <w:rFonts w:ascii="Arial" w:cs="Arial" w:eastAsia="Arial" w:hAnsi="Arial"/>
          <w:sz w:val="17"/>
          <w:szCs w:val="17"/>
          <w:color w:val="FF0000"/>
        </w:rPr>
        <w:t xml:space="preserve"> </w:t>
      </w:r>
      <w:r>
        <w:rPr>
          <w:rFonts w:ascii="Arial" w:cs="Arial" w:eastAsia="Arial" w:hAnsi="Arial"/>
          <w:sz w:val="17"/>
          <w:szCs w:val="17"/>
          <w:color w:val="000000"/>
        </w:rPr>
        <w:t>Type (</w:t>
      </w:r>
      <w:r>
        <w:rPr>
          <w:rFonts w:ascii="Arial" w:cs="Arial" w:eastAsia="Arial" w:hAnsi="Arial"/>
          <w:sz w:val="17"/>
          <w:szCs w:val="17"/>
          <w:i w:val="1"/>
          <w:iCs w:val="1"/>
          <w:color w:val="000000"/>
        </w:rPr>
        <w:t>e.g</w:t>
      </w:r>
      <w:r>
        <w:rPr>
          <w:rFonts w:ascii="Arial" w:cs="Arial" w:eastAsia="Arial" w:hAnsi="Arial"/>
          <w:sz w:val="17"/>
          <w:szCs w:val="17"/>
          <w:color w:val="000000"/>
        </w:rPr>
        <w:t>., a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 SOFR</w:t>
      </w:r>
      <w:r>
        <w:rPr>
          <w:rFonts w:ascii="Arial" w:cs="Arial" w:eastAsia="Arial" w:hAnsi="Arial"/>
          <w:sz w:val="17"/>
          <w:szCs w:val="17"/>
          <w:color w:val="000000"/>
        </w:rPr>
        <w:t xml:space="preserve"> Borrowing”) or by Class and Type (</w:t>
      </w:r>
      <w:r>
        <w:rPr>
          <w:rFonts w:ascii="Arial" w:cs="Arial" w:eastAsia="Arial" w:hAnsi="Arial"/>
          <w:sz w:val="17"/>
          <w:szCs w:val="17"/>
          <w:i w:val="1"/>
          <w:iCs w:val="1"/>
          <w:color w:val="000000"/>
        </w:rPr>
        <w:t>e.g.</w:t>
      </w:r>
      <w:r>
        <w:rPr>
          <w:rFonts w:ascii="Arial" w:cs="Arial" w:eastAsia="Arial" w:hAnsi="Arial"/>
          <w:sz w:val="17"/>
          <w:szCs w:val="17"/>
          <w:color w:val="000000"/>
        </w:rPr>
        <w:t>, a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 SOFR</w:t>
      </w:r>
      <w:r>
        <w:rPr>
          <w:rFonts w:ascii="Arial" w:cs="Arial" w:eastAsia="Arial" w:hAnsi="Arial"/>
          <w:sz w:val="17"/>
          <w:szCs w:val="17"/>
          <w:color w:val="000000"/>
        </w:rPr>
        <w:t xml:space="preserve"> Term Loan Borrowing”).</w:t>
      </w:r>
    </w:p>
    <w:p>
      <w:pPr>
        <w:spacing w:after="0" w:line="234" w:lineRule="exact"/>
        <w:rPr>
          <w:sz w:val="20"/>
          <w:szCs w:val="20"/>
          <w:color w:val="auto"/>
        </w:rPr>
      </w:pPr>
    </w:p>
    <w:p>
      <w:pPr>
        <w:ind w:left="100" w:right="499" w:firstLine="749"/>
        <w:spacing w:after="0" w:line="261"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Terms Generally</w:t>
      </w:r>
      <w:r>
        <w:rPr>
          <w:rFonts w:ascii="Arial" w:cs="Arial" w:eastAsia="Arial" w:hAnsi="Arial"/>
          <w:sz w:val="19"/>
          <w:szCs w:val="19"/>
          <w:color w:val="auto"/>
        </w:rPr>
        <w:t>. With reference to this Agreement and each other Loan Document, unless otherwise specified herein or in such other Loan Document:</w:t>
      </w:r>
    </w:p>
    <w:p>
      <w:pPr>
        <w:spacing w:after="0" w:line="159" w:lineRule="exact"/>
        <w:rPr>
          <w:sz w:val="20"/>
          <w:szCs w:val="20"/>
          <w:color w:val="auto"/>
        </w:rPr>
      </w:pPr>
    </w:p>
    <w:p>
      <w:pPr>
        <w:ind w:left="1520" w:hanging="679"/>
        <w:spacing w:after="0"/>
        <w:tabs>
          <w:tab w:leader="none" w:pos="1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definitions of terms herein shall apply equally to the singular and plural forms of the terms defined.</w:t>
      </w:r>
    </w:p>
    <w:p>
      <w:pPr>
        <w:spacing w:after="0" w:line="225" w:lineRule="exact"/>
        <w:rPr>
          <w:rFonts w:ascii="Arial" w:cs="Arial" w:eastAsia="Arial" w:hAnsi="Arial"/>
          <w:sz w:val="18"/>
          <w:szCs w:val="18"/>
          <w:color w:val="auto"/>
        </w:rPr>
      </w:pPr>
    </w:p>
    <w:p>
      <w:pPr>
        <w:ind w:left="1520" w:hanging="679"/>
        <w:spacing w:after="0"/>
        <w:tabs>
          <w:tab w:leader="none" w:pos="15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Whenever the context may require, any pronoun shall include the corresponding masculine, feminine and neuter</w:t>
      </w:r>
    </w:p>
    <w:p>
      <w:pPr>
        <w:spacing w:after="0" w:line="37" w:lineRule="exact"/>
        <w:rPr>
          <w:sz w:val="20"/>
          <w:szCs w:val="20"/>
          <w:color w:val="auto"/>
        </w:rPr>
      </w:pPr>
    </w:p>
    <w:p>
      <w:pPr>
        <w:ind w:left="100"/>
        <w:spacing w:after="0"/>
        <w:rPr>
          <w:sz w:val="20"/>
          <w:szCs w:val="20"/>
          <w:color w:val="auto"/>
        </w:rPr>
      </w:pPr>
      <w:r>
        <w:rPr>
          <w:rFonts w:ascii="Arial" w:cs="Arial" w:eastAsia="Arial" w:hAnsi="Arial"/>
          <w:sz w:val="19"/>
          <w:szCs w:val="19"/>
          <w:color w:val="auto"/>
        </w:rPr>
        <w:t>forms.</w:t>
      </w:r>
    </w:p>
    <w:p>
      <w:pPr>
        <w:spacing w:after="0" w:line="198" w:lineRule="exact"/>
        <w:rPr>
          <w:sz w:val="20"/>
          <w:szCs w:val="20"/>
          <w:color w:val="auto"/>
        </w:rPr>
      </w:pPr>
    </w:p>
    <w:p>
      <w:pPr>
        <w:ind w:left="1500" w:hanging="658"/>
        <w:spacing w:after="0"/>
        <w:tabs>
          <w:tab w:leader="none" w:pos="1500"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words “include,” “includes” and “including” shall be deemed to be followed by the phrase “without</w:t>
      </w:r>
    </w:p>
    <w:p>
      <w:pPr>
        <w:spacing w:after="0" w:line="13"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19"/>
          <w:szCs w:val="19"/>
          <w:color w:val="auto"/>
        </w:rPr>
        <w:t>limitation.”</w:t>
      </w:r>
    </w:p>
    <w:p>
      <w:pPr>
        <w:spacing w:after="0" w:line="197" w:lineRule="exact"/>
        <w:rPr>
          <w:rFonts w:ascii="Arial" w:cs="Arial" w:eastAsia="Arial" w:hAnsi="Arial"/>
          <w:sz w:val="19"/>
          <w:szCs w:val="19"/>
          <w:color w:val="auto"/>
        </w:rPr>
      </w:pPr>
    </w:p>
    <w:p>
      <w:pPr>
        <w:ind w:left="1600" w:hanging="758"/>
        <w:spacing w:after="0"/>
        <w:tabs>
          <w:tab w:leader="none" w:pos="1600"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word “will” shall be construed to have the same meaning and effect as the word “shall.”</w:t>
      </w:r>
    </w:p>
    <w:p>
      <w:pPr>
        <w:spacing w:after="0" w:line="213" w:lineRule="exact"/>
        <w:rPr>
          <w:rFonts w:ascii="Arial" w:cs="Arial" w:eastAsia="Arial" w:hAnsi="Arial"/>
          <w:sz w:val="19"/>
          <w:szCs w:val="19"/>
          <w:color w:val="auto"/>
        </w:rPr>
      </w:pPr>
    </w:p>
    <w:p>
      <w:pPr>
        <w:ind w:left="100" w:right="159" w:firstLine="741"/>
        <w:spacing w:after="0" w:line="289" w:lineRule="auto"/>
        <w:tabs>
          <w:tab w:leader="none" w:pos="1519"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words “herein,” “hereof” and “hereunder,” and words of similar import, when used in any Loan Document, shall be construed to refer to such Loan Document in its entirety and not to any particular provision hereof.</w:t>
      </w:r>
    </w:p>
    <w:p>
      <w:pPr>
        <w:spacing w:after="0" w:line="163" w:lineRule="exact"/>
        <w:rPr>
          <w:rFonts w:ascii="Arial" w:cs="Arial" w:eastAsia="Arial" w:hAnsi="Arial"/>
          <w:sz w:val="18"/>
          <w:szCs w:val="18"/>
          <w:color w:val="auto"/>
        </w:rPr>
      </w:pPr>
    </w:p>
    <w:p>
      <w:pPr>
        <w:jc w:val="both"/>
        <w:ind w:left="100" w:right="59" w:firstLine="741"/>
        <w:spacing w:after="0" w:line="243" w:lineRule="auto"/>
        <w:tabs>
          <w:tab w:leader="none" w:pos="1519" w:val="left"/>
        </w:tabs>
        <w:numPr>
          <w:ilvl w:val="0"/>
          <w:numId w:val="95"/>
        </w:numPr>
        <w:rPr>
          <w:rFonts w:ascii="Arial" w:cs="Arial" w:eastAsia="Arial" w:hAnsi="Arial"/>
          <w:sz w:val="19"/>
          <w:szCs w:val="19"/>
          <w:color w:val="auto"/>
        </w:rPr>
      </w:pPr>
      <w:r>
        <w:rPr>
          <w:rFonts w:ascii="Arial" w:cs="Arial" w:eastAsia="Arial" w:hAnsi="Arial"/>
          <w:sz w:val="19"/>
          <w:szCs w:val="19"/>
          <w:color w:val="auto"/>
        </w:rPr>
        <w:t>Any definition of or reference to any agreement, instrument or other document herein or in any Loan Document shall be construed as referring to such agreement, instrument or other document as from time to time amended, restated, amended and restated, supplemented or otherwise modified or extended, replaced or refinanced (subject to any restrictions or qualifications on such amendments, restatements, amendment and restatements, supplements or modifications or extensions, replacements or refinancings set forth herein).</w:t>
      </w:r>
    </w:p>
    <w:p>
      <w:pPr>
        <w:spacing w:after="0" w:line="189" w:lineRule="exact"/>
        <w:rPr>
          <w:rFonts w:ascii="Arial" w:cs="Arial" w:eastAsia="Arial" w:hAnsi="Arial"/>
          <w:sz w:val="19"/>
          <w:szCs w:val="19"/>
          <w:color w:val="auto"/>
        </w:rPr>
      </w:pPr>
    </w:p>
    <w:p>
      <w:pPr>
        <w:ind w:left="100" w:right="59" w:firstLine="741"/>
        <w:spacing w:after="0" w:line="261" w:lineRule="auto"/>
        <w:tabs>
          <w:tab w:leader="none" w:pos="1520" w:val="left"/>
        </w:tabs>
        <w:numPr>
          <w:ilvl w:val="0"/>
          <w:numId w:val="95"/>
        </w:numPr>
        <w:rPr>
          <w:rFonts w:ascii="Arial" w:cs="Arial" w:eastAsia="Arial" w:hAnsi="Arial"/>
          <w:sz w:val="19"/>
          <w:szCs w:val="19"/>
          <w:color w:val="auto"/>
        </w:rPr>
      </w:pPr>
      <w:r>
        <w:rPr>
          <w:rFonts w:ascii="Arial" w:cs="Arial" w:eastAsia="Arial" w:hAnsi="Arial"/>
          <w:sz w:val="19"/>
          <w:szCs w:val="19"/>
          <w:color w:val="auto"/>
        </w:rPr>
        <w:t>Any reference to any Requirement of Law in any Loan Document shall include all statutory and regulatory provisions consolidating, amending, replacing, supplementing or interpreting such Requirement of Law.</w:t>
      </w:r>
    </w:p>
    <w:p>
      <w:pPr>
        <w:spacing w:after="0" w:line="172" w:lineRule="exact"/>
        <w:rPr>
          <w:rFonts w:ascii="Arial" w:cs="Arial" w:eastAsia="Arial" w:hAnsi="Arial"/>
          <w:sz w:val="19"/>
          <w:szCs w:val="19"/>
          <w:color w:val="auto"/>
        </w:rPr>
      </w:pPr>
    </w:p>
    <w:p>
      <w:pPr>
        <w:ind w:left="100" w:right="59" w:firstLine="741"/>
        <w:spacing w:after="0" w:line="261" w:lineRule="auto"/>
        <w:tabs>
          <w:tab w:leader="none" w:pos="1520" w:val="left"/>
        </w:tabs>
        <w:numPr>
          <w:ilvl w:val="0"/>
          <w:numId w:val="95"/>
        </w:numPr>
        <w:rPr>
          <w:rFonts w:ascii="Arial" w:cs="Arial" w:eastAsia="Arial" w:hAnsi="Arial"/>
          <w:sz w:val="19"/>
          <w:szCs w:val="19"/>
          <w:color w:val="auto"/>
        </w:rPr>
      </w:pPr>
      <w:r>
        <w:rPr>
          <w:rFonts w:ascii="Arial" w:cs="Arial" w:eastAsia="Arial" w:hAnsi="Arial"/>
          <w:sz w:val="19"/>
          <w:szCs w:val="19"/>
          <w:color w:val="auto"/>
        </w:rPr>
        <w:t>Any reference herein or in any Loan Document to any Person shall be construed to include such Person’s successors and permitted assigns.</w:t>
      </w:r>
    </w:p>
    <w:p>
      <w:pPr>
        <w:spacing w:after="0" w:line="172" w:lineRule="exact"/>
        <w:rPr>
          <w:rFonts w:ascii="Arial" w:cs="Arial" w:eastAsia="Arial" w:hAnsi="Arial"/>
          <w:sz w:val="19"/>
          <w:szCs w:val="19"/>
          <w:color w:val="auto"/>
        </w:rPr>
      </w:pPr>
    </w:p>
    <w:p>
      <w:pPr>
        <w:jc w:val="both"/>
        <w:ind w:left="100" w:right="59" w:firstLine="741"/>
        <w:spacing w:after="0" w:line="249" w:lineRule="auto"/>
        <w:tabs>
          <w:tab w:leader="none" w:pos="1520" w:val="left"/>
        </w:tabs>
        <w:numPr>
          <w:ilvl w:val="0"/>
          <w:numId w:val="95"/>
        </w:numPr>
        <w:rPr>
          <w:rFonts w:ascii="Arial" w:cs="Arial" w:eastAsia="Arial" w:hAnsi="Arial"/>
          <w:sz w:val="19"/>
          <w:szCs w:val="19"/>
          <w:color w:val="auto"/>
        </w:rPr>
      </w:pPr>
      <w:r>
        <w:rPr>
          <w:rFonts w:ascii="Arial" w:cs="Arial" w:eastAsia="Arial" w:hAnsi="Arial"/>
          <w:sz w:val="19"/>
          <w:szCs w:val="19"/>
          <w:color w:val="auto"/>
        </w:rPr>
        <w:t>All references herein or in any Loan Document to Articles, Sections, clauses, paragraphs, Exhibits and Schedules shall be construed to refer to Articles, Sections, clauses and paragraphs of, and Exhibits and Schedules to, such Loan Document.</w:t>
      </w:r>
    </w:p>
    <w:p>
      <w:pPr>
        <w:spacing w:after="0" w:line="197" w:lineRule="exact"/>
        <w:rPr>
          <w:rFonts w:ascii="Arial" w:cs="Arial" w:eastAsia="Arial" w:hAnsi="Arial"/>
          <w:sz w:val="19"/>
          <w:szCs w:val="19"/>
          <w:color w:val="auto"/>
        </w:rPr>
      </w:pPr>
    </w:p>
    <w:p>
      <w:pPr>
        <w:jc w:val="both"/>
        <w:ind w:left="100" w:right="239" w:firstLine="741"/>
        <w:spacing w:after="0" w:line="249" w:lineRule="auto"/>
        <w:tabs>
          <w:tab w:leader="none" w:pos="1520" w:val="left"/>
        </w:tabs>
        <w:numPr>
          <w:ilvl w:val="0"/>
          <w:numId w:val="95"/>
        </w:numPr>
        <w:rPr>
          <w:rFonts w:ascii="Arial" w:cs="Arial" w:eastAsia="Arial" w:hAnsi="Arial"/>
          <w:sz w:val="19"/>
          <w:szCs w:val="19"/>
          <w:color w:val="auto"/>
        </w:rPr>
      </w:pPr>
      <w:r>
        <w:rPr>
          <w:rFonts w:ascii="Arial" w:cs="Arial" w:eastAsia="Arial" w:hAnsi="Arial"/>
          <w:sz w:val="19"/>
          <w:szCs w:val="19"/>
          <w:color w:val="auto"/>
        </w:rPr>
        <w:t>In the computation of periods of time in any Loan Document from a specified date to a later specified date, the word “from” means “from and including”, the words “to” and “until” mean “to but excluding” and the word “through” means “to and including”.</w:t>
      </w:r>
    </w:p>
    <w:p>
      <w:pPr>
        <w:spacing w:after="0" w:line="183" w:lineRule="exact"/>
        <w:rPr>
          <w:rFonts w:ascii="Arial" w:cs="Arial" w:eastAsia="Arial" w:hAnsi="Arial"/>
          <w:sz w:val="19"/>
          <w:szCs w:val="19"/>
          <w:color w:val="auto"/>
        </w:rPr>
      </w:pPr>
    </w:p>
    <w:p>
      <w:pPr>
        <w:jc w:val="both"/>
        <w:ind w:left="100" w:right="59" w:firstLine="741"/>
        <w:spacing w:after="0" w:line="249" w:lineRule="auto"/>
        <w:tabs>
          <w:tab w:leader="none" w:pos="1519"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words “asset” and “property”, when used in any Loan Document, shall be construed to have the same meaning and effect and to refer to any and all tangible and intangible assets and properties, including Cash, securities, accounts and contract rights.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64</w:t>
      </w:r>
      <w:r>
        <w:rPr>
          <w:rFonts w:ascii="Arial" w:cs="Arial" w:eastAsia="Arial" w:hAnsi="Arial"/>
          <w:sz w:val="18"/>
          <w:szCs w:val="18"/>
          <w:u w:val="single" w:color="auto"/>
          <w:color w:val="0000FF"/>
          <w:strike w:val="1"/>
        </w:rPr>
        <w:t>64</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32" w:name="page133"/>
    <w:bookmarkEnd w:id="132"/>
    <w:p>
      <w:pPr>
        <w:ind w:left="100" w:right="59" w:firstLine="741"/>
        <w:spacing w:after="0" w:line="275" w:lineRule="auto"/>
        <w:tabs>
          <w:tab w:leader="none" w:pos="1522"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For purposes of determining compliance at any time with </w:t>
      </w:r>
      <w:r>
        <w:rPr>
          <w:rFonts w:ascii="Arial" w:cs="Arial" w:eastAsia="Arial" w:hAnsi="Arial"/>
          <w:sz w:val="17"/>
          <w:szCs w:val="17"/>
          <w:u w:val="single" w:color="auto"/>
          <w:color w:val="auto"/>
        </w:rPr>
        <w:t>Sections 5.16</w:t>
      </w:r>
      <w:r>
        <w:rPr>
          <w:rFonts w:ascii="Arial" w:cs="Arial" w:eastAsia="Arial" w:hAnsi="Arial"/>
          <w:sz w:val="17"/>
          <w:szCs w:val="17"/>
          <w:color w:val="auto"/>
        </w:rPr>
        <w:t xml:space="preserve">, </w:t>
      </w:r>
      <w:r>
        <w:rPr>
          <w:rFonts w:ascii="Arial" w:cs="Arial" w:eastAsia="Arial" w:hAnsi="Arial"/>
          <w:sz w:val="17"/>
          <w:szCs w:val="17"/>
          <w:u w:val="single" w:color="auto"/>
          <w:color w:val="auto"/>
        </w:rPr>
        <w:t>6.01</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w:t>
      </w:r>
      <w:r>
        <w:rPr>
          <w:rFonts w:ascii="Arial" w:cs="Arial" w:eastAsia="Arial" w:hAnsi="Arial"/>
          <w:sz w:val="17"/>
          <w:szCs w:val="17"/>
          <w:color w:val="auto"/>
        </w:rPr>
        <w:t xml:space="preserve">, </w:t>
      </w:r>
      <w:r>
        <w:rPr>
          <w:rFonts w:ascii="Arial" w:cs="Arial" w:eastAsia="Arial" w:hAnsi="Arial"/>
          <w:sz w:val="17"/>
          <w:szCs w:val="17"/>
          <w:u w:val="single" w:color="auto"/>
          <w:color w:val="auto"/>
        </w:rPr>
        <w:t>6.04</w:t>
      </w:r>
      <w:r>
        <w:rPr>
          <w:rFonts w:ascii="Arial" w:cs="Arial" w:eastAsia="Arial" w:hAnsi="Arial"/>
          <w:sz w:val="17"/>
          <w:szCs w:val="17"/>
          <w:color w:val="auto"/>
        </w:rPr>
        <w:t xml:space="preserve">, </w:t>
      </w:r>
      <w:r>
        <w:rPr>
          <w:rFonts w:ascii="Arial" w:cs="Arial" w:eastAsia="Arial" w:hAnsi="Arial"/>
          <w:sz w:val="17"/>
          <w:szCs w:val="17"/>
          <w:u w:val="single" w:color="auto"/>
          <w:color w:val="auto"/>
        </w:rPr>
        <w:t>6.05</w:t>
      </w:r>
      <w:r>
        <w:rPr>
          <w:rFonts w:ascii="Arial" w:cs="Arial" w:eastAsia="Arial" w:hAnsi="Arial"/>
          <w:sz w:val="17"/>
          <w:szCs w:val="17"/>
          <w:color w:val="auto"/>
        </w:rPr>
        <w:t xml:space="preserve">, </w:t>
      </w:r>
      <w:r>
        <w:rPr>
          <w:rFonts w:ascii="Arial" w:cs="Arial" w:eastAsia="Arial" w:hAnsi="Arial"/>
          <w:sz w:val="17"/>
          <w:szCs w:val="17"/>
          <w:u w:val="single" w:color="auto"/>
          <w:color w:val="auto"/>
        </w:rPr>
        <w:t>6.06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6.07</w:t>
      </w:r>
      <w:r>
        <w:rPr>
          <w:rFonts w:ascii="Arial" w:cs="Arial" w:eastAsia="Arial" w:hAnsi="Arial"/>
          <w:sz w:val="17"/>
          <w:szCs w:val="17"/>
          <w:color w:val="auto"/>
        </w:rPr>
        <w:t xml:space="preserve">, in the event that any Affiliate transaction, Indebtedness, Lien, Restricted Payment, Restricted Debt Payment, Burdensome Agreement, Investment or Disposition, as applicable, meets the criteria of more than one of the categories of transactions or items permitted pursuant to any clause of such </w:t>
      </w:r>
      <w:r>
        <w:rPr>
          <w:rFonts w:ascii="Arial" w:cs="Arial" w:eastAsia="Arial" w:hAnsi="Arial"/>
          <w:sz w:val="17"/>
          <w:szCs w:val="17"/>
          <w:u w:val="single" w:color="auto"/>
          <w:color w:val="auto"/>
        </w:rPr>
        <w:t>Sections 5.16</w:t>
      </w:r>
      <w:r>
        <w:rPr>
          <w:rFonts w:ascii="Arial" w:cs="Arial" w:eastAsia="Arial" w:hAnsi="Arial"/>
          <w:sz w:val="17"/>
          <w:szCs w:val="17"/>
          <w:color w:val="auto"/>
        </w:rPr>
        <w:t xml:space="preserve">, </w:t>
      </w:r>
      <w:r>
        <w:rPr>
          <w:rFonts w:ascii="Arial" w:cs="Arial" w:eastAsia="Arial" w:hAnsi="Arial"/>
          <w:sz w:val="17"/>
          <w:szCs w:val="17"/>
          <w:u w:val="single" w:color="auto"/>
          <w:color w:val="auto"/>
        </w:rPr>
        <w:t>6.01</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it is understood that the provisions of this </w:t>
      </w:r>
      <w:r>
        <w:rPr>
          <w:rFonts w:ascii="Arial" w:cs="Arial" w:eastAsia="Arial" w:hAnsi="Arial"/>
          <w:sz w:val="17"/>
          <w:szCs w:val="17"/>
          <w:u w:val="single" w:color="auto"/>
          <w:color w:val="auto"/>
        </w:rPr>
        <w:t>Section 1.03(l)</w:t>
      </w:r>
      <w:r>
        <w:rPr>
          <w:rFonts w:ascii="Arial" w:cs="Arial" w:eastAsia="Arial" w:hAnsi="Arial"/>
          <w:sz w:val="17"/>
          <w:szCs w:val="17"/>
          <w:color w:val="auto"/>
        </w:rPr>
        <w:t xml:space="preserve"> shall apply to any amount incurred in reliance on any provision of the definition of “Incremental Cap”), </w:t>
      </w:r>
      <w:r>
        <w:rPr>
          <w:rFonts w:ascii="Arial" w:cs="Arial" w:eastAsia="Arial" w:hAnsi="Arial"/>
          <w:sz w:val="17"/>
          <w:szCs w:val="17"/>
          <w:u w:val="single" w:color="auto"/>
          <w:color w:val="auto"/>
        </w:rPr>
        <w:t>6.02</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w:t>
      </w:r>
      <w:r>
        <w:rPr>
          <w:rFonts w:ascii="Arial" w:cs="Arial" w:eastAsia="Arial" w:hAnsi="Arial"/>
          <w:sz w:val="17"/>
          <w:szCs w:val="17"/>
          <w:u w:val="single" w:color="auto"/>
          <w:color w:val="auto"/>
        </w:rPr>
        <w:t>6.04</w:t>
      </w:r>
      <w:r>
        <w:rPr>
          <w:rFonts w:ascii="Arial" w:cs="Arial" w:eastAsia="Arial" w:hAnsi="Arial"/>
          <w:sz w:val="17"/>
          <w:szCs w:val="17"/>
          <w:color w:val="auto"/>
        </w:rPr>
        <w:t xml:space="preserve">, </w:t>
      </w:r>
      <w:r>
        <w:rPr>
          <w:rFonts w:ascii="Arial" w:cs="Arial" w:eastAsia="Arial" w:hAnsi="Arial"/>
          <w:sz w:val="17"/>
          <w:szCs w:val="17"/>
          <w:u w:val="single" w:color="auto"/>
          <w:color w:val="auto"/>
        </w:rPr>
        <w:t>6.05</w:t>
      </w:r>
      <w:r>
        <w:rPr>
          <w:rFonts w:ascii="Arial" w:cs="Arial" w:eastAsia="Arial" w:hAnsi="Arial"/>
          <w:sz w:val="17"/>
          <w:szCs w:val="17"/>
          <w:color w:val="auto"/>
        </w:rPr>
        <w:t xml:space="preserve">, </w:t>
      </w:r>
      <w:r>
        <w:rPr>
          <w:rFonts w:ascii="Arial" w:cs="Arial" w:eastAsia="Arial" w:hAnsi="Arial"/>
          <w:sz w:val="17"/>
          <w:szCs w:val="17"/>
          <w:u w:val="single" w:color="auto"/>
          <w:color w:val="auto"/>
        </w:rPr>
        <w:t>6.06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6.07</w:t>
      </w:r>
      <w:r>
        <w:rPr>
          <w:rFonts w:ascii="Arial" w:cs="Arial" w:eastAsia="Arial" w:hAnsi="Arial"/>
          <w:sz w:val="17"/>
          <w:szCs w:val="17"/>
          <w:color w:val="auto"/>
        </w:rPr>
        <w:t xml:space="preserve">, the Borrower, in its sole discretion, may, from time to time, classify or reclassify such transaction or item (or portion thereof) under one or more clauses of each such Section and will only be required to include the amount and type of such transaction (or portion thereof) in any one category;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65" w:lineRule="exact"/>
        <w:rPr>
          <w:rFonts w:ascii="Arial" w:cs="Arial" w:eastAsia="Arial" w:hAnsi="Arial"/>
          <w:sz w:val="17"/>
          <w:szCs w:val="17"/>
          <w:color w:val="auto"/>
        </w:rPr>
      </w:pPr>
    </w:p>
    <w:p>
      <w:pPr>
        <w:ind w:left="840" w:right="79" w:firstLine="751"/>
        <w:spacing w:after="0" w:line="256" w:lineRule="auto"/>
        <w:tabs>
          <w:tab w:leader="none" w:pos="2369"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upon the date on which financial statements of the type described in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are delivered on the date of or following the initial incurrence of any portion of any Indebtedness incurred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it is understood that the provisions of this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shall apply to any amount incurred in reliance on any provision of the definition of “Incremental Cap”) (such portion of such Indebtedness, the “</w:t>
      </w:r>
      <w:r>
        <w:rPr>
          <w:rFonts w:ascii="Arial" w:cs="Arial" w:eastAsia="Arial" w:hAnsi="Arial"/>
          <w:sz w:val="18"/>
          <w:szCs w:val="18"/>
          <w:u w:val="single" w:color="auto"/>
          <w:color w:val="auto"/>
        </w:rPr>
        <w:t>Subject Indebtedness</w:t>
      </w:r>
      <w:r>
        <w:rPr>
          <w:rFonts w:ascii="Arial" w:cs="Arial" w:eastAsia="Arial" w:hAnsi="Arial"/>
          <w:sz w:val="18"/>
          <w:szCs w:val="18"/>
          <w:color w:val="auto"/>
        </w:rPr>
        <w:t xml:space="preserve">”), if any such Subject Indebtedness could, based on such financial statements, have been incurred in reliance on </w:t>
      </w:r>
      <w:r>
        <w:rPr>
          <w:rFonts w:ascii="Arial" w:cs="Arial" w:eastAsia="Arial" w:hAnsi="Arial"/>
          <w:sz w:val="18"/>
          <w:szCs w:val="18"/>
          <w:u w:val="single" w:color="auto"/>
          <w:color w:val="auto"/>
        </w:rPr>
        <w:t>Section 6.01(w)</w:t>
      </w:r>
      <w:r>
        <w:rPr>
          <w:rFonts w:ascii="Arial" w:cs="Arial" w:eastAsia="Arial" w:hAnsi="Arial"/>
          <w:sz w:val="18"/>
          <w:szCs w:val="18"/>
          <w:color w:val="auto"/>
        </w:rPr>
        <w:t xml:space="preserve"> or the Incremental Incurrence-Based Component, as applicable, such Subject Indebtedness shall automatically be reclassified as having been incurred under the applicable provisions of </w:t>
      </w:r>
      <w:r>
        <w:rPr>
          <w:rFonts w:ascii="Arial" w:cs="Arial" w:eastAsia="Arial" w:hAnsi="Arial"/>
          <w:sz w:val="18"/>
          <w:szCs w:val="18"/>
          <w:u w:val="single" w:color="auto"/>
          <w:color w:val="auto"/>
        </w:rPr>
        <w:t>Section 6.01(w)</w:t>
      </w:r>
      <w:r>
        <w:rPr>
          <w:rFonts w:ascii="Arial" w:cs="Arial" w:eastAsia="Arial" w:hAnsi="Arial"/>
          <w:sz w:val="18"/>
          <w:szCs w:val="18"/>
          <w:color w:val="auto"/>
        </w:rPr>
        <w:t xml:space="preserve"> or the Incremental Incurrence-Based Component, as applicable (subject to any other applicable provision of </w:t>
      </w:r>
      <w:r>
        <w:rPr>
          <w:rFonts w:ascii="Arial" w:cs="Arial" w:eastAsia="Arial" w:hAnsi="Arial"/>
          <w:sz w:val="18"/>
          <w:szCs w:val="18"/>
          <w:u w:val="single" w:color="auto"/>
          <w:color w:val="auto"/>
        </w:rPr>
        <w:t>Section 6.01(w)</w:t>
      </w:r>
      <w:r>
        <w:rPr>
          <w:rFonts w:ascii="Arial" w:cs="Arial" w:eastAsia="Arial" w:hAnsi="Arial"/>
          <w:sz w:val="18"/>
          <w:szCs w:val="18"/>
          <w:color w:val="auto"/>
        </w:rPr>
        <w:t xml:space="preserve"> or the Incremental Incurrence-Based Component, as applicable,) and any associated Lien will be deemed to have been permitted under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upon any such reclassification;</w:t>
      </w:r>
    </w:p>
    <w:p>
      <w:pPr>
        <w:spacing w:after="0" w:line="181" w:lineRule="exact"/>
        <w:rPr>
          <w:rFonts w:ascii="Arial" w:cs="Arial" w:eastAsia="Arial" w:hAnsi="Arial"/>
          <w:sz w:val="18"/>
          <w:szCs w:val="18"/>
          <w:color w:val="auto"/>
        </w:rPr>
      </w:pPr>
    </w:p>
    <w:p>
      <w:pPr>
        <w:ind w:left="840" w:right="59" w:firstLine="751"/>
        <w:spacing w:after="0" w:line="246" w:lineRule="auto"/>
        <w:tabs>
          <w:tab w:leader="none" w:pos="2366" w:val="left"/>
        </w:tabs>
        <w:numPr>
          <w:ilvl w:val="1"/>
          <w:numId w:val="96"/>
        </w:numPr>
        <w:rPr>
          <w:rFonts w:ascii="Arial" w:cs="Arial" w:eastAsia="Arial" w:hAnsi="Arial"/>
          <w:sz w:val="19"/>
          <w:szCs w:val="19"/>
          <w:color w:val="auto"/>
        </w:rPr>
      </w:pPr>
      <w:r>
        <w:rPr>
          <w:rFonts w:ascii="Arial" w:cs="Arial" w:eastAsia="Arial" w:hAnsi="Arial"/>
          <w:sz w:val="19"/>
          <w:szCs w:val="19"/>
          <w:color w:val="auto"/>
        </w:rPr>
        <w:t xml:space="preserve">upon the date on which financial statements of the type described in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are delivered on the date of or following the making of any Investment in reliance on </w:t>
      </w:r>
      <w:r>
        <w:rPr>
          <w:rFonts w:ascii="Arial" w:cs="Arial" w:eastAsia="Arial" w:hAnsi="Arial"/>
          <w:sz w:val="19"/>
          <w:szCs w:val="19"/>
          <w:u w:val="single" w:color="auto"/>
          <w:color w:val="auto"/>
        </w:rPr>
        <w:t>Section</w:t>
      </w:r>
    </w:p>
    <w:p>
      <w:pPr>
        <w:jc w:val="both"/>
        <w:ind w:left="840" w:right="59"/>
        <w:spacing w:after="0" w:line="235" w:lineRule="auto"/>
        <w:rPr>
          <w:rFonts w:ascii="Arial" w:cs="Arial" w:eastAsia="Arial" w:hAnsi="Arial"/>
          <w:sz w:val="19"/>
          <w:szCs w:val="19"/>
          <w:color w:val="auto"/>
        </w:rPr>
      </w:pPr>
      <w:r>
        <w:rPr>
          <w:rFonts w:ascii="Arial" w:cs="Arial" w:eastAsia="Arial" w:hAnsi="Arial"/>
          <w:sz w:val="19"/>
          <w:szCs w:val="19"/>
          <w:u w:val="single" w:color="auto"/>
          <w:color w:val="auto"/>
        </w:rPr>
        <w:t>6.06</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6.06(bb)</w:t>
      </w:r>
      <w:r>
        <w:rPr>
          <w:rFonts w:ascii="Arial" w:cs="Arial" w:eastAsia="Arial" w:hAnsi="Arial"/>
          <w:sz w:val="19"/>
          <w:szCs w:val="19"/>
          <w:color w:val="auto"/>
        </w:rPr>
        <w:t xml:space="preserve">), if all or any portion of such Investment could, based on such financial statements, have been made in reliance on </w:t>
      </w:r>
      <w:r>
        <w:rPr>
          <w:rFonts w:ascii="Arial" w:cs="Arial" w:eastAsia="Arial" w:hAnsi="Arial"/>
          <w:sz w:val="19"/>
          <w:szCs w:val="19"/>
          <w:u w:val="single" w:color="auto"/>
          <w:color w:val="auto"/>
        </w:rPr>
        <w:t>Section 6.06(bb)</w:t>
      </w:r>
      <w:r>
        <w:rPr>
          <w:rFonts w:ascii="Arial" w:cs="Arial" w:eastAsia="Arial" w:hAnsi="Arial"/>
          <w:sz w:val="19"/>
          <w:szCs w:val="19"/>
          <w:color w:val="auto"/>
        </w:rPr>
        <w:t xml:space="preserve">, such Investment (or the relevant portion thereof) shall automatically be reclassified as having been made in reliance on </w:t>
      </w:r>
      <w:r>
        <w:rPr>
          <w:rFonts w:ascii="Arial" w:cs="Arial" w:eastAsia="Arial" w:hAnsi="Arial"/>
          <w:sz w:val="19"/>
          <w:szCs w:val="19"/>
          <w:u w:val="single" w:color="auto"/>
          <w:color w:val="auto"/>
        </w:rPr>
        <w:t>Section 6.06(bb)</w:t>
      </w:r>
      <w:r>
        <w:rPr>
          <w:rFonts w:ascii="Arial" w:cs="Arial" w:eastAsia="Arial" w:hAnsi="Arial"/>
          <w:sz w:val="19"/>
          <w:szCs w:val="19"/>
          <w:color w:val="auto"/>
        </w:rPr>
        <w:t>;</w:t>
      </w:r>
    </w:p>
    <w:p>
      <w:pPr>
        <w:spacing w:after="0" w:line="179" w:lineRule="exact"/>
        <w:rPr>
          <w:rFonts w:ascii="Arial" w:cs="Arial" w:eastAsia="Arial" w:hAnsi="Arial"/>
          <w:sz w:val="19"/>
          <w:szCs w:val="19"/>
          <w:color w:val="auto"/>
        </w:rPr>
      </w:pPr>
    </w:p>
    <w:p>
      <w:pPr>
        <w:jc w:val="both"/>
        <w:ind w:left="840" w:right="59" w:firstLine="751"/>
        <w:spacing w:after="0" w:line="260" w:lineRule="auto"/>
        <w:tabs>
          <w:tab w:leader="none" w:pos="2366"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upon the date on which financial statements of the type described in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are delivered on the date of or, following the making of any Restricted Payment under </w:t>
      </w:r>
      <w:r>
        <w:rPr>
          <w:rFonts w:ascii="Arial" w:cs="Arial" w:eastAsia="Arial" w:hAnsi="Arial"/>
          <w:sz w:val="18"/>
          <w:szCs w:val="18"/>
          <w:u w:val="single" w:color="auto"/>
          <w:color w:val="auto"/>
        </w:rPr>
        <w:t>Section 6.04(a)</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6.04(a)(xi)</w:t>
      </w:r>
      <w:r>
        <w:rPr>
          <w:rFonts w:ascii="Arial" w:cs="Arial" w:eastAsia="Arial" w:hAnsi="Arial"/>
          <w:sz w:val="18"/>
          <w:szCs w:val="18"/>
          <w:color w:val="auto"/>
        </w:rPr>
        <w:t xml:space="preserve">), if all or any portion of such Restricted Payment could, based on such financial statements, have been made in reliance on </w:t>
      </w:r>
      <w:r>
        <w:rPr>
          <w:rFonts w:ascii="Arial" w:cs="Arial" w:eastAsia="Arial" w:hAnsi="Arial"/>
          <w:sz w:val="18"/>
          <w:szCs w:val="18"/>
          <w:u w:val="single" w:color="auto"/>
          <w:color w:val="auto"/>
        </w:rPr>
        <w:t>Section 6.04(a)(xi</w:t>
      </w:r>
      <w:r>
        <w:rPr>
          <w:rFonts w:ascii="Arial" w:cs="Arial" w:eastAsia="Arial" w:hAnsi="Arial"/>
          <w:sz w:val="18"/>
          <w:szCs w:val="18"/>
          <w:color w:val="auto"/>
        </w:rPr>
        <w:t xml:space="preserve">), such Restricted Payment (or the relevant portion thereof) shall automatically be reclassified as having been made in reliance on </w:t>
      </w:r>
      <w:r>
        <w:rPr>
          <w:rFonts w:ascii="Arial" w:cs="Arial" w:eastAsia="Arial" w:hAnsi="Arial"/>
          <w:sz w:val="18"/>
          <w:szCs w:val="18"/>
          <w:u w:val="single" w:color="auto"/>
          <w:color w:val="auto"/>
        </w:rPr>
        <w:t>Section 6.04(a)(xi</w:t>
      </w:r>
      <w:r>
        <w:rPr>
          <w:rFonts w:ascii="Arial" w:cs="Arial" w:eastAsia="Arial" w:hAnsi="Arial"/>
          <w:sz w:val="18"/>
          <w:szCs w:val="18"/>
          <w:color w:val="auto"/>
        </w:rPr>
        <w:t>); and</w:t>
      </w:r>
    </w:p>
    <w:p>
      <w:pPr>
        <w:spacing w:after="0" w:line="174" w:lineRule="exact"/>
        <w:rPr>
          <w:rFonts w:ascii="Arial" w:cs="Arial" w:eastAsia="Arial" w:hAnsi="Arial"/>
          <w:sz w:val="18"/>
          <w:szCs w:val="18"/>
          <w:color w:val="auto"/>
        </w:rPr>
      </w:pPr>
    </w:p>
    <w:p>
      <w:pPr>
        <w:jc w:val="both"/>
        <w:ind w:left="840" w:right="59" w:firstLine="751"/>
        <w:spacing w:after="0" w:line="264" w:lineRule="auto"/>
        <w:tabs>
          <w:tab w:leader="none" w:pos="2366"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upon the date on which financial statements of the type described in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are delivered on the date of or, following the making of any Restricted Debt Payment under </w:t>
      </w:r>
      <w:r>
        <w:rPr>
          <w:rFonts w:ascii="Arial" w:cs="Arial" w:eastAsia="Arial" w:hAnsi="Arial"/>
          <w:sz w:val="18"/>
          <w:szCs w:val="18"/>
          <w:u w:val="single" w:color="auto"/>
          <w:color w:val="auto"/>
        </w:rPr>
        <w:t>Section 6.04(b)</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6.04(b)(vii)</w:t>
      </w:r>
      <w:r>
        <w:rPr>
          <w:rFonts w:ascii="Arial" w:cs="Arial" w:eastAsia="Arial" w:hAnsi="Arial"/>
          <w:sz w:val="18"/>
          <w:szCs w:val="18"/>
          <w:color w:val="auto"/>
        </w:rPr>
        <w:t xml:space="preserve">), if all or any portion of such Restricted Debt Payment could, based on such financial statements, have been made in reliance on </w:t>
      </w:r>
      <w:r>
        <w:rPr>
          <w:rFonts w:ascii="Arial" w:cs="Arial" w:eastAsia="Arial" w:hAnsi="Arial"/>
          <w:sz w:val="18"/>
          <w:szCs w:val="18"/>
          <w:u w:val="single" w:color="auto"/>
          <w:color w:val="auto"/>
        </w:rPr>
        <w:t>Section 6.04(b)(vii</w:t>
      </w:r>
      <w:r>
        <w:rPr>
          <w:rFonts w:ascii="Arial" w:cs="Arial" w:eastAsia="Arial" w:hAnsi="Arial"/>
          <w:sz w:val="18"/>
          <w:szCs w:val="18"/>
          <w:color w:val="auto"/>
        </w:rPr>
        <w:t xml:space="preserve">), such Restricted Debt Payment (or the relevant portion thereof) shall automatically be reclassified as having been made in reliance on </w:t>
      </w:r>
      <w:r>
        <w:rPr>
          <w:rFonts w:ascii="Arial" w:cs="Arial" w:eastAsia="Arial" w:hAnsi="Arial"/>
          <w:sz w:val="18"/>
          <w:szCs w:val="18"/>
          <w:u w:val="single" w:color="auto"/>
          <w:color w:val="auto"/>
        </w:rPr>
        <w:t>Section 6.04(b)(vii</w:t>
      </w:r>
      <w:r>
        <w:rPr>
          <w:rFonts w:ascii="Arial" w:cs="Arial" w:eastAsia="Arial" w:hAnsi="Arial"/>
          <w:sz w:val="18"/>
          <w:szCs w:val="18"/>
          <w:color w:val="auto"/>
        </w:rPr>
        <w:t>);</w:t>
      </w:r>
    </w:p>
    <w:p>
      <w:pPr>
        <w:spacing w:after="0" w:line="171" w:lineRule="exact"/>
        <w:rPr>
          <w:sz w:val="20"/>
          <w:szCs w:val="20"/>
          <w:color w:val="auto"/>
        </w:rPr>
      </w:pPr>
    </w:p>
    <w:p>
      <w:pPr>
        <w:jc w:val="both"/>
        <w:ind w:left="100" w:right="59"/>
        <w:spacing w:after="0" w:line="272"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it is understood and agreed that, with respect to the fourth Fiscal Quarter of any Fiscal Year, prior to the date on which financial statements of the type described in </w:t>
      </w:r>
      <w:r>
        <w:rPr>
          <w:rFonts w:ascii="Arial" w:cs="Arial" w:eastAsia="Arial" w:hAnsi="Arial"/>
          <w:sz w:val="17"/>
          <w:szCs w:val="17"/>
          <w:u w:val="single" w:color="auto"/>
          <w:color w:val="auto"/>
        </w:rPr>
        <w:t>Section 5.01(b)</w:t>
      </w:r>
      <w:r>
        <w:rPr>
          <w:rFonts w:ascii="Arial" w:cs="Arial" w:eastAsia="Arial" w:hAnsi="Arial"/>
          <w:sz w:val="17"/>
          <w:szCs w:val="17"/>
          <w:color w:val="auto"/>
        </w:rPr>
        <w:t xml:space="preserve"> for such Fiscal Year are delivered the Borrower may, in its sole discretion, rely on financial statements of the type described in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that are internally available to trigger the reclassification of any transaction based on the financial results as of the end of the fourth Fiscal Quarter of such Fiscal Year.</w:t>
      </w:r>
    </w:p>
    <w:p>
      <w:pPr>
        <w:spacing w:after="0" w:line="153" w:lineRule="exact"/>
        <w:rPr>
          <w:sz w:val="20"/>
          <w:szCs w:val="20"/>
          <w:color w:val="auto"/>
        </w:rPr>
      </w:pPr>
    </w:p>
    <w:p>
      <w:pPr>
        <w:ind w:left="100" w:right="839" w:firstLine="741"/>
        <w:spacing w:after="0" w:line="289" w:lineRule="auto"/>
        <w:tabs>
          <w:tab w:leader="none" w:pos="1519" w:val="left"/>
        </w:tabs>
        <w:numPr>
          <w:ilvl w:val="0"/>
          <w:numId w:val="97"/>
        </w:numPr>
        <w:rPr>
          <w:rFonts w:ascii="Arial" w:cs="Arial" w:eastAsia="Arial" w:hAnsi="Arial"/>
          <w:sz w:val="18"/>
          <w:szCs w:val="18"/>
          <w:color w:val="auto"/>
        </w:rPr>
      </w:pPr>
      <w:r>
        <w:rPr>
          <w:rFonts w:ascii="Arial" w:cs="Arial" w:eastAsia="Arial" w:hAnsi="Arial"/>
          <w:sz w:val="18"/>
          <w:szCs w:val="18"/>
          <w:color w:val="auto"/>
        </w:rPr>
        <w:t>It is understood and agreed that any Indebtedness, Lien, Restricted Payment, Restricted Debt Payment, Burdensome Agreement, Investment, Disposition and/or Affiliate transaction need not be permitted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65</w:t>
      </w:r>
      <w:r>
        <w:rPr>
          <w:rFonts w:ascii="Arial" w:cs="Arial" w:eastAsia="Arial" w:hAnsi="Arial"/>
          <w:sz w:val="18"/>
          <w:szCs w:val="18"/>
          <w:u w:val="single" w:color="auto"/>
          <w:color w:val="0000FF"/>
          <w:strike w:val="1"/>
        </w:rPr>
        <w:t>65</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33" w:name="page134"/>
    <w:bookmarkEnd w:id="133"/>
    <w:p>
      <w:pPr>
        <w:jc w:val="both"/>
        <w:ind w:left="100" w:right="19"/>
        <w:spacing w:after="0" w:line="232" w:lineRule="auto"/>
        <w:rPr>
          <w:sz w:val="20"/>
          <w:szCs w:val="20"/>
          <w:color w:val="auto"/>
        </w:rPr>
      </w:pPr>
      <w:r>
        <w:rPr>
          <w:rFonts w:ascii="Arial" w:cs="Arial" w:eastAsia="Arial" w:hAnsi="Arial"/>
          <w:sz w:val="19"/>
          <w:szCs w:val="19"/>
          <w:color w:val="auto"/>
        </w:rPr>
        <w:t xml:space="preserve">solely by reference to one category of permitted Indebtedness, Lien, Restricted Payment, Restricted Debt Payment, Burdensome Agreement, Investment, Disposition and/or Affiliate transaction under </w:t>
      </w:r>
      <w:r>
        <w:rPr>
          <w:rFonts w:ascii="Arial" w:cs="Arial" w:eastAsia="Arial" w:hAnsi="Arial"/>
          <w:sz w:val="19"/>
          <w:szCs w:val="19"/>
          <w:u w:val="single" w:color="auto"/>
          <w:color w:val="auto"/>
        </w:rPr>
        <w:t>Section 5.16</w:t>
      </w:r>
      <w:r>
        <w:rPr>
          <w:rFonts w:ascii="Arial" w:cs="Arial" w:eastAsia="Arial" w:hAnsi="Arial"/>
          <w:sz w:val="19"/>
          <w:szCs w:val="19"/>
          <w:color w:val="auto"/>
        </w:rPr>
        <w:t xml:space="preserve">, </w:t>
      </w:r>
      <w:r>
        <w:rPr>
          <w:rFonts w:ascii="Arial" w:cs="Arial" w:eastAsia="Arial" w:hAnsi="Arial"/>
          <w:sz w:val="19"/>
          <w:szCs w:val="19"/>
          <w:u w:val="single" w:color="auto"/>
          <w:color w:val="auto"/>
        </w:rPr>
        <w:t>6.01</w:t>
      </w:r>
      <w:r>
        <w:rPr>
          <w:rFonts w:ascii="Arial" w:cs="Arial" w:eastAsia="Arial" w:hAnsi="Arial"/>
          <w:sz w:val="19"/>
          <w:szCs w:val="19"/>
          <w:color w:val="auto"/>
        </w:rPr>
        <w:t xml:space="preserve">, </w:t>
      </w:r>
      <w:r>
        <w:rPr>
          <w:rFonts w:ascii="Arial" w:cs="Arial" w:eastAsia="Arial" w:hAnsi="Arial"/>
          <w:sz w:val="19"/>
          <w:szCs w:val="19"/>
          <w:u w:val="single" w:color="auto"/>
          <w:color w:val="auto"/>
        </w:rPr>
        <w:t>6.02</w:t>
      </w:r>
      <w:r>
        <w:rPr>
          <w:rFonts w:ascii="Arial" w:cs="Arial" w:eastAsia="Arial" w:hAnsi="Arial"/>
          <w:sz w:val="19"/>
          <w:szCs w:val="19"/>
          <w:color w:val="auto"/>
        </w:rPr>
        <w:t xml:space="preserve">, </w:t>
      </w:r>
      <w:r>
        <w:rPr>
          <w:rFonts w:ascii="Arial" w:cs="Arial" w:eastAsia="Arial" w:hAnsi="Arial"/>
          <w:sz w:val="19"/>
          <w:szCs w:val="19"/>
          <w:u w:val="single" w:color="auto"/>
          <w:color w:val="auto"/>
        </w:rPr>
        <w:t>6.04</w:t>
      </w:r>
      <w:r>
        <w:rPr>
          <w:rFonts w:ascii="Arial" w:cs="Arial" w:eastAsia="Arial" w:hAnsi="Arial"/>
          <w:sz w:val="19"/>
          <w:szCs w:val="19"/>
          <w:color w:val="auto"/>
        </w:rPr>
        <w:t xml:space="preserve">, </w:t>
      </w:r>
      <w:r>
        <w:rPr>
          <w:rFonts w:ascii="Arial" w:cs="Arial" w:eastAsia="Arial" w:hAnsi="Arial"/>
          <w:sz w:val="19"/>
          <w:szCs w:val="19"/>
          <w:u w:val="single" w:color="auto"/>
          <w:color w:val="auto"/>
        </w:rPr>
        <w:t>6.05</w:t>
      </w:r>
      <w:r>
        <w:rPr>
          <w:rFonts w:ascii="Arial" w:cs="Arial" w:eastAsia="Arial" w:hAnsi="Arial"/>
          <w:sz w:val="19"/>
          <w:szCs w:val="19"/>
          <w:color w:val="auto"/>
        </w:rPr>
        <w:t xml:space="preserve">, </w:t>
      </w:r>
      <w:r>
        <w:rPr>
          <w:rFonts w:ascii="Arial" w:cs="Arial" w:eastAsia="Arial" w:hAnsi="Arial"/>
          <w:sz w:val="19"/>
          <w:szCs w:val="19"/>
          <w:u w:val="single" w:color="auto"/>
          <w:color w:val="auto"/>
        </w:rPr>
        <w:t>6.06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6.07</w:t>
      </w:r>
      <w:r>
        <w:rPr>
          <w:rFonts w:ascii="Arial" w:cs="Arial" w:eastAsia="Arial" w:hAnsi="Arial"/>
          <w:sz w:val="19"/>
          <w:szCs w:val="19"/>
          <w:color w:val="auto"/>
        </w:rPr>
        <w:t xml:space="preserve">, respectively, and may instead be permitted in part under any combination thereof, but the Borrower will only be required to include the amount and type of such transaction (or portion thereof) in one such category (or combination thereof). To the extent the applicability of </w:t>
      </w:r>
      <w:r>
        <w:rPr>
          <w:rFonts w:ascii="Arial" w:cs="Arial" w:eastAsia="Arial" w:hAnsi="Arial"/>
          <w:sz w:val="19"/>
          <w:szCs w:val="19"/>
          <w:u w:val="single" w:color="auto"/>
          <w:color w:val="auto"/>
        </w:rPr>
        <w:t>Section 5.16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6.07</w:t>
      </w:r>
      <w:r>
        <w:rPr>
          <w:rFonts w:ascii="Arial" w:cs="Arial" w:eastAsia="Arial" w:hAnsi="Arial"/>
          <w:sz w:val="19"/>
          <w:szCs w:val="19"/>
          <w:color w:val="auto"/>
        </w:rPr>
        <w:t xml:space="preserve"> with respect to any transaction is subject to a materiality threshold, such transaction shall only be required to comply with the provisions of such Sections to the extent of the amount of such transaction that is in excess of such materiality threshold.</w:t>
      </w:r>
    </w:p>
    <w:p>
      <w:pPr>
        <w:spacing w:after="0" w:line="182" w:lineRule="exact"/>
        <w:rPr>
          <w:sz w:val="20"/>
          <w:szCs w:val="20"/>
          <w:color w:val="auto"/>
        </w:rPr>
      </w:pPr>
    </w:p>
    <w:p>
      <w:pPr>
        <w:jc w:val="both"/>
        <w:ind w:left="100" w:right="59" w:firstLine="741"/>
        <w:spacing w:after="0" w:line="256" w:lineRule="auto"/>
        <w:tabs>
          <w:tab w:leader="none" w:pos="1519" w:val="left"/>
        </w:tabs>
        <w:numPr>
          <w:ilvl w:val="0"/>
          <w:numId w:val="98"/>
        </w:numPr>
        <w:rPr>
          <w:rFonts w:ascii="Arial" w:cs="Arial" w:eastAsia="Arial" w:hAnsi="Arial"/>
          <w:sz w:val="19"/>
          <w:szCs w:val="19"/>
          <w:color w:val="auto"/>
        </w:rPr>
      </w:pPr>
      <w:r>
        <w:rPr>
          <w:rFonts w:ascii="Arial" w:cs="Arial" w:eastAsia="Arial" w:hAnsi="Arial"/>
          <w:sz w:val="19"/>
          <w:szCs w:val="19"/>
          <w:color w:val="auto"/>
        </w:rPr>
        <w:t>For purposes of any amount herein expressed as a percentage of Consolidated Adjusted EBITDA, “Consolidated Adjusted EBITDA”, unless the context otherwise requires, shall be deemed to refer to Consolidated Adjusted EBITDA of the Borrower and its Restricted Subsidiaries.</w:t>
      </w:r>
    </w:p>
    <w:p>
      <w:pPr>
        <w:spacing w:after="0" w:line="178"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Accounting Terms; GAAP</w:t>
      </w:r>
      <w:r>
        <w:rPr>
          <w:rFonts w:ascii="Arial" w:cs="Arial" w:eastAsia="Arial" w:hAnsi="Arial"/>
          <w:sz w:val="19"/>
          <w:szCs w:val="19"/>
          <w:color w:val="auto"/>
        </w:rPr>
        <w:t>.</w:t>
      </w:r>
    </w:p>
    <w:p>
      <w:pPr>
        <w:spacing w:after="0" w:line="200" w:lineRule="exact"/>
        <w:rPr>
          <w:sz w:val="20"/>
          <w:szCs w:val="20"/>
          <w:color w:val="auto"/>
        </w:rPr>
      </w:pPr>
    </w:p>
    <w:p>
      <w:pPr>
        <w:jc w:val="both"/>
        <w:ind w:left="100" w:right="39" w:firstLine="742"/>
        <w:spacing w:after="0" w:line="269" w:lineRule="auto"/>
        <w:tabs>
          <w:tab w:leader="none" w:pos="1521"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All financial statements to be delivered pursuant to this Agreement shall be prepared in accordance with GAAP as in effect from time to time and, except as otherwise expressly provided herein, all terms of an accounting nature that are used in calculating the First Lien Net Leverage Ratio, the Secured Net Leverage Ratio, the Total Net Leverage Ratio, Consolidated Adjusted EBITDA or Consolidated Total Assets shall be construed and interpreted in accordance with GAAP, as in effect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notifies the Administrative Agent that the Borrower requests an amendment to any provision hereof to eliminate the effect of any change occurring after the date of delivery of the financial statements described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3.04(a)</w:t>
      </w:r>
      <w:r>
        <w:rPr>
          <w:rFonts w:ascii="Arial" w:cs="Arial" w:eastAsia="Arial" w:hAnsi="Arial"/>
          <w:sz w:val="17"/>
          <w:szCs w:val="17"/>
          <w:color w:val="auto"/>
        </w:rPr>
        <w:t xml:space="preserve"> in GAAP or in the application thereof on the operation of such provision, regardless of whether any such notice is given before or after such change in GAAP or in the application thereof, then such provision shall be interpreted on the basis of GAAP as in effect and applied immediately before such change becomes effective until such notice have been withdrawn or such provision amended in accordance herewith;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the Borrower so requests, the Borrower and the Administrative Agent shall negotiate in good faith to enter into an amendment of the relevant affected provisions (without the payment of any amendment or similar fee to the Lenders) to preserve the original intent thereof in light of such change in GAAP or the application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all terms of an accounting or financial nature used herein shall be construed, and all computations of amounts and ratios referred to herein shall be made without giving effect to (i) any election under Accounting Standards Codification 825-10-25 (previously referred to as Statement of Financial Accounting Standards 159) (or any other Accounting Standards Codification or Financial Accounting Standard having a similar result or effect) to value any Indebtedness or other liabilities of the Borrower or any subsidiary at “fair value,” as defined therein and (ii)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81" w:lineRule="exact"/>
        <w:rPr>
          <w:rFonts w:ascii="Arial" w:cs="Arial" w:eastAsia="Arial" w:hAnsi="Arial"/>
          <w:sz w:val="17"/>
          <w:szCs w:val="17"/>
          <w:color w:val="auto"/>
        </w:rPr>
      </w:pPr>
    </w:p>
    <w:p>
      <w:pPr>
        <w:jc w:val="both"/>
        <w:ind w:left="100" w:right="39" w:firstLine="741"/>
        <w:spacing w:after="0" w:line="273" w:lineRule="auto"/>
        <w:tabs>
          <w:tab w:leader="none" w:pos="15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herein, but subject to </w:t>
      </w:r>
      <w:r>
        <w:rPr>
          <w:rFonts w:ascii="Arial" w:cs="Arial" w:eastAsia="Arial" w:hAnsi="Arial"/>
          <w:sz w:val="17"/>
          <w:szCs w:val="17"/>
          <w:u w:val="single" w:color="auto"/>
          <w:color w:val="auto"/>
        </w:rPr>
        <w:t>Section 1.12</w:t>
      </w:r>
      <w:r>
        <w:rPr>
          <w:rFonts w:ascii="Arial" w:cs="Arial" w:eastAsia="Arial" w:hAnsi="Arial"/>
          <w:sz w:val="17"/>
          <w:szCs w:val="17"/>
          <w:color w:val="auto"/>
        </w:rPr>
        <w:t>, all financial ratios and tests (including the First Lien Net Leverage Ratio, the Secured Net Leverage Ratio, the Total Net Leverage Ratio and the amount of Consolidated Total Assets and Consolidated Adjusted EBITDA) contained in this Agreement that are calculated with respect to any Test Period during which any Subject Transaction occurs shall be calculated with respect to such Test Period and such Subject Transaction on a Pro Forma Basis. Further, if since the beginning of any such Test Period and on or prior to the date of any required calculation of any financial ratio or test (i) any Subject Transaction has occurred or (ii) any Person that subsequently became a Restricted Subsidiary or was merged, amalgamated or consolidated with or into the Borrower or any of its Restricted Subsidiaries or any joint venture since the beginning of such Test Period has consummated any Subject Transaction, then, in each case, any applicable financial ratio or test shall be calculated on a Pro Forma Basis for such Test Period as if such Subject Transaction had occurred at the beginning of the applicable Test Period (or, in the case of Consolidated Total Assets (or with respect to 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66</w:t>
      </w:r>
      <w:r>
        <w:rPr>
          <w:rFonts w:ascii="Arial" w:cs="Arial" w:eastAsia="Arial" w:hAnsi="Arial"/>
          <w:sz w:val="18"/>
          <w:szCs w:val="18"/>
          <w:u w:val="single" w:color="auto"/>
          <w:color w:val="0000FF"/>
          <w:strike w:val="1"/>
        </w:rPr>
        <w:t>66</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34" w:name="page135"/>
    <w:bookmarkEnd w:id="134"/>
    <w:p>
      <w:pPr>
        <w:jc w:val="both"/>
        <w:ind w:left="100" w:right="59"/>
        <w:spacing w:after="0" w:line="236" w:lineRule="auto"/>
        <w:rPr>
          <w:sz w:val="20"/>
          <w:szCs w:val="20"/>
          <w:color w:val="auto"/>
        </w:rPr>
      </w:pPr>
      <w:r>
        <w:rPr>
          <w:rFonts w:ascii="Arial" w:cs="Arial" w:eastAsia="Arial" w:hAnsi="Arial"/>
          <w:sz w:val="19"/>
          <w:szCs w:val="19"/>
          <w:color w:val="auto"/>
        </w:rPr>
        <w:t xml:space="preserve">determination pertaining to the balance sheet, including the acquisition of Cash and/or Cash Equivalents), as of the last day of such Test Period) (it being understood, for the avoidance of doubt, that solely for purposes of (A) calculating actual compliance with </w:t>
      </w:r>
      <w:r>
        <w:rPr>
          <w:rFonts w:ascii="Arial" w:cs="Arial" w:eastAsia="Arial" w:hAnsi="Arial"/>
          <w:sz w:val="19"/>
          <w:szCs w:val="19"/>
          <w:u w:val="single" w:color="auto"/>
          <w:color w:val="auto"/>
        </w:rPr>
        <w:t>Section 6.10(a)</w:t>
      </w:r>
      <w:r>
        <w:rPr>
          <w:rFonts w:ascii="Arial" w:cs="Arial" w:eastAsia="Arial" w:hAnsi="Arial"/>
          <w:sz w:val="19"/>
          <w:szCs w:val="19"/>
          <w:color w:val="auto"/>
        </w:rPr>
        <w:t xml:space="preserve"> and (B) calculating the Total Net Leverage Ratio for purposes of the definitions of “Applicable Rate” and “Commitment Fee Rate”, in each case, the date of the required calculation shall be the last day of the Test Period, and no Subject Transaction occurring thereafter shall be taken into account).</w:t>
      </w:r>
    </w:p>
    <w:p>
      <w:pPr>
        <w:spacing w:after="0" w:line="181" w:lineRule="exact"/>
        <w:rPr>
          <w:sz w:val="20"/>
          <w:szCs w:val="20"/>
          <w:color w:val="auto"/>
        </w:rPr>
      </w:pPr>
    </w:p>
    <w:p>
      <w:pPr>
        <w:ind w:left="100" w:right="179" w:firstLine="742"/>
        <w:spacing w:after="0" w:line="274" w:lineRule="auto"/>
        <w:tabs>
          <w:tab w:leader="none" w:pos="15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above or in the definition of “Capital Lease,”, only those leases (assuming for purposes hereof that such leases were then in existence) that would constitute Capital Leases in conformity with GAAP as in effect prior to giving effect to the adoption of ASU No. 2016-02 “Leases (Topic 842)” and ASU No. 2018-11 “Leases (Topic 842)” shall be considered Capital Leases hereunder or under any other Loan Document, and all calculations and deliverables under this Agreement or any other Loan Document shall be made, prepared or available, as applicable, in accordance therewith; </w:t>
      </w:r>
      <w:r>
        <w:rPr>
          <w:rFonts w:ascii="Arial" w:cs="Arial" w:eastAsia="Arial" w:hAnsi="Arial"/>
          <w:sz w:val="17"/>
          <w:szCs w:val="17"/>
          <w:u w:val="single" w:color="auto"/>
          <w:color w:val="auto"/>
        </w:rPr>
        <w:t>provided</w:t>
      </w:r>
      <w:r>
        <w:rPr>
          <w:rFonts w:ascii="Arial" w:cs="Arial" w:eastAsia="Arial" w:hAnsi="Arial"/>
          <w:sz w:val="17"/>
          <w:szCs w:val="17"/>
          <w:color w:val="auto"/>
        </w:rPr>
        <w:t>, that all financial statements required to be provided hereunder may, at the option of the Borrower, be prepared in accordance with GAAP without giving effect to the foregoing treatment of Capital Leases.</w:t>
      </w:r>
    </w:p>
    <w:p>
      <w:pPr>
        <w:spacing w:after="0" w:line="166" w:lineRule="exact"/>
        <w:rPr>
          <w:sz w:val="20"/>
          <w:szCs w:val="20"/>
          <w:color w:val="auto"/>
        </w:rPr>
      </w:pPr>
    </w:p>
    <w:p>
      <w:pPr>
        <w:jc w:val="both"/>
        <w:ind w:left="100" w:right="59" w:firstLine="749"/>
        <w:spacing w:after="0" w:line="320"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Effectuation of Transactions</w:t>
      </w:r>
      <w:r>
        <w:rPr>
          <w:rFonts w:ascii="Arial" w:cs="Arial" w:eastAsia="Arial" w:hAnsi="Arial"/>
          <w:sz w:val="17"/>
          <w:szCs w:val="17"/>
          <w:color w:val="auto"/>
        </w:rPr>
        <w:t>. Each of the representations and warranties contained in the Loan Documents (and all corresponding definitions) is made after giving effect to the Transactions, unless the context otherwise requires.</w:t>
      </w:r>
    </w:p>
    <w:p>
      <w:pPr>
        <w:spacing w:after="0" w:line="113" w:lineRule="exact"/>
        <w:rPr>
          <w:sz w:val="20"/>
          <w:szCs w:val="20"/>
          <w:color w:val="auto"/>
        </w:rPr>
      </w:pPr>
    </w:p>
    <w:p>
      <w:pPr>
        <w:jc w:val="both"/>
        <w:ind w:left="100" w:right="59" w:firstLine="749"/>
        <w:spacing w:after="0" w:line="272" w:lineRule="auto"/>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u w:val="single" w:color="auto"/>
          <w:color w:val="auto"/>
        </w:rPr>
        <w:t>Timing of Payment or Performance</w:t>
      </w:r>
      <w:r>
        <w:rPr>
          <w:rFonts w:ascii="Arial" w:cs="Arial" w:eastAsia="Arial" w:hAnsi="Arial"/>
          <w:sz w:val="17"/>
          <w:szCs w:val="17"/>
          <w:color w:val="auto"/>
        </w:rPr>
        <w:t>. When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 and, in the case of any payment accruing interest, interest thereon shall be payable for the period of such extension.</w:t>
      </w:r>
    </w:p>
    <w:p>
      <w:pPr>
        <w:spacing w:after="0" w:line="153" w:lineRule="exact"/>
        <w:rPr>
          <w:sz w:val="20"/>
          <w:szCs w:val="20"/>
          <w:color w:val="auto"/>
        </w:rPr>
      </w:pPr>
    </w:p>
    <w:p>
      <w:pPr>
        <w:jc w:val="both"/>
        <w:ind w:left="100" w:right="59" w:firstLine="749"/>
        <w:spacing w:after="0" w:line="261" w:lineRule="auto"/>
        <w:rPr>
          <w:sz w:val="20"/>
          <w:szCs w:val="20"/>
          <w:color w:val="auto"/>
        </w:rPr>
      </w:pPr>
      <w:r>
        <w:rPr>
          <w:rFonts w:ascii="Arial" w:cs="Arial" w:eastAsia="Arial" w:hAnsi="Arial"/>
          <w:sz w:val="19"/>
          <w:szCs w:val="19"/>
          <w:color w:val="auto"/>
        </w:rPr>
        <w:t xml:space="preserve">Section 1.07. </w:t>
      </w:r>
      <w:r>
        <w:rPr>
          <w:rFonts w:ascii="Arial" w:cs="Arial" w:eastAsia="Arial" w:hAnsi="Arial"/>
          <w:sz w:val="19"/>
          <w:szCs w:val="19"/>
          <w:u w:val="single" w:color="auto"/>
          <w:color w:val="auto"/>
        </w:rPr>
        <w:t>Times of Day</w:t>
      </w:r>
      <w:r>
        <w:rPr>
          <w:rFonts w:ascii="Arial" w:cs="Arial" w:eastAsia="Arial" w:hAnsi="Arial"/>
          <w:sz w:val="19"/>
          <w:szCs w:val="19"/>
          <w:color w:val="auto"/>
        </w:rPr>
        <w:t>. Unless otherwise specified herein, all references herein to times of day shall be references to New York City time (daylight or standard, as applicable).</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1.08.  </w:t>
      </w:r>
      <w:r>
        <w:rPr>
          <w:rFonts w:ascii="Arial" w:cs="Arial" w:eastAsia="Arial" w:hAnsi="Arial"/>
          <w:sz w:val="19"/>
          <w:szCs w:val="19"/>
          <w:u w:val="single" w:color="auto"/>
          <w:color w:val="auto"/>
        </w:rPr>
        <w:t>Currency Equivalents Generally</w:t>
      </w:r>
      <w:r>
        <w:rPr>
          <w:rFonts w:ascii="Arial" w:cs="Arial" w:eastAsia="Arial" w:hAnsi="Arial"/>
          <w:sz w:val="19"/>
          <w:szCs w:val="19"/>
          <w:color w:val="auto"/>
        </w:rPr>
        <w:t>.</w:t>
      </w:r>
    </w:p>
    <w:p>
      <w:pPr>
        <w:spacing w:after="0" w:line="200" w:lineRule="exact"/>
        <w:rPr>
          <w:sz w:val="20"/>
          <w:szCs w:val="20"/>
          <w:color w:val="auto"/>
        </w:rPr>
      </w:pPr>
    </w:p>
    <w:p>
      <w:pPr>
        <w:jc w:val="both"/>
        <w:ind w:left="100" w:right="59" w:firstLine="742"/>
        <w:spacing w:after="0" w:line="263" w:lineRule="auto"/>
        <w:tabs>
          <w:tab w:leader="none" w:pos="15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Administrative Agent shall determine the Spot Rate as of each Revaluation Date to be used for calculating the Dollar Equivalent amount of any Revolving Loan and/or Letter of Credit that is denominated in any Alternate Currency. The Spot Rate shall become effective as of such Revaluation Date and shall be the Spot Rate employed in converting any amount between any Alternate Currency and Dollars until the next occurring Revaluation Date.</w:t>
      </w:r>
    </w:p>
    <w:p>
      <w:pPr>
        <w:spacing w:after="0" w:line="186" w:lineRule="exact"/>
        <w:rPr>
          <w:rFonts w:ascii="Arial" w:cs="Arial" w:eastAsia="Arial" w:hAnsi="Arial"/>
          <w:sz w:val="18"/>
          <w:szCs w:val="18"/>
          <w:color w:val="auto"/>
        </w:rPr>
      </w:pPr>
    </w:p>
    <w:p>
      <w:pPr>
        <w:jc w:val="both"/>
        <w:ind w:left="100" w:right="59" w:firstLine="742"/>
        <w:spacing w:after="0" w:line="268" w:lineRule="auto"/>
        <w:tabs>
          <w:tab w:leader="none" w:pos="152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 xml:space="preserve">For purposes of any determination under </w:t>
      </w:r>
      <w:r>
        <w:rPr>
          <w:rFonts w:ascii="Arial" w:cs="Arial" w:eastAsia="Arial" w:hAnsi="Arial"/>
          <w:sz w:val="17"/>
          <w:szCs w:val="17"/>
          <w:u w:val="single" w:color="auto"/>
          <w:color w:val="auto"/>
        </w:rPr>
        <w:t>Article 1</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6.10(a)</w:t>
      </w:r>
      <w:r>
        <w:rPr>
          <w:rFonts w:ascii="Arial" w:cs="Arial" w:eastAsia="Arial" w:hAnsi="Arial"/>
          <w:sz w:val="17"/>
          <w:szCs w:val="17"/>
          <w:color w:val="auto"/>
        </w:rPr>
        <w:t xml:space="preserve"> and the calculation of compliance with any financial ratio for purposes of taking any action hereunder) or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with respect to any Affiliate transaction, the amount of any Indebtedness, Lien, Restricted Payment, Restricted Debt Payment, Investment, Disposition or other transaction, event or circumstance, or any determination under any other provision of this Agreement, (any of the foregoing, a “</w:t>
      </w:r>
      <w:r>
        <w:rPr>
          <w:rFonts w:ascii="Arial" w:cs="Arial" w:eastAsia="Arial" w:hAnsi="Arial"/>
          <w:sz w:val="17"/>
          <w:szCs w:val="17"/>
          <w:u w:val="single" w:color="auto"/>
          <w:color w:val="auto"/>
        </w:rPr>
        <w:t>specified transaction</w:t>
      </w:r>
      <w:r>
        <w:rPr>
          <w:rFonts w:ascii="Arial" w:cs="Arial" w:eastAsia="Arial" w:hAnsi="Arial"/>
          <w:sz w:val="17"/>
          <w:szCs w:val="17"/>
          <w:color w:val="auto"/>
        </w:rPr>
        <w:t>”), in a currency other than Dollars, (i) the Dollar equivalent amount of a specified transaction in a currency other than Dollars shall be calculated based on the rate of exchange quoted by the Bloomberg Foreign Exchange Rates</w:t>
      </w:r>
    </w:p>
    <w:p>
      <w:pPr>
        <w:spacing w:after="0" w:line="2" w:lineRule="exact"/>
        <w:rPr>
          <w:rFonts w:ascii="Arial" w:cs="Arial" w:eastAsia="Arial" w:hAnsi="Arial"/>
          <w:sz w:val="17"/>
          <w:szCs w:val="17"/>
          <w:color w:val="auto"/>
        </w:rPr>
      </w:pPr>
    </w:p>
    <w:p>
      <w:pPr>
        <w:jc w:val="both"/>
        <w:ind w:left="100" w:right="59" w:hanging="7"/>
        <w:spacing w:after="0" w:line="256" w:lineRule="auto"/>
        <w:tabs>
          <w:tab w:leader="none" w:pos="31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World Currencies Page (or any successor page thereto, or in the event such rate does not appear on any Bloomberg Page, by reference to such other publicly available service for displaying exchange rates as may be agreed upon by the Administrative Agent and the Borrower) for such foreign currency, as in effect at 11:00 a.m. (London time) on the date of such specified transaction (which, in the case of any Restricted Payment, shall be deemed to be the date of the declaration thereof and, in the case of the incurrence of Indebtedness, shall be deemed to be on the date first committed); </w:t>
      </w:r>
      <w:r>
        <w:rPr>
          <w:rFonts w:ascii="Arial" w:cs="Arial" w:eastAsia="Arial" w:hAnsi="Arial"/>
          <w:sz w:val="18"/>
          <w:szCs w:val="18"/>
          <w:u w:val="single" w:color="auto"/>
          <w:color w:val="auto"/>
        </w:rPr>
        <w:t>provided</w:t>
      </w:r>
      <w:r>
        <w:rPr>
          <w:rFonts w:ascii="Arial" w:cs="Arial" w:eastAsia="Arial" w:hAnsi="Arial"/>
          <w:sz w:val="18"/>
          <w:szCs w:val="18"/>
          <w:color w:val="auto"/>
        </w:rPr>
        <w:t>, that if any Indebtedness is incurred (and, if applicable, associated Lien granted) to refinance or replace other Indebtedness denominated in a currency other than Dollars, and the relevant refinancing or replacement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67</w:t>
      </w:r>
      <w:r>
        <w:rPr>
          <w:rFonts w:ascii="Arial" w:cs="Arial" w:eastAsia="Arial" w:hAnsi="Arial"/>
          <w:sz w:val="18"/>
          <w:szCs w:val="18"/>
          <w:u w:val="single" w:color="auto"/>
          <w:color w:val="0000FF"/>
          <w:strike w:val="1"/>
        </w:rPr>
        <w:t>67</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35" w:name="page136"/>
    <w:bookmarkEnd w:id="135"/>
    <w:p>
      <w:pPr>
        <w:ind w:left="100" w:right="39"/>
        <w:spacing w:after="0" w:line="255" w:lineRule="auto"/>
        <w:rPr>
          <w:sz w:val="20"/>
          <w:szCs w:val="20"/>
          <w:color w:val="auto"/>
        </w:rPr>
      </w:pPr>
      <w:r>
        <w:rPr>
          <w:rFonts w:ascii="Arial" w:cs="Arial" w:eastAsia="Arial" w:hAnsi="Arial"/>
          <w:sz w:val="17"/>
          <w:szCs w:val="17"/>
          <w:color w:val="auto"/>
        </w:rPr>
        <w:t xml:space="preserve">would cause the applicable Dollar-denominated restriction to be exceeded if calculated at the relevant currency exchange rate in effect on the date of such refinancing or replacement, such Dollar-denominated restriction shall be deemed not to have been exceeded so long as the principal amount of such refinancing or replacement Indebtedness (and, if applicable, associated Lien granted) does not exceed an amount sufficient to repay the principal amount of such Indebtedness being refinanced or replaced, except by an amount equal to (x) unpaid accrued interest and premiums (including tender premiums) thereon plus other reasonable and customary fees and expenses (including upfront fees and original issue discount) incurred in connection with such refinancing or replacement, (y) any existing commitment unutilized thereunder and (z) any additional amount permitted to be incurred under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and (ii) for the avoidance of doubt, no Default or Event of Default shall be deemed to have occurred solely as a result of a change in the rate of currency exchange occurring after the time of any specified transaction so long as such specified transaction was permitted at the time incurred, made, acquired, committed, entered or declared as set forth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For purposes of </w:t>
      </w:r>
      <w:r>
        <w:rPr>
          <w:rFonts w:ascii="Arial" w:cs="Arial" w:eastAsia="Arial" w:hAnsi="Arial"/>
          <w:sz w:val="17"/>
          <w:szCs w:val="17"/>
          <w:u w:val="single" w:color="auto"/>
          <w:color w:val="auto"/>
        </w:rPr>
        <w:t>Section 6.10(a)</w:t>
      </w:r>
      <w:r>
        <w:rPr>
          <w:rFonts w:ascii="Arial" w:cs="Arial" w:eastAsia="Arial" w:hAnsi="Arial"/>
          <w:sz w:val="17"/>
          <w:szCs w:val="17"/>
          <w:color w:val="auto"/>
        </w:rPr>
        <w:t xml:space="preserve"> and the calculation of compliance with any financial ratio for purposes of taking any action hereunder, on any relevant date of determination, amounts denominated in currencies other than Dollars shall be translated into Dollars at the applicable currency exchange rate used in preparing the financial statements delivered pursuant to </w:t>
      </w:r>
      <w:r>
        <w:rPr>
          <w:rFonts w:ascii="Arial" w:cs="Arial" w:eastAsia="Arial" w:hAnsi="Arial"/>
          <w:sz w:val="17"/>
          <w:szCs w:val="17"/>
          <w:u w:val="single" w:color="auto"/>
          <w:color w:val="auto"/>
        </w:rPr>
        <w:t>Sections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prior to the first such delivery, the financial statements referred to in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as applicable, for the relevant Test Period and will, with respect to any Indebtedness, reflect the currency translation effects, determined in accordance with GAAP, of any Hedge Agreement permitted hereunder in respect of currency exchange risks with respect to the applicable currency in effect on the date of determination for the Dollar equivalent amount of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any Indebtedness that is subject to a Debt FX Hedge shall be determined in accordance with the definition of “Consolidated Total Debt”. Notwithstanding the foregoing or anything to the contrary herein, to the extent that the Borrower would not be in compliance with </w:t>
      </w:r>
      <w:r>
        <w:rPr>
          <w:rFonts w:ascii="Arial" w:cs="Arial" w:eastAsia="Arial" w:hAnsi="Arial"/>
          <w:sz w:val="17"/>
          <w:szCs w:val="17"/>
          <w:u w:val="single" w:color="auto"/>
          <w:color w:val="auto"/>
        </w:rPr>
        <w:t>Section 6.10(a)</w:t>
      </w:r>
      <w:r>
        <w:rPr>
          <w:rFonts w:ascii="Arial" w:cs="Arial" w:eastAsia="Arial" w:hAnsi="Arial"/>
          <w:sz w:val="17"/>
          <w:szCs w:val="17"/>
          <w:color w:val="auto"/>
        </w:rPr>
        <w:t xml:space="preserve"> if any Indebtedness denominated in a currency other than Dollars were to be translated into Dollars on the basis of the applicable currency exchange rate used in preparing the financial statements delivered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as applicable, for the relevant Test Period, but would be in compliance with </w:t>
      </w:r>
      <w:r>
        <w:rPr>
          <w:rFonts w:ascii="Arial" w:cs="Arial" w:eastAsia="Arial" w:hAnsi="Arial"/>
          <w:sz w:val="17"/>
          <w:szCs w:val="17"/>
          <w:u w:val="single" w:color="auto"/>
          <w:color w:val="auto"/>
        </w:rPr>
        <w:t>Section 6.10(a)</w:t>
      </w:r>
      <w:r>
        <w:rPr>
          <w:rFonts w:ascii="Arial" w:cs="Arial" w:eastAsia="Arial" w:hAnsi="Arial"/>
          <w:sz w:val="17"/>
          <w:szCs w:val="17"/>
          <w:color w:val="auto"/>
        </w:rPr>
        <w:t xml:space="preserve"> if such Indebtedness that is denominated in a currency other than in Dollars were instead translated into Dollars on the basis of the average relevant currency exchange rates over such Test Period (taking into account the currency translation effects, determined in accordance with GAAP, of any Hedge Agreement permitted hereunder in respect of currency exchange risks with respect to the applicable currency in effect on the date of determination for the Dollar equivalent amount of such Indebtedness), then, solely for purposes of compliance with </w:t>
      </w:r>
      <w:r>
        <w:rPr>
          <w:rFonts w:ascii="Arial" w:cs="Arial" w:eastAsia="Arial" w:hAnsi="Arial"/>
          <w:sz w:val="17"/>
          <w:szCs w:val="17"/>
          <w:u w:val="single" w:color="auto"/>
          <w:color w:val="auto"/>
        </w:rPr>
        <w:t>Section 6.10(a)</w:t>
      </w:r>
      <w:r>
        <w:rPr>
          <w:rFonts w:ascii="Arial" w:cs="Arial" w:eastAsia="Arial" w:hAnsi="Arial"/>
          <w:sz w:val="17"/>
          <w:szCs w:val="17"/>
          <w:color w:val="auto"/>
        </w:rPr>
        <w:t xml:space="preserve">, the Total Net Leverage Ratio as of the last day of such Test Period shall be calculated on the basis of such average relevant currency exchange rates;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any Indebtedness that is subject to a Debt FX Hedge shall be determined in accordance with the definition of “Consolidated Total Debt”.</w:t>
      </w:r>
    </w:p>
    <w:p>
      <w:pPr>
        <w:spacing w:after="0" w:line="187" w:lineRule="exact"/>
        <w:rPr>
          <w:sz w:val="20"/>
          <w:szCs w:val="20"/>
          <w:color w:val="auto"/>
        </w:rPr>
      </w:pPr>
    </w:p>
    <w:p>
      <w:pPr>
        <w:jc w:val="both"/>
        <w:ind w:left="100" w:right="39" w:firstLine="742"/>
        <w:spacing w:after="0" w:line="249" w:lineRule="auto"/>
        <w:tabs>
          <w:tab w:leader="none" w:pos="1522" w:val="left"/>
        </w:tabs>
        <w:numPr>
          <w:ilvl w:val="0"/>
          <w:numId w:val="102"/>
        </w:numPr>
        <w:rPr>
          <w:rFonts w:ascii="Arial" w:cs="Arial" w:eastAsia="Arial" w:hAnsi="Arial"/>
          <w:sz w:val="19"/>
          <w:szCs w:val="19"/>
          <w:color w:val="auto"/>
        </w:rPr>
      </w:pPr>
      <w:r>
        <w:rPr>
          <w:rFonts w:ascii="Arial" w:cs="Arial" w:eastAsia="Arial" w:hAnsi="Arial"/>
          <w:sz w:val="19"/>
          <w:szCs w:val="19"/>
          <w:color w:val="auto"/>
        </w:rPr>
        <w:t>Each provision of this Agreement shall be subject to such reasonable changes of construction as the Administrative Agent may from time to time specify with the Borrower’s consent to appropriately reflect a change in currency of any country and any relevant market convention or practice relating to such change in currency.</w:t>
      </w:r>
    </w:p>
    <w:p>
      <w:pPr>
        <w:spacing w:after="0" w:line="184" w:lineRule="exact"/>
        <w:rPr>
          <w:sz w:val="20"/>
          <w:szCs w:val="20"/>
          <w:color w:val="auto"/>
        </w:rPr>
      </w:pPr>
    </w:p>
    <w:p>
      <w:pPr>
        <w:ind w:left="100" w:right="139" w:firstLine="749"/>
        <w:spacing w:after="0" w:line="263" w:lineRule="auto"/>
        <w:rPr>
          <w:sz w:val="20"/>
          <w:szCs w:val="20"/>
          <w:color w:val="auto"/>
        </w:rPr>
      </w:pPr>
      <w:r>
        <w:rPr>
          <w:rFonts w:ascii="Arial" w:cs="Arial" w:eastAsia="Arial" w:hAnsi="Arial"/>
          <w:sz w:val="17"/>
          <w:szCs w:val="17"/>
          <w:color w:val="auto"/>
        </w:rPr>
        <w:t xml:space="preserve">Section 1.09. </w:t>
      </w:r>
      <w:r>
        <w:rPr>
          <w:rFonts w:ascii="Arial" w:cs="Arial" w:eastAsia="Arial" w:hAnsi="Arial"/>
          <w:sz w:val="17"/>
          <w:szCs w:val="17"/>
          <w:u w:val="single" w:color="auto"/>
          <w:color w:val="auto"/>
        </w:rPr>
        <w:t>Cashless Rollovers</w:t>
      </w:r>
      <w:r>
        <w:rPr>
          <w:rFonts w:ascii="Arial" w:cs="Arial" w:eastAsia="Arial" w:hAnsi="Arial"/>
          <w:sz w:val="17"/>
          <w:szCs w:val="17"/>
          <w:color w:val="auto"/>
        </w:rPr>
        <w:t>. Notwithstanding anything to the contrary contained in this Agreement or in any other Loan Document, to the extent that any Lender extends the maturity date of, or replaces, renews or refinances, any of its then-existing Loans with Incremental Loans, Replacement Term Loans, Loans in connection with any Revolver Replacement Facility, Extended Term Loans, Extended Revolving Loans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68</w:t>
      </w:r>
      <w:r>
        <w:rPr>
          <w:rFonts w:ascii="Arial" w:cs="Arial" w:eastAsia="Arial" w:hAnsi="Arial"/>
          <w:sz w:val="18"/>
          <w:szCs w:val="18"/>
          <w:u w:val="single" w:color="auto"/>
          <w:color w:val="0000FF"/>
          <w:strike w:val="1"/>
        </w:rPr>
        <w:t>68</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36" w:name="page137"/>
    <w:bookmarkEnd w:id="136"/>
    <w:p>
      <w:pPr>
        <w:ind w:left="840"/>
        <w:spacing w:after="0"/>
        <w:rPr>
          <w:sz w:val="20"/>
          <w:szCs w:val="20"/>
          <w:color w:val="auto"/>
        </w:rPr>
      </w:pPr>
      <w:r>
        <w:rPr>
          <w:rFonts w:ascii="Arial" w:cs="Arial" w:eastAsia="Arial" w:hAnsi="Arial"/>
          <w:sz w:val="19"/>
          <w:szCs w:val="19"/>
          <w:color w:val="auto"/>
        </w:rPr>
        <w:t xml:space="preserve">Section 1.10.  </w:t>
      </w:r>
      <w:r>
        <w:rPr>
          <w:rFonts w:ascii="Arial" w:cs="Arial" w:eastAsia="Arial" w:hAnsi="Arial"/>
          <w:sz w:val="19"/>
          <w:szCs w:val="19"/>
          <w:u w:val="single" w:color="auto"/>
          <w:color w:val="auto"/>
        </w:rPr>
        <w:t>Alternate Currencies</w:t>
      </w:r>
      <w:r>
        <w:rPr>
          <w:rFonts w:ascii="Arial" w:cs="Arial" w:eastAsia="Arial" w:hAnsi="Arial"/>
          <w:sz w:val="19"/>
          <w:szCs w:val="19"/>
          <w:color w:val="auto"/>
        </w:rPr>
        <w:t>.</w:t>
      </w:r>
    </w:p>
    <w:p>
      <w:pPr>
        <w:spacing w:after="0" w:line="214" w:lineRule="exact"/>
        <w:rPr>
          <w:sz w:val="20"/>
          <w:szCs w:val="20"/>
          <w:color w:val="auto"/>
        </w:rPr>
      </w:pPr>
    </w:p>
    <w:p>
      <w:pPr>
        <w:jc w:val="both"/>
        <w:ind w:left="100" w:right="19" w:firstLine="742"/>
        <w:spacing w:after="0" w:line="276" w:lineRule="auto"/>
        <w:tabs>
          <w:tab w:leader="none" w:pos="1522"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The Borrower may from time to time request that Revolving Loans be made and/or Letters of Credit be issued in an Alternate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relevant requested currency is a lawful currency (other than Dollars) that is readily available and freely transferable and convertible into Dollars;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Swingline Loans may only be made in Dollars. In the case of any such request with respect to the making of Revolving Loans, such request shall be subject to the approval of the Administrative Agent and the Revolving Lenders and in the case of any such request with respect to the issuance of Letters of Credit, such request shall be subject to the approval of the Administrative Agent and each applicable Issuing Bank.</w:t>
      </w:r>
    </w:p>
    <w:p>
      <w:pPr>
        <w:spacing w:after="0" w:line="163" w:lineRule="exact"/>
        <w:rPr>
          <w:rFonts w:ascii="Arial" w:cs="Arial" w:eastAsia="Arial" w:hAnsi="Arial"/>
          <w:sz w:val="17"/>
          <w:szCs w:val="17"/>
          <w:color w:val="auto"/>
        </w:rPr>
      </w:pPr>
    </w:p>
    <w:p>
      <w:pPr>
        <w:jc w:val="both"/>
        <w:ind w:left="100" w:right="19" w:firstLine="742"/>
        <w:spacing w:after="0" w:line="275" w:lineRule="auto"/>
        <w:tabs>
          <w:tab w:leader="none" w:pos="1523"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Any such request shall be made to the Administrative Agent not later than 11:00 a.m. 10 Business Days prior to the date of any Credit Extension to be made in the applicable Alternate Currency (or such other time or date as may be agreed by the Administrative Agent). In the case of any such request pertaining to Revolving Loans, the Administrative Agent shall promptly notify each Revolving Lender thereof and in the case of any such request pertaining to Letters of Credit, the Administrative Agent shall promptly notify each applicable Issuing Bank thereof. Each such Revolving Lender (in the case of any such request pertaining to Revolving Loans) and/or each applicable Issuing Bank (in the case of a request pertaining to Letters of Credit) shall notify the Administrative Agent, not later than 11:00 a.m., five Business Days after receipt of such request whether it consents, in its sole discretion, to the making of Revolving Loans or the issuance of Letters of Credit, as the case may be, in such requested currency.</w:t>
      </w:r>
    </w:p>
    <w:p>
      <w:pPr>
        <w:spacing w:after="0" w:line="165" w:lineRule="exact"/>
        <w:rPr>
          <w:rFonts w:ascii="Arial" w:cs="Arial" w:eastAsia="Arial" w:hAnsi="Arial"/>
          <w:sz w:val="17"/>
          <w:szCs w:val="17"/>
          <w:color w:val="auto"/>
        </w:rPr>
      </w:pPr>
    </w:p>
    <w:p>
      <w:pPr>
        <w:jc w:val="both"/>
        <w:ind w:left="100" w:right="59" w:firstLine="741"/>
        <w:spacing w:after="0" w:line="272" w:lineRule="auto"/>
        <w:tabs>
          <w:tab w:leader="none" w:pos="15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Any failure by any Revolving Lender or the relevant Issuing Bank, as the case may be, to respond to such request within the time period specified in the preceding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shall be deemed to be a refusal by such Revolving Lender or Issuing Bank, as the case may be, to permit Revolving Loans to be made or Letters of Credit to be issued, as applicable, in such requested currency. If the Administrative Agent and all the Revolving Lenders that would be obligated to make Credit Extensions denominated in such requested currency consent to making Revolving Loans in the requested currency, the Administrative Agent shall so notify the Borrower, and such currency shall thereupon be deemed for all purposes to be an Alternate Currency hereunder for purposes of any Borrowing of Revolving Loans and if the Administrative Agent and each applicable Issuing Bank consent to the issuance of Letters of Credit in the requested currency, the Administrative Agent shall so notify the Borrower and such currency shall thereupon be deemed for all purposes to be an Alternate Currency hereunder for purposes of any Letter of Credit issuance. If the Administrative Agent fails to obtain the requisite consent to any request for an additional currency under this </w:t>
      </w:r>
      <w:r>
        <w:rPr>
          <w:rFonts w:ascii="Arial" w:cs="Arial" w:eastAsia="Arial" w:hAnsi="Arial"/>
          <w:sz w:val="17"/>
          <w:szCs w:val="17"/>
          <w:u w:val="single" w:color="auto"/>
          <w:color w:val="auto"/>
        </w:rPr>
        <w:t>Section 1.10</w:t>
      </w:r>
      <w:r>
        <w:rPr>
          <w:rFonts w:ascii="Arial" w:cs="Arial" w:eastAsia="Arial" w:hAnsi="Arial"/>
          <w:sz w:val="17"/>
          <w:szCs w:val="17"/>
          <w:color w:val="auto"/>
        </w:rPr>
        <w:t>, the Administrative Agent shall promptly so notify the Borrower.</w:t>
      </w:r>
    </w:p>
    <w:p>
      <w:pPr>
        <w:spacing w:after="0" w:line="168" w:lineRule="exact"/>
        <w:rPr>
          <w:rFonts w:ascii="Arial" w:cs="Arial" w:eastAsia="Arial" w:hAnsi="Arial"/>
          <w:sz w:val="17"/>
          <w:szCs w:val="17"/>
          <w:color w:val="auto"/>
        </w:rPr>
      </w:pPr>
    </w:p>
    <w:p>
      <w:pPr>
        <w:jc w:val="both"/>
        <w:ind w:left="100" w:right="59" w:firstLine="741"/>
        <w:spacing w:after="0" w:line="242" w:lineRule="auto"/>
        <w:tabs>
          <w:tab w:leader="none" w:pos="152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It being understood that in connection with the establishment of any Alternate Currency, the Administrative Agent and the Borrower shall be authorized, without the consent of any Lender or Issuing Bank, to amend this Agreement and the other Loan Documents to the extent necessary or advisable to implement such Alternate Currency under the Loan Documents</w:t>
      </w:r>
      <w:r>
        <w:rPr>
          <w:rFonts w:ascii="Arial" w:cs="Arial" w:eastAsia="Arial" w:hAnsi="Arial"/>
          <w:sz w:val="19"/>
          <w:szCs w:val="19"/>
          <w:color w:val="FF0000"/>
        </w:rPr>
        <w:t>.</w:t>
      </w:r>
      <w:r>
        <w:rPr>
          <w:rFonts w:ascii="Arial" w:cs="Arial" w:eastAsia="Arial" w:hAnsi="Arial"/>
          <w:sz w:val="19"/>
          <w:szCs w:val="19"/>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provided that, the implementation of any benchmark and successor rate with respect to such Alternate Currency shall be reasonably acceptable to the Revolving Lenders and in the case of any such request with respect to the issuance of Letters of Credit, each applicable Issuing Bank.</w:t>
      </w:r>
    </w:p>
    <w:p>
      <w:pPr>
        <w:spacing w:after="0" w:line="271" w:lineRule="exact"/>
        <w:rPr>
          <w:sz w:val="20"/>
          <w:szCs w:val="20"/>
          <w:color w:val="auto"/>
        </w:rPr>
      </w:pPr>
    </w:p>
    <w:p>
      <w:pPr>
        <w:jc w:val="both"/>
        <w:ind w:left="100" w:right="39" w:firstLine="749"/>
        <w:spacing w:after="0" w:line="263" w:lineRule="auto"/>
        <w:rPr>
          <w:sz w:val="20"/>
          <w:szCs w:val="20"/>
          <w:color w:val="auto"/>
        </w:rPr>
      </w:pPr>
      <w:r>
        <w:rPr>
          <w:rFonts w:ascii="Arial" w:cs="Arial" w:eastAsia="Arial" w:hAnsi="Arial"/>
          <w:sz w:val="17"/>
          <w:szCs w:val="17"/>
          <w:color w:val="0000FF"/>
        </w:rPr>
        <w:t xml:space="preserve">Section 1.11. </w:t>
      </w:r>
      <w:r>
        <w:rPr>
          <w:rFonts w:ascii="Arial" w:cs="Arial" w:eastAsia="Arial" w:hAnsi="Arial"/>
          <w:sz w:val="17"/>
          <w:szCs w:val="17"/>
          <w:u w:val="single" w:color="auto"/>
          <w:color w:val="0000FF"/>
        </w:rPr>
        <w:t>Rates. The Administrative Agent does not warrant, nor accept responsibility, nor shall the Administrative</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69</w:t>
      </w:r>
      <w:r>
        <w:rPr>
          <w:rFonts w:ascii="Arial" w:cs="Arial" w:eastAsia="Arial" w:hAnsi="Arial"/>
          <w:sz w:val="18"/>
          <w:szCs w:val="18"/>
          <w:u w:val="single" w:color="auto"/>
          <w:color w:val="0000FF"/>
          <w:strike w:val="1"/>
        </w:rPr>
        <w:t>69</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37" w:name="page138"/>
    <w:bookmarkEnd w:id="137"/>
    <w:p>
      <w:pPr>
        <w:ind w:left="100" w:right="19"/>
        <w:spacing w:after="0" w:line="263" w:lineRule="auto"/>
        <w:rPr>
          <w:sz w:val="20"/>
          <w:szCs w:val="20"/>
          <w:color w:val="auto"/>
        </w:rPr>
      </w:pPr>
      <w:r>
        <w:rPr>
          <w:rFonts w:ascii="Arial" w:cs="Arial" w:eastAsia="Arial" w:hAnsi="Arial"/>
          <w:sz w:val="17"/>
          <w:szCs w:val="17"/>
          <w:u w:val="single" w:color="auto"/>
          <w:color w:val="0000FF"/>
        </w:rPr>
        <w:t>a manner adverse to the Borrower.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256" w:lineRule="exact"/>
        <w:rPr>
          <w:sz w:val="20"/>
          <w:szCs w:val="20"/>
          <w:color w:val="auto"/>
        </w:rPr>
      </w:pPr>
    </w:p>
    <w:p>
      <w:pPr>
        <w:ind w:left="100" w:right="159" w:firstLine="749"/>
        <w:spacing w:after="0" w:line="230" w:lineRule="auto"/>
        <w:rPr>
          <w:sz w:val="20"/>
          <w:szCs w:val="20"/>
          <w:color w:val="auto"/>
        </w:rPr>
      </w:pPr>
      <w:r>
        <w:rPr>
          <w:rFonts w:ascii="Arial" w:cs="Arial" w:eastAsia="Arial" w:hAnsi="Arial"/>
          <w:sz w:val="19"/>
          <w:szCs w:val="19"/>
          <w:color w:val="FF0000"/>
          <w:strike w:val="1"/>
        </w:rPr>
        <w:t xml:space="preserve">Section 1.11. </w:t>
      </w:r>
      <w:r>
        <w:rPr>
          <w:rFonts w:ascii="Arial" w:cs="Arial" w:eastAsia="Arial" w:hAnsi="Arial"/>
          <w:sz w:val="19"/>
          <w:szCs w:val="19"/>
          <w:u w:val="single" w:color="auto"/>
          <w:color w:val="FF0000"/>
          <w:strike w:val="1"/>
        </w:rPr>
        <w:t>Rates; LIBOR Notification</w:t>
      </w:r>
      <w:r>
        <w:rPr>
          <w:rFonts w:ascii="Arial" w:cs="Arial" w:eastAsia="Arial" w:hAnsi="Arial"/>
          <w:sz w:val="19"/>
          <w:szCs w:val="19"/>
          <w:color w:val="FF0000"/>
          <w:strike w:val="1"/>
        </w:rPr>
        <w:t>. The interest rate on LIBO Rate Loans is determined by reference to the Published LIBO Rate, which is der ived from the London interbank offered rate. The London interbank offered rate is intended to represent the rate at which contr ibuting banks may obtain short-term borrowings from each other in the London interbank market. In July 2017, the U.K. Financial Conduct Author ity announced that, after the end of 2021, it would no longer persuade or compel contr ibuting banks to make rate submissions to the ICE Benchmark Administration (together with any successor to the ICE Benchmark Administrator, the “</w:t>
      </w:r>
      <w:r>
        <w:rPr>
          <w:rFonts w:ascii="Arial" w:cs="Arial" w:eastAsia="Arial" w:hAnsi="Arial"/>
          <w:sz w:val="19"/>
          <w:szCs w:val="19"/>
          <w:u w:val="single" w:color="auto"/>
          <w:color w:val="FF0000"/>
          <w:strike w:val="1"/>
        </w:rPr>
        <w:t>IBA</w:t>
      </w:r>
      <w:r>
        <w:rPr>
          <w:rFonts w:ascii="Arial" w:cs="Arial" w:eastAsia="Arial" w:hAnsi="Arial"/>
          <w:sz w:val="19"/>
          <w:szCs w:val="19"/>
          <w:color w:val="FF0000"/>
          <w:strike w:val="1"/>
        </w:rPr>
        <w:t>”) for purposes of the IBA setting the London interbank offered rate. On March 5, 2021, the IBA stated that as a result of its not having access to input data necessary to calculate LIBOR settings on a representative basis beyond the intended cessation dates set forth in the table below, it would have to cease publication of all 35 LIBOR settings immediately after such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127000</wp:posOffset>
            </wp:positionV>
            <wp:extent cx="6345555" cy="127952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9">
                      <a:extLst>
                        <a:ext uri="{28A0092B-C50C-407E-A947-70E740481C1C}"/>
                      </a:extLst>
                    </a:blip>
                    <a:srcRect/>
                    <a:stretch>
                      <a:fillRect/>
                    </a:stretch>
                  </pic:blipFill>
                  <pic:spPr bwMode="auto">
                    <a:xfrm>
                      <a:off x="0" y="0"/>
                      <a:ext cx="6345555" cy="1279525"/>
                    </a:xfrm>
                    <a:prstGeom prst="rect">
                      <a:avLst/>
                    </a:prstGeom>
                    <a:noFill/>
                  </pic:spPr>
                </pic:pic>
              </a:graphicData>
            </a:graphic>
          </wp:anchor>
        </w:drawing>
      </w:r>
    </w:p>
    <w:p>
      <w:pPr>
        <w:spacing w:after="0" w:line="283" w:lineRule="exact"/>
        <w:rPr>
          <w:sz w:val="20"/>
          <w:szCs w:val="20"/>
          <w:color w:val="auto"/>
        </w:rPr>
      </w:pPr>
    </w:p>
    <w:tbl>
      <w:tblPr>
        <w:tblLayout w:type="fixed"/>
        <w:tblInd w:w="200" w:type="dxa"/>
        <w:tblCellMar>
          <w:top w:w="0" w:type="dxa"/>
          <w:left w:w="0" w:type="dxa"/>
          <w:bottom w:w="0" w:type="dxa"/>
          <w:right w:w="0" w:type="dxa"/>
        </w:tblCellMar>
      </w:tblPr>
      <w:tr>
        <w:trPr>
          <w:trHeight w:val="240"/>
        </w:trPr>
        <w:tc>
          <w:tcPr>
            <w:tcW w:w="2180" w:type="dxa"/>
            <w:vAlign w:val="bottom"/>
          </w:tcPr>
          <w:p>
            <w:pPr>
              <w:spacing w:after="0"/>
              <w:rPr>
                <w:sz w:val="20"/>
                <w:szCs w:val="20"/>
                <w:color w:val="auto"/>
              </w:rPr>
            </w:pPr>
            <w:r>
              <w:rPr>
                <w:rFonts w:ascii="Arial" w:cs="Arial" w:eastAsia="Arial" w:hAnsi="Arial"/>
                <w:sz w:val="19"/>
                <w:szCs w:val="19"/>
                <w:color w:val="FF0000"/>
                <w:strike w:val="1"/>
              </w:rPr>
              <w:t>LIBOR Currency</w:t>
            </w:r>
          </w:p>
        </w:tc>
        <w:tc>
          <w:tcPr>
            <w:tcW w:w="4320" w:type="dxa"/>
            <w:vAlign w:val="bottom"/>
          </w:tcPr>
          <w:p>
            <w:pPr>
              <w:ind w:left="480"/>
              <w:spacing w:after="0"/>
              <w:rPr>
                <w:sz w:val="20"/>
                <w:szCs w:val="20"/>
                <w:color w:val="auto"/>
              </w:rPr>
            </w:pPr>
            <w:r>
              <w:rPr>
                <w:rFonts w:ascii="Arial" w:cs="Arial" w:eastAsia="Arial" w:hAnsi="Arial"/>
                <w:sz w:val="19"/>
                <w:szCs w:val="19"/>
                <w:color w:val="FF0000"/>
                <w:strike w:val="1"/>
              </w:rPr>
              <w:t>LIBOR Settings</w:t>
            </w:r>
          </w:p>
        </w:tc>
        <w:tc>
          <w:tcPr>
            <w:tcW w:w="1640" w:type="dxa"/>
            <w:vAlign w:val="bottom"/>
          </w:tcPr>
          <w:p>
            <w:pPr>
              <w:ind w:left="140"/>
              <w:spacing w:after="0"/>
              <w:rPr>
                <w:sz w:val="20"/>
                <w:szCs w:val="20"/>
                <w:color w:val="auto"/>
              </w:rPr>
            </w:pPr>
            <w:r>
              <w:rPr>
                <w:rFonts w:ascii="Arial" w:cs="Arial" w:eastAsia="Arial" w:hAnsi="Arial"/>
                <w:sz w:val="19"/>
                <w:szCs w:val="19"/>
                <w:color w:val="FF0000"/>
                <w:strike w:val="1"/>
              </w:rPr>
              <w:t>Date</w:t>
            </w:r>
          </w:p>
        </w:tc>
        <w:tc>
          <w:tcPr>
            <w:tcW w:w="0" w:type="dxa"/>
            <w:vAlign w:val="bottom"/>
          </w:tcPr>
          <w:p>
            <w:pPr>
              <w:spacing w:after="0"/>
              <w:rPr>
                <w:sz w:val="1"/>
                <w:szCs w:val="1"/>
                <w:color w:val="auto"/>
              </w:rPr>
            </w:pPr>
          </w:p>
        </w:tc>
      </w:tr>
      <w:tr>
        <w:trPr>
          <w:trHeight w:val="432"/>
        </w:trPr>
        <w:tc>
          <w:tcPr>
            <w:tcW w:w="2180" w:type="dxa"/>
            <w:vAlign w:val="bottom"/>
          </w:tcPr>
          <w:p>
            <w:pPr>
              <w:spacing w:after="0"/>
              <w:rPr>
                <w:sz w:val="20"/>
                <w:szCs w:val="20"/>
                <w:color w:val="auto"/>
              </w:rPr>
            </w:pPr>
            <w:r>
              <w:rPr>
                <w:rFonts w:ascii="Arial" w:cs="Arial" w:eastAsia="Arial" w:hAnsi="Arial"/>
                <w:sz w:val="19"/>
                <w:szCs w:val="19"/>
                <w:color w:val="FF0000"/>
                <w:strike w:val="1"/>
              </w:rPr>
              <w:t>Dollars</w:t>
            </w:r>
          </w:p>
        </w:tc>
        <w:tc>
          <w:tcPr>
            <w:tcW w:w="4320" w:type="dxa"/>
            <w:vAlign w:val="bottom"/>
          </w:tcPr>
          <w:p>
            <w:pPr>
              <w:ind w:left="480"/>
              <w:spacing w:after="0"/>
              <w:rPr>
                <w:sz w:val="20"/>
                <w:szCs w:val="20"/>
                <w:color w:val="auto"/>
              </w:rPr>
            </w:pPr>
            <w:r>
              <w:rPr>
                <w:rFonts w:ascii="Arial" w:cs="Arial" w:eastAsia="Arial" w:hAnsi="Arial"/>
                <w:sz w:val="19"/>
                <w:szCs w:val="19"/>
                <w:color w:val="FF0000"/>
                <w:strike w:val="1"/>
              </w:rPr>
              <w:t>1-week, 2-month</w:t>
            </w:r>
          </w:p>
        </w:tc>
        <w:tc>
          <w:tcPr>
            <w:tcW w:w="1640" w:type="dxa"/>
            <w:vAlign w:val="bottom"/>
          </w:tcPr>
          <w:p>
            <w:pPr>
              <w:ind w:left="140"/>
              <w:spacing w:after="0"/>
              <w:rPr>
                <w:sz w:val="20"/>
                <w:szCs w:val="20"/>
                <w:color w:val="auto"/>
              </w:rPr>
            </w:pPr>
            <w:r>
              <w:rPr>
                <w:rFonts w:ascii="Arial" w:cs="Arial" w:eastAsia="Arial" w:hAnsi="Arial"/>
                <w:sz w:val="19"/>
                <w:szCs w:val="19"/>
                <w:color w:val="FF0000"/>
                <w:strike w:val="1"/>
                <w:w w:val="88"/>
              </w:rPr>
              <w:t>December 31, 2021</w:t>
            </w:r>
          </w:p>
        </w:tc>
        <w:tc>
          <w:tcPr>
            <w:tcW w:w="0" w:type="dxa"/>
            <w:vAlign w:val="bottom"/>
          </w:tcPr>
          <w:p>
            <w:pPr>
              <w:spacing w:after="0"/>
              <w:rPr>
                <w:sz w:val="1"/>
                <w:szCs w:val="1"/>
                <w:color w:val="auto"/>
              </w:rPr>
            </w:pPr>
          </w:p>
        </w:tc>
      </w:tr>
      <w:tr>
        <w:trPr>
          <w:trHeight w:val="313"/>
        </w:trPr>
        <w:tc>
          <w:tcPr>
            <w:tcW w:w="2180" w:type="dxa"/>
            <w:vAlign w:val="bottom"/>
            <w:vMerge w:val="restart"/>
          </w:tcPr>
          <w:p>
            <w:pPr>
              <w:spacing w:after="0"/>
              <w:rPr>
                <w:sz w:val="20"/>
                <w:szCs w:val="20"/>
                <w:color w:val="auto"/>
              </w:rPr>
            </w:pPr>
            <w:r>
              <w:rPr>
                <w:rFonts w:ascii="Arial" w:cs="Arial" w:eastAsia="Arial" w:hAnsi="Arial"/>
                <w:sz w:val="19"/>
                <w:szCs w:val="19"/>
                <w:color w:val="FF0000"/>
                <w:strike w:val="1"/>
              </w:rPr>
              <w:t>Dollars</w:t>
            </w:r>
          </w:p>
        </w:tc>
        <w:tc>
          <w:tcPr>
            <w:tcW w:w="4320" w:type="dxa"/>
            <w:vAlign w:val="bottom"/>
          </w:tcPr>
          <w:p>
            <w:pPr>
              <w:ind w:left="480"/>
              <w:spacing w:after="0"/>
              <w:rPr>
                <w:sz w:val="20"/>
                <w:szCs w:val="20"/>
                <w:color w:val="auto"/>
              </w:rPr>
            </w:pPr>
            <w:r>
              <w:rPr>
                <w:rFonts w:ascii="Arial" w:cs="Arial" w:eastAsia="Arial" w:hAnsi="Arial"/>
                <w:sz w:val="19"/>
                <w:szCs w:val="19"/>
                <w:color w:val="FF0000"/>
                <w:strike w:val="1"/>
              </w:rPr>
              <w:t>All other settings</w:t>
            </w:r>
          </w:p>
        </w:tc>
        <w:tc>
          <w:tcPr>
            <w:tcW w:w="1640" w:type="dxa"/>
            <w:vAlign w:val="bottom"/>
            <w:vMerge w:val="restart"/>
          </w:tcPr>
          <w:p>
            <w:pPr>
              <w:ind w:left="140"/>
              <w:spacing w:after="0"/>
              <w:rPr>
                <w:sz w:val="20"/>
                <w:szCs w:val="20"/>
                <w:color w:val="auto"/>
              </w:rPr>
            </w:pPr>
            <w:r>
              <w:rPr>
                <w:rFonts w:ascii="Arial" w:cs="Arial" w:eastAsia="Arial" w:hAnsi="Arial"/>
                <w:sz w:val="19"/>
                <w:szCs w:val="19"/>
                <w:color w:val="FF0000"/>
                <w:strike w:val="1"/>
              </w:rPr>
              <w:t>June 30, 2023</w:t>
            </w:r>
          </w:p>
        </w:tc>
        <w:tc>
          <w:tcPr>
            <w:tcW w:w="0" w:type="dxa"/>
            <w:vAlign w:val="bottom"/>
          </w:tcPr>
          <w:p>
            <w:pPr>
              <w:spacing w:after="0"/>
              <w:rPr>
                <w:sz w:val="1"/>
                <w:szCs w:val="1"/>
                <w:color w:val="auto"/>
              </w:rPr>
            </w:pPr>
          </w:p>
        </w:tc>
      </w:tr>
      <w:tr>
        <w:trPr>
          <w:trHeight w:val="105"/>
        </w:trPr>
        <w:tc>
          <w:tcPr>
            <w:tcW w:w="2180" w:type="dxa"/>
            <w:vAlign w:val="bottom"/>
            <w:vMerge w:val="continue"/>
          </w:tcPr>
          <w:p>
            <w:pPr>
              <w:spacing w:after="0"/>
              <w:rPr>
                <w:sz w:val="9"/>
                <w:szCs w:val="9"/>
                <w:color w:val="auto"/>
              </w:rPr>
            </w:pPr>
          </w:p>
        </w:tc>
        <w:tc>
          <w:tcPr>
            <w:tcW w:w="4320" w:type="dxa"/>
            <w:vAlign w:val="bottom"/>
            <w:vMerge w:val="restart"/>
          </w:tcPr>
          <w:p>
            <w:pPr>
              <w:ind w:left="480"/>
              <w:spacing w:after="0"/>
              <w:rPr>
                <w:sz w:val="20"/>
                <w:szCs w:val="20"/>
                <w:color w:val="auto"/>
              </w:rPr>
            </w:pPr>
            <w:r>
              <w:rPr>
                <w:rFonts w:ascii="Arial" w:cs="Arial" w:eastAsia="Arial" w:hAnsi="Arial"/>
                <w:sz w:val="19"/>
                <w:szCs w:val="19"/>
                <w:color w:val="FF0000"/>
                <w:strike w:val="1"/>
                <w:w w:val="95"/>
              </w:rPr>
              <w:t>(i.e., Overnight/Spot Next, 1-month, 3-month, 6-</w:t>
            </w: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4320" w:type="dxa"/>
            <w:vAlign w:val="bottom"/>
            <w:vMerge w:val="continue"/>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4320" w:type="dxa"/>
            <w:vAlign w:val="bottom"/>
          </w:tcPr>
          <w:p>
            <w:pPr>
              <w:ind w:left="480"/>
              <w:spacing w:after="0"/>
              <w:rPr>
                <w:sz w:val="20"/>
                <w:szCs w:val="20"/>
                <w:color w:val="auto"/>
              </w:rPr>
            </w:pPr>
            <w:r>
              <w:rPr>
                <w:rFonts w:ascii="Arial" w:cs="Arial" w:eastAsia="Arial" w:hAnsi="Arial"/>
                <w:sz w:val="19"/>
                <w:szCs w:val="19"/>
                <w:color w:val="FF0000"/>
                <w:strike w:val="1"/>
              </w:rPr>
              <w:t>month and 12-month)</w:t>
            </w: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2180" w:type="dxa"/>
            <w:vAlign w:val="bottom"/>
          </w:tcPr>
          <w:p>
            <w:pPr>
              <w:spacing w:after="0"/>
              <w:rPr>
                <w:sz w:val="20"/>
                <w:szCs w:val="20"/>
                <w:color w:val="auto"/>
              </w:rPr>
            </w:pPr>
            <w:r>
              <w:rPr>
                <w:rFonts w:ascii="Arial" w:cs="Arial" w:eastAsia="Arial" w:hAnsi="Arial"/>
                <w:sz w:val="19"/>
                <w:szCs w:val="19"/>
                <w:color w:val="FF0000"/>
                <w:strike w:val="1"/>
              </w:rPr>
              <w:t>GBP, EUR, CHF, JPY</w:t>
            </w:r>
          </w:p>
        </w:tc>
        <w:tc>
          <w:tcPr>
            <w:tcW w:w="4320" w:type="dxa"/>
            <w:vAlign w:val="bottom"/>
          </w:tcPr>
          <w:p>
            <w:pPr>
              <w:ind w:left="480"/>
              <w:spacing w:after="0"/>
              <w:rPr>
                <w:sz w:val="20"/>
                <w:szCs w:val="20"/>
                <w:color w:val="auto"/>
              </w:rPr>
            </w:pPr>
            <w:r>
              <w:rPr>
                <w:rFonts w:ascii="Arial" w:cs="Arial" w:eastAsia="Arial" w:hAnsi="Arial"/>
                <w:sz w:val="19"/>
                <w:szCs w:val="19"/>
                <w:color w:val="FF0000"/>
                <w:strike w:val="1"/>
              </w:rPr>
              <w:t>All settings</w:t>
            </w:r>
          </w:p>
        </w:tc>
        <w:tc>
          <w:tcPr>
            <w:tcW w:w="1640" w:type="dxa"/>
            <w:vAlign w:val="bottom"/>
          </w:tcPr>
          <w:p>
            <w:pPr>
              <w:ind w:left="140"/>
              <w:spacing w:after="0"/>
              <w:rPr>
                <w:sz w:val="20"/>
                <w:szCs w:val="20"/>
                <w:color w:val="auto"/>
              </w:rPr>
            </w:pPr>
            <w:r>
              <w:rPr>
                <w:rFonts w:ascii="Arial" w:cs="Arial" w:eastAsia="Arial" w:hAnsi="Arial"/>
                <w:sz w:val="19"/>
                <w:szCs w:val="19"/>
                <w:color w:val="FF0000"/>
                <w:strike w:val="1"/>
                <w:w w:val="88"/>
              </w:rPr>
              <w:t>December 31, 2021</w:t>
            </w:r>
          </w:p>
        </w:tc>
        <w:tc>
          <w:tcPr>
            <w:tcW w:w="0" w:type="dxa"/>
            <w:vAlign w:val="bottom"/>
          </w:tcPr>
          <w:p>
            <w:pPr>
              <w:spacing w:after="0"/>
              <w:rPr>
                <w:sz w:val="1"/>
                <w:szCs w:val="1"/>
                <w:color w:val="auto"/>
              </w:rPr>
            </w:pPr>
          </w:p>
        </w:tc>
      </w:tr>
    </w:tbl>
    <w:p>
      <w:pPr>
        <w:spacing w:after="0" w:line="286" w:lineRule="exact"/>
        <w:rPr>
          <w:sz w:val="20"/>
          <w:szCs w:val="20"/>
          <w:color w:val="auto"/>
        </w:rPr>
      </w:pPr>
    </w:p>
    <w:p>
      <w:pPr>
        <w:jc w:val="both"/>
        <w:ind w:left="100" w:right="59"/>
        <w:spacing w:after="0" w:line="233" w:lineRule="auto"/>
        <w:rPr>
          <w:sz w:val="20"/>
          <w:szCs w:val="20"/>
          <w:color w:val="auto"/>
        </w:rPr>
      </w:pPr>
      <w:r>
        <w:rPr>
          <w:rFonts w:ascii="Arial" w:cs="Arial" w:eastAsia="Arial" w:hAnsi="Arial"/>
          <w:sz w:val="19"/>
          <w:szCs w:val="19"/>
          <w:color w:val="FF0000"/>
        </w:rPr>
        <w:t xml:space="preserve">The IBA did not identify any successor administrator in its announcement. In light of this eventuality, public and private sector industry initiatives are currently underway to identify new or alternative reference rates to be used in place of the London interbank offered rate. </w:t>
      </w:r>
      <w:r>
        <w:rPr>
          <w:rFonts w:ascii="Arial" w:cs="Arial" w:eastAsia="Arial" w:hAnsi="Arial"/>
          <w:sz w:val="19"/>
          <w:szCs w:val="19"/>
          <w:u w:val="single" w:color="auto"/>
          <w:color w:val="FF0000"/>
        </w:rPr>
        <w:t>Section 1.13</w:t>
      </w:r>
      <w:r>
        <w:rPr>
          <w:rFonts w:ascii="Arial" w:cs="Arial" w:eastAsia="Arial" w:hAnsi="Arial"/>
          <w:sz w:val="19"/>
          <w:szCs w:val="19"/>
          <w:color w:val="FF0000"/>
        </w:rPr>
        <w:t xml:space="preserve"> provides a mechanism for determining an alternative rate of interest for Loans denominated in Dollars. The Administrative Agent will promptly notify the Borrower, pursuant to </w:t>
      </w:r>
      <w:r>
        <w:rPr>
          <w:rFonts w:ascii="Arial" w:cs="Arial" w:eastAsia="Arial" w:hAnsi="Arial"/>
          <w:sz w:val="19"/>
          <w:szCs w:val="19"/>
          <w:u w:val="single" w:color="auto"/>
          <w:color w:val="FF0000"/>
        </w:rPr>
        <w:t>Section 1.13</w:t>
      </w:r>
      <w:r>
        <w:rPr>
          <w:rFonts w:ascii="Arial" w:cs="Arial" w:eastAsia="Arial" w:hAnsi="Arial"/>
          <w:sz w:val="19"/>
          <w:szCs w:val="19"/>
          <w:color w:val="FF0000"/>
        </w:rPr>
        <w:t xml:space="preserve">, of any change to the </w:t>
      </w:r>
      <w:r>
        <w:rPr>
          <w:rFonts w:ascii="Arial" w:cs="Arial" w:eastAsia="Arial" w:hAnsi="Arial"/>
          <w:sz w:val="19"/>
          <w:szCs w:val="19"/>
          <w:color w:val="FF0000"/>
          <w:strike w:val="1"/>
        </w:rPr>
        <w:t>reference rate upon</w:t>
      </w:r>
      <w:r>
        <w:rPr>
          <w:rFonts w:ascii="Arial" w:cs="Arial" w:eastAsia="Arial" w:hAnsi="Arial"/>
          <w:sz w:val="19"/>
          <w:szCs w:val="19"/>
          <w:color w:val="FF0000"/>
        </w:rPr>
        <w:t xml:space="preserve"> </w:t>
      </w:r>
      <w:r>
        <w:rPr>
          <w:rFonts w:ascii="Arial" w:cs="Arial" w:eastAsia="Arial" w:hAnsi="Arial"/>
          <w:sz w:val="19"/>
          <w:szCs w:val="19"/>
          <w:color w:val="FF0000"/>
          <w:strike w:val="1"/>
        </w:rPr>
        <w:t>which the interest rate on LIBO Rate Loans is based.</w:t>
      </w:r>
    </w:p>
    <w:p>
      <w:pPr>
        <w:spacing w:after="0" w:line="276"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1.12.  </w:t>
      </w:r>
      <w:r>
        <w:rPr>
          <w:rFonts w:ascii="Arial" w:cs="Arial" w:eastAsia="Arial" w:hAnsi="Arial"/>
          <w:sz w:val="19"/>
          <w:szCs w:val="19"/>
          <w:u w:val="single" w:color="auto"/>
          <w:color w:val="auto"/>
        </w:rPr>
        <w:t>Certain Calculations and Tests</w:t>
      </w:r>
      <w:r>
        <w:rPr>
          <w:rFonts w:ascii="Arial" w:cs="Arial" w:eastAsia="Arial" w:hAnsi="Arial"/>
          <w:sz w:val="19"/>
          <w:szCs w:val="19"/>
          <w:color w:val="auto"/>
        </w:rPr>
        <w:t>.</w:t>
      </w:r>
    </w:p>
    <w:p>
      <w:pPr>
        <w:spacing w:after="0" w:line="200" w:lineRule="exact"/>
        <w:rPr>
          <w:sz w:val="20"/>
          <w:szCs w:val="20"/>
          <w:color w:val="auto"/>
        </w:rPr>
      </w:pPr>
    </w:p>
    <w:p>
      <w:pPr>
        <w:jc w:val="both"/>
        <w:ind w:left="100" w:right="59" w:firstLine="742"/>
        <w:spacing w:after="0" w:line="241" w:lineRule="auto"/>
        <w:tabs>
          <w:tab w:leader="none" w:pos="152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to the extent that the terms of this Agreement require (i) compliance with any financial ratio or test (including, </w:t>
      </w:r>
      <w:r>
        <w:rPr>
          <w:rFonts w:ascii="Arial" w:cs="Arial" w:eastAsia="Arial" w:hAnsi="Arial"/>
          <w:sz w:val="19"/>
          <w:szCs w:val="19"/>
          <w:u w:val="single" w:color="auto"/>
          <w:color w:val="auto"/>
        </w:rPr>
        <w:t>Section 6.10(a),</w:t>
      </w:r>
      <w:r>
        <w:rPr>
          <w:rFonts w:ascii="Arial" w:cs="Arial" w:eastAsia="Arial" w:hAnsi="Arial"/>
          <w:sz w:val="19"/>
          <w:szCs w:val="19"/>
          <w:color w:val="auto"/>
        </w:rPr>
        <w:t xml:space="preserve"> any First Lien Net Leverage Ratio test, any Secured Net Leverage Ratio test or any Total Net Leverage Ratio test) and/or any cap expressed as a percentage of Consolidated Adjusted EBITDA or Consolidated Total Assets, (ii) the absence of a Default or Event of Default (or any type of Default or Event of Default), (iii) the making or accuracy of any representation and/or warranty or (iv) compliance with availability under any basket or cap (including any basket or cap expressed as a percentage of Consolidated Adjusted EBITDA or Consolidated Total Assets), in each case, a condition to (A) the consummation of any transaction in connection with any acquisition or similar Investment (including the assumption or incurrence of Indebtedness), (B) the making of any Restricted Payment and/or (C) the making of any Restricted Debt Payment, the determination of whether the relevant condition is satisfied may be made, at the election of the Borrower, (1) in the case of any acquisition or similar Investment (including with respect to any Indebtedness contemplated, assumed or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70</w:t>
      </w:r>
      <w:r>
        <w:rPr>
          <w:rFonts w:ascii="Arial" w:cs="Arial" w:eastAsia="Arial" w:hAnsi="Arial"/>
          <w:sz w:val="18"/>
          <w:szCs w:val="18"/>
          <w:u w:val="single" w:color="auto"/>
          <w:color w:val="0000FF"/>
          <w:strike w:val="1"/>
        </w:rPr>
        <w:t>70</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38" w:name="page139"/>
    <w:bookmarkEnd w:id="138"/>
    <w:p>
      <w:pPr>
        <w:jc w:val="both"/>
        <w:ind w:left="100" w:right="59"/>
        <w:spacing w:after="0" w:line="259" w:lineRule="auto"/>
        <w:rPr>
          <w:sz w:val="20"/>
          <w:szCs w:val="20"/>
          <w:color w:val="auto"/>
        </w:rPr>
      </w:pPr>
      <w:r>
        <w:rPr>
          <w:rFonts w:ascii="Arial" w:cs="Arial" w:eastAsia="Arial" w:hAnsi="Arial"/>
          <w:sz w:val="17"/>
          <w:szCs w:val="17"/>
          <w:color w:val="auto"/>
        </w:rPr>
        <w:t>incurred in connection therewith), at the time of (or on the basis of the financial statements for the most recently ended Test Period at the time of) either (x) the execution of the definitive agreement with respect to such acquisition or Investment, (y) in connection with an acquisition to which the United Kingdom City Code or Takeover and Mergers (or any comparable Requirement of Law) applies, the date on which a “Rule 2.7 announcement” of a firm intention to make an offer in respect of the target of an acquisition (or equivalent notice under comparable Requirements of Law) or (z) the consummation of such acquisition or Investment,</w:t>
      </w:r>
    </w:p>
    <w:p>
      <w:pPr>
        <w:spacing w:after="0" w:line="1" w:lineRule="exact"/>
        <w:rPr>
          <w:sz w:val="20"/>
          <w:szCs w:val="20"/>
          <w:color w:val="auto"/>
        </w:rPr>
      </w:pPr>
    </w:p>
    <w:p>
      <w:pPr>
        <w:jc w:val="both"/>
        <w:ind w:left="100" w:right="39" w:hanging="7"/>
        <w:spacing w:after="0"/>
        <w:tabs>
          <w:tab w:leader="none" w:pos="39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in the case of any Restricted Payment (including with respect to any Indebtedness contemplated or incurred in connection therewith), at the time of (or on the basis of the financial statements for the most recently ended Test Period at the time of) either (x) the declaration of such Restricted Payment or (y) the making of such Restricted Payment and (3) in the case of any Restricted Debt Payment (including with respect to any Indebtedness contemplated or incurred in connection therewith), at the time of (or on the basis of the financial statements for the most recently ended Test Period at the time of) either (x) delivery of irrevocable (which may be conditional) notice with respect to such Restricted Debt Payment or (y) the making of such Restricted Debt Payment, in each case, after giving effect, on a Pro Forma Basis, to (I) the relevant acquisition, Investment, Restricted Payment, Restricted Debt Payment and/or any related Indebtedness (including the intended use of proceeds thereof) and (II) to the extent definitive documents in respect thereof have been executed, the Restricted Payment has been declared or delivery of notice with respect to a Restricted Debt Payment has been delivered (which definitive documents, declaration or notice has not terminated or expired without the consummation thereof), any other Subject Transaction that the Borrower has elected to treat in accordance with this </w:t>
      </w:r>
      <w:r>
        <w:rPr>
          <w:rFonts w:ascii="Arial" w:cs="Arial" w:eastAsia="Arial" w:hAnsi="Arial"/>
          <w:sz w:val="18"/>
          <w:szCs w:val="18"/>
          <w:u w:val="single" w:color="auto"/>
          <w:color w:val="auto"/>
        </w:rPr>
        <w:t>clause (a)</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jc w:val="both"/>
        <w:ind w:left="100" w:right="19" w:firstLine="741"/>
        <w:spacing w:after="0" w:line="274" w:lineRule="auto"/>
        <w:tabs>
          <w:tab w:leader="none" w:pos="1522" w:val="left"/>
        </w:tabs>
        <w:numPr>
          <w:ilvl w:val="1"/>
          <w:numId w:val="105"/>
        </w:numPr>
        <w:rPr>
          <w:rFonts w:ascii="Arial" w:cs="Arial" w:eastAsia="Arial" w:hAnsi="Arial"/>
          <w:sz w:val="17"/>
          <w:szCs w:val="17"/>
          <w:color w:val="auto"/>
        </w:rPr>
      </w:pPr>
      <w:r>
        <w:rPr>
          <w:rFonts w:ascii="Arial" w:cs="Arial" w:eastAsia="Arial" w:hAnsi="Arial"/>
          <w:sz w:val="17"/>
          <w:szCs w:val="17"/>
          <w:color w:val="auto"/>
        </w:rPr>
        <w:t xml:space="preserve">For purposes of determining the permissibility of any action, change, transaction or event that requires a calculation of any financial ratio or test (including </w:t>
      </w:r>
      <w:r>
        <w:rPr>
          <w:rFonts w:ascii="Arial" w:cs="Arial" w:eastAsia="Arial" w:hAnsi="Arial"/>
          <w:sz w:val="17"/>
          <w:szCs w:val="17"/>
          <w:u w:val="single" w:color="auto"/>
          <w:color w:val="auto"/>
        </w:rPr>
        <w:t>Section 6.10(a)</w:t>
      </w:r>
      <w:r>
        <w:rPr>
          <w:rFonts w:ascii="Arial" w:cs="Arial" w:eastAsia="Arial" w:hAnsi="Arial"/>
          <w:sz w:val="17"/>
          <w:szCs w:val="17"/>
          <w:color w:val="auto"/>
        </w:rPr>
        <w:t xml:space="preserve">, any First Lien Net Leverage Ratio test, any Secured Net Leverage Ratio test, any Total Net Leverage Ratio test and/or the amount of Consolidated Adjusted EBITDA or Consolidated Total Assets), such financial ratio or test shall be calculated (subject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at the time such action is taken, such change is made, such transaction is consummated or such event occurs, as the case may be, and no Default or Event of Default shall be deemed to have occurred solely as a result of a change in such financial ratio or test or amount occurring after such calculation, or after the time such action is taken, such change is made, such transaction is consummated or such event occurs, as the case may be.</w:t>
      </w:r>
    </w:p>
    <w:p>
      <w:pPr>
        <w:spacing w:after="0" w:line="165" w:lineRule="exact"/>
        <w:rPr>
          <w:rFonts w:ascii="Arial" w:cs="Arial" w:eastAsia="Arial" w:hAnsi="Arial"/>
          <w:sz w:val="17"/>
          <w:szCs w:val="17"/>
          <w:color w:val="auto"/>
        </w:rPr>
      </w:pPr>
    </w:p>
    <w:p>
      <w:pPr>
        <w:jc w:val="both"/>
        <w:ind w:left="100" w:right="59" w:firstLine="742"/>
        <w:spacing w:after="0" w:line="254" w:lineRule="auto"/>
        <w:tabs>
          <w:tab w:leader="none" w:pos="15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Notwithstanding anything to the contrary herein, with respect to any amount incurred or transaction entered into (or consummated) in reliance on a provision of this Agreement that does not require compliance with a financial ratio or test (including any First Lien Net Leverage Ratio test, any Secured Net Leverage Ratio test and/or any Total Net Leverage Ratio test) (any such amount, including any such amount drawn or deemed to have been drawn under any revolving credit facility and, for the avoidance of doubt, any amount that is expressed as a percentage of Consolidated Adjusted EBITDA or Consolidated Total Assets, a “</w:t>
      </w:r>
      <w:r>
        <w:rPr>
          <w:rFonts w:ascii="Arial" w:cs="Arial" w:eastAsia="Arial" w:hAnsi="Arial"/>
          <w:sz w:val="18"/>
          <w:szCs w:val="18"/>
          <w:u w:val="single" w:color="auto"/>
          <w:color w:val="auto"/>
        </w:rPr>
        <w:t>Fixed Amount</w:t>
      </w:r>
      <w:r>
        <w:rPr>
          <w:rFonts w:ascii="Arial" w:cs="Arial" w:eastAsia="Arial" w:hAnsi="Arial"/>
          <w:sz w:val="18"/>
          <w:szCs w:val="18"/>
          <w:color w:val="auto"/>
        </w:rPr>
        <w:t xml:space="preserve">”) substantially concurrently with any amount incurred or transaction entered into (or consummated) in reliance on a provision of this Agreement that requires compliance with a financial ratio or test (including </w:t>
      </w:r>
      <w:r>
        <w:rPr>
          <w:rFonts w:ascii="Arial" w:cs="Arial" w:eastAsia="Arial" w:hAnsi="Arial"/>
          <w:sz w:val="18"/>
          <w:szCs w:val="18"/>
          <w:u w:val="single" w:color="auto"/>
          <w:color w:val="auto"/>
        </w:rPr>
        <w:t>Section 6.10(a)</w:t>
      </w:r>
      <w:r>
        <w:rPr>
          <w:rFonts w:ascii="Arial" w:cs="Arial" w:eastAsia="Arial" w:hAnsi="Arial"/>
          <w:sz w:val="18"/>
          <w:szCs w:val="18"/>
          <w:color w:val="auto"/>
        </w:rPr>
        <w:t>, any First Lien Net Leverage Ratio test, any Secured Net Leverage Ratio test and/or any Total Net Leverage Ratio test) (any such amount, an “</w:t>
      </w:r>
      <w:r>
        <w:rPr>
          <w:rFonts w:ascii="Arial" w:cs="Arial" w:eastAsia="Arial" w:hAnsi="Arial"/>
          <w:sz w:val="18"/>
          <w:szCs w:val="18"/>
          <w:u w:val="single" w:color="auto"/>
          <w:color w:val="auto"/>
        </w:rPr>
        <w:t>Incurrence-Based Amount</w:t>
      </w:r>
      <w:r>
        <w:rPr>
          <w:rFonts w:ascii="Arial" w:cs="Arial" w:eastAsia="Arial" w:hAnsi="Arial"/>
          <w:sz w:val="18"/>
          <w:szCs w:val="18"/>
          <w:color w:val="auto"/>
        </w:rPr>
        <w:t xml:space="preserve">”), it is understood and agreed that (i) any Fixed Amount shall be disregarded in the calculation of the financial ratio or test applicable to the relevant Incurrence-Based Amount and (ii) except as provided in the preceding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pro forma effect shall be given to the entire transaction. The Borrower may elect that any amount incurred or transaction entered into (or consummated) in reliance on one or more of any Incurrence-Based Amount or any Fixed Amount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that unless the Borrower elects otherwise and except as set forth in the definition of “Incremental Cap”, each such amount or transaction shall be deemed incurred, entered into or consummated first under any Incurrence-Based Amount to the maximum extent permitted thereunder.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71</w:t>
      </w:r>
      <w:r>
        <w:rPr>
          <w:rFonts w:ascii="Arial" w:cs="Arial" w:eastAsia="Arial" w:hAnsi="Arial"/>
          <w:sz w:val="18"/>
          <w:szCs w:val="18"/>
          <w:u w:val="single" w:color="auto"/>
          <w:color w:val="0000FF"/>
          <w:strike w:val="1"/>
        </w:rPr>
        <w:t>71</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39" w:name="page140"/>
    <w:bookmarkEnd w:id="139"/>
    <w:p>
      <w:pPr>
        <w:jc w:val="both"/>
        <w:ind w:left="100" w:right="59" w:firstLine="741"/>
        <w:spacing w:after="0" w:line="256" w:lineRule="auto"/>
        <w:tabs>
          <w:tab w:leader="none" w:pos="1519"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The principal amount of any non-interest bearing Indebtedness or other discount security constituting Indebtedness at any date shall be the principal amount thereof that would be shown on a balance sheet of the Borrower dated such date prepared in accordance with GAAP.</w:t>
      </w:r>
    </w:p>
    <w:p>
      <w:pPr>
        <w:spacing w:after="0" w:line="178" w:lineRule="exact"/>
        <w:rPr>
          <w:rFonts w:ascii="Arial" w:cs="Arial" w:eastAsia="Arial" w:hAnsi="Arial"/>
          <w:sz w:val="19"/>
          <w:szCs w:val="19"/>
          <w:color w:val="auto"/>
        </w:rPr>
      </w:pPr>
    </w:p>
    <w:p>
      <w:pPr>
        <w:jc w:val="both"/>
        <w:ind w:left="100" w:right="59" w:firstLine="741"/>
        <w:spacing w:after="0" w:line="243" w:lineRule="auto"/>
        <w:tabs>
          <w:tab w:leader="none" w:pos="152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The increase in any amount secured by any Lien by virtue of the accrual of interest, the accretion of accreted value, the payment of interest or a dividend in the form of additional Indebtedness, amortization of original issue discount and/or any increase in the amount of Indebtedness outstanding solely as a result of any fluctuation in the exchange rate of any applicable currency will not be deemed to be the creation, incurrence, assumption, or the permission or sufferance to exist of a Lien for purposes of </w:t>
      </w:r>
      <w:r>
        <w:rPr>
          <w:rFonts w:ascii="Arial" w:cs="Arial" w:eastAsia="Arial" w:hAnsi="Arial"/>
          <w:sz w:val="19"/>
          <w:szCs w:val="19"/>
          <w:u w:val="single" w:color="auto"/>
          <w:color w:val="auto"/>
        </w:rPr>
        <w:t>Section 6.02</w:t>
      </w:r>
      <w:r>
        <w:rPr>
          <w:rFonts w:ascii="Arial" w:cs="Arial" w:eastAsia="Arial" w:hAnsi="Arial"/>
          <w:sz w:val="19"/>
          <w:szCs w:val="19"/>
          <w:color w:val="auto"/>
        </w:rPr>
        <w:t>.</w:t>
      </w:r>
    </w:p>
    <w:p>
      <w:pPr>
        <w:spacing w:after="0" w:line="189" w:lineRule="exact"/>
        <w:rPr>
          <w:rFonts w:ascii="Arial" w:cs="Arial" w:eastAsia="Arial" w:hAnsi="Arial"/>
          <w:sz w:val="19"/>
          <w:szCs w:val="19"/>
          <w:color w:val="auto"/>
        </w:rPr>
      </w:pPr>
    </w:p>
    <w:p>
      <w:pPr>
        <w:jc w:val="both"/>
        <w:ind w:left="100" w:right="59" w:firstLine="741"/>
        <w:spacing w:after="0" w:line="243" w:lineRule="auto"/>
        <w:tabs>
          <w:tab w:leader="none" w:pos="152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With respect to any pro forma calculation that is required to be made in connection with any acquisition or similar Investment in respect of which financial statements for the applicable target are not available for the same Test Period for which financial statements of the Borrower are available, the Borrower shall make the relevant calculation on the basis of the relevant available financial statements (even if for differing periods) or such other commercially reasonable basis as the Borrower may elect.</w:t>
      </w:r>
    </w:p>
    <w:p>
      <w:pPr>
        <w:spacing w:after="0" w:line="189" w:lineRule="exact"/>
        <w:rPr>
          <w:rFonts w:ascii="Arial" w:cs="Arial" w:eastAsia="Arial" w:hAnsi="Arial"/>
          <w:sz w:val="19"/>
          <w:szCs w:val="19"/>
          <w:color w:val="auto"/>
        </w:rPr>
      </w:pPr>
    </w:p>
    <w:p>
      <w:pPr>
        <w:jc w:val="both"/>
        <w:ind w:left="100" w:right="39" w:firstLine="742"/>
        <w:spacing w:after="0" w:line="270" w:lineRule="auto"/>
        <w:tabs>
          <w:tab w:leader="none" w:pos="15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In connection with the implementation or assumption of any revolving commitment and/or any delayed draw commitment (in each case, other than any such commitment implemented pursuant to </w:t>
      </w:r>
      <w:r>
        <w:rPr>
          <w:rFonts w:ascii="Arial" w:cs="Arial" w:eastAsia="Arial" w:hAnsi="Arial"/>
          <w:sz w:val="17"/>
          <w:szCs w:val="17"/>
          <w:u w:val="single" w:color="auto"/>
          <w:color w:val="auto"/>
        </w:rPr>
        <w:t>Section 2.22</w:t>
      </w:r>
      <w:r>
        <w:rPr>
          <w:rFonts w:ascii="Arial" w:cs="Arial" w:eastAsia="Arial" w:hAnsi="Arial"/>
          <w:sz w:val="17"/>
          <w:szCs w:val="17"/>
          <w:color w:val="auto"/>
        </w:rPr>
        <w:t>) in reliance on any Incurrence-Based Amount, the Borrower may, in its sole discretion elect to, by written notice to the Administrative Agent (a “</w:t>
      </w:r>
      <w:r>
        <w:rPr>
          <w:rFonts w:ascii="Arial" w:cs="Arial" w:eastAsia="Arial" w:hAnsi="Arial"/>
          <w:sz w:val="17"/>
          <w:szCs w:val="17"/>
          <w:u w:val="single" w:color="auto"/>
          <w:color w:val="auto"/>
        </w:rPr>
        <w:t>Specified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Commitment Notice</w:t>
      </w:r>
      <w:r>
        <w:rPr>
          <w:rFonts w:ascii="Arial" w:cs="Arial" w:eastAsia="Arial" w:hAnsi="Arial"/>
          <w:sz w:val="17"/>
          <w:szCs w:val="17"/>
          <w:color w:val="auto"/>
        </w:rPr>
        <w:t>”), either (a) treat all or any portion of such revolving commitment and/or delayed draw commitment as having been fully drawn on the date of implementation or assumption (such commitment (or portion thereof), a “</w:t>
      </w:r>
      <w:r>
        <w:rPr>
          <w:rFonts w:ascii="Arial" w:cs="Arial" w:eastAsia="Arial" w:hAnsi="Arial"/>
          <w:sz w:val="17"/>
          <w:szCs w:val="17"/>
          <w:u w:val="single" w:color="auto"/>
          <w:color w:val="auto"/>
        </w:rPr>
        <w:t>Specified Commitment</w:t>
      </w:r>
      <w:r>
        <w:rPr>
          <w:rFonts w:ascii="Arial" w:cs="Arial" w:eastAsia="Arial" w:hAnsi="Arial"/>
          <w:sz w:val="17"/>
          <w:szCs w:val="17"/>
          <w:color w:val="auto"/>
        </w:rPr>
        <w:t xml:space="preserve">”), in which case (i) the Borrower shall not be required to comply with any financial ratio or test in connection with any drawing thereunder after the date of incurrence or assumption and (ii) other than for purposes of (A) the Applicable Rate, (B) the Commitment Fee Rate and/or (C) actual compliance with </w:t>
      </w:r>
      <w:r>
        <w:rPr>
          <w:rFonts w:ascii="Arial" w:cs="Arial" w:eastAsia="Arial" w:hAnsi="Arial"/>
          <w:sz w:val="17"/>
          <w:szCs w:val="17"/>
          <w:u w:val="single" w:color="auto"/>
          <w:color w:val="auto"/>
        </w:rPr>
        <w:t>Section 6.10(a)</w:t>
      </w:r>
      <w:r>
        <w:rPr>
          <w:rFonts w:ascii="Arial" w:cs="Arial" w:eastAsia="Arial" w:hAnsi="Arial"/>
          <w:sz w:val="17"/>
          <w:szCs w:val="17"/>
          <w:color w:val="auto"/>
        </w:rPr>
        <w:t xml:space="preserve">, the amount of such Specified Commitment shall be deemed to have been an actual incurrence of Indebtedness thereunder on the date of implementation or assumption for purposes of calculating any Incurrence-Based Amount or (b) test the permissibility of all or any portion of any drawing under such revolving commitment and/or delayed draw commitment on the date of such drawing (if any), in which case, such revolving commitment and/or delayed draw commitment (or portion thereof) shall only be treated as drawn for purposes of any Incurrence-Based Amount to the extent of any actual drawing thereunder that is outstanding at the applicable time of determination. It is understood and agreed that the Borrower may, at any time in its sole discretion, (x) deliver a Specified Commitment Notice with respect to any revolving commitment and/or delayed draw commitment and/or (y) withdraw any Specified Commitment Notice with respect to all or any portion of any revolving commitment and/or delayed draw commitment and instead elect to treat such revolving commitment and/or delayed draw commitment in accordance with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the immediately preceding sentence.</w:t>
      </w:r>
    </w:p>
    <w:p>
      <w:pPr>
        <w:spacing w:after="0" w:line="176" w:lineRule="exact"/>
        <w:rPr>
          <w:rFonts w:ascii="Arial" w:cs="Arial" w:eastAsia="Arial" w:hAnsi="Arial"/>
          <w:sz w:val="17"/>
          <w:szCs w:val="17"/>
          <w:color w:val="auto"/>
        </w:rPr>
      </w:pPr>
    </w:p>
    <w:p>
      <w:pPr>
        <w:ind w:left="100" w:right="59" w:firstLine="741"/>
        <w:spacing w:after="0" w:line="261" w:lineRule="auto"/>
        <w:tabs>
          <w:tab w:leader="none" w:pos="152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Any determination of the Weighted Average Life to Maturity of any Indebtedness shall be made by the Borrower in good faith at the time of the incurrence of such Indebtedness.</w:t>
      </w:r>
    </w:p>
    <w:p>
      <w:pPr>
        <w:spacing w:after="0" w:line="172" w:lineRule="exact"/>
        <w:rPr>
          <w:rFonts w:ascii="Arial" w:cs="Arial" w:eastAsia="Arial" w:hAnsi="Arial"/>
          <w:sz w:val="19"/>
          <w:szCs w:val="19"/>
          <w:color w:val="auto"/>
        </w:rPr>
      </w:pPr>
    </w:p>
    <w:p>
      <w:pPr>
        <w:jc w:val="both"/>
        <w:ind w:left="100" w:right="59" w:firstLine="741"/>
        <w:spacing w:after="0" w:line="245" w:lineRule="auto"/>
        <w:tabs>
          <w:tab w:leader="none" w:pos="152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It is understood and agreed that the Borrower and/or any Restricted Subsidiary may incur Indebtedness permitted under any provision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to refinance Indebtedness originally incurred under the same provision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6.01</w:t>
      </w:r>
      <w:r>
        <w:rPr>
          <w:rFonts w:ascii="Arial" w:cs="Arial" w:eastAsia="Arial" w:hAnsi="Arial"/>
          <w:sz w:val="19"/>
          <w:szCs w:val="19"/>
          <w:color w:val="auto"/>
        </w:rPr>
        <w:t xml:space="preserve"> while the Indebtedness being refinanced remains outstanding so long as the proceeds of the applicable refinancing Indebtedness are promptly deposited with the trustee or other applicable representative of the holders of the Indebtedness being refinanced, which proceeds will be applied to satisfy and discharge the Indebtedness being refinanced in accordance with the documentation governing such Indebtedness.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72</w:t>
      </w:r>
      <w:r>
        <w:rPr>
          <w:rFonts w:ascii="Arial" w:cs="Arial" w:eastAsia="Arial" w:hAnsi="Arial"/>
          <w:sz w:val="18"/>
          <w:szCs w:val="18"/>
          <w:u w:val="single" w:color="auto"/>
          <w:color w:val="0000FF"/>
          <w:strike w:val="1"/>
        </w:rPr>
        <w:t>72</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40" w:name="page141"/>
    <w:bookmarkEnd w:id="140"/>
    <w:p>
      <w:pPr>
        <w:ind w:left="840"/>
        <w:spacing w:after="0"/>
        <w:rPr>
          <w:sz w:val="20"/>
          <w:szCs w:val="20"/>
          <w:color w:val="auto"/>
        </w:rPr>
      </w:pPr>
      <w:r>
        <w:rPr>
          <w:rFonts w:ascii="Arial" w:cs="Arial" w:eastAsia="Arial" w:hAnsi="Arial"/>
          <w:sz w:val="19"/>
          <w:szCs w:val="19"/>
          <w:color w:val="auto"/>
        </w:rPr>
        <w:t xml:space="preserve">Section 1.13.  </w:t>
      </w:r>
      <w:r>
        <w:rPr>
          <w:rFonts w:ascii="Arial" w:cs="Arial" w:eastAsia="Arial" w:hAnsi="Arial"/>
          <w:sz w:val="19"/>
          <w:szCs w:val="19"/>
          <w:color w:val="FF0000"/>
          <w:strike w:val="1"/>
        </w:rPr>
        <w:t>Effect of Benchmark Transition Event</w:t>
      </w:r>
      <w:r>
        <w:rPr>
          <w:rFonts w:ascii="Arial" w:cs="Arial" w:eastAsia="Arial" w:hAnsi="Arial"/>
          <w:sz w:val="19"/>
          <w:szCs w:val="19"/>
          <w:u w:val="single" w:color="auto"/>
          <w:color w:val="0000FF"/>
        </w:rPr>
        <w:t>Replacement of Term SOFR or Successor Rate</w:t>
      </w:r>
      <w:r>
        <w:rPr>
          <w:rFonts w:ascii="Arial" w:cs="Arial" w:eastAsia="Arial" w:hAnsi="Arial"/>
          <w:sz w:val="19"/>
          <w:szCs w:val="19"/>
          <w:color w:val="auto"/>
        </w:rPr>
        <w:t>.</w:t>
      </w:r>
    </w:p>
    <w:p>
      <w:pPr>
        <w:spacing w:after="0" w:line="281" w:lineRule="exact"/>
        <w:rPr>
          <w:sz w:val="20"/>
          <w:szCs w:val="20"/>
          <w:color w:val="auto"/>
        </w:rPr>
      </w:pPr>
    </w:p>
    <w:p>
      <w:pPr>
        <w:jc w:val="both"/>
        <w:ind w:left="100" w:right="59" w:firstLine="742"/>
        <w:spacing w:after="0" w:line="245" w:lineRule="auto"/>
        <w:tabs>
          <w:tab w:leader="none" w:pos="1520" w:val="left"/>
        </w:tabs>
        <w:numPr>
          <w:ilvl w:val="0"/>
          <w:numId w:val="107"/>
        </w:numPr>
        <w:rPr>
          <w:rFonts w:ascii="Arial" w:cs="Arial" w:eastAsia="Arial" w:hAnsi="Arial"/>
          <w:sz w:val="19"/>
          <w:szCs w:val="19"/>
          <w:color w:val="0000FF"/>
        </w:rPr>
      </w:pPr>
      <w:r>
        <w:rPr>
          <w:rFonts w:ascii="Arial" w:cs="Arial" w:eastAsia="Arial" w:hAnsi="Arial"/>
          <w:sz w:val="19"/>
          <w:szCs w:val="19"/>
          <w:color w:val="auto"/>
        </w:rPr>
        <w:t>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with respect to Dollars, that:</w:t>
      </w:r>
    </w:p>
    <w:p>
      <w:pPr>
        <w:spacing w:after="0" w:line="187" w:lineRule="exact"/>
        <w:rPr>
          <w:rFonts w:ascii="Arial" w:cs="Arial" w:eastAsia="Arial" w:hAnsi="Arial"/>
          <w:sz w:val="19"/>
          <w:szCs w:val="19"/>
          <w:color w:val="0000FF"/>
        </w:rPr>
      </w:pPr>
    </w:p>
    <w:p>
      <w:pPr>
        <w:jc w:val="both"/>
        <w:ind w:left="840" w:right="59" w:firstLine="751"/>
        <w:spacing w:after="0" w:line="263" w:lineRule="auto"/>
        <w:tabs>
          <w:tab w:leader="none" w:pos="2366"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adequate and reasonable means do not exist for ascertaining </w:t>
      </w:r>
      <w:r>
        <w:rPr>
          <w:rFonts w:ascii="Arial" w:cs="Arial" w:eastAsia="Arial" w:hAnsi="Arial"/>
          <w:sz w:val="18"/>
          <w:szCs w:val="18"/>
          <w:color w:val="FF0000"/>
          <w:strike w:val="1"/>
        </w:rPr>
        <w:t>the LIBO Rate for Dollars for any</w:t>
      </w:r>
      <w:r>
        <w:rPr>
          <w:rFonts w:ascii="Arial" w:cs="Arial" w:eastAsia="Arial" w:hAnsi="Arial"/>
          <w:sz w:val="18"/>
          <w:szCs w:val="18"/>
          <w:color w:val="auto"/>
        </w:rPr>
        <w:t xml:space="preserve"> </w:t>
      </w:r>
      <w:r>
        <w:rPr>
          <w:rFonts w:ascii="Arial" w:cs="Arial" w:eastAsia="Arial" w:hAnsi="Arial"/>
          <w:sz w:val="18"/>
          <w:szCs w:val="18"/>
          <w:color w:val="FF0000"/>
          <w:strike w:val="1"/>
        </w:rPr>
        <w:t>Interest Per iod hereunder or any other tenors of LIBOR</w:t>
      </w:r>
      <w:r>
        <w:rPr>
          <w:rFonts w:ascii="Arial" w:cs="Arial" w:eastAsia="Arial" w:hAnsi="Arial"/>
          <w:sz w:val="18"/>
          <w:szCs w:val="18"/>
          <w:u w:val="single" w:color="auto"/>
          <w:color w:val="0000FF"/>
          <w:strike w:val="1"/>
        </w:rPr>
        <w:t>one month, three month and six month interest per iods of Term</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SOFR</w:t>
      </w:r>
      <w:r>
        <w:rPr>
          <w:rFonts w:ascii="Arial" w:cs="Arial" w:eastAsia="Arial" w:hAnsi="Arial"/>
          <w:sz w:val="18"/>
          <w:szCs w:val="18"/>
          <w:color w:val="000000"/>
          <w:strike w:val="1"/>
        </w:rPr>
        <w:t>, including</w:t>
      </w:r>
      <w:r>
        <w:rPr>
          <w:rFonts w:ascii="Arial" w:cs="Arial" w:eastAsia="Arial" w:hAnsi="Arial"/>
          <w:sz w:val="18"/>
          <w:szCs w:val="18"/>
          <w:u w:val="single" w:color="auto"/>
          <w:color w:val="0000FF"/>
          <w:strike w:val="1"/>
        </w:rPr>
        <w:t>, without limitation,</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because the</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LIBO</w:t>
      </w:r>
      <w:r>
        <w:rPr>
          <w:rFonts w:ascii="Arial" w:cs="Arial" w:eastAsia="Arial" w:hAnsi="Arial"/>
          <w:sz w:val="18"/>
          <w:szCs w:val="18"/>
          <w:u w:val="single" w:color="auto"/>
          <w:color w:val="0000FF"/>
          <w:strike w:val="1"/>
        </w:rPr>
        <w:t>Term SOFR Screen</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Rate</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for Dollars</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is not available or published</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 xml:space="preserve">on a current basis </w:t>
      </w:r>
      <w:r>
        <w:rPr>
          <w:rFonts w:ascii="Arial" w:cs="Arial" w:eastAsia="Arial" w:hAnsi="Arial"/>
          <w:sz w:val="18"/>
          <w:szCs w:val="18"/>
          <w:color w:val="FF0000"/>
          <w:strike w:val="1"/>
        </w:rPr>
        <w:t>at such time</w:t>
      </w:r>
      <w:r>
        <w:rPr>
          <w:rFonts w:ascii="Arial" w:cs="Arial" w:eastAsia="Arial" w:hAnsi="Arial"/>
          <w:sz w:val="18"/>
          <w:szCs w:val="18"/>
          <w:color w:val="000000"/>
          <w:strike w:val="1"/>
        </w:rPr>
        <w:t xml:space="preserve"> and such circumstances are unlikely to be temporary; or</w:t>
      </w:r>
    </w:p>
    <w:p>
      <w:pPr>
        <w:spacing w:after="0" w:line="253" w:lineRule="exact"/>
        <w:rPr>
          <w:rFonts w:ascii="Arial" w:cs="Arial" w:eastAsia="Arial" w:hAnsi="Arial"/>
          <w:sz w:val="18"/>
          <w:szCs w:val="18"/>
          <w:color w:val="auto"/>
        </w:rPr>
      </w:pPr>
    </w:p>
    <w:p>
      <w:pPr>
        <w:jc w:val="both"/>
        <w:ind w:left="840" w:right="19" w:firstLine="751"/>
        <w:spacing w:after="0" w:line="255" w:lineRule="auto"/>
        <w:tabs>
          <w:tab w:leader="none" w:pos="2369" w:val="left"/>
        </w:tabs>
        <w:numPr>
          <w:ilvl w:val="1"/>
          <w:numId w:val="107"/>
        </w:numPr>
        <w:rPr>
          <w:rFonts w:ascii="Arial" w:cs="Arial" w:eastAsia="Arial" w:hAnsi="Arial"/>
          <w:sz w:val="18"/>
          <w:szCs w:val="18"/>
          <w:color w:val="auto"/>
        </w:rPr>
      </w:pPr>
      <w:r>
        <w:rPr>
          <w:rFonts w:ascii="Arial" w:cs="Arial" w:eastAsia="Arial" w:hAnsi="Arial"/>
          <w:sz w:val="18"/>
          <w:szCs w:val="18"/>
          <w:color w:val="FF0000"/>
          <w:strike w:val="1"/>
        </w:rPr>
        <w:t>the</w:t>
      </w:r>
      <w:r>
        <w:rPr>
          <w:rFonts w:ascii="Arial" w:cs="Arial" w:eastAsia="Arial" w:hAnsi="Arial"/>
          <w:sz w:val="18"/>
          <w:szCs w:val="18"/>
          <w:u w:val="single" w:color="auto"/>
          <w:color w:val="0000FF"/>
        </w:rPr>
        <w:t>CME or any successor</w:t>
      </w:r>
      <w:r>
        <w:rPr>
          <w:rFonts w:ascii="Arial" w:cs="Arial" w:eastAsia="Arial" w:hAnsi="Arial"/>
          <w:sz w:val="18"/>
          <w:szCs w:val="18"/>
          <w:color w:val="FF0000"/>
        </w:rPr>
        <w:t xml:space="preserve"> </w:t>
      </w:r>
      <w:r>
        <w:rPr>
          <w:rFonts w:ascii="Arial" w:cs="Arial" w:eastAsia="Arial" w:hAnsi="Arial"/>
          <w:sz w:val="18"/>
          <w:szCs w:val="18"/>
          <w:color w:val="000000"/>
        </w:rPr>
        <w:t>administrator of the</w:t>
      </w:r>
      <w:r>
        <w:rPr>
          <w:rFonts w:ascii="Arial" w:cs="Arial" w:eastAsia="Arial" w:hAnsi="Arial"/>
          <w:sz w:val="18"/>
          <w:szCs w:val="18"/>
          <w:color w:val="FF0000"/>
        </w:rPr>
        <w:t xml:space="preserve"> </w:t>
      </w:r>
      <w:r>
        <w:rPr>
          <w:rFonts w:ascii="Arial" w:cs="Arial" w:eastAsia="Arial" w:hAnsi="Arial"/>
          <w:sz w:val="18"/>
          <w:szCs w:val="18"/>
          <w:color w:val="FF0000"/>
          <w:strike w:val="1"/>
        </w:rPr>
        <w:t>LIBO</w:t>
      </w:r>
      <w:r>
        <w:rPr>
          <w:rFonts w:ascii="Arial" w:cs="Arial" w:eastAsia="Arial" w:hAnsi="Arial"/>
          <w:sz w:val="18"/>
          <w:szCs w:val="18"/>
          <w:u w:val="single" w:color="auto"/>
          <w:color w:val="0000FF"/>
        </w:rPr>
        <w:t>Term SOFR Screen</w:t>
      </w:r>
      <w:r>
        <w:rPr>
          <w:rFonts w:ascii="Arial" w:cs="Arial" w:eastAsia="Arial" w:hAnsi="Arial"/>
          <w:sz w:val="18"/>
          <w:szCs w:val="18"/>
          <w:color w:val="FF0000"/>
        </w:rPr>
        <w:t xml:space="preserve"> </w:t>
      </w:r>
      <w:r>
        <w:rPr>
          <w:rFonts w:ascii="Arial" w:cs="Arial" w:eastAsia="Arial" w:hAnsi="Arial"/>
          <w:sz w:val="18"/>
          <w:szCs w:val="18"/>
          <w:color w:val="000000"/>
        </w:rPr>
        <w:t>Rate</w:t>
      </w:r>
      <w:r>
        <w:rPr>
          <w:rFonts w:ascii="Arial" w:cs="Arial" w:eastAsia="Arial" w:hAnsi="Arial"/>
          <w:sz w:val="18"/>
          <w:szCs w:val="18"/>
          <w:color w:val="FF0000"/>
        </w:rPr>
        <w:t xml:space="preserve"> </w:t>
      </w:r>
      <w:r>
        <w:rPr>
          <w:rFonts w:ascii="Arial" w:cs="Arial" w:eastAsia="Arial" w:hAnsi="Arial"/>
          <w:sz w:val="18"/>
          <w:szCs w:val="18"/>
          <w:color w:val="FF0000"/>
          <w:strike w:val="1"/>
        </w:rPr>
        <w:t>for Dollars</w:t>
      </w:r>
      <w:r>
        <w:rPr>
          <w:rFonts w:ascii="Arial" w:cs="Arial" w:eastAsia="Arial" w:hAnsi="Arial"/>
          <w:sz w:val="18"/>
          <w:szCs w:val="18"/>
          <w:color w:val="FF0000"/>
        </w:rPr>
        <w:t xml:space="preserve"> </w:t>
      </w:r>
      <w:r>
        <w:rPr>
          <w:rFonts w:ascii="Arial" w:cs="Arial" w:eastAsia="Arial" w:hAnsi="Arial"/>
          <w:sz w:val="18"/>
          <w:szCs w:val="18"/>
          <w:color w:val="000000"/>
        </w:rPr>
        <w:t>or a</w:t>
      </w:r>
      <w:r>
        <w:rPr>
          <w:rFonts w:ascii="Arial" w:cs="Arial" w:eastAsia="Arial" w:hAnsi="Arial"/>
          <w:sz w:val="18"/>
          <w:szCs w:val="18"/>
          <w:color w:val="FF0000"/>
        </w:rPr>
        <w:t xml:space="preserve"> </w:t>
      </w:r>
      <w:r>
        <w:rPr>
          <w:rFonts w:ascii="Arial" w:cs="Arial" w:eastAsia="Arial" w:hAnsi="Arial"/>
          <w:sz w:val="18"/>
          <w:szCs w:val="18"/>
          <w:color w:val="000000"/>
        </w:rPr>
        <w:t xml:space="preserve">Governmental Authority having jurisdiction over the Administrative Agent or such administrator </w:t>
      </w:r>
      <w:r>
        <w:rPr>
          <w:rFonts w:ascii="Arial" w:cs="Arial" w:eastAsia="Arial" w:hAnsi="Arial"/>
          <w:sz w:val="18"/>
          <w:szCs w:val="18"/>
          <w:u w:val="single" w:color="auto"/>
          <w:color w:val="0000FF"/>
        </w:rPr>
        <w:t>with respect to its</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publication of Term SOFR, in each case acting in such capacity,</w:t>
      </w:r>
      <w:r>
        <w:rPr>
          <w:rFonts w:ascii="Arial" w:cs="Arial" w:eastAsia="Arial" w:hAnsi="Arial"/>
          <w:sz w:val="18"/>
          <w:szCs w:val="18"/>
          <w:color w:val="0000FF"/>
        </w:rPr>
        <w:t xml:space="preserve"> </w:t>
      </w:r>
      <w:r>
        <w:rPr>
          <w:rFonts w:ascii="Arial" w:cs="Arial" w:eastAsia="Arial" w:hAnsi="Arial"/>
          <w:sz w:val="18"/>
          <w:szCs w:val="18"/>
          <w:color w:val="000000"/>
        </w:rPr>
        <w:t>has made a public statement identifying a specific date</w:t>
      </w:r>
      <w:r>
        <w:rPr>
          <w:rFonts w:ascii="Arial" w:cs="Arial" w:eastAsia="Arial" w:hAnsi="Arial"/>
          <w:sz w:val="18"/>
          <w:szCs w:val="18"/>
          <w:color w:val="0000FF"/>
        </w:rPr>
        <w:t xml:space="preserve"> </w:t>
      </w:r>
      <w:r>
        <w:rPr>
          <w:rFonts w:ascii="Arial" w:cs="Arial" w:eastAsia="Arial" w:hAnsi="Arial"/>
          <w:sz w:val="18"/>
          <w:szCs w:val="18"/>
          <w:color w:val="000000"/>
        </w:rPr>
        <w:t xml:space="preserve">after which </w:t>
      </w:r>
      <w:r>
        <w:rPr>
          <w:rFonts w:ascii="Arial" w:cs="Arial" w:eastAsia="Arial" w:hAnsi="Arial"/>
          <w:sz w:val="18"/>
          <w:szCs w:val="18"/>
          <w:color w:val="FF0000"/>
          <w:strike w:val="1"/>
        </w:rPr>
        <w:t>the LIBO Rate or the Published LIBO Rate for Dollars</w:t>
      </w:r>
      <w:r>
        <w:rPr>
          <w:rFonts w:ascii="Arial" w:cs="Arial" w:eastAsia="Arial" w:hAnsi="Arial"/>
          <w:sz w:val="18"/>
          <w:szCs w:val="18"/>
          <w:u w:val="single" w:color="auto"/>
          <w:color w:val="0000FF"/>
        </w:rPr>
        <w:t>one month, three month and six month interest per</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iods of Term SOFR or the Term SOFR Screen Rate</w:t>
      </w:r>
      <w:r>
        <w:rPr>
          <w:rFonts w:ascii="Arial" w:cs="Arial" w:eastAsia="Arial" w:hAnsi="Arial"/>
          <w:sz w:val="18"/>
          <w:szCs w:val="18"/>
          <w:color w:val="0000FF"/>
        </w:rPr>
        <w:t xml:space="preserve"> </w:t>
      </w:r>
      <w:r>
        <w:rPr>
          <w:rFonts w:ascii="Arial" w:cs="Arial" w:eastAsia="Arial" w:hAnsi="Arial"/>
          <w:sz w:val="18"/>
          <w:szCs w:val="18"/>
          <w:color w:val="000000"/>
        </w:rPr>
        <w:t>shall</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or will</w:t>
      </w:r>
      <w:r>
        <w:rPr>
          <w:rFonts w:ascii="Arial" w:cs="Arial" w:eastAsia="Arial" w:hAnsi="Arial"/>
          <w:sz w:val="18"/>
          <w:szCs w:val="18"/>
          <w:color w:val="0000FF"/>
        </w:rPr>
        <w:t xml:space="preserve"> </w:t>
      </w:r>
      <w:r>
        <w:rPr>
          <w:rFonts w:ascii="Arial" w:cs="Arial" w:eastAsia="Arial" w:hAnsi="Arial"/>
          <w:sz w:val="18"/>
          <w:szCs w:val="18"/>
          <w:color w:val="000000"/>
        </w:rPr>
        <w:t>no longer be made available, or</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permitted to be</w:t>
      </w:r>
      <w:r>
        <w:rPr>
          <w:rFonts w:ascii="Arial" w:cs="Arial" w:eastAsia="Arial" w:hAnsi="Arial"/>
          <w:sz w:val="18"/>
          <w:szCs w:val="18"/>
          <w:color w:val="0000FF"/>
        </w:rPr>
        <w:t xml:space="preserve"> </w:t>
      </w:r>
      <w:r>
        <w:rPr>
          <w:rFonts w:ascii="Arial" w:cs="Arial" w:eastAsia="Arial" w:hAnsi="Arial"/>
          <w:sz w:val="18"/>
          <w:szCs w:val="18"/>
          <w:color w:val="000000"/>
        </w:rPr>
        <w:t>used for</w:t>
      </w:r>
      <w:r>
        <w:rPr>
          <w:rFonts w:ascii="Arial" w:cs="Arial" w:eastAsia="Arial" w:hAnsi="Arial"/>
          <w:sz w:val="18"/>
          <w:szCs w:val="18"/>
          <w:color w:val="0000FF"/>
        </w:rPr>
        <w:t xml:space="preserve"> </w:t>
      </w:r>
      <w:r>
        <w:rPr>
          <w:rFonts w:ascii="Arial" w:cs="Arial" w:eastAsia="Arial" w:hAnsi="Arial"/>
          <w:sz w:val="18"/>
          <w:szCs w:val="18"/>
          <w:color w:val="000000"/>
        </w:rPr>
        <w:t xml:space="preserve">determining the interest rate of </w:t>
      </w:r>
      <w:r>
        <w:rPr>
          <w:rFonts w:ascii="Arial" w:cs="Arial" w:eastAsia="Arial" w:hAnsi="Arial"/>
          <w:sz w:val="18"/>
          <w:szCs w:val="18"/>
          <w:color w:val="FF0000"/>
          <w:strike w:val="1"/>
        </w:rPr>
        <w:t>loans</w:t>
      </w:r>
      <w:r>
        <w:rPr>
          <w:rFonts w:ascii="Arial" w:cs="Arial" w:eastAsia="Arial" w:hAnsi="Arial"/>
          <w:sz w:val="18"/>
          <w:szCs w:val="18"/>
          <w:u w:val="single" w:color="auto"/>
          <w:color w:val="0000FF"/>
        </w:rPr>
        <w:t>U.S. dollar</w:t>
      </w:r>
      <w:r>
        <w:rPr>
          <w:rFonts w:ascii="Arial" w:cs="Arial" w:eastAsia="Arial" w:hAnsi="Arial"/>
          <w:sz w:val="18"/>
          <w:szCs w:val="18"/>
          <w:color w:val="000000"/>
        </w:rPr>
        <w:t xml:space="preserve"> denominated </w:t>
      </w:r>
      <w:r>
        <w:rPr>
          <w:rFonts w:ascii="Arial" w:cs="Arial" w:eastAsia="Arial" w:hAnsi="Arial"/>
          <w:sz w:val="18"/>
          <w:szCs w:val="18"/>
          <w:color w:val="FF0000"/>
          <w:strike w:val="1"/>
        </w:rPr>
        <w:t>in Dollars</w:t>
      </w:r>
      <w:r>
        <w:rPr>
          <w:rFonts w:ascii="Arial" w:cs="Arial" w:eastAsia="Arial" w:hAnsi="Arial"/>
          <w:sz w:val="18"/>
          <w:szCs w:val="18"/>
          <w:u w:val="single" w:color="auto"/>
          <w:color w:val="0000FF"/>
        </w:rPr>
        <w:t>syndicated loans, or shall or will otherwise cease</w:t>
      </w:r>
      <w:r>
        <w:rPr>
          <w:rFonts w:ascii="Arial" w:cs="Arial" w:eastAsia="Arial" w:hAnsi="Arial"/>
          <w:sz w:val="18"/>
          <w:szCs w:val="18"/>
          <w:color w:val="000000"/>
        </w:rPr>
        <w:t>, provided that</w:t>
      </w:r>
      <w:r>
        <w:rPr>
          <w:rFonts w:ascii="Arial" w:cs="Arial" w:eastAsia="Arial" w:hAnsi="Arial"/>
          <w:sz w:val="18"/>
          <w:szCs w:val="18"/>
          <w:color w:val="FF0000"/>
          <w:strike w:val="1"/>
        </w:rPr>
        <w:t>, in each case</w:t>
      </w:r>
      <w:r>
        <w:rPr>
          <w:rFonts w:ascii="Arial" w:cs="Arial" w:eastAsia="Arial" w:hAnsi="Arial"/>
          <w:sz w:val="18"/>
          <w:szCs w:val="18"/>
          <w:color w:val="000000"/>
        </w:rPr>
        <w:t xml:space="preserve">, at the time of such statement, there is no successor administrator that is </w:t>
      </w:r>
      <w:r>
        <w:rPr>
          <w:rFonts w:ascii="Arial" w:cs="Arial" w:eastAsia="Arial" w:hAnsi="Arial"/>
          <w:sz w:val="18"/>
          <w:szCs w:val="18"/>
          <w:color w:val="FF0000"/>
          <w:strike w:val="1"/>
        </w:rPr>
        <w:t>reasonably</w:t>
      </w:r>
      <w:r>
        <w:rPr>
          <w:rFonts w:ascii="Arial" w:cs="Arial" w:eastAsia="Arial" w:hAnsi="Arial"/>
          <w:sz w:val="18"/>
          <w:szCs w:val="18"/>
          <w:color w:val="000000"/>
        </w:rPr>
        <w:t xml:space="preserve"> satisfactory to the Administrative Agent</w:t>
      </w:r>
      <w:r>
        <w:rPr>
          <w:rFonts w:ascii="Arial" w:cs="Arial" w:eastAsia="Arial" w:hAnsi="Arial"/>
          <w:sz w:val="18"/>
          <w:szCs w:val="18"/>
          <w:color w:val="0000FF"/>
        </w:rPr>
        <w:t>,</w:t>
      </w:r>
      <w:r>
        <w:rPr>
          <w:rFonts w:ascii="Arial" w:cs="Arial" w:eastAsia="Arial" w:hAnsi="Arial"/>
          <w:sz w:val="18"/>
          <w:szCs w:val="18"/>
          <w:color w:val="000000"/>
        </w:rPr>
        <w:t xml:space="preserve"> that will continue to provide </w:t>
      </w:r>
      <w:r>
        <w:rPr>
          <w:rFonts w:ascii="Arial" w:cs="Arial" w:eastAsia="Arial" w:hAnsi="Arial"/>
          <w:sz w:val="18"/>
          <w:szCs w:val="18"/>
          <w:color w:val="FF0000"/>
          <w:strike w:val="1"/>
        </w:rPr>
        <w:t>the LIBO Rate for Dollars</w:t>
      </w:r>
      <w:r>
        <w:rPr>
          <w:rFonts w:ascii="Arial" w:cs="Arial" w:eastAsia="Arial" w:hAnsi="Arial"/>
          <w:sz w:val="18"/>
          <w:szCs w:val="18"/>
          <w:u w:val="single" w:color="auto"/>
          <w:color w:val="0000FF"/>
        </w:rPr>
        <w:t>such interest per iods of</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Term SOFR</w:t>
      </w:r>
      <w:r>
        <w:rPr>
          <w:rFonts w:ascii="Arial" w:cs="Arial" w:eastAsia="Arial" w:hAnsi="Arial"/>
          <w:sz w:val="18"/>
          <w:szCs w:val="18"/>
          <w:color w:val="0000FF"/>
        </w:rPr>
        <w:t xml:space="preserve"> </w:t>
      </w:r>
      <w:r>
        <w:rPr>
          <w:rFonts w:ascii="Arial" w:cs="Arial" w:eastAsia="Arial" w:hAnsi="Arial"/>
          <w:sz w:val="18"/>
          <w:szCs w:val="18"/>
          <w:color w:val="000000"/>
        </w:rPr>
        <w:t>after such specific date (</w:t>
      </w:r>
      <w:r>
        <w:rPr>
          <w:rFonts w:ascii="Arial" w:cs="Arial" w:eastAsia="Arial" w:hAnsi="Arial"/>
          <w:sz w:val="18"/>
          <w:szCs w:val="18"/>
          <w:color w:val="FF0000"/>
          <w:strike w:val="1"/>
        </w:rPr>
        <w:t>such specific date</w:t>
      </w:r>
      <w:r>
        <w:rPr>
          <w:rFonts w:ascii="Arial" w:cs="Arial" w:eastAsia="Arial" w:hAnsi="Arial"/>
          <w:sz w:val="18"/>
          <w:szCs w:val="18"/>
          <w:u w:val="single" w:color="auto"/>
          <w:color w:val="0000FF"/>
        </w:rPr>
        <w:t>the latest date on which one month, three month and six month</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interest per iods of Term SOFR or the Term SOFR Screen Rate are no longer available permanently or indefinitely</w:t>
      </w:r>
      <w:r>
        <w:rPr>
          <w:rFonts w:ascii="Arial" w:cs="Arial" w:eastAsia="Arial" w:hAnsi="Arial"/>
          <w:sz w:val="18"/>
          <w:szCs w:val="18"/>
          <w:color w:val="000000"/>
        </w:rPr>
        <w:t>, the</w:t>
      </w:r>
      <w:r>
        <w:rPr>
          <w:rFonts w:ascii="Arial" w:cs="Arial" w:eastAsia="Arial" w:hAnsi="Arial"/>
          <w:sz w:val="18"/>
          <w:szCs w:val="18"/>
          <w:color w:val="0000FF"/>
        </w:rPr>
        <w:t xml:space="preserve"> </w:t>
      </w:r>
      <w:r>
        <w:rPr>
          <w:rFonts w:ascii="Arial" w:cs="Arial" w:eastAsia="Arial" w:hAnsi="Arial"/>
          <w:sz w:val="18"/>
          <w:szCs w:val="18"/>
          <w:color w:val="000000"/>
        </w:rPr>
        <w:t>“</w:t>
      </w:r>
      <w:r>
        <w:rPr>
          <w:rFonts w:ascii="Arial" w:cs="Arial" w:eastAsia="Arial" w:hAnsi="Arial"/>
          <w:sz w:val="18"/>
          <w:szCs w:val="18"/>
          <w:u w:val="single" w:color="auto"/>
          <w:color w:val="000000"/>
        </w:rPr>
        <w:t>Scheduled Unavailability Date</w:t>
      </w:r>
      <w:r>
        <w:rPr>
          <w:rFonts w:ascii="Arial" w:cs="Arial" w:eastAsia="Arial" w:hAnsi="Arial"/>
          <w:sz w:val="18"/>
          <w:szCs w:val="18"/>
          <w:color w:val="000000"/>
        </w:rPr>
        <w:t xml:space="preserve">”); </w:t>
      </w:r>
      <w:r>
        <w:rPr>
          <w:rFonts w:ascii="Arial" w:cs="Arial" w:eastAsia="Arial" w:hAnsi="Arial"/>
          <w:sz w:val="18"/>
          <w:szCs w:val="18"/>
          <w:color w:val="FF0000"/>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-81280</wp:posOffset>
            </wp:positionV>
            <wp:extent cx="13017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3">
                      <a:extLst>
                        <a:ext uri="{28A0092B-C50C-407E-A947-70E740481C1C}"/>
                      </a:extLst>
                    </a:blip>
                    <a:srcRect/>
                    <a:stretch>
                      <a:fillRect/>
                    </a:stretch>
                  </pic:blipFill>
                  <pic:spPr bwMode="auto">
                    <a:xfrm>
                      <a:off x="0" y="0"/>
                      <a:ext cx="130175" cy="8255"/>
                    </a:xfrm>
                    <a:prstGeom prst="rect">
                      <a:avLst/>
                    </a:prstGeom>
                    <a:noFill/>
                  </pic:spPr>
                </pic:pic>
              </a:graphicData>
            </a:graphic>
          </wp:anchor>
        </w:drawing>
      </w:r>
    </w:p>
    <w:p>
      <w:pPr>
        <w:spacing w:after="0" w:line="247" w:lineRule="exact"/>
        <w:rPr>
          <w:sz w:val="20"/>
          <w:szCs w:val="20"/>
          <w:color w:val="auto"/>
        </w:rPr>
      </w:pPr>
    </w:p>
    <w:p>
      <w:pPr>
        <w:jc w:val="both"/>
        <w:ind w:left="100" w:right="39" w:firstLine="749"/>
        <w:spacing w:after="0" w:line="269" w:lineRule="auto"/>
        <w:rPr>
          <w:sz w:val="20"/>
          <w:szCs w:val="20"/>
          <w:color w:val="auto"/>
        </w:rPr>
      </w:pPr>
      <w:r>
        <w:rPr>
          <w:rFonts w:ascii="Arial" w:cs="Arial" w:eastAsia="Arial" w:hAnsi="Arial"/>
          <w:sz w:val="17"/>
          <w:szCs w:val="17"/>
          <w:u w:val="single" w:color="auto"/>
          <w:color w:val="0000FF"/>
        </w:rPr>
        <w:t xml:space="preserve">then, on a date and time determined by the Administrative Agent (any such date, the “Term SOFR Replacement Date”), which date shall be at the end of an Interest Per iod or on the relevant interest payment date, as applicable, for interest calculated and, solely with respect to clause (ii) above, no later than the Scheduled Unavailability Date, Term SOFR will be replaced hereunder and under any Loan Document with Daily Simple SOFR </w:t>
      </w:r>
      <w:r>
        <w:rPr>
          <w:rFonts w:ascii="Arial" w:cs="Arial" w:eastAsia="Arial" w:hAnsi="Arial"/>
          <w:sz w:val="17"/>
          <w:szCs w:val="17"/>
          <w:i w:val="1"/>
          <w:iCs w:val="1"/>
          <w:u w:val="single" w:color="auto"/>
          <w:color w:val="0000FF"/>
        </w:rPr>
        <w:t>plus</w:t>
      </w:r>
      <w:r>
        <w:rPr>
          <w:rFonts w:ascii="Arial" w:cs="Arial" w:eastAsia="Arial" w:hAnsi="Arial"/>
          <w:sz w:val="17"/>
          <w:szCs w:val="17"/>
          <w:u w:val="single" w:color="auto"/>
          <w:color w:val="0000FF"/>
        </w:rPr>
        <w:t xml:space="preserve"> the SOFR Adjustment for any payment per iod for interest calculated that can be determined by the Administrative Agent, in each case, without any amendment to, or further action or consent of any other party to, this Agreement or any other Loan Document (the “Successor Rate).</w:t>
      </w:r>
    </w:p>
    <w:p>
      <w:pPr>
        <w:spacing w:after="0" w:line="251" w:lineRule="exact"/>
        <w:rPr>
          <w:sz w:val="20"/>
          <w:szCs w:val="20"/>
          <w:color w:val="auto"/>
        </w:rPr>
      </w:pPr>
    </w:p>
    <w:p>
      <w:pPr>
        <w:ind w:left="1520" w:hanging="679"/>
        <w:spacing w:after="0"/>
        <w:tabs>
          <w:tab w:leader="none" w:pos="1520" w:val="left"/>
        </w:tabs>
        <w:numPr>
          <w:ilvl w:val="0"/>
          <w:numId w:val="108"/>
        </w:numPr>
        <w:rPr>
          <w:rFonts w:ascii="Arial" w:cs="Arial" w:eastAsia="Arial" w:hAnsi="Arial"/>
          <w:sz w:val="17"/>
          <w:szCs w:val="17"/>
          <w:color w:val="0000FF"/>
        </w:rPr>
      </w:pPr>
      <w:r>
        <w:rPr>
          <w:rFonts w:ascii="Arial" w:cs="Arial" w:eastAsia="Arial" w:hAnsi="Arial"/>
          <w:sz w:val="17"/>
          <w:szCs w:val="17"/>
          <w:u w:val="single" w:color="auto"/>
          <w:color w:val="0000FF"/>
        </w:rPr>
        <w:t>If the Successor Rate is Daily Simple SOFR plus the SOFR Adjustment, all interest payments will be payable on</w:t>
      </w:r>
    </w:p>
    <w:p>
      <w:pPr>
        <w:spacing w:after="0" w:line="36" w:lineRule="exact"/>
        <w:rPr>
          <w:rFonts w:ascii="Arial" w:cs="Arial" w:eastAsia="Arial" w:hAnsi="Arial"/>
          <w:sz w:val="17"/>
          <w:szCs w:val="17"/>
          <w:color w:val="0000FF"/>
        </w:rPr>
      </w:pPr>
    </w:p>
    <w:p>
      <w:pPr>
        <w:ind w:left="100"/>
        <w:spacing w:after="0"/>
        <w:rPr>
          <w:rFonts w:ascii="Arial" w:cs="Arial" w:eastAsia="Arial" w:hAnsi="Arial"/>
          <w:sz w:val="17"/>
          <w:szCs w:val="17"/>
          <w:color w:val="0000FF"/>
        </w:rPr>
      </w:pPr>
      <w:r>
        <w:rPr>
          <w:rFonts w:ascii="Arial" w:cs="Arial" w:eastAsia="Arial" w:hAnsi="Arial"/>
          <w:sz w:val="19"/>
          <w:szCs w:val="19"/>
          <w:u w:val="single" w:color="auto"/>
          <w:color w:val="0000FF"/>
        </w:rPr>
        <w:t>a monthly basis.</w:t>
      </w:r>
    </w:p>
    <w:p>
      <w:pPr>
        <w:spacing w:after="0" w:line="278" w:lineRule="exact"/>
        <w:rPr>
          <w:rFonts w:ascii="Arial" w:cs="Arial" w:eastAsia="Arial" w:hAnsi="Arial"/>
          <w:sz w:val="17"/>
          <w:szCs w:val="17"/>
          <w:color w:val="0000FF"/>
        </w:rPr>
      </w:pPr>
    </w:p>
    <w:p>
      <w:pPr>
        <w:jc w:val="both"/>
        <w:ind w:left="840" w:right="59" w:firstLine="751"/>
        <w:spacing w:after="0" w:line="249" w:lineRule="auto"/>
        <w:tabs>
          <w:tab w:leader="none" w:pos="2210" w:val="left"/>
        </w:tabs>
        <w:numPr>
          <w:ilvl w:val="1"/>
          <w:numId w:val="108"/>
        </w:numPr>
        <w:rPr>
          <w:rFonts w:ascii="Arial" w:cs="Arial" w:eastAsia="Arial" w:hAnsi="Arial"/>
          <w:sz w:val="19"/>
          <w:szCs w:val="19"/>
          <w:color w:val="FF0000"/>
        </w:rPr>
      </w:pPr>
      <w:r>
        <w:rPr>
          <w:rFonts w:ascii="Arial" w:cs="Arial" w:eastAsia="Arial" w:hAnsi="Arial"/>
          <w:sz w:val="19"/>
          <w:szCs w:val="19"/>
          <w:color w:val="FF0000"/>
          <w:strike w:val="1"/>
        </w:rPr>
        <w:t>the administrator of the LIBO Rate for Dollars or a Governmental Author ity having jur isdiction over such administrator has made a public statement announcing that all Interest Per iods and other tenors of the LIBO Rate are no longer representative; or</w:t>
      </w:r>
    </w:p>
    <w:p>
      <w:pPr>
        <w:spacing w:after="0" w:line="264" w:lineRule="exact"/>
        <w:rPr>
          <w:rFonts w:ascii="Arial" w:cs="Arial" w:eastAsia="Arial" w:hAnsi="Arial"/>
          <w:sz w:val="19"/>
          <w:szCs w:val="19"/>
          <w:color w:val="FF0000"/>
        </w:rPr>
      </w:pPr>
    </w:p>
    <w:p>
      <w:pPr>
        <w:jc w:val="both"/>
        <w:ind w:left="840" w:right="59" w:firstLine="751"/>
        <w:spacing w:after="0" w:line="249" w:lineRule="auto"/>
        <w:tabs>
          <w:tab w:leader="none" w:pos="2209" w:val="left"/>
        </w:tabs>
        <w:numPr>
          <w:ilvl w:val="1"/>
          <w:numId w:val="108"/>
        </w:numPr>
        <w:rPr>
          <w:rFonts w:ascii="Arial" w:cs="Arial" w:eastAsia="Arial" w:hAnsi="Arial"/>
          <w:sz w:val="19"/>
          <w:szCs w:val="19"/>
          <w:color w:val="FF0000"/>
        </w:rPr>
      </w:pPr>
      <w:r>
        <w:rPr>
          <w:rFonts w:ascii="Arial" w:cs="Arial" w:eastAsia="Arial" w:hAnsi="Arial"/>
          <w:sz w:val="19"/>
          <w:szCs w:val="19"/>
          <w:color w:val="FF0000"/>
          <w:strike w:val="1"/>
        </w:rPr>
        <w:t xml:space="preserve">syndicated loans being executed at the time of such determination, or that include language similar to that contained in this </w:t>
      </w:r>
      <w:r>
        <w:rPr>
          <w:rFonts w:ascii="Arial" w:cs="Arial" w:eastAsia="Arial" w:hAnsi="Arial"/>
          <w:sz w:val="19"/>
          <w:szCs w:val="19"/>
          <w:u w:val="single" w:color="auto"/>
          <w:color w:val="FF0000"/>
          <w:strike w:val="1"/>
        </w:rPr>
        <w:t>Section 1.13</w:t>
      </w:r>
      <w:r>
        <w:rPr>
          <w:rFonts w:ascii="Arial" w:cs="Arial" w:eastAsia="Arial" w:hAnsi="Arial"/>
          <w:sz w:val="19"/>
          <w:szCs w:val="19"/>
          <w:color w:val="FF0000"/>
          <w:strike w:val="1"/>
        </w:rPr>
        <w:t>, are being executed or amended (as applicable) to incorporate or adopt a new benchmark interest rate to replace the LIBO Rate for Dollars,</w:t>
      </w:r>
    </w:p>
    <w:p>
      <w:pPr>
        <w:spacing w:after="0" w:line="278" w:lineRule="exact"/>
        <w:rPr>
          <w:rFonts w:ascii="Arial" w:cs="Arial" w:eastAsia="Arial" w:hAnsi="Arial"/>
          <w:sz w:val="19"/>
          <w:szCs w:val="19"/>
          <w:color w:val="FF0000"/>
        </w:rPr>
      </w:pPr>
    </w:p>
    <w:p>
      <w:pPr>
        <w:jc w:val="both"/>
        <w:ind w:left="100" w:right="59" w:firstLine="741"/>
        <w:spacing w:after="0" w:line="249" w:lineRule="auto"/>
        <w:tabs>
          <w:tab w:leader="none" w:pos="1520" w:val="left"/>
        </w:tabs>
        <w:numPr>
          <w:ilvl w:val="0"/>
          <w:numId w:val="108"/>
        </w:numPr>
        <w:rPr>
          <w:rFonts w:ascii="Arial" w:cs="Arial" w:eastAsia="Arial" w:hAnsi="Arial"/>
          <w:sz w:val="19"/>
          <w:szCs w:val="19"/>
          <w:color w:val="0000FF"/>
        </w:rPr>
      </w:pPr>
      <w:r>
        <w:rPr>
          <w:rFonts w:ascii="Arial" w:cs="Arial" w:eastAsia="Arial" w:hAnsi="Arial"/>
          <w:sz w:val="19"/>
          <w:szCs w:val="19"/>
          <w:color w:val="FF0000"/>
        </w:rPr>
        <w:t xml:space="preserve">then, reasonably promptly after such determination by the Administrative Agent or </w:t>
      </w:r>
      <w:r>
        <w:rPr>
          <w:rFonts w:ascii="Arial" w:cs="Arial" w:eastAsia="Arial" w:hAnsi="Arial"/>
          <w:sz w:val="19"/>
          <w:szCs w:val="19"/>
          <w:color w:val="FF0000"/>
          <w:strike w:val="1"/>
        </w:rPr>
        <w:t>receipt by the Administrative</w:t>
      </w:r>
      <w:r>
        <w:rPr>
          <w:rFonts w:ascii="Arial" w:cs="Arial" w:eastAsia="Arial" w:hAnsi="Arial"/>
          <w:sz w:val="19"/>
          <w:szCs w:val="19"/>
          <w:color w:val="FF0000"/>
        </w:rPr>
        <w:t xml:space="preserve"> </w:t>
      </w:r>
      <w:r>
        <w:rPr>
          <w:rFonts w:ascii="Arial" w:cs="Arial" w:eastAsia="Arial" w:hAnsi="Arial"/>
          <w:sz w:val="19"/>
          <w:szCs w:val="19"/>
          <w:color w:val="FF0000"/>
          <w:strike w:val="1"/>
        </w:rPr>
        <w:t>Agent of such notice from the Borrower or the Required Lenders, notwithstanding</w:t>
      </w:r>
      <w:r>
        <w:rPr>
          <w:rFonts w:ascii="Arial" w:cs="Arial" w:eastAsia="Arial" w:hAnsi="Arial"/>
          <w:sz w:val="19"/>
          <w:szCs w:val="19"/>
          <w:u w:val="single" w:color="auto"/>
          <w:color w:val="0000FF"/>
        </w:rPr>
        <w:t>Notwithstanding</w:t>
      </w:r>
      <w:r>
        <w:rPr>
          <w:rFonts w:ascii="Arial" w:cs="Arial" w:eastAsia="Arial" w:hAnsi="Arial"/>
          <w:sz w:val="19"/>
          <w:szCs w:val="19"/>
          <w:color w:val="FF0000"/>
        </w:rPr>
        <w:t xml:space="preserve"> </w:t>
      </w:r>
      <w:r>
        <w:rPr>
          <w:rFonts w:ascii="Arial" w:cs="Arial" w:eastAsia="Arial" w:hAnsi="Arial"/>
          <w:sz w:val="19"/>
          <w:szCs w:val="19"/>
          <w:color w:val="000000"/>
        </w:rPr>
        <w:t>anything to the contrary</w:t>
      </w:r>
      <w:r>
        <w:rPr>
          <w:rFonts w:ascii="Arial" w:cs="Arial" w:eastAsia="Arial" w:hAnsi="Arial"/>
          <w:sz w:val="19"/>
          <w:szCs w:val="19"/>
          <w:color w:val="FF0000"/>
        </w:rPr>
        <w:t xml:space="preserve"> </w:t>
      </w:r>
      <w:r>
        <w:rPr>
          <w:rFonts w:ascii="Arial" w:cs="Arial" w:eastAsia="Arial" w:hAnsi="Arial"/>
          <w:sz w:val="19"/>
          <w:szCs w:val="19"/>
          <w:color w:val="FF0000"/>
          <w:strike w:val="1"/>
        </w:rPr>
        <w:t>in</w:t>
      </w:r>
      <w:r>
        <w:rPr>
          <w:rFonts w:ascii="Arial" w:cs="Arial" w:eastAsia="Arial" w:hAnsi="Arial"/>
          <w:sz w:val="19"/>
          <w:szCs w:val="19"/>
          <w:color w:val="FF0000"/>
        </w:rPr>
        <w:t xml:space="preserve"> </w:t>
      </w:r>
      <w:r>
        <w:rPr>
          <w:rFonts w:ascii="Arial" w:cs="Arial" w:eastAsia="Arial" w:hAnsi="Arial"/>
          <w:sz w:val="19"/>
          <w:szCs w:val="19"/>
          <w:color w:val="FF0000"/>
          <w:strike w:val="1"/>
        </w:rPr>
        <w:t>Section 9.02</w:t>
      </w:r>
      <w:r>
        <w:rPr>
          <w:rFonts w:ascii="Arial" w:cs="Arial" w:eastAsia="Arial" w:hAnsi="Arial"/>
          <w:sz w:val="19"/>
          <w:szCs w:val="19"/>
          <w:u w:val="single" w:color="auto"/>
          <w:color w:val="0000FF"/>
          <w:strike w:val="1"/>
        </w:rPr>
        <w:t>herein, (i) if the Administrative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73</w:t>
      </w:r>
      <w:r>
        <w:rPr>
          <w:rFonts w:ascii="Arial" w:cs="Arial" w:eastAsia="Arial" w:hAnsi="Arial"/>
          <w:sz w:val="18"/>
          <w:szCs w:val="18"/>
          <w:u w:val="single" w:color="auto"/>
          <w:color w:val="0000FF"/>
          <w:strike w:val="1"/>
        </w:rPr>
        <w:t>73</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98" w:right="1440" w:bottom="1440" w:gutter="0" w:footer="0" w:header="0"/>
        </w:sectPr>
      </w:pPr>
    </w:p>
    <w:bookmarkStart w:id="141" w:name="page142"/>
    <w:bookmarkEnd w:id="141"/>
    <w:p>
      <w:pPr>
        <w:jc w:val="both"/>
        <w:ind w:left="100" w:right="39"/>
        <w:spacing w:after="0" w:line="255" w:lineRule="auto"/>
        <w:rPr>
          <w:sz w:val="20"/>
          <w:szCs w:val="20"/>
          <w:color w:val="auto"/>
        </w:rPr>
      </w:pPr>
      <w:r>
        <w:rPr>
          <w:rFonts w:ascii="Arial" w:cs="Arial" w:eastAsia="Arial" w:hAnsi="Arial"/>
          <w:sz w:val="17"/>
          <w:szCs w:val="17"/>
          <w:color w:val="0000FF"/>
        </w:rPr>
        <w:t xml:space="preserve">Agent determines that Daily Simple SOFR is not available on or prior to the Term SOFR Replacement Date, or (ii) if the events or circumstances of the type described in Section 1.13(a)(i) or (ii) have </w:t>
      </w:r>
      <w:r>
        <w:rPr>
          <w:rFonts w:ascii="Arial" w:cs="Arial" w:eastAsia="Arial" w:hAnsi="Arial"/>
          <w:sz w:val="17"/>
          <w:szCs w:val="17"/>
          <w:u w:val="single" w:color="auto"/>
          <w:color w:val="0000FF"/>
        </w:rPr>
        <w:t>occurred with respect to the Successor Rate then in effect, then</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in each case</w:t>
      </w:r>
      <w:r>
        <w:rPr>
          <w:rFonts w:ascii="Arial" w:cs="Arial" w:eastAsia="Arial" w:hAnsi="Arial"/>
          <w:sz w:val="17"/>
          <w:szCs w:val="17"/>
          <w:color w:val="000000"/>
        </w:rPr>
        <w:t>, the Administrative Agent and the Borrower may amend this Agreement solely for the purpose of replacing</w:t>
      </w:r>
      <w:r>
        <w:rPr>
          <w:rFonts w:ascii="Arial" w:cs="Arial" w:eastAsia="Arial" w:hAnsi="Arial"/>
          <w:sz w:val="17"/>
          <w:szCs w:val="17"/>
          <w:color w:val="0000FF"/>
        </w:rPr>
        <w:t xml:space="preserve"> </w:t>
      </w:r>
      <w:r>
        <w:rPr>
          <w:rFonts w:ascii="Arial" w:cs="Arial" w:eastAsia="Arial" w:hAnsi="Arial"/>
          <w:sz w:val="17"/>
          <w:szCs w:val="17"/>
          <w:color w:val="FF0000"/>
          <w:strike w:val="1"/>
        </w:rPr>
        <w:t>the</w:t>
      </w:r>
      <w:r>
        <w:rPr>
          <w:rFonts w:ascii="Arial" w:cs="Arial" w:eastAsia="Arial" w:hAnsi="Arial"/>
          <w:sz w:val="17"/>
          <w:szCs w:val="17"/>
          <w:color w:val="0000FF"/>
        </w:rPr>
        <w:t xml:space="preserve"> </w:t>
      </w:r>
      <w:r>
        <w:rPr>
          <w:rFonts w:ascii="Arial" w:cs="Arial" w:eastAsia="Arial" w:hAnsi="Arial"/>
          <w:sz w:val="17"/>
          <w:szCs w:val="17"/>
          <w:color w:val="FF0000"/>
          <w:strike w:val="1"/>
        </w:rPr>
        <w:t>LIBO</w:t>
      </w:r>
      <w:r>
        <w:rPr>
          <w:rFonts w:ascii="Arial" w:cs="Arial" w:eastAsia="Arial" w:hAnsi="Arial"/>
          <w:sz w:val="17"/>
          <w:szCs w:val="17"/>
          <w:u w:val="single" w:color="auto"/>
          <w:color w:val="0000FF"/>
        </w:rPr>
        <w:t>Term SOFR or any then current Successor</w:t>
      </w:r>
      <w:r>
        <w:rPr>
          <w:rFonts w:ascii="Arial" w:cs="Arial" w:eastAsia="Arial" w:hAnsi="Arial"/>
          <w:sz w:val="17"/>
          <w:szCs w:val="17"/>
          <w:color w:val="FF0000"/>
        </w:rPr>
        <w:t xml:space="preserve"> </w:t>
      </w:r>
      <w:r>
        <w:rPr>
          <w:rFonts w:ascii="Arial" w:cs="Arial" w:eastAsia="Arial" w:hAnsi="Arial"/>
          <w:sz w:val="17"/>
          <w:szCs w:val="17"/>
          <w:color w:val="000000"/>
        </w:rPr>
        <w:t>Rate</w:t>
      </w:r>
      <w:r>
        <w:rPr>
          <w:rFonts w:ascii="Arial" w:cs="Arial" w:eastAsia="Arial" w:hAnsi="Arial"/>
          <w:sz w:val="17"/>
          <w:szCs w:val="17"/>
          <w:color w:val="FF0000"/>
        </w:rPr>
        <w:t xml:space="preserve"> </w:t>
      </w:r>
      <w:r>
        <w:rPr>
          <w:rFonts w:ascii="Arial" w:cs="Arial" w:eastAsia="Arial" w:hAnsi="Arial"/>
          <w:sz w:val="17"/>
          <w:szCs w:val="17"/>
          <w:color w:val="FF0000"/>
          <w:strike w:val="1"/>
        </w:rPr>
        <w:t>for Dollars</w:t>
      </w:r>
      <w:r>
        <w:rPr>
          <w:rFonts w:ascii="Arial" w:cs="Arial" w:eastAsia="Arial" w:hAnsi="Arial"/>
          <w:sz w:val="17"/>
          <w:szCs w:val="17"/>
          <w:color w:val="FF0000"/>
        </w:rPr>
        <w:t xml:space="preserve"> </w:t>
      </w:r>
      <w:r>
        <w:rPr>
          <w:rFonts w:ascii="Arial" w:cs="Arial" w:eastAsia="Arial" w:hAnsi="Arial"/>
          <w:sz w:val="17"/>
          <w:szCs w:val="17"/>
          <w:color w:val="000000"/>
        </w:rPr>
        <w:t>in accordance with this</w:t>
      </w:r>
      <w:r>
        <w:rPr>
          <w:rFonts w:ascii="Arial" w:cs="Arial" w:eastAsia="Arial" w:hAnsi="Arial"/>
          <w:sz w:val="17"/>
          <w:szCs w:val="17"/>
          <w:color w:val="FF0000"/>
        </w:rPr>
        <w:t xml:space="preserve"> </w:t>
      </w:r>
      <w:r>
        <w:rPr>
          <w:rFonts w:ascii="Arial" w:cs="Arial" w:eastAsia="Arial" w:hAnsi="Arial"/>
          <w:sz w:val="17"/>
          <w:szCs w:val="17"/>
          <w:u w:val="single" w:color="auto"/>
          <w:color w:val="000000"/>
        </w:rPr>
        <w:t>Section 1.13</w:t>
      </w:r>
      <w:r>
        <w:rPr>
          <w:rFonts w:ascii="Arial" w:cs="Arial" w:eastAsia="Arial" w:hAnsi="Arial"/>
          <w:sz w:val="17"/>
          <w:szCs w:val="17"/>
          <w:color w:val="FF0000"/>
        </w:rPr>
        <w:t xml:space="preserve"> </w:t>
      </w:r>
      <w:r>
        <w:rPr>
          <w:rFonts w:ascii="Arial" w:cs="Arial" w:eastAsia="Arial" w:hAnsi="Arial"/>
          <w:sz w:val="17"/>
          <w:szCs w:val="17"/>
          <w:color w:val="FF0000"/>
          <w:strike w:val="1"/>
        </w:rPr>
        <w:t>with (x) one or more SOFR-Based Rates or (y) another alternate</w:t>
      </w:r>
      <w:r>
        <w:rPr>
          <w:rFonts w:ascii="Arial" w:cs="Arial" w:eastAsia="Arial" w:hAnsi="Arial"/>
          <w:sz w:val="17"/>
          <w:szCs w:val="17"/>
          <w:color w:val="FF0000"/>
        </w:rPr>
        <w:t xml:space="preserve"> </w:t>
      </w:r>
      <w:r>
        <w:rPr>
          <w:rFonts w:ascii="Arial" w:cs="Arial" w:eastAsia="Arial" w:hAnsi="Arial"/>
          <w:sz w:val="17"/>
          <w:szCs w:val="17"/>
          <w:i w:val="1"/>
          <w:iCs w:val="1"/>
          <w:color w:val="008000"/>
        </w:rPr>
        <w:t>at the end of any Interest Period, relevant interest payment date or payment period for interest</w:t>
      </w:r>
      <w:r>
        <w:rPr>
          <w:rFonts w:ascii="Arial" w:cs="Arial" w:eastAsia="Arial" w:hAnsi="Arial"/>
          <w:sz w:val="17"/>
          <w:szCs w:val="17"/>
          <w:color w:val="FF0000"/>
        </w:rPr>
        <w:t xml:space="preserve"> </w:t>
      </w:r>
      <w:r>
        <w:rPr>
          <w:rFonts w:ascii="Arial" w:cs="Arial" w:eastAsia="Arial" w:hAnsi="Arial"/>
          <w:sz w:val="17"/>
          <w:szCs w:val="17"/>
          <w:i w:val="1"/>
          <w:iCs w:val="1"/>
          <w:color w:val="008000"/>
        </w:rPr>
        <w:t xml:space="preserve">calculated, </w:t>
      </w:r>
      <w:r>
        <w:rPr>
          <w:rFonts w:ascii="Arial" w:cs="Arial" w:eastAsia="Arial" w:hAnsi="Arial"/>
          <w:sz w:val="17"/>
          <w:szCs w:val="17"/>
          <w:u w:val="single" w:color="auto"/>
          <w:color w:val="0000FF"/>
        </w:rPr>
        <w:t>as applicable, with an alternative</w:t>
      </w:r>
      <w:r>
        <w:rPr>
          <w:rFonts w:ascii="Arial" w:cs="Arial" w:eastAsia="Arial" w:hAnsi="Arial"/>
          <w:sz w:val="17"/>
          <w:szCs w:val="17"/>
          <w:i w:val="1"/>
          <w:iCs w:val="1"/>
          <w:color w:val="008000"/>
        </w:rPr>
        <w:t xml:space="preserve"> </w:t>
      </w:r>
      <w:r>
        <w:rPr>
          <w:rFonts w:ascii="Arial" w:cs="Arial" w:eastAsia="Arial" w:hAnsi="Arial"/>
          <w:sz w:val="17"/>
          <w:szCs w:val="17"/>
          <w:color w:val="000000"/>
        </w:rPr>
        <w:t>benchmark rate giving due consideration to any evolving or then existing convention</w:t>
      </w:r>
      <w:r>
        <w:rPr>
          <w:rFonts w:ascii="Arial" w:cs="Arial" w:eastAsia="Arial" w:hAnsi="Arial"/>
          <w:sz w:val="17"/>
          <w:szCs w:val="17"/>
          <w:i w:val="1"/>
          <w:iCs w:val="1"/>
          <w:color w:val="008000"/>
        </w:rPr>
        <w:t xml:space="preserve"> </w:t>
      </w:r>
      <w:r>
        <w:rPr>
          <w:rFonts w:ascii="Arial" w:cs="Arial" w:eastAsia="Arial" w:hAnsi="Arial"/>
          <w:sz w:val="17"/>
          <w:szCs w:val="17"/>
          <w:color w:val="000000"/>
        </w:rPr>
        <w:t xml:space="preserve">for </w:t>
      </w:r>
      <w:r>
        <w:rPr>
          <w:rFonts w:ascii="Arial" w:cs="Arial" w:eastAsia="Arial" w:hAnsi="Arial"/>
          <w:sz w:val="17"/>
          <w:szCs w:val="17"/>
          <w:color w:val="FF0000"/>
          <w:strike w:val="1"/>
        </w:rPr>
        <w:t>comparable syndicated</w:t>
      </w:r>
      <w:r>
        <w:rPr>
          <w:rFonts w:ascii="Arial" w:cs="Arial" w:eastAsia="Arial" w:hAnsi="Arial"/>
          <w:sz w:val="17"/>
          <w:szCs w:val="17"/>
          <w:u w:val="single" w:color="auto"/>
          <w:color w:val="0000FF"/>
        </w:rPr>
        <w:t>similar U.S. dollar denominated</w:t>
      </w:r>
      <w:r>
        <w:rPr>
          <w:rFonts w:ascii="Arial" w:cs="Arial" w:eastAsia="Arial" w:hAnsi="Arial"/>
          <w:sz w:val="17"/>
          <w:szCs w:val="17"/>
          <w:color w:val="000000"/>
        </w:rPr>
        <w:t xml:space="preserve"> credit facilities </w:t>
      </w:r>
      <w:r>
        <w:rPr>
          <w:rFonts w:ascii="Arial" w:cs="Arial" w:eastAsia="Arial" w:hAnsi="Arial"/>
          <w:sz w:val="17"/>
          <w:szCs w:val="17"/>
          <w:u w:val="single" w:color="auto"/>
          <w:color w:val="0000FF"/>
        </w:rPr>
        <w:t>syndicated and agented in the United States</w:t>
      </w:r>
      <w:r>
        <w:rPr>
          <w:rFonts w:ascii="Arial" w:cs="Arial" w:eastAsia="Arial" w:hAnsi="Arial"/>
          <w:sz w:val="17"/>
          <w:szCs w:val="17"/>
          <w:color w:val="000000"/>
        </w:rPr>
        <w:t xml:space="preserve"> for such alternative </w:t>
      </w:r>
      <w:r>
        <w:rPr>
          <w:rFonts w:ascii="Arial" w:cs="Arial" w:eastAsia="Arial" w:hAnsi="Arial"/>
          <w:sz w:val="17"/>
          <w:szCs w:val="17"/>
          <w:color w:val="FF0000"/>
          <w:strike w:val="1"/>
        </w:rPr>
        <w:t>benchmarks for Dollars</w:t>
      </w:r>
      <w:r>
        <w:rPr>
          <w:rFonts w:ascii="Arial" w:cs="Arial" w:eastAsia="Arial" w:hAnsi="Arial"/>
          <w:sz w:val="17"/>
          <w:szCs w:val="17"/>
          <w:u w:val="single" w:color="auto"/>
          <w:color w:val="0000FF"/>
        </w:rPr>
        <w:t>benchmark.</w:t>
      </w:r>
      <w:r>
        <w:rPr>
          <w:rFonts w:ascii="Arial" w:cs="Arial" w:eastAsia="Arial" w:hAnsi="Arial"/>
          <w:sz w:val="17"/>
          <w:szCs w:val="17"/>
          <w:color w:val="000000"/>
        </w:rPr>
        <w:t xml:space="preserve"> and, in each case, including any mathematical or other adjustments to such benchmark giving due consideration to any evolving or then existing convention for </w:t>
      </w:r>
      <w:r>
        <w:rPr>
          <w:rFonts w:ascii="Arial" w:cs="Arial" w:eastAsia="Arial" w:hAnsi="Arial"/>
          <w:sz w:val="17"/>
          <w:szCs w:val="17"/>
          <w:color w:val="FF0000"/>
          <w:strike w:val="1"/>
        </w:rPr>
        <w:t>comparable syndicated</w:t>
      </w:r>
      <w:r>
        <w:rPr>
          <w:rFonts w:ascii="Arial" w:cs="Arial" w:eastAsia="Arial" w:hAnsi="Arial"/>
          <w:sz w:val="17"/>
          <w:szCs w:val="17"/>
          <w:u w:val="single" w:color="auto"/>
          <w:color w:val="0000FF"/>
        </w:rPr>
        <w:t>similar U.S. dollar</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denominated</w:t>
      </w:r>
      <w:r>
        <w:rPr>
          <w:rFonts w:ascii="Arial" w:cs="Arial" w:eastAsia="Arial" w:hAnsi="Arial"/>
          <w:sz w:val="17"/>
          <w:szCs w:val="17"/>
          <w:color w:val="0000FF"/>
        </w:rPr>
        <w:t xml:space="preserve"> </w:t>
      </w:r>
      <w:r>
        <w:rPr>
          <w:rFonts w:ascii="Arial" w:cs="Arial" w:eastAsia="Arial" w:hAnsi="Arial"/>
          <w:sz w:val="17"/>
          <w:szCs w:val="17"/>
          <w:color w:val="000000"/>
        </w:rPr>
        <w:t>credit facilities</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syndicated and agented in the United States</w:t>
      </w:r>
      <w:r>
        <w:rPr>
          <w:rFonts w:ascii="Arial" w:cs="Arial" w:eastAsia="Arial" w:hAnsi="Arial"/>
          <w:sz w:val="17"/>
          <w:szCs w:val="17"/>
          <w:color w:val="0000FF"/>
        </w:rPr>
        <w:t xml:space="preserve"> </w:t>
      </w:r>
      <w:r>
        <w:rPr>
          <w:rFonts w:ascii="Arial" w:cs="Arial" w:eastAsia="Arial" w:hAnsi="Arial"/>
          <w:sz w:val="17"/>
          <w:szCs w:val="17"/>
          <w:color w:val="000000"/>
        </w:rPr>
        <w:t>for such benchmark</w:t>
      </w:r>
      <w:r>
        <w:rPr>
          <w:rFonts w:ascii="Arial" w:cs="Arial" w:eastAsia="Arial" w:hAnsi="Arial"/>
          <w:sz w:val="17"/>
          <w:szCs w:val="17"/>
          <w:color w:val="0000FF"/>
        </w:rPr>
        <w:t xml:space="preserve"> </w:t>
      </w:r>
      <w:r>
        <w:rPr>
          <w:rFonts w:ascii="Arial" w:cs="Arial" w:eastAsia="Arial" w:hAnsi="Arial"/>
          <w:sz w:val="17"/>
          <w:szCs w:val="17"/>
          <w:color w:val="FF0000"/>
        </w:rPr>
        <w:t>for Dollars, which adjustment or</w:t>
      </w:r>
      <w:r>
        <w:rPr>
          <w:rFonts w:ascii="Arial" w:cs="Arial" w:eastAsia="Arial" w:hAnsi="Arial"/>
          <w:sz w:val="17"/>
          <w:szCs w:val="17"/>
          <w:color w:val="0000FF"/>
        </w:rPr>
        <w:t xml:space="preserve"> </w:t>
      </w:r>
      <w:r>
        <w:rPr>
          <w:rFonts w:ascii="Arial" w:cs="Arial" w:eastAsia="Arial" w:hAnsi="Arial"/>
          <w:sz w:val="17"/>
          <w:szCs w:val="17"/>
          <w:color w:val="FF0000"/>
          <w:strike w:val="1"/>
        </w:rPr>
        <w:t>method for calculating such adjustment shall be</w:t>
      </w:r>
      <w:r>
        <w:rPr>
          <w:rFonts w:ascii="Arial" w:cs="Arial" w:eastAsia="Arial" w:hAnsi="Arial"/>
          <w:sz w:val="17"/>
          <w:szCs w:val="17"/>
          <w:color w:val="FF0000"/>
        </w:rPr>
        <w:t xml:space="preserve"> published on an information service as selected by the Administrative Agent from time to time in its reasonable discretion in consultation with the Borrower and may be periodically updated (each, an </w:t>
      </w:r>
      <w:r>
        <w:rPr>
          <w:rFonts w:ascii="Arial" w:cs="Arial" w:eastAsia="Arial" w:hAnsi="Arial"/>
          <w:sz w:val="17"/>
          <w:szCs w:val="17"/>
          <w:color w:val="FF0000"/>
          <w:strike w:val="1"/>
        </w:rPr>
        <w:t>“</w:t>
      </w:r>
      <w:r>
        <w:rPr>
          <w:rFonts w:ascii="Arial" w:cs="Arial" w:eastAsia="Arial" w:hAnsi="Arial"/>
          <w:sz w:val="17"/>
          <w:szCs w:val="17"/>
          <w:u w:val="single" w:color="auto"/>
          <w:color w:val="FF0000"/>
          <w:strike w:val="1"/>
        </w:rPr>
        <w:t>Adjustment</w:t>
      </w:r>
      <w:r>
        <w:rPr>
          <w:rFonts w:ascii="Arial" w:cs="Arial" w:eastAsia="Arial" w:hAnsi="Arial"/>
          <w:sz w:val="17"/>
          <w:szCs w:val="17"/>
          <w:color w:val="FF0000"/>
          <w:strike w:val="1"/>
        </w:rPr>
        <w:t>;”</w:t>
      </w:r>
      <w:r>
        <w:rPr>
          <w:rFonts w:ascii="Arial" w:cs="Arial" w:eastAsia="Arial" w:hAnsi="Arial"/>
          <w:sz w:val="17"/>
          <w:szCs w:val="17"/>
          <w:color w:val="FF0000"/>
        </w:rPr>
        <w:t xml:space="preserve"> </w:t>
      </w:r>
      <w:r>
        <w:rPr>
          <w:rFonts w:ascii="Arial" w:cs="Arial" w:eastAsia="Arial" w:hAnsi="Arial"/>
          <w:sz w:val="17"/>
          <w:szCs w:val="17"/>
          <w:color w:val="FF0000"/>
          <w:strike w:val="1"/>
        </w:rPr>
        <w:t>and</w:t>
      </w:r>
      <w:r>
        <w:rPr>
          <w:rFonts w:ascii="Arial" w:cs="Arial" w:eastAsia="Arial" w:hAnsi="Arial"/>
          <w:sz w:val="17"/>
          <w:szCs w:val="17"/>
          <w:u w:val="single" w:color="auto"/>
          <w:color w:val="0000FF"/>
        </w:rPr>
        <w:t>. For the avoidance of doubt,</w:t>
      </w:r>
      <w:r>
        <w:rPr>
          <w:rFonts w:ascii="Arial" w:cs="Arial" w:eastAsia="Arial" w:hAnsi="Arial"/>
          <w:sz w:val="17"/>
          <w:szCs w:val="17"/>
          <w:color w:val="FF0000"/>
        </w:rPr>
        <w:t xml:space="preserve"> </w:t>
      </w:r>
      <w:r>
        <w:rPr>
          <w:rFonts w:ascii="Arial" w:cs="Arial" w:eastAsia="Arial" w:hAnsi="Arial"/>
          <w:sz w:val="17"/>
          <w:szCs w:val="17"/>
          <w:color w:val="000000"/>
        </w:rPr>
        <w:t>any such proposed rate</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and adjustments, shall constitute</w:t>
      </w:r>
      <w:r>
        <w:rPr>
          <w:rFonts w:ascii="Arial" w:cs="Arial" w:eastAsia="Arial" w:hAnsi="Arial"/>
          <w:sz w:val="17"/>
          <w:szCs w:val="17"/>
          <w:color w:val="FF0000"/>
        </w:rPr>
        <w:t xml:space="preserve"> </w:t>
      </w:r>
      <w:r>
        <w:rPr>
          <w:rFonts w:ascii="Arial" w:cs="Arial" w:eastAsia="Arial" w:hAnsi="Arial"/>
          <w:sz w:val="17"/>
          <w:szCs w:val="17"/>
          <w:color w:val="000000"/>
        </w:rPr>
        <w:t>a “Successor Rate”</w:t>
      </w:r>
      <w:r>
        <w:rPr>
          <w:rFonts w:ascii="Arial" w:cs="Arial" w:eastAsia="Arial" w:hAnsi="Arial"/>
          <w:sz w:val="17"/>
          <w:szCs w:val="17"/>
          <w:color w:val="FF0000"/>
          <w:strike w:val="1"/>
        </w:rPr>
        <w:t>), and any</w:t>
      </w:r>
      <w:r>
        <w:rPr>
          <w:rFonts w:ascii="Arial" w:cs="Arial" w:eastAsia="Arial" w:hAnsi="Arial"/>
          <w:sz w:val="17"/>
          <w:szCs w:val="17"/>
          <w:u w:val="single" w:color="auto"/>
          <w:color w:val="0000FF"/>
        </w:rPr>
        <w:t>. Any</w:t>
      </w:r>
      <w:r>
        <w:rPr>
          <w:rFonts w:ascii="Arial" w:cs="Arial" w:eastAsia="Arial" w:hAnsi="Arial"/>
          <w:sz w:val="17"/>
          <w:szCs w:val="17"/>
          <w:color w:val="FF0000"/>
        </w:rPr>
        <w:t xml:space="preserve"> </w:t>
      </w:r>
      <w:r>
        <w:rPr>
          <w:rFonts w:ascii="Arial" w:cs="Arial" w:eastAsia="Arial" w:hAnsi="Arial"/>
          <w:sz w:val="17"/>
          <w:szCs w:val="17"/>
          <w:color w:val="000000"/>
        </w:rPr>
        <w:t>such</w:t>
      </w:r>
      <w:r>
        <w:rPr>
          <w:rFonts w:ascii="Arial" w:cs="Arial" w:eastAsia="Arial" w:hAnsi="Arial"/>
          <w:sz w:val="17"/>
          <w:szCs w:val="17"/>
          <w:color w:val="FF0000"/>
        </w:rPr>
        <w:t xml:space="preserve"> </w:t>
      </w:r>
      <w:r>
        <w:rPr>
          <w:rFonts w:ascii="Arial" w:cs="Arial" w:eastAsia="Arial" w:hAnsi="Arial"/>
          <w:sz w:val="17"/>
          <w:szCs w:val="17"/>
          <w:color w:val="000000"/>
        </w:rPr>
        <w:t xml:space="preserve">amendment shall become effective at 5:00 p.m. on the fifth Business Day after the Administrative Agent shall have posted such proposed amendment to all Lenders </w:t>
      </w:r>
      <w:r>
        <w:rPr>
          <w:rFonts w:ascii="Arial" w:cs="Arial" w:eastAsia="Arial" w:hAnsi="Arial"/>
          <w:sz w:val="17"/>
          <w:szCs w:val="17"/>
          <w:u w:val="single" w:color="auto"/>
          <w:color w:val="0000FF"/>
        </w:rPr>
        <w:t>and the Borrower</w:t>
      </w:r>
      <w:r>
        <w:rPr>
          <w:rFonts w:ascii="Arial" w:cs="Arial" w:eastAsia="Arial" w:hAnsi="Arial"/>
          <w:sz w:val="17"/>
          <w:szCs w:val="17"/>
          <w:color w:val="000000"/>
        </w:rPr>
        <w:t xml:space="preserve"> unless, prior to such time, Lenders comprising the Required Lenders have delivered to the Administrative Agent written notice that </w:t>
      </w:r>
      <w:r>
        <w:rPr>
          <w:rFonts w:ascii="Arial" w:cs="Arial" w:eastAsia="Arial" w:hAnsi="Arial"/>
          <w:sz w:val="17"/>
          <w:szCs w:val="17"/>
          <w:color w:val="FF0000"/>
          <w:strike w:val="1"/>
        </w:rPr>
        <w:t>the</w:t>
      </w:r>
      <w:r>
        <w:rPr>
          <w:rFonts w:ascii="Arial" w:cs="Arial" w:eastAsia="Arial" w:hAnsi="Arial"/>
          <w:sz w:val="17"/>
          <w:szCs w:val="17"/>
          <w:u w:val="single" w:color="auto"/>
          <w:color w:val="0000FF"/>
        </w:rPr>
        <w:t>such</w:t>
      </w:r>
      <w:r>
        <w:rPr>
          <w:rFonts w:ascii="Arial" w:cs="Arial" w:eastAsia="Arial" w:hAnsi="Arial"/>
          <w:sz w:val="17"/>
          <w:szCs w:val="17"/>
          <w:color w:val="000000"/>
        </w:rPr>
        <w:t xml:space="preserve"> Required Lenders object to </w:t>
      </w:r>
      <w:r>
        <w:rPr>
          <w:rFonts w:ascii="Arial" w:cs="Arial" w:eastAsia="Arial" w:hAnsi="Arial"/>
          <w:sz w:val="17"/>
          <w:szCs w:val="17"/>
          <w:color w:val="FF0000"/>
          <w:strike w:val="1"/>
        </w:rPr>
        <w:t>any Adjustment or any rate</w:t>
      </w:r>
      <w:r>
        <w:rPr>
          <w:rFonts w:ascii="Arial" w:cs="Arial" w:eastAsia="Arial" w:hAnsi="Arial"/>
          <w:sz w:val="17"/>
          <w:szCs w:val="17"/>
          <w:color w:val="000000"/>
        </w:rPr>
        <w:t xml:space="preserve"> </w:t>
      </w:r>
      <w:r>
        <w:rPr>
          <w:rFonts w:ascii="Arial" w:cs="Arial" w:eastAsia="Arial" w:hAnsi="Arial"/>
          <w:sz w:val="17"/>
          <w:szCs w:val="17"/>
          <w:color w:val="FF0000"/>
        </w:rPr>
        <w:t>which is</w:t>
      </w:r>
      <w:r>
        <w:rPr>
          <w:rFonts w:ascii="Arial" w:cs="Arial" w:eastAsia="Arial" w:hAnsi="Arial"/>
          <w:sz w:val="17"/>
          <w:szCs w:val="17"/>
          <w:color w:val="000000"/>
        </w:rPr>
        <w:t xml:space="preserve"> </w:t>
      </w:r>
      <w:r>
        <w:rPr>
          <w:rFonts w:ascii="Arial" w:cs="Arial" w:eastAsia="Arial" w:hAnsi="Arial"/>
          <w:sz w:val="17"/>
          <w:szCs w:val="17"/>
          <w:color w:val="FF0000"/>
        </w:rPr>
        <w:t xml:space="preserve">not a SOFR-Based Rate; </w:t>
      </w:r>
      <w:r>
        <w:rPr>
          <w:rFonts w:ascii="Arial" w:cs="Arial" w:eastAsia="Arial" w:hAnsi="Arial"/>
          <w:sz w:val="17"/>
          <w:szCs w:val="17"/>
          <w:u w:val="single" w:color="auto"/>
          <w:color w:val="FF0000"/>
        </w:rPr>
        <w:t>provided</w:t>
      </w:r>
      <w:r>
        <w:rPr>
          <w:rFonts w:ascii="Arial" w:cs="Arial" w:eastAsia="Arial" w:hAnsi="Arial"/>
          <w:sz w:val="17"/>
          <w:szCs w:val="17"/>
          <w:color w:val="FF0000"/>
        </w:rPr>
        <w:t xml:space="preserve">, that for the avoidance of doubt, such Required Lenders </w:t>
      </w:r>
      <w:r>
        <w:rPr>
          <w:rFonts w:ascii="Arial" w:cs="Arial" w:eastAsia="Arial" w:hAnsi="Arial"/>
          <w:sz w:val="17"/>
          <w:szCs w:val="17"/>
          <w:color w:val="FF0000"/>
          <w:strike w:val="1"/>
        </w:rPr>
        <w:t>shall not be entitled to object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1811655</wp:posOffset>
            </wp:positionH>
            <wp:positionV relativeFrom="paragraph">
              <wp:posOffset>-1584325</wp:posOffset>
            </wp:positionV>
            <wp:extent cx="28581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5">
                      <a:extLst>
                        <a:ext uri="{28A0092B-C50C-407E-A947-70E740481C1C}"/>
                      </a:extLst>
                    </a:blip>
                    <a:srcRect/>
                    <a:stretch>
                      <a:fillRect/>
                    </a:stretch>
                  </pic:blipFill>
                  <pic:spPr bwMode="auto">
                    <a:xfrm>
                      <a:off x="0" y="0"/>
                      <a:ext cx="285813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-984250</wp:posOffset>
            </wp:positionV>
            <wp:extent cx="167894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6">
                      <a:extLst>
                        <a:ext uri="{28A0092B-C50C-407E-A947-70E740481C1C}"/>
                      </a:extLst>
                    </a:blip>
                    <a:srcRect/>
                    <a:stretch>
                      <a:fillRect/>
                    </a:stretch>
                  </pic:blipFill>
                  <pic:spPr bwMode="auto">
                    <a:xfrm>
                      <a:off x="0" y="0"/>
                      <a:ext cx="1678940" cy="88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9"/>
          <w:szCs w:val="19"/>
          <w:color w:val="FF0000"/>
          <w:strike w:val="1"/>
        </w:rPr>
        <w:t>SOFR-Based Rate contained in any</w:t>
      </w:r>
      <w:r>
        <w:rPr>
          <w:rFonts w:ascii="Arial" w:cs="Arial" w:eastAsia="Arial" w:hAnsi="Arial"/>
          <w:sz w:val="19"/>
          <w:szCs w:val="19"/>
          <w:color w:val="FF0000"/>
        </w:rPr>
        <w:t xml:space="preserve"> </w:t>
      </w:r>
      <w:r>
        <w:rPr>
          <w:rFonts w:ascii="Arial" w:cs="Arial" w:eastAsia="Arial" w:hAnsi="Arial"/>
          <w:sz w:val="19"/>
          <w:szCs w:val="19"/>
          <w:color w:val="000000"/>
        </w:rPr>
        <w:t>such amendment.</w:t>
      </w:r>
    </w:p>
    <w:p>
      <w:pPr>
        <w:spacing w:after="0" w:line="265" w:lineRule="exact"/>
        <w:rPr>
          <w:sz w:val="20"/>
          <w:szCs w:val="20"/>
          <w:color w:val="auto"/>
        </w:rPr>
      </w:pPr>
    </w:p>
    <w:p>
      <w:pPr>
        <w:ind w:left="100" w:right="359" w:firstLine="742"/>
        <w:spacing w:after="0" w:line="261" w:lineRule="auto"/>
        <w:tabs>
          <w:tab w:leader="none" w:pos="1519" w:val="left"/>
        </w:tabs>
        <w:numPr>
          <w:ilvl w:val="0"/>
          <w:numId w:val="109"/>
        </w:numPr>
        <w:rPr>
          <w:rFonts w:ascii="Arial" w:cs="Arial" w:eastAsia="Arial" w:hAnsi="Arial"/>
          <w:sz w:val="19"/>
          <w:szCs w:val="19"/>
          <w:color w:val="0000FF"/>
        </w:rPr>
      </w:pPr>
      <w:r>
        <w:rPr>
          <w:rFonts w:ascii="Arial" w:cs="Arial" w:eastAsia="Arial" w:hAnsi="Arial"/>
          <w:sz w:val="19"/>
          <w:szCs w:val="19"/>
          <w:u w:val="single" w:color="auto"/>
          <w:color w:val="0000FF"/>
        </w:rPr>
        <w:t>The Administrative Agent will promptly (in one or more notices) notify the Borrower and each Lender of the implementation of any Successor Rate.</w:t>
      </w:r>
    </w:p>
    <w:p>
      <w:pPr>
        <w:spacing w:after="0" w:line="267" w:lineRule="exact"/>
        <w:rPr>
          <w:rFonts w:ascii="Arial" w:cs="Arial" w:eastAsia="Arial" w:hAnsi="Arial"/>
          <w:sz w:val="19"/>
          <w:szCs w:val="19"/>
          <w:color w:val="0000FF"/>
        </w:rPr>
      </w:pPr>
    </w:p>
    <w:p>
      <w:pPr>
        <w:jc w:val="both"/>
        <w:ind w:left="100" w:right="59" w:firstLine="741"/>
        <w:spacing w:after="0" w:line="245" w:lineRule="auto"/>
        <w:tabs>
          <w:tab w:leader="none" w:pos="1520" w:val="left"/>
        </w:tabs>
        <w:numPr>
          <w:ilvl w:val="0"/>
          <w:numId w:val="109"/>
        </w:numPr>
        <w:rPr>
          <w:rFonts w:ascii="Arial" w:cs="Arial" w:eastAsia="Arial" w:hAnsi="Arial"/>
          <w:sz w:val="19"/>
          <w:szCs w:val="19"/>
          <w:color w:val="0000FF"/>
        </w:rPr>
      </w:pPr>
      <w:r>
        <w:rPr>
          <w:rFonts w:ascii="Arial" w:cs="Arial" w:eastAsia="Arial" w:hAnsi="Arial"/>
          <w:sz w:val="19"/>
          <w:szCs w:val="19"/>
          <w:color w:val="auto"/>
        </w:rPr>
        <w:t xml:space="preserve">Any Successor Rate shall be applied in a manner consistent with market practice </w:t>
      </w:r>
      <w:r>
        <w:rPr>
          <w:rFonts w:ascii="Arial" w:cs="Arial" w:eastAsia="Arial" w:hAnsi="Arial"/>
          <w:sz w:val="19"/>
          <w:szCs w:val="19"/>
          <w:color w:val="FF0000"/>
        </w:rPr>
        <w:t>for</w:t>
      </w:r>
      <w:r>
        <w:rPr>
          <w:rFonts w:ascii="Arial" w:cs="Arial" w:eastAsia="Arial" w:hAnsi="Arial"/>
          <w:sz w:val="19"/>
          <w:szCs w:val="19"/>
          <w:color w:val="auto"/>
        </w:rPr>
        <w:t xml:space="preserve"> </w:t>
      </w:r>
      <w:r>
        <w:rPr>
          <w:rFonts w:ascii="Arial" w:cs="Arial" w:eastAsia="Arial" w:hAnsi="Arial"/>
          <w:sz w:val="19"/>
          <w:szCs w:val="19"/>
          <w:color w:val="FF0000"/>
          <w:strike w:val="1"/>
        </w:rPr>
        <w:t>comparable syndicated</w:t>
      </w:r>
      <w:r>
        <w:rPr>
          <w:rFonts w:ascii="Arial" w:cs="Arial" w:eastAsia="Arial" w:hAnsi="Arial"/>
          <w:sz w:val="19"/>
          <w:szCs w:val="19"/>
          <w:color w:val="auto"/>
        </w:rPr>
        <w:t xml:space="preserve"> </w:t>
      </w:r>
      <w:r>
        <w:rPr>
          <w:rFonts w:ascii="Arial" w:cs="Arial" w:eastAsia="Arial" w:hAnsi="Arial"/>
          <w:sz w:val="19"/>
          <w:szCs w:val="19"/>
          <w:color w:val="FF0000"/>
          <w:strike w:val="1"/>
        </w:rPr>
        <w:t>loans being executed at the time of such determination</w:t>
      </w:r>
      <w:r>
        <w:rPr>
          <w:rFonts w:ascii="Arial" w:cs="Arial" w:eastAsia="Arial" w:hAnsi="Arial"/>
          <w:sz w:val="19"/>
          <w:szCs w:val="19"/>
          <w:color w:val="000000"/>
        </w:rPr>
        <w:t>; provided that to the extent such market practice is not administratively</w:t>
      </w:r>
      <w:r>
        <w:rPr>
          <w:rFonts w:ascii="Arial" w:cs="Arial" w:eastAsia="Arial" w:hAnsi="Arial"/>
          <w:sz w:val="19"/>
          <w:szCs w:val="19"/>
          <w:color w:val="FF0000"/>
        </w:rPr>
        <w:t xml:space="preserve"> </w:t>
      </w:r>
      <w:r>
        <w:rPr>
          <w:rFonts w:ascii="Arial" w:cs="Arial" w:eastAsia="Arial" w:hAnsi="Arial"/>
          <w:sz w:val="19"/>
          <w:szCs w:val="19"/>
          <w:color w:val="000000"/>
        </w:rPr>
        <w:t xml:space="preserve">feasible for the Administrative Agent, such Successor Rate shall be applied in a manner as otherwise reasonably determined by the Administrative Agent </w:t>
      </w:r>
      <w:r>
        <w:rPr>
          <w:rFonts w:ascii="Arial" w:cs="Arial" w:eastAsia="Arial" w:hAnsi="Arial"/>
          <w:sz w:val="19"/>
          <w:szCs w:val="19"/>
          <w:color w:val="FF0000"/>
        </w:rPr>
        <w:t>in consultation</w:t>
      </w:r>
      <w:r>
        <w:rPr>
          <w:rFonts w:ascii="Arial" w:cs="Arial" w:eastAsia="Arial" w:hAnsi="Arial"/>
          <w:sz w:val="19"/>
          <w:szCs w:val="19"/>
          <w:color w:val="000000"/>
        </w:rPr>
        <w:t xml:space="preserve"> </w:t>
      </w:r>
      <w:r>
        <w:rPr>
          <w:rFonts w:ascii="Arial" w:cs="Arial" w:eastAsia="Arial" w:hAnsi="Arial"/>
          <w:sz w:val="19"/>
          <w:szCs w:val="19"/>
          <w:color w:val="FF0000"/>
          <w:strike w:val="1"/>
        </w:rPr>
        <w:t>with the Borrower</w:t>
      </w:r>
      <w:r>
        <w:rPr>
          <w:rFonts w:ascii="Arial" w:cs="Arial" w:eastAsia="Arial" w:hAnsi="Arial"/>
          <w:sz w:val="19"/>
          <w:szCs w:val="19"/>
          <w:color w:val="000000"/>
        </w:rPr>
        <w:t xml:space="preserve"> .</w:t>
      </w:r>
    </w:p>
    <w:p>
      <w:pPr>
        <w:spacing w:after="0" w:line="268" w:lineRule="exact"/>
        <w:rPr>
          <w:rFonts w:ascii="Arial" w:cs="Arial" w:eastAsia="Arial" w:hAnsi="Arial"/>
          <w:sz w:val="19"/>
          <w:szCs w:val="19"/>
          <w:color w:val="0000FF"/>
        </w:rPr>
      </w:pPr>
    </w:p>
    <w:p>
      <w:pPr>
        <w:jc w:val="both"/>
        <w:ind w:left="100" w:right="19" w:firstLine="742"/>
        <w:spacing w:after="0" w:line="243" w:lineRule="auto"/>
        <w:tabs>
          <w:tab w:leader="none" w:pos="1523" w:val="left"/>
        </w:tabs>
        <w:numPr>
          <w:ilvl w:val="0"/>
          <w:numId w:val="109"/>
        </w:numPr>
        <w:rPr>
          <w:rFonts w:ascii="Arial" w:cs="Arial" w:eastAsia="Arial" w:hAnsi="Arial"/>
          <w:sz w:val="19"/>
          <w:szCs w:val="19"/>
          <w:color w:val="0000FF"/>
        </w:rPr>
      </w:pPr>
      <w:r>
        <w:rPr>
          <w:rFonts w:ascii="Arial" w:cs="Arial" w:eastAsia="Arial" w:hAnsi="Arial"/>
          <w:sz w:val="19"/>
          <w:szCs w:val="19"/>
          <w:color w:val="auto"/>
        </w:rPr>
        <w:t xml:space="preserve">Notwithstanding anything </w:t>
      </w:r>
      <w:r>
        <w:rPr>
          <w:rFonts w:ascii="Arial" w:cs="Arial" w:eastAsia="Arial" w:hAnsi="Arial"/>
          <w:sz w:val="19"/>
          <w:szCs w:val="19"/>
          <w:color w:val="FF0000"/>
          <w:strike w:val="1"/>
        </w:rPr>
        <w:t>to the contrary</w:t>
      </w:r>
      <w:r>
        <w:rPr>
          <w:rFonts w:ascii="Arial" w:cs="Arial" w:eastAsia="Arial" w:hAnsi="Arial"/>
          <w:sz w:val="19"/>
          <w:szCs w:val="19"/>
          <w:u w:val="single" w:color="auto"/>
          <w:color w:val="0000FF"/>
        </w:rPr>
        <w:t>else</w:t>
      </w:r>
      <w:r>
        <w:rPr>
          <w:rFonts w:ascii="Arial" w:cs="Arial" w:eastAsia="Arial" w:hAnsi="Arial"/>
          <w:sz w:val="19"/>
          <w:szCs w:val="19"/>
          <w:color w:val="auto"/>
        </w:rPr>
        <w:t xml:space="preserve"> herein, if at any time any Successor Rate as so determined would otherwise be less than </w:t>
      </w:r>
      <w:r>
        <w:rPr>
          <w:rFonts w:ascii="Arial" w:cs="Arial" w:eastAsia="Arial" w:hAnsi="Arial"/>
          <w:sz w:val="19"/>
          <w:szCs w:val="19"/>
          <w:color w:val="FF0000"/>
          <w:strike w:val="1"/>
        </w:rPr>
        <w:t>(x) in the case of Initial Term Loans,</w:t>
      </w:r>
      <w:r>
        <w:rPr>
          <w:rFonts w:ascii="Arial" w:cs="Arial" w:eastAsia="Arial" w:hAnsi="Arial"/>
          <w:sz w:val="19"/>
          <w:szCs w:val="19"/>
          <w:color w:val="auto"/>
        </w:rPr>
        <w:t xml:space="preserve"> 0.00% </w:t>
      </w:r>
      <w:r>
        <w:rPr>
          <w:rFonts w:ascii="Arial" w:cs="Arial" w:eastAsia="Arial" w:hAnsi="Arial"/>
          <w:sz w:val="19"/>
          <w:szCs w:val="19"/>
          <w:color w:val="FF0000"/>
        </w:rPr>
        <w:t>per annum</w:t>
      </w:r>
      <w:r>
        <w:rPr>
          <w:rFonts w:ascii="Arial" w:cs="Arial" w:eastAsia="Arial" w:hAnsi="Arial"/>
          <w:sz w:val="19"/>
          <w:szCs w:val="19"/>
          <w:color w:val="auto"/>
        </w:rPr>
        <w:t xml:space="preserve">, </w:t>
      </w:r>
      <w:r>
        <w:rPr>
          <w:rFonts w:ascii="Arial" w:cs="Arial" w:eastAsia="Arial" w:hAnsi="Arial"/>
          <w:sz w:val="19"/>
          <w:szCs w:val="19"/>
          <w:color w:val="FF0000"/>
          <w:strike w:val="1"/>
        </w:rPr>
        <w:t>then</w:t>
      </w:r>
      <w:r>
        <w:rPr>
          <w:rFonts w:ascii="Arial" w:cs="Arial" w:eastAsia="Arial" w:hAnsi="Arial"/>
          <w:sz w:val="19"/>
          <w:szCs w:val="19"/>
          <w:color w:val="auto"/>
        </w:rPr>
        <w:t xml:space="preserve"> the Successor Rate </w:t>
      </w:r>
      <w:r>
        <w:rPr>
          <w:rFonts w:ascii="Arial" w:cs="Arial" w:eastAsia="Arial" w:hAnsi="Arial"/>
          <w:sz w:val="19"/>
          <w:szCs w:val="19"/>
          <w:color w:val="FF0000"/>
          <w:strike w:val="1"/>
        </w:rPr>
        <w:t>with respect to such Initial</w:t>
      </w:r>
      <w:r>
        <w:rPr>
          <w:rFonts w:ascii="Arial" w:cs="Arial" w:eastAsia="Arial" w:hAnsi="Arial"/>
          <w:sz w:val="19"/>
          <w:szCs w:val="19"/>
          <w:color w:val="auto"/>
        </w:rPr>
        <w:t xml:space="preserve"> </w:t>
      </w:r>
      <w:r>
        <w:rPr>
          <w:rFonts w:ascii="Arial" w:cs="Arial" w:eastAsia="Arial" w:hAnsi="Arial"/>
          <w:sz w:val="19"/>
          <w:szCs w:val="19"/>
          <w:color w:val="FF0000"/>
          <w:strike w:val="1"/>
        </w:rPr>
        <w:t>Term Loans</w:t>
      </w:r>
      <w:r>
        <w:rPr>
          <w:rFonts w:ascii="Arial" w:cs="Arial" w:eastAsia="Arial" w:hAnsi="Arial"/>
          <w:sz w:val="19"/>
          <w:szCs w:val="19"/>
          <w:color w:val="FF0000"/>
        </w:rPr>
        <w:t xml:space="preserve"> </w:t>
      </w:r>
      <w:r>
        <w:rPr>
          <w:rFonts w:ascii="Arial" w:cs="Arial" w:eastAsia="Arial" w:hAnsi="Arial"/>
          <w:sz w:val="19"/>
          <w:szCs w:val="19"/>
          <w:color w:val="000000"/>
        </w:rPr>
        <w:t>will be deemed to be 0.00%</w:t>
      </w:r>
      <w:r>
        <w:rPr>
          <w:rFonts w:ascii="Arial" w:cs="Arial" w:eastAsia="Arial" w:hAnsi="Arial"/>
          <w:sz w:val="19"/>
          <w:szCs w:val="19"/>
          <w:color w:val="FF0000"/>
        </w:rPr>
        <w:t xml:space="preserve"> </w:t>
      </w:r>
      <w:r>
        <w:rPr>
          <w:rFonts w:ascii="Arial" w:cs="Arial" w:eastAsia="Arial" w:hAnsi="Arial"/>
          <w:sz w:val="19"/>
          <w:szCs w:val="19"/>
          <w:color w:val="FF0000"/>
          <w:strike w:val="1"/>
        </w:rPr>
        <w:t>per annum and (y) in</w:t>
      </w:r>
      <w:r>
        <w:rPr>
          <w:rFonts w:ascii="Arial" w:cs="Arial" w:eastAsia="Arial" w:hAnsi="Arial"/>
          <w:sz w:val="19"/>
          <w:szCs w:val="19"/>
          <w:color w:val="FF0000"/>
        </w:rPr>
        <w:t xml:space="preserve"> the case of Initial Revolving Loans, 0.00% per annum, then the Successor Rate with respect to such </w:t>
      </w:r>
      <w:r>
        <w:rPr>
          <w:rFonts w:ascii="Arial" w:cs="Arial" w:eastAsia="Arial" w:hAnsi="Arial"/>
          <w:sz w:val="19"/>
          <w:szCs w:val="19"/>
          <w:color w:val="FF0000"/>
          <w:strike w:val="1"/>
        </w:rPr>
        <w:t>Initial Revolving Loans will be deemed to be 0.00% per annum, in each case,</w:t>
      </w:r>
      <w:r>
        <w:rPr>
          <w:rFonts w:ascii="Arial" w:cs="Arial" w:eastAsia="Arial" w:hAnsi="Arial"/>
          <w:sz w:val="19"/>
          <w:szCs w:val="19"/>
          <w:color w:val="FF0000"/>
        </w:rPr>
        <w:t xml:space="preserve"> </w:t>
      </w:r>
      <w:r>
        <w:rPr>
          <w:rFonts w:ascii="Arial" w:cs="Arial" w:eastAsia="Arial" w:hAnsi="Arial"/>
          <w:sz w:val="19"/>
          <w:szCs w:val="19"/>
          <w:color w:val="000000"/>
        </w:rPr>
        <w:t>for the purposes</w:t>
      </w:r>
      <w:r>
        <w:rPr>
          <w:rFonts w:ascii="Arial" w:cs="Arial" w:eastAsia="Arial" w:hAnsi="Arial"/>
          <w:sz w:val="19"/>
          <w:szCs w:val="19"/>
          <w:color w:val="FF0000"/>
        </w:rPr>
        <w:t xml:space="preserve"> </w:t>
      </w:r>
      <w:r>
        <w:rPr>
          <w:rFonts w:ascii="Arial" w:cs="Arial" w:eastAsia="Arial" w:hAnsi="Arial"/>
          <w:sz w:val="19"/>
          <w:szCs w:val="19"/>
          <w:color w:val="000000"/>
        </w:rPr>
        <w:t>of this Agreement and the other Loan Documents.</w:t>
      </w:r>
    </w:p>
    <w:p>
      <w:pPr>
        <w:spacing w:after="0" w:line="189" w:lineRule="exact"/>
        <w:rPr>
          <w:rFonts w:ascii="Arial" w:cs="Arial" w:eastAsia="Arial" w:hAnsi="Arial"/>
          <w:sz w:val="19"/>
          <w:szCs w:val="19"/>
          <w:color w:val="0000FF"/>
        </w:rPr>
      </w:pPr>
    </w:p>
    <w:p>
      <w:pPr>
        <w:jc w:val="both"/>
        <w:ind w:left="100" w:right="59" w:firstLine="742"/>
        <w:spacing w:after="0" w:line="259" w:lineRule="auto"/>
        <w:tabs>
          <w:tab w:leader="none" w:pos="1520" w:val="left"/>
        </w:tabs>
        <w:numPr>
          <w:ilvl w:val="0"/>
          <w:numId w:val="109"/>
        </w:numPr>
        <w:rPr>
          <w:rFonts w:ascii="Arial" w:cs="Arial" w:eastAsia="Arial" w:hAnsi="Arial"/>
          <w:sz w:val="18"/>
          <w:szCs w:val="18"/>
          <w:color w:val="0000FF"/>
        </w:rPr>
      </w:pPr>
      <w:r>
        <w:rPr>
          <w:rFonts w:ascii="Arial" w:cs="Arial" w:eastAsia="Arial" w:hAnsi="Arial"/>
          <w:sz w:val="18"/>
          <w:szCs w:val="18"/>
          <w:color w:val="auto"/>
        </w:rPr>
        <w:t xml:space="preserve">In connection with the implementation of a Successor Rate, the Administrative Agent will have the right to make </w:t>
      </w:r>
      <w:r>
        <w:rPr>
          <w:rFonts w:ascii="Arial" w:cs="Arial" w:eastAsia="Arial" w:hAnsi="Arial"/>
          <w:sz w:val="18"/>
          <w:szCs w:val="18"/>
          <w:color w:val="FF0000"/>
          <w:strike w:val="1"/>
        </w:rPr>
        <w:t>Successor Rate</w:t>
      </w:r>
      <w:r>
        <w:rPr>
          <w:rFonts w:ascii="Arial" w:cs="Arial" w:eastAsia="Arial" w:hAnsi="Arial"/>
          <w:sz w:val="18"/>
          <w:szCs w:val="18"/>
          <w:color w:val="auto"/>
        </w:rPr>
        <w:t xml:space="preserve"> Conforming Changes from time to time </w:t>
      </w:r>
      <w:r>
        <w:rPr>
          <w:rFonts w:ascii="Arial" w:cs="Arial" w:eastAsia="Arial" w:hAnsi="Arial"/>
          <w:sz w:val="18"/>
          <w:szCs w:val="18"/>
          <w:u w:val="single" w:color="auto"/>
          <w:color w:val="0000FF"/>
        </w:rPr>
        <w:t>in consultation with the Borrower</w:t>
      </w:r>
      <w:r>
        <w:rPr>
          <w:rFonts w:ascii="Arial" w:cs="Arial" w:eastAsia="Arial" w:hAnsi="Arial"/>
          <w:sz w:val="18"/>
          <w:szCs w:val="18"/>
          <w:color w:val="auto"/>
        </w:rPr>
        <w:t xml:space="preserve"> and, notwithstanding anything to the contrary herein or in any other Loan Document, any amendments implementing such </w:t>
      </w:r>
      <w:r>
        <w:rPr>
          <w:rFonts w:ascii="Arial" w:cs="Arial" w:eastAsia="Arial" w:hAnsi="Arial"/>
          <w:sz w:val="18"/>
          <w:szCs w:val="18"/>
          <w:color w:val="FF0000"/>
          <w:strike w:val="1"/>
        </w:rPr>
        <w:t>Successor Rate</w:t>
      </w:r>
      <w:r>
        <w:rPr>
          <w:rFonts w:ascii="Arial" w:cs="Arial" w:eastAsia="Arial" w:hAnsi="Arial"/>
          <w:sz w:val="18"/>
          <w:szCs w:val="18"/>
          <w:color w:val="auto"/>
        </w:rPr>
        <w:t xml:space="preserve"> Conforming Changes will become effective without any further action or consent of any other party to this Agreement </w:t>
      </w:r>
      <w:r>
        <w:rPr>
          <w:rFonts w:ascii="Arial" w:cs="Arial" w:eastAsia="Arial" w:hAnsi="Arial"/>
          <w:sz w:val="18"/>
          <w:szCs w:val="18"/>
          <w:color w:val="FF0000"/>
          <w:strike w:val="1"/>
        </w:rPr>
        <w:t>(other than the Borrower (such consent</w:t>
      </w:r>
      <w:r>
        <w:rPr>
          <w:rFonts w:ascii="Arial" w:cs="Arial" w:eastAsia="Arial" w:hAnsi="Arial"/>
          <w:sz w:val="18"/>
          <w:szCs w:val="18"/>
          <w:color w:val="auto"/>
        </w:rPr>
        <w:t xml:space="preserve"> </w:t>
      </w:r>
      <w:r>
        <w:rPr>
          <w:rFonts w:ascii="Arial" w:cs="Arial" w:eastAsia="Arial" w:hAnsi="Arial"/>
          <w:sz w:val="18"/>
          <w:szCs w:val="18"/>
          <w:color w:val="FF0000"/>
          <w:strike w:val="1"/>
        </w:rPr>
        <w:t>not to be unreasonably withheld or delayed))</w:t>
      </w:r>
      <w:r>
        <w:rPr>
          <w:rFonts w:ascii="Arial" w:cs="Arial" w:eastAsia="Arial" w:hAnsi="Arial"/>
          <w:sz w:val="18"/>
          <w:szCs w:val="18"/>
          <w:color w:val="000000"/>
        </w:rPr>
        <w:t>; provided that, with respect to any such amendment effected, the Administrative</w:t>
      </w:r>
      <w:r>
        <w:rPr>
          <w:rFonts w:ascii="Arial" w:cs="Arial" w:eastAsia="Arial" w:hAnsi="Arial"/>
          <w:sz w:val="18"/>
          <w:szCs w:val="18"/>
          <w:color w:val="FF0000"/>
        </w:rPr>
        <w:t xml:space="preserve"> </w:t>
      </w:r>
      <w:r>
        <w:rPr>
          <w:rFonts w:ascii="Arial" w:cs="Arial" w:eastAsia="Arial" w:hAnsi="Arial"/>
          <w:sz w:val="18"/>
          <w:szCs w:val="18"/>
          <w:color w:val="000000"/>
        </w:rPr>
        <w:t xml:space="preserve">Agent shall post each such amendment implementing such </w:t>
      </w:r>
      <w:r>
        <w:rPr>
          <w:rFonts w:ascii="Arial" w:cs="Arial" w:eastAsia="Arial" w:hAnsi="Arial"/>
          <w:sz w:val="18"/>
          <w:szCs w:val="18"/>
          <w:color w:val="FF0000"/>
          <w:strike w:val="1"/>
        </w:rPr>
        <w:t>Successor Rate</w:t>
      </w:r>
      <w:r>
        <w:rPr>
          <w:rFonts w:ascii="Arial" w:cs="Arial" w:eastAsia="Arial" w:hAnsi="Arial"/>
          <w:sz w:val="18"/>
          <w:szCs w:val="18"/>
          <w:color w:val="000000"/>
        </w:rPr>
        <w:t xml:space="preserve"> Conforming Changes to the Borrower and the Lenders reasonably promptly after such amendment becomes effective.</w:t>
      </w:r>
    </w:p>
    <w:p>
      <w:pPr>
        <w:spacing w:after="0" w:line="177" w:lineRule="exact"/>
        <w:rPr>
          <w:rFonts w:ascii="Arial" w:cs="Arial" w:eastAsia="Arial" w:hAnsi="Arial"/>
          <w:sz w:val="18"/>
          <w:szCs w:val="18"/>
          <w:color w:val="0000FF"/>
        </w:rPr>
      </w:pPr>
    </w:p>
    <w:p>
      <w:pPr>
        <w:jc w:val="both"/>
        <w:ind w:left="100" w:right="39" w:firstLine="741"/>
        <w:spacing w:after="0" w:line="233" w:lineRule="auto"/>
        <w:tabs>
          <w:tab w:leader="none" w:pos="1137" w:val="left"/>
        </w:tabs>
        <w:numPr>
          <w:ilvl w:val="0"/>
          <w:numId w:val="110"/>
        </w:numPr>
        <w:rPr>
          <w:rFonts w:ascii="Arial" w:cs="Arial" w:eastAsia="Arial" w:hAnsi="Arial"/>
          <w:sz w:val="19"/>
          <w:szCs w:val="19"/>
          <w:color w:val="FF0000"/>
          <w:strike w:val="1"/>
        </w:rPr>
      </w:pPr>
      <w:r>
        <w:rPr>
          <w:rFonts w:ascii="Arial" w:cs="Arial" w:eastAsia="Arial" w:hAnsi="Arial"/>
          <w:sz w:val="19"/>
          <w:szCs w:val="19"/>
          <w:color w:val="FF0000"/>
          <w:strike w:val="1"/>
        </w:rPr>
        <w:t xml:space="preserve">If, </w:t>
      </w:r>
      <w:r>
        <w:rPr>
          <w:rFonts w:ascii="Arial" w:cs="Arial" w:eastAsia="Arial" w:hAnsi="Arial"/>
          <w:sz w:val="19"/>
          <w:szCs w:val="19"/>
          <w:i w:val="1"/>
          <w:iCs w:val="1"/>
          <w:color w:val="008000"/>
          <w:strike w:val="1"/>
        </w:rPr>
        <w:t>at the end of any Interest Period, relevant interest payment date or payment period for interest calculated,</w:t>
      </w:r>
      <w:r>
        <w:rPr>
          <w:rFonts w:ascii="Arial" w:cs="Arial" w:eastAsia="Arial" w:hAnsi="Arial"/>
          <w:sz w:val="19"/>
          <w:szCs w:val="19"/>
          <w:color w:val="FF0000"/>
          <w:strike w:val="1"/>
        </w:rPr>
        <w:t xml:space="preserve"> no Successor Rate has been determined in accordance with </w:t>
      </w:r>
      <w:r>
        <w:rPr>
          <w:rFonts w:ascii="Arial" w:cs="Arial" w:eastAsia="Arial" w:hAnsi="Arial"/>
          <w:sz w:val="19"/>
          <w:szCs w:val="19"/>
          <w:u w:val="single" w:color="auto"/>
          <w:color w:val="FF0000"/>
          <w:strike w:val="1"/>
        </w:rPr>
        <w:t>clause (a)</w:t>
      </w:r>
      <w:r>
        <w:rPr>
          <w:rFonts w:ascii="Arial" w:cs="Arial" w:eastAsia="Arial" w:hAnsi="Arial"/>
          <w:sz w:val="19"/>
          <w:szCs w:val="19"/>
          <w:color w:val="FF0000"/>
          <w:strike w:val="1"/>
        </w:rPr>
        <w:t xml:space="preserve"> of this </w:t>
      </w:r>
      <w:r>
        <w:rPr>
          <w:rFonts w:ascii="Arial" w:cs="Arial" w:eastAsia="Arial" w:hAnsi="Arial"/>
          <w:sz w:val="19"/>
          <w:szCs w:val="19"/>
          <w:u w:val="single" w:color="auto"/>
          <w:color w:val="FF0000"/>
          <w:strike w:val="1"/>
        </w:rPr>
        <w:t>Section 1.13</w:t>
      </w:r>
      <w:r>
        <w:rPr>
          <w:rFonts w:ascii="Arial" w:cs="Arial" w:eastAsia="Arial" w:hAnsi="Arial"/>
          <w:sz w:val="19"/>
          <w:szCs w:val="19"/>
          <w:color w:val="FF0000"/>
          <w:strike w:val="1"/>
        </w:rPr>
        <w:t xml:space="preserve"> or the Scheduled Unavailability Date has occurred (as applicable), the Administrative Agent will promptly so notify the Borrower and each Lender and thereafter, (x) the obligation of the Lenders to make or maintain LIBO Rate Loans in Dollars shall be suspended (to the extent of the affected LIBO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5029835</wp:posOffset>
            </wp:positionH>
            <wp:positionV relativeFrom="paragraph">
              <wp:posOffset>-3264535</wp:posOffset>
            </wp:positionV>
            <wp:extent cx="1866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7">
                      <a:extLst>
                        <a:ext uri="{28A0092B-C50C-407E-A947-70E740481C1C}"/>
                      </a:extLst>
                    </a:blip>
                    <a:srcRect/>
                    <a:stretch>
                      <a:fillRect/>
                    </a:stretch>
                  </pic:blipFill>
                  <pic:spPr bwMode="auto">
                    <a:xfrm>
                      <a:off x="0" y="0"/>
                      <a:ext cx="1866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-2853055</wp:posOffset>
            </wp:positionV>
            <wp:extent cx="73977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8">
                      <a:extLst>
                        <a:ext uri="{28A0092B-C50C-407E-A947-70E740481C1C}"/>
                      </a:extLst>
                    </a:blip>
                    <a:srcRect/>
                    <a:stretch>
                      <a:fillRect/>
                    </a:stretch>
                  </pic:blipFill>
                  <pic:spPr bwMode="auto">
                    <a:xfrm>
                      <a:off x="0" y="0"/>
                      <a:ext cx="739775" cy="825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-2390140</wp:posOffset>
            </wp:positionV>
            <wp:extent cx="54864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9">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74</w:t>
      </w:r>
      <w:r>
        <w:rPr>
          <w:rFonts w:ascii="Arial" w:cs="Arial" w:eastAsia="Arial" w:hAnsi="Arial"/>
          <w:sz w:val="18"/>
          <w:szCs w:val="18"/>
          <w:u w:val="single" w:color="auto"/>
          <w:color w:val="0000FF"/>
          <w:strike w:val="1"/>
        </w:rPr>
        <w:t>74</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42" w:name="page143"/>
    <w:bookmarkEnd w:id="142"/>
    <w:p>
      <w:pPr>
        <w:jc w:val="both"/>
        <w:ind w:left="100" w:right="19"/>
        <w:spacing w:after="0" w:line="263" w:lineRule="auto"/>
        <w:rPr>
          <w:sz w:val="20"/>
          <w:szCs w:val="20"/>
          <w:color w:val="auto"/>
        </w:rPr>
      </w:pPr>
      <w:r>
        <w:rPr>
          <w:rFonts w:ascii="Arial" w:cs="Arial" w:eastAsia="Arial" w:hAnsi="Arial"/>
          <w:sz w:val="17"/>
          <w:szCs w:val="17"/>
          <w:color w:val="FF0000"/>
        </w:rPr>
        <w:t xml:space="preserve">Loans, Interest Periods, interest payment dates or payment periods) and (y) the LIBO Rate component shall no longer be utilized in determining the Base Rate, until the Successor Rate has been determined in accordance with </w:t>
      </w:r>
      <w:r>
        <w:rPr>
          <w:rFonts w:ascii="Arial" w:cs="Arial" w:eastAsia="Arial" w:hAnsi="Arial"/>
          <w:sz w:val="17"/>
          <w:szCs w:val="17"/>
          <w:u w:val="single" w:color="auto"/>
          <w:color w:val="FF0000"/>
        </w:rPr>
        <w:t>clause (a)</w:t>
      </w:r>
      <w:r>
        <w:rPr>
          <w:rFonts w:ascii="Arial" w:cs="Arial" w:eastAsia="Arial" w:hAnsi="Arial"/>
          <w:sz w:val="17"/>
          <w:szCs w:val="17"/>
          <w:color w:val="FF0000"/>
        </w:rPr>
        <w:t xml:space="preserve">. Upon receipt of such notice, the Borrower may revoke any pending request for a Borrowing of, conversion to or continuation of LIBO Rate Loans (to the extent of the affected LIBO Rate Loans, Interest Periods, interest payment dates or payment periods) or , failing that, </w:t>
      </w:r>
      <w:r>
        <w:rPr>
          <w:rFonts w:ascii="Arial" w:cs="Arial" w:eastAsia="Arial" w:hAnsi="Arial"/>
          <w:sz w:val="17"/>
          <w:szCs w:val="17"/>
          <w:color w:val="FF0000"/>
          <w:strike w:val="1"/>
        </w:rPr>
        <w:t>(i) any requested</w:t>
      </w:r>
      <w:r>
        <w:rPr>
          <w:rFonts w:ascii="Arial" w:cs="Arial" w:eastAsia="Arial" w:hAnsi="Arial"/>
          <w:sz w:val="17"/>
          <w:szCs w:val="17"/>
          <w:color w:val="FF0000"/>
        </w:rPr>
        <w:t xml:space="preserve"> </w:t>
      </w:r>
      <w:r>
        <w:rPr>
          <w:rFonts w:ascii="Arial" w:cs="Arial" w:eastAsia="Arial" w:hAnsi="Arial"/>
          <w:sz w:val="17"/>
          <w:szCs w:val="17"/>
          <w:color w:val="FF0000"/>
          <w:strike w:val="1"/>
        </w:rPr>
        <w:t xml:space="preserve">Loans denominated in Dollars </w:t>
      </w:r>
      <w:r>
        <w:rPr>
          <w:rFonts w:ascii="Arial" w:cs="Arial" w:eastAsia="Arial" w:hAnsi="Arial"/>
          <w:sz w:val="17"/>
          <w:szCs w:val="17"/>
          <w:i w:val="1"/>
          <w:iCs w:val="1"/>
          <w:color w:val="008000"/>
          <w:strike w:val="1"/>
        </w:rPr>
        <w:t>will be deemed to have converted such request into a request for a Borrowing of ABR Loans</w:t>
      </w:r>
      <w:r>
        <w:rPr>
          <w:rFonts w:ascii="Arial" w:cs="Arial" w:eastAsia="Arial" w:hAnsi="Arial"/>
          <w:sz w:val="17"/>
          <w:szCs w:val="17"/>
          <w:color w:val="FF0000"/>
          <w:strike w:val="1"/>
        </w:rPr>
        <w:t xml:space="preserve"> (subject to the foregoing clause (y) in the amount specified therein) and (ii) any outstanding affected LIBO Rate Loans denominated in Dollars will be deemed to have been converted into ABR Loans at the end of the applicable Interest Per iod.</w:t>
      </w:r>
    </w:p>
    <w:p>
      <w:pPr>
        <w:spacing w:after="0" w:line="256" w:lineRule="exact"/>
        <w:rPr>
          <w:sz w:val="20"/>
          <w:szCs w:val="20"/>
          <w:color w:val="auto"/>
        </w:rPr>
      </w:pPr>
    </w:p>
    <w:p>
      <w:pPr>
        <w:ind w:left="100" w:right="59" w:firstLine="741"/>
        <w:spacing w:after="0" w:line="273" w:lineRule="auto"/>
        <w:tabs>
          <w:tab w:leader="none" w:pos="1130" w:val="left"/>
        </w:tabs>
        <w:numPr>
          <w:ilvl w:val="0"/>
          <w:numId w:val="111"/>
        </w:numPr>
        <w:rPr>
          <w:rFonts w:ascii="Arial" w:cs="Arial" w:eastAsia="Arial" w:hAnsi="Arial"/>
          <w:sz w:val="18"/>
          <w:szCs w:val="18"/>
          <w:color w:val="0000FF"/>
        </w:rPr>
      </w:pPr>
      <w:r>
        <w:rPr>
          <w:rFonts w:ascii="Arial" w:cs="Arial" w:eastAsia="Arial" w:hAnsi="Arial"/>
          <w:sz w:val="18"/>
          <w:szCs w:val="18"/>
          <w:u w:val="single" w:color="auto"/>
          <w:color w:val="0000FF"/>
        </w:rPr>
        <w:t>For purposes of this Section 1.13, those Lenders that either have not made, or do not</w:t>
      </w:r>
      <w:r>
        <w:rPr>
          <w:rFonts w:ascii="Arial" w:cs="Arial" w:eastAsia="Arial" w:hAnsi="Arial"/>
          <w:sz w:val="18"/>
          <w:szCs w:val="18"/>
          <w:color w:val="0000FF"/>
        </w:rPr>
        <w:t xml:space="preserve"> have an obligation under this Agreement to make, the relevant Loans in Dollars shall be excluded from </w:t>
      </w:r>
      <w:r>
        <w:rPr>
          <w:rFonts w:ascii="Arial" w:cs="Arial" w:eastAsia="Arial" w:hAnsi="Arial"/>
          <w:sz w:val="18"/>
          <w:szCs w:val="18"/>
          <w:u w:val="single" w:color="auto"/>
          <w:color w:val="0000FF"/>
        </w:rPr>
        <w:t>any determination of Required Lenders.</w:t>
      </w:r>
    </w:p>
    <w:p>
      <w:pPr>
        <w:spacing w:after="0" w:line="231" w:lineRule="exact"/>
        <w:rPr>
          <w:sz w:val="20"/>
          <w:szCs w:val="20"/>
          <w:color w:val="auto"/>
        </w:rPr>
      </w:pPr>
    </w:p>
    <w:p>
      <w:pPr>
        <w:ind w:left="840"/>
        <w:spacing w:after="0"/>
        <w:rPr>
          <w:sz w:val="20"/>
          <w:szCs w:val="20"/>
          <w:color w:val="auto"/>
        </w:rPr>
      </w:pPr>
      <w:r>
        <w:rPr>
          <w:rFonts w:ascii="Arial" w:cs="Arial" w:eastAsia="Arial" w:hAnsi="Arial"/>
          <w:sz w:val="19"/>
          <w:szCs w:val="19"/>
          <w:color w:val="auto"/>
        </w:rPr>
        <w:t>Section 1.14.  [</w:t>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14"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1.15.  </w:t>
      </w:r>
      <w:r>
        <w:rPr>
          <w:rFonts w:ascii="Arial" w:cs="Arial" w:eastAsia="Arial" w:hAnsi="Arial"/>
          <w:sz w:val="19"/>
          <w:szCs w:val="19"/>
          <w:u w:val="single" w:color="auto"/>
          <w:color w:val="auto"/>
        </w:rPr>
        <w:t>Certain Determinations</w:t>
      </w:r>
      <w:r>
        <w:rPr>
          <w:rFonts w:ascii="Arial" w:cs="Arial" w:eastAsia="Arial" w:hAnsi="Arial"/>
          <w:sz w:val="19"/>
          <w:szCs w:val="19"/>
          <w:color w:val="auto"/>
        </w:rPr>
        <w:t>.</w:t>
      </w:r>
    </w:p>
    <w:p>
      <w:pPr>
        <w:spacing w:after="0" w:line="200" w:lineRule="exact"/>
        <w:rPr>
          <w:sz w:val="20"/>
          <w:szCs w:val="20"/>
          <w:color w:val="auto"/>
        </w:rPr>
      </w:pPr>
    </w:p>
    <w:p>
      <w:pPr>
        <w:jc w:val="both"/>
        <w:ind w:left="100" w:right="319" w:firstLine="741"/>
        <w:spacing w:after="0" w:line="275" w:lineRule="auto"/>
        <w:tabs>
          <w:tab w:leader="none" w:pos="15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For the avoidance of doubt, in connection with any incurrence of Indebtedness under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“Required Lenders” and “Required Revolving Lenders” shall be calculated on a Pro Forma Basis in accordance with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w:t>
      </w:r>
    </w:p>
    <w:p>
      <w:pPr>
        <w:ind w:left="100" w:right="159"/>
        <w:spacing w:after="0" w:line="239" w:lineRule="auto"/>
        <w:rPr>
          <w:rFonts w:ascii="Arial" w:cs="Arial" w:eastAsia="Arial" w:hAnsi="Arial"/>
          <w:sz w:val="17"/>
          <w:szCs w:val="17"/>
          <w:color w:val="auto"/>
        </w:rPr>
      </w:pPr>
      <w:r>
        <w:rPr>
          <w:rFonts w:ascii="Arial" w:cs="Arial" w:eastAsia="Arial" w:hAnsi="Arial"/>
          <w:sz w:val="19"/>
          <w:szCs w:val="19"/>
          <w:u w:val="single" w:color="auto"/>
          <w:color w:val="auto"/>
        </w:rPr>
        <w:t>2.22</w:t>
      </w:r>
      <w:r>
        <w:rPr>
          <w:rFonts w:ascii="Arial" w:cs="Arial" w:eastAsia="Arial" w:hAnsi="Arial"/>
          <w:sz w:val="19"/>
          <w:szCs w:val="19"/>
          <w:color w:val="auto"/>
        </w:rPr>
        <w:t xml:space="preserve"> and the definition of “Incremental Cap”;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waiver, amendment or modification obtained on such basis (i) will become operative substantially contemporaneously with the incurrence of such Indebtedness and (ii) shall not affect the rights or duties under this Agreement of any Lender holding any Loan and/or Commitment under any then-outstanding Class in a manner that does not affect the rights or duties of the Lenders in respect of the Indebtedness incurred in reliance on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in connection with the relevant amendment.</w:t>
      </w:r>
    </w:p>
    <w:p>
      <w:pPr>
        <w:spacing w:after="0" w:line="205" w:lineRule="exact"/>
        <w:rPr>
          <w:rFonts w:ascii="Arial" w:cs="Arial" w:eastAsia="Arial" w:hAnsi="Arial"/>
          <w:sz w:val="17"/>
          <w:szCs w:val="17"/>
          <w:color w:val="auto"/>
        </w:rPr>
      </w:pPr>
    </w:p>
    <w:p>
      <w:pPr>
        <w:ind w:left="1600" w:hanging="758"/>
        <w:spacing w:after="0"/>
        <w:tabs>
          <w:tab w:leader="none" w:pos="160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[reserved].</w:t>
      </w:r>
    </w:p>
    <w:p>
      <w:pPr>
        <w:spacing w:after="0" w:line="213" w:lineRule="exact"/>
        <w:rPr>
          <w:rFonts w:ascii="Arial" w:cs="Arial" w:eastAsia="Arial" w:hAnsi="Arial"/>
          <w:sz w:val="19"/>
          <w:szCs w:val="19"/>
          <w:color w:val="auto"/>
        </w:rPr>
      </w:pPr>
    </w:p>
    <w:p>
      <w:pPr>
        <w:jc w:val="both"/>
        <w:ind w:left="100" w:right="39" w:firstLine="741"/>
        <w:spacing w:after="0" w:line="256" w:lineRule="auto"/>
        <w:tabs>
          <w:tab w:leader="none" w:pos="15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With respect to any determination under the terms of this Agreement that is vested in the Borrower, the Borrower shall have a right, in its sole discretion (but not any obligation), to deliver notice of such determination to the Administrative Agent, together with a reasonably detailed description thereof, which notice shall be conclusive evidence that such determination satisfied the applicable standard under this Agreement or the relevant other Loan Document unless, within five Business Days following receipt of notice of such determination (and the related description) from the Borrower, the Required Lenders deliver a written objection to such determination to the Borrower, which written objection states, with specificity, the basis upon which the Required Lenders object to such determination.</w:t>
      </w:r>
    </w:p>
    <w:p>
      <w:pPr>
        <w:spacing w:after="0" w:line="182" w:lineRule="exact"/>
        <w:rPr>
          <w:rFonts w:ascii="Arial" w:cs="Arial" w:eastAsia="Arial" w:hAnsi="Arial"/>
          <w:sz w:val="18"/>
          <w:szCs w:val="18"/>
          <w:color w:val="auto"/>
        </w:rPr>
      </w:pPr>
    </w:p>
    <w:p>
      <w:pPr>
        <w:jc w:val="both"/>
        <w:ind w:left="100" w:right="39" w:firstLine="741"/>
        <w:spacing w:after="0" w:line="272" w:lineRule="auto"/>
        <w:tabs>
          <w:tab w:leader="none" w:pos="15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Agreement or in any other Loan Document, if, after delivery of any Compliance Certificate pursuant to </w:t>
      </w:r>
      <w:r>
        <w:rPr>
          <w:rFonts w:ascii="Arial" w:cs="Arial" w:eastAsia="Arial" w:hAnsi="Arial"/>
          <w:sz w:val="17"/>
          <w:szCs w:val="17"/>
          <w:u w:val="single" w:color="auto"/>
          <w:color w:val="auto"/>
        </w:rPr>
        <w:t>Section 5.01(c)</w:t>
      </w:r>
      <w:r>
        <w:rPr>
          <w:rFonts w:ascii="Arial" w:cs="Arial" w:eastAsia="Arial" w:hAnsi="Arial"/>
          <w:sz w:val="17"/>
          <w:szCs w:val="17"/>
          <w:color w:val="auto"/>
        </w:rPr>
        <w:t>, it is subsequently determined that the Total Net Leverage Ratio set forth in such Compliance Certificate is inaccurate for any reason and the result of such inaccuracy is that the Lenders received any amount of interest or any fee for any relevant period based on an Applicable Rate or Commitment Fee Rate that is greater than or less than the amount that would have applied if the Total Net Leverage Ratio set forth in such Compliance Certificate had been accurately reported, then, for all purposes under this Agreement, the Applicable Rate and the Commitment Fee Rate for each day during the relevant period shall be revised to be based upon the accurately determined Total Net Leverage Ratio and, in such event, any shortfall in the amount of any applicable interest payment shall be due and payable within five Business Days following the date on which the Borrower becomes aware of the relevant inaccuracy. In the event that (A) any inaccuracy in the calculation of the Total Net Leverage Ratio resulted in a shortfall in the amount of any required interest or principal payment and (B) such inaccuracy resulted from a good faith mistake on the part of the Borrower in the preparation of such calculation, no</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75</w:t>
      </w:r>
      <w:r>
        <w:rPr>
          <w:rFonts w:ascii="Arial" w:cs="Arial" w:eastAsia="Arial" w:hAnsi="Arial"/>
          <w:sz w:val="18"/>
          <w:szCs w:val="18"/>
          <w:u w:val="single" w:color="auto"/>
          <w:color w:val="0000FF"/>
          <w:strike w:val="1"/>
        </w:rPr>
        <w:t>75</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43" w:name="page144"/>
    <w:bookmarkEnd w:id="143"/>
    <w:p>
      <w:pPr>
        <w:ind w:left="100" w:right="479"/>
        <w:spacing w:after="0" w:line="261" w:lineRule="auto"/>
        <w:rPr>
          <w:sz w:val="20"/>
          <w:szCs w:val="20"/>
          <w:color w:val="auto"/>
        </w:rPr>
      </w:pPr>
      <w:r>
        <w:rPr>
          <w:rFonts w:ascii="Arial" w:cs="Arial" w:eastAsia="Arial" w:hAnsi="Arial"/>
          <w:sz w:val="19"/>
          <w:szCs w:val="19"/>
          <w:color w:val="auto"/>
        </w:rPr>
        <w:t>Default or Event of Default shall arise under this Agreement with respect thereto unless the relevant amount has not been paid within the period described in the preceding sentence.</w:t>
      </w:r>
    </w:p>
    <w:p>
      <w:pPr>
        <w:spacing w:after="0" w:line="159" w:lineRule="exact"/>
        <w:rPr>
          <w:sz w:val="20"/>
          <w:szCs w:val="20"/>
          <w:color w:val="auto"/>
        </w:rPr>
      </w:pPr>
    </w:p>
    <w:p>
      <w:pPr>
        <w:ind w:left="100" w:right="79" w:firstLine="742"/>
        <w:spacing w:after="0" w:line="258" w:lineRule="auto"/>
        <w:tabs>
          <w:tab w:leader="none" w:pos="15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With respect to determination of the permissibility of any transaction by Holdings, the Borrower and/or any subsidiary under this Agreement, (i) the delivery by the Borrower of a third party valuation report from (A) a nationally recognized accounting, appraisal, investment banking or consulting firm or (B) another firm reasonably acceptable to the Administrative Agent, in each case, shall be conclusive with respect to the value of the assets covered thereby and (ii) any determination of whether an action is taken “in the ordinary course of business” or “in a manner consistent with past practice” (or, in either case, any similar expression) shall be made by the Borrower in good faith.</w:t>
      </w:r>
    </w:p>
    <w:p>
      <w:pPr>
        <w:spacing w:after="0" w:line="176" w:lineRule="exact"/>
        <w:rPr>
          <w:rFonts w:ascii="Arial" w:cs="Arial" w:eastAsia="Arial" w:hAnsi="Arial"/>
          <w:sz w:val="18"/>
          <w:szCs w:val="18"/>
          <w:color w:val="auto"/>
        </w:rPr>
      </w:pPr>
    </w:p>
    <w:p>
      <w:pPr>
        <w:jc w:val="both"/>
        <w:ind w:left="100" w:right="19" w:firstLine="742"/>
        <w:spacing w:after="0" w:line="277" w:lineRule="auto"/>
        <w:tabs>
          <w:tab w:leader="none" w:pos="152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It is understood and agreed for the avoidance of doubt that the carve-outs from the provisions of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may include items or activities that are not restricted by the relevant provision and the inclusion of such items or activities shall not be construed to expand the scope of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Article 6</w:t>
      </w:r>
      <w:r>
        <w:rPr>
          <w:rFonts w:ascii="Arial" w:cs="Arial" w:eastAsia="Arial" w:hAnsi="Arial"/>
          <w:sz w:val="18"/>
          <w:szCs w:val="18"/>
          <w:color w:val="auto"/>
        </w:rPr>
        <w:t>, as applicable.</w:t>
      </w:r>
    </w:p>
    <w:p>
      <w:pPr>
        <w:spacing w:after="0" w:line="161" w:lineRule="exact"/>
        <w:rPr>
          <w:sz w:val="20"/>
          <w:szCs w:val="20"/>
          <w:color w:val="auto"/>
        </w:rPr>
      </w:pPr>
    </w:p>
    <w:p>
      <w:pPr>
        <w:jc w:val="both"/>
        <w:ind w:left="100" w:right="59" w:firstLine="749"/>
        <w:spacing w:after="0" w:line="272" w:lineRule="auto"/>
        <w:rPr>
          <w:sz w:val="20"/>
          <w:szCs w:val="20"/>
          <w:color w:val="auto"/>
        </w:rPr>
      </w:pPr>
      <w:r>
        <w:rPr>
          <w:rFonts w:ascii="Arial" w:cs="Arial" w:eastAsia="Arial" w:hAnsi="Arial"/>
          <w:sz w:val="17"/>
          <w:szCs w:val="17"/>
          <w:color w:val="auto"/>
        </w:rPr>
        <w:t xml:space="preserve">Section 1.16. </w:t>
      </w:r>
      <w:r>
        <w:rPr>
          <w:rFonts w:ascii="Arial" w:cs="Arial" w:eastAsia="Arial" w:hAnsi="Arial"/>
          <w:sz w:val="17"/>
          <w:szCs w:val="17"/>
          <w:u w:val="single" w:color="auto"/>
          <w:color w:val="auto"/>
        </w:rPr>
        <w:t>Conflicts</w:t>
      </w:r>
      <w:r>
        <w:rPr>
          <w:rFonts w:ascii="Arial" w:cs="Arial" w:eastAsia="Arial" w:hAnsi="Arial"/>
          <w:sz w:val="17"/>
          <w:szCs w:val="17"/>
          <w:color w:val="auto"/>
        </w:rPr>
        <w:t>. In the event of any conflict or inconsistency between any term or provision of this Agreement (excluding the Exhibits hereto) and any term or provision of any Exhibit to this Agreement, the term or provision of this Agreement shall govern, and the Borrower shall be entitled to make such revisions to the relevant term or provision of the applicable Exhibit to ensure that such term or provision is consistent with the corresponding term or provision of this Agreement.</w:t>
      </w:r>
    </w:p>
    <w:p>
      <w:pPr>
        <w:spacing w:after="0" w:line="153" w:lineRule="exact"/>
        <w:rPr>
          <w:sz w:val="20"/>
          <w:szCs w:val="20"/>
          <w:color w:val="auto"/>
        </w:rPr>
      </w:pPr>
    </w:p>
    <w:p>
      <w:pPr>
        <w:jc w:val="both"/>
        <w:ind w:left="100" w:right="59" w:firstLine="749"/>
        <w:spacing w:after="0" w:line="243" w:lineRule="auto"/>
        <w:rPr>
          <w:sz w:val="20"/>
          <w:szCs w:val="20"/>
          <w:color w:val="auto"/>
        </w:rPr>
      </w:pPr>
      <w:r>
        <w:rPr>
          <w:rFonts w:ascii="Arial" w:cs="Arial" w:eastAsia="Arial" w:hAnsi="Arial"/>
          <w:sz w:val="18"/>
          <w:szCs w:val="18"/>
          <w:color w:val="auto"/>
        </w:rPr>
        <w:t xml:space="preserve">Section 1.17. </w:t>
      </w:r>
      <w:r>
        <w:rPr>
          <w:rFonts w:ascii="Arial" w:cs="Arial" w:eastAsia="Arial" w:hAnsi="Arial"/>
          <w:sz w:val="18"/>
          <w:szCs w:val="18"/>
          <w:u w:val="single" w:color="auto"/>
          <w:color w:val="auto"/>
        </w:rPr>
        <w:t>Confidentiality; Privilege, Etc</w:t>
      </w:r>
      <w:r>
        <w:rPr>
          <w:rFonts w:ascii="Arial" w:cs="Arial" w:eastAsia="Arial" w:hAnsi="Arial"/>
          <w:sz w:val="18"/>
          <w:szCs w:val="18"/>
          <w:color w:val="auto"/>
        </w:rPr>
        <w:t>. Notwithstanding any obligation to provide information under any Loan Document or allow the Administrative Agent, the Lenders or any third party to access or inspect the books and records of Holdings or its subsidiaries or otherwise as set forth in this Agreement or any other Loan Document, none of Holdings or any of its subsidiaries will be required to disclose or permit the inspection or discussion of, any document, information or other matter (a) that constitutes a non-financial trade secret or non-financial proprietary information of any Person, (b) in respect of which disclosure to the Administrative Agent or any Lender (or any of their respective Representatives) is prohibited by applicable Requirements of Law, (c) that is subject to attorney-client or similar privilege or constitutes attorney work product and/or (d) in respect of which Holdings and/or any of its subsidiaries owes confidentiality obligations to any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confidentiality obligations were not entered into in contemplation of the requirements of the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such information has not been provided in reliance on </w:t>
      </w:r>
      <w:r>
        <w:rPr>
          <w:rFonts w:ascii="Arial" w:cs="Arial" w:eastAsia="Arial" w:hAnsi="Arial"/>
          <w:sz w:val="18"/>
          <w:szCs w:val="18"/>
          <w:u w:val="single" w:color="auto"/>
          <w:color w:val="auto"/>
        </w:rPr>
        <w:t>clauses (c)</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notice that information is being withheld on such basis must be provided to the Administrative Agent.</w:t>
      </w:r>
    </w:p>
    <w:p>
      <w:pPr>
        <w:spacing w:after="0" w:line="273"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ARTICLE 2 THE</w:t>
      </w:r>
    </w:p>
    <w:p>
      <w:pPr>
        <w:spacing w:after="0" w:line="200"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CREDITS</w:t>
      </w:r>
    </w:p>
    <w:p>
      <w:pPr>
        <w:spacing w:after="0" w:line="106"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u w:val="single" w:color="auto"/>
          <w:color w:val="auto"/>
        </w:rPr>
        <w:t>Commitments</w:t>
      </w:r>
      <w:r>
        <w:rPr>
          <w:rFonts w:ascii="Arial" w:cs="Arial" w:eastAsia="Arial" w:hAnsi="Arial"/>
          <w:sz w:val="19"/>
          <w:szCs w:val="19"/>
          <w:color w:val="auto"/>
        </w:rPr>
        <w:t>.</w:t>
      </w:r>
    </w:p>
    <w:p>
      <w:pPr>
        <w:spacing w:after="0" w:line="214" w:lineRule="exact"/>
        <w:rPr>
          <w:sz w:val="20"/>
          <w:szCs w:val="20"/>
          <w:color w:val="auto"/>
        </w:rPr>
      </w:pPr>
    </w:p>
    <w:p>
      <w:pPr>
        <w:jc w:val="both"/>
        <w:ind w:left="100" w:right="19" w:firstLine="741"/>
        <w:spacing w:after="0" w:line="254" w:lineRule="auto"/>
        <w:tabs>
          <w:tab w:leader="none" w:pos="152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 (i) each Initial Term Lender severally, and not jointly, agrees to make term loans (the “</w:t>
      </w:r>
      <w:r>
        <w:rPr>
          <w:rFonts w:ascii="Arial" w:cs="Arial" w:eastAsia="Arial" w:hAnsi="Arial"/>
          <w:sz w:val="18"/>
          <w:szCs w:val="18"/>
          <w:u w:val="single" w:color="auto"/>
          <w:color w:val="auto"/>
        </w:rPr>
        <w:t>Initial Term Loans</w:t>
      </w:r>
      <w:r>
        <w:rPr>
          <w:rFonts w:ascii="Arial" w:cs="Arial" w:eastAsia="Arial" w:hAnsi="Arial"/>
          <w:sz w:val="18"/>
          <w:szCs w:val="18"/>
          <w:color w:val="auto"/>
        </w:rPr>
        <w:t>”) to the Borrower on the Closing Date in Dollars in a principal amount not to exceed its Initial Term Loan Commitment and (ii) each Initial Revolving Lender severally, and not jointly, agrees to make revolving loans (the “</w:t>
      </w:r>
      <w:r>
        <w:rPr>
          <w:rFonts w:ascii="Arial" w:cs="Arial" w:eastAsia="Arial" w:hAnsi="Arial"/>
          <w:sz w:val="18"/>
          <w:szCs w:val="18"/>
          <w:u w:val="single" w:color="auto"/>
          <w:color w:val="auto"/>
        </w:rPr>
        <w:t>Initial Revolving Loans</w:t>
      </w:r>
      <w:r>
        <w:rPr>
          <w:rFonts w:ascii="Arial" w:cs="Arial" w:eastAsia="Arial" w:hAnsi="Arial"/>
          <w:sz w:val="18"/>
          <w:szCs w:val="18"/>
          <w:color w:val="auto"/>
        </w:rPr>
        <w:t xml:space="preserve">”) to the Borrower in Dollars or any Alternate Currency as may be requested by the Borrower, at any time and from time to time on and after the Closing Date, and until the earlier of the Initial Revolving Credit Maturity Date and the termination of the Initial Revolving Credit Commitment of such Initial Revolving Lender in accordance with the terms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Borrowing of Initial Revolving Loans, the Outstanding Amount of such Initial Revolving Lender’s Initial Revolving Credit Exposure shall not exceed such Initial Revolving Lender’s Initial Revolving Credit Commitment. Within the foregoing limits and subject to the terms, conditions and limitations set forth herein, (x) Revolving Loans denominated 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76</w:t>
      </w:r>
      <w:r>
        <w:rPr>
          <w:rFonts w:ascii="Arial" w:cs="Arial" w:eastAsia="Arial" w:hAnsi="Arial"/>
          <w:sz w:val="18"/>
          <w:szCs w:val="18"/>
          <w:u w:val="single" w:color="auto"/>
          <w:color w:val="0000FF"/>
          <w:strike w:val="1"/>
        </w:rPr>
        <w:t>76</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44" w:name="page145"/>
    <w:bookmarkEnd w:id="144"/>
    <w:p>
      <w:pPr>
        <w:jc w:val="both"/>
        <w:ind w:left="100" w:right="40"/>
        <w:spacing w:after="0" w:line="230" w:lineRule="auto"/>
        <w:rPr>
          <w:sz w:val="20"/>
          <w:szCs w:val="20"/>
          <w:color w:val="auto"/>
        </w:rPr>
      </w:pPr>
      <w:r>
        <w:rPr>
          <w:rFonts w:ascii="Arial" w:cs="Arial" w:eastAsia="Arial" w:hAnsi="Arial"/>
          <w:sz w:val="19"/>
          <w:szCs w:val="19"/>
          <w:color w:val="auto"/>
        </w:rPr>
        <w:t xml:space="preserve">Dollars may consist of ABR Loans, </w:t>
      </w:r>
      <w:r>
        <w:rPr>
          <w:rFonts w:ascii="Arial" w:cs="Arial" w:eastAsia="Arial" w:hAnsi="Arial"/>
          <w:sz w:val="19"/>
          <w:szCs w:val="19"/>
          <w:color w:val="FF0000"/>
          <w:strike w:val="1"/>
        </w:rPr>
        <w:t>LIBO Rate</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Loans, or a combination thereof, and may be borrowed, paid, repaid and reborrowed and (y) Revolving Loans </w:t>
      </w:r>
      <w:r>
        <w:rPr>
          <w:rFonts w:ascii="Arial" w:cs="Arial" w:eastAsia="Arial" w:hAnsi="Arial"/>
          <w:sz w:val="19"/>
          <w:szCs w:val="19"/>
          <w:color w:val="FF0000"/>
          <w:strike w:val="1"/>
        </w:rPr>
        <w:t>denominated in any Alternate Currency shall consist of LIBO Rate Loans, and</w:t>
      </w:r>
      <w:r>
        <w:rPr>
          <w:rFonts w:ascii="Arial" w:cs="Arial" w:eastAsia="Arial" w:hAnsi="Arial"/>
          <w:sz w:val="19"/>
          <w:szCs w:val="19"/>
          <w:color w:val="auto"/>
        </w:rPr>
        <w:t xml:space="preserve"> may be borrowed, paid, repaid and reborrowed </w:t>
      </w:r>
      <w:r>
        <w:rPr>
          <w:rFonts w:ascii="Arial" w:cs="Arial" w:eastAsia="Arial" w:hAnsi="Arial"/>
          <w:sz w:val="19"/>
          <w:szCs w:val="19"/>
          <w:color w:val="0000FF"/>
        </w:rPr>
        <w:t>and the benchmark</w:t>
      </w:r>
      <w:r>
        <w:rPr>
          <w:rFonts w:ascii="Arial" w:cs="Arial" w:eastAsia="Arial" w:hAnsi="Arial"/>
          <w:sz w:val="19"/>
          <w:szCs w:val="19"/>
          <w:color w:val="auto"/>
        </w:rPr>
        <w:t xml:space="preserve"> </w:t>
      </w:r>
      <w:r>
        <w:rPr>
          <w:rFonts w:ascii="Arial" w:cs="Arial" w:eastAsia="Arial" w:hAnsi="Arial"/>
          <w:sz w:val="19"/>
          <w:szCs w:val="19"/>
          <w:u w:val="single" w:color="auto"/>
          <w:color w:val="0000FF"/>
        </w:rPr>
        <w:t>of any Revolving Loan denominated in any Alternate Currency shall be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determined pursuant to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1939925</wp:posOffset>
            </wp:positionH>
            <wp:positionV relativeFrom="paragraph">
              <wp:posOffset>-148590</wp:posOffset>
            </wp:positionV>
            <wp:extent cx="95123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9"/>
          <w:szCs w:val="19"/>
          <w:u w:val="single" w:color="auto"/>
          <w:color w:val="0000FF"/>
        </w:rPr>
        <w:t>1.10</w:t>
      </w:r>
      <w:r>
        <w:rPr>
          <w:rFonts w:ascii="Arial" w:cs="Arial" w:eastAsia="Arial" w:hAnsi="Arial"/>
          <w:sz w:val="19"/>
          <w:szCs w:val="19"/>
          <w:color w:val="000000"/>
        </w:rPr>
        <w:t>. Amounts paid or prepaid in respect of the Initial Term Loans may not be reborrowed.</w:t>
      </w:r>
    </w:p>
    <w:p>
      <w:pPr>
        <w:spacing w:after="0" w:line="265" w:lineRule="exact"/>
        <w:rPr>
          <w:sz w:val="20"/>
          <w:szCs w:val="20"/>
          <w:color w:val="auto"/>
        </w:rPr>
      </w:pPr>
    </w:p>
    <w:p>
      <w:pPr>
        <w:jc w:val="both"/>
        <w:ind w:left="100" w:right="60" w:firstLine="741"/>
        <w:spacing w:after="0" w:line="260" w:lineRule="auto"/>
        <w:tabs>
          <w:tab w:leader="none" w:pos="1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any applicable Refinancing Amendment, Extension Amendment, or Incremental Facility Amendment, each Lender with an Additional Commitment of a given Class, severally and not jointly, agrees to make Additional Loans of such Class to the Borrower, which Loans shall not exceed for any such Lender at the time of any incurrence thereof the Additional Commitment of such Class of such Lender as set forth in the applicable Refinancing Amendment, Extension Amendment or Incremental Facility Amendment.</w:t>
      </w:r>
    </w:p>
    <w:p>
      <w:pPr>
        <w:spacing w:after="0" w:line="175"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2.02.  </w:t>
      </w:r>
      <w:r>
        <w:rPr>
          <w:rFonts w:ascii="Arial" w:cs="Arial" w:eastAsia="Arial" w:hAnsi="Arial"/>
          <w:sz w:val="19"/>
          <w:szCs w:val="19"/>
          <w:u w:val="single" w:color="auto"/>
          <w:color w:val="auto"/>
        </w:rPr>
        <w:t>Loans and Borrowings</w:t>
      </w:r>
      <w:r>
        <w:rPr>
          <w:rFonts w:ascii="Arial" w:cs="Arial" w:eastAsia="Arial" w:hAnsi="Arial"/>
          <w:sz w:val="19"/>
          <w:szCs w:val="19"/>
          <w:color w:val="auto"/>
        </w:rPr>
        <w:t>.</w:t>
      </w:r>
    </w:p>
    <w:p>
      <w:pPr>
        <w:spacing w:after="0" w:line="214" w:lineRule="exact"/>
        <w:rPr>
          <w:sz w:val="20"/>
          <w:szCs w:val="20"/>
          <w:color w:val="auto"/>
        </w:rPr>
      </w:pPr>
    </w:p>
    <w:p>
      <w:pPr>
        <w:jc w:val="both"/>
        <w:ind w:left="100" w:right="60" w:firstLine="741"/>
        <w:spacing w:after="0" w:line="269" w:lineRule="auto"/>
        <w:tabs>
          <w:tab w:leader="none" w:pos="15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Each Loan (other than a Swingline Loan) shall be made as part of a Borrowing consisting of Loans of the same Class and Type made by the Lenders ratably in accordance with their respective Commitments of the applicable Class. Each Swingline Loan shall be made in accordance with the terms and procedures set forth in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154" w:lineRule="exact"/>
        <w:rPr>
          <w:rFonts w:ascii="Arial" w:cs="Arial" w:eastAsia="Arial" w:hAnsi="Arial"/>
          <w:sz w:val="18"/>
          <w:szCs w:val="18"/>
          <w:color w:val="auto"/>
        </w:rPr>
      </w:pPr>
    </w:p>
    <w:p>
      <w:pPr>
        <w:jc w:val="both"/>
        <w:ind w:left="100" w:firstLine="741"/>
        <w:spacing w:after="0" w:line="271" w:lineRule="auto"/>
        <w:tabs>
          <w:tab w:leader="none" w:pos="1523"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each Borrowing shall be comprised entirely of ABR Loans or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Loans as the Borrower may request in accordance herewith;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t>
      </w:r>
      <w:r>
        <w:rPr>
          <w:rFonts w:ascii="Arial" w:cs="Arial" w:eastAsia="Arial" w:hAnsi="Arial"/>
          <w:sz w:val="17"/>
          <w:szCs w:val="17"/>
          <w:color w:val="FF0000"/>
          <w:strike w:val="1"/>
        </w:rPr>
        <w:t>each</w:t>
      </w:r>
      <w:r>
        <w:rPr>
          <w:rFonts w:ascii="Arial" w:cs="Arial" w:eastAsia="Arial" w:hAnsi="Arial"/>
          <w:sz w:val="17"/>
          <w:szCs w:val="17"/>
          <w:u w:val="single" w:color="auto"/>
          <w:color w:val="0000FF"/>
        </w:rPr>
        <w:t>the benchmark of any</w:t>
      </w:r>
      <w:r>
        <w:rPr>
          <w:rFonts w:ascii="Arial" w:cs="Arial" w:eastAsia="Arial" w:hAnsi="Arial"/>
          <w:sz w:val="17"/>
          <w:szCs w:val="17"/>
          <w:color w:val="auto"/>
        </w:rPr>
        <w:t xml:space="preserve"> Revolving Loan denominated in any Alternate Currency shall be </w:t>
      </w:r>
      <w:r>
        <w:rPr>
          <w:rFonts w:ascii="Arial" w:cs="Arial" w:eastAsia="Arial" w:hAnsi="Arial"/>
          <w:sz w:val="17"/>
          <w:szCs w:val="17"/>
          <w:color w:val="FF0000"/>
          <w:strike w:val="1"/>
        </w:rPr>
        <w:t>a LIBO Rate Loan</w:t>
      </w:r>
      <w:r>
        <w:rPr>
          <w:rFonts w:ascii="Arial" w:cs="Arial" w:eastAsia="Arial" w:hAnsi="Arial"/>
          <w:sz w:val="17"/>
          <w:szCs w:val="17"/>
          <w:u w:val="single" w:color="auto"/>
          <w:color w:val="0000FF"/>
        </w:rPr>
        <w:t>determined pursuant to Section 1.10</w:t>
      </w:r>
      <w:r>
        <w:rPr>
          <w:rFonts w:ascii="Arial" w:cs="Arial" w:eastAsia="Arial" w:hAnsi="Arial"/>
          <w:sz w:val="17"/>
          <w:szCs w:val="17"/>
          <w:color w:val="auto"/>
        </w:rPr>
        <w:t xml:space="preserve">, and each Swingline Loan shall be an ABR Loan. Each Lender at its option may make any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 by causing any domestic or foreign branch or Affiliate of such Lender to make such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exercise of such option shall not affect the obligation of the Borrower to repay such Loan in accordance with the terms of this Agreement, (ii) such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 shall be deemed to have been made and held by such Lender, and the obligation of the Borrower to repay such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 shall nevertheless be to such Lender for the account of such domestic or foreign branch or Affiliate of such Lender and (iii) in exercising such option, such Lender shall use reasonable efforts to minimize increased costs to the Borrower resulting therefrom (which obligation of such Lender shall not require it to take, or refrain from taking, actions that it determines would result in increased costs for which it will not be compensated hereunder or that it otherwise determines would be disadvantageous to it and in the event of such request for costs for which compensation is provided under this Agreement, the provisions of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shall apply);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no such domestic or foreign branch or Affiliate of such Lender shall be entitled to any greater indemnification under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in respect of any US federal withholding tax with respect to such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 than that to which the applicable Lender was entitled on the date on which such Loan was made (except in connection with any indemnification entitlement arising as a result of any Change in Law after the date on which such Loan was made).</w:t>
      </w:r>
    </w:p>
    <w:p>
      <w:pPr>
        <w:spacing w:after="0" w:line="167" w:lineRule="exact"/>
        <w:rPr>
          <w:rFonts w:ascii="Arial" w:cs="Arial" w:eastAsia="Arial" w:hAnsi="Arial"/>
          <w:sz w:val="17"/>
          <w:szCs w:val="17"/>
          <w:color w:val="auto"/>
        </w:rPr>
      </w:pPr>
    </w:p>
    <w:p>
      <w:pPr>
        <w:jc w:val="both"/>
        <w:ind w:left="100" w:right="20" w:firstLine="741"/>
        <w:spacing w:after="0" w:line="241" w:lineRule="auto"/>
        <w:tabs>
          <w:tab w:leader="none" w:pos="1522"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At the commencement of each Interest Period for any </w:t>
      </w:r>
      <w:r>
        <w:rPr>
          <w:rFonts w:ascii="Arial" w:cs="Arial" w:eastAsia="Arial" w:hAnsi="Arial"/>
          <w:sz w:val="19"/>
          <w:szCs w:val="19"/>
          <w:color w:val="FF0000"/>
          <w:strike w:val="1"/>
        </w:rPr>
        <w:t>LIBO Rate</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Borrowing, such </w:t>
      </w:r>
      <w:r>
        <w:rPr>
          <w:rFonts w:ascii="Arial" w:cs="Arial" w:eastAsia="Arial" w:hAnsi="Arial"/>
          <w:sz w:val="19"/>
          <w:szCs w:val="19"/>
          <w:color w:val="FF0000"/>
          <w:strike w:val="1"/>
        </w:rPr>
        <w:t>LIBO Rate</w:t>
      </w:r>
      <w:r>
        <w:rPr>
          <w:rFonts w:ascii="Arial" w:cs="Arial" w:eastAsia="Arial" w:hAnsi="Arial"/>
          <w:sz w:val="19"/>
          <w:szCs w:val="19"/>
          <w:u w:val="single" w:color="auto"/>
          <w:color w:val="0000FF"/>
        </w:rPr>
        <w:t>Term</w:t>
      </w:r>
      <w:r>
        <w:rPr>
          <w:rFonts w:ascii="Arial" w:cs="Arial" w:eastAsia="Arial" w:hAnsi="Arial"/>
          <w:sz w:val="19"/>
          <w:szCs w:val="19"/>
          <w:color w:val="auto"/>
        </w:rPr>
        <w:t xml:space="preserve"> </w:t>
      </w:r>
      <w:r>
        <w:rPr>
          <w:rFonts w:ascii="Arial" w:cs="Arial" w:eastAsia="Arial" w:hAnsi="Arial"/>
          <w:sz w:val="19"/>
          <w:szCs w:val="19"/>
          <w:u w:val="single" w:color="auto"/>
          <w:color w:val="0000FF"/>
        </w:rPr>
        <w:t>SOFR</w:t>
      </w:r>
      <w:r>
        <w:rPr>
          <w:rFonts w:ascii="Arial" w:cs="Arial" w:eastAsia="Arial" w:hAnsi="Arial"/>
          <w:sz w:val="19"/>
          <w:szCs w:val="19"/>
          <w:color w:val="0000FF"/>
        </w:rPr>
        <w:t xml:space="preserve"> </w:t>
      </w:r>
      <w:r>
        <w:rPr>
          <w:rFonts w:ascii="Arial" w:cs="Arial" w:eastAsia="Arial" w:hAnsi="Arial"/>
          <w:sz w:val="19"/>
          <w:szCs w:val="19"/>
          <w:color w:val="000000"/>
        </w:rPr>
        <w:t>Borrowing shall comprise an aggregate principal amount that is an integral multiple of $100,000 and not less than</w:t>
      </w:r>
      <w:r>
        <w:rPr>
          <w:rFonts w:ascii="Arial" w:cs="Arial" w:eastAsia="Arial" w:hAnsi="Arial"/>
          <w:sz w:val="19"/>
          <w:szCs w:val="19"/>
          <w:color w:val="0000FF"/>
        </w:rPr>
        <w:t xml:space="preserve"> </w:t>
      </w:r>
      <w:r>
        <w:rPr>
          <w:rFonts w:ascii="Arial" w:cs="Arial" w:eastAsia="Arial" w:hAnsi="Arial"/>
          <w:sz w:val="19"/>
          <w:szCs w:val="19"/>
          <w:color w:val="000000"/>
        </w:rPr>
        <w:t xml:space="preserve">$1,000,000 </w:t>
      </w:r>
      <w:r>
        <w:rPr>
          <w:rFonts w:ascii="Arial" w:cs="Arial" w:eastAsia="Arial" w:hAnsi="Arial"/>
          <w:sz w:val="19"/>
          <w:szCs w:val="19"/>
          <w:color w:val="FF0000"/>
        </w:rPr>
        <w:t>(or the Dollar Equivalent thereof in the case of any</w:t>
      </w:r>
      <w:r>
        <w:rPr>
          <w:rFonts w:ascii="Arial" w:cs="Arial" w:eastAsia="Arial" w:hAnsi="Arial"/>
          <w:sz w:val="19"/>
          <w:szCs w:val="19"/>
          <w:color w:val="000000"/>
        </w:rPr>
        <w:t xml:space="preserve"> </w:t>
      </w:r>
      <w:r>
        <w:rPr>
          <w:rFonts w:ascii="Arial" w:cs="Arial" w:eastAsia="Arial" w:hAnsi="Arial"/>
          <w:sz w:val="19"/>
          <w:szCs w:val="19"/>
          <w:color w:val="FF0000"/>
          <w:strike w:val="1"/>
        </w:rPr>
        <w:t>LIBO Rate Borrowing denominated in any Alternate Currency).</w:t>
      </w:r>
      <w:r>
        <w:rPr>
          <w:rFonts w:ascii="Arial" w:cs="Arial" w:eastAsia="Arial" w:hAnsi="Arial"/>
          <w:sz w:val="19"/>
          <w:szCs w:val="19"/>
          <w:color w:val="0000FF"/>
        </w:rPr>
        <w:t>.</w:t>
      </w:r>
      <w:r>
        <w:rPr>
          <w:rFonts w:ascii="Arial" w:cs="Arial" w:eastAsia="Arial" w:hAnsi="Arial"/>
          <w:sz w:val="19"/>
          <w:szCs w:val="19"/>
          <w:color w:val="000000"/>
        </w:rPr>
        <w:t xml:space="preserve"> Each ABR Borrowing when made shall be in a minimum principal amount of $500,000 and in an integral multiple of $100,000;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an ABR Revolving Loan Borrowing may be made in a lesser aggregate amount that is (x) equal to the entire aggregate unused Revolving Credit Commitment or (y) required to finance the reimbursement of an LC Disbursement as contemplated by </w:t>
      </w:r>
      <w:r>
        <w:rPr>
          <w:rFonts w:ascii="Arial" w:cs="Arial" w:eastAsia="Arial" w:hAnsi="Arial"/>
          <w:sz w:val="19"/>
          <w:szCs w:val="19"/>
          <w:u w:val="single" w:color="auto"/>
          <w:color w:val="000000"/>
        </w:rPr>
        <w:t>Section 2.05(d)</w:t>
      </w:r>
      <w:r>
        <w:rPr>
          <w:rFonts w:ascii="Arial" w:cs="Arial" w:eastAsia="Arial" w:hAnsi="Arial"/>
          <w:sz w:val="19"/>
          <w:szCs w:val="19"/>
          <w:color w:val="000000"/>
        </w:rPr>
        <w:t xml:space="preserve">. Borrowings of more than one Type and Class may be outstanding at the same time;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there shall not at any time be more than a total of 10 different Interest Periods in effect for </w:t>
      </w:r>
      <w:r>
        <w:rPr>
          <w:rFonts w:ascii="Arial" w:cs="Arial" w:eastAsia="Arial" w:hAnsi="Arial"/>
          <w:sz w:val="19"/>
          <w:szCs w:val="19"/>
          <w:color w:val="FF0000"/>
          <w:strike w:val="1"/>
        </w:rPr>
        <w:t>LIBO Rate</w:t>
      </w:r>
      <w:r>
        <w:rPr>
          <w:rFonts w:ascii="Arial" w:cs="Arial" w:eastAsia="Arial" w:hAnsi="Arial"/>
          <w:sz w:val="19"/>
          <w:szCs w:val="19"/>
          <w:u w:val="single" w:color="auto"/>
          <w:color w:val="0000FF"/>
        </w:rPr>
        <w:t>Term SOFR</w:t>
      </w:r>
      <w:r>
        <w:rPr>
          <w:rFonts w:ascii="Arial" w:cs="Arial" w:eastAsia="Arial" w:hAnsi="Arial"/>
          <w:sz w:val="19"/>
          <w:szCs w:val="19"/>
          <w:color w:val="000000"/>
        </w:rPr>
        <w:t xml:space="preserve"> Borrowings at any time outstanding (or such greater number of different Interest Periods as the Administrative Agent may agree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-1043940</wp:posOffset>
            </wp:positionV>
            <wp:extent cx="257556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4">
                      <a:extLst>
                        <a:ext uri="{28A0092B-C50C-407E-A947-70E740481C1C}"/>
                      </a:extLst>
                    </a:blip>
                    <a:srcRect/>
                    <a:stretch>
                      <a:fillRect/>
                    </a:stretch>
                  </pic:blipFill>
                  <pic:spPr bwMode="auto">
                    <a:xfrm>
                      <a:off x="0" y="0"/>
                      <a:ext cx="2575560" cy="889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77</w:t>
      </w:r>
      <w:r>
        <w:rPr>
          <w:rFonts w:ascii="Arial" w:cs="Arial" w:eastAsia="Arial" w:hAnsi="Arial"/>
          <w:sz w:val="18"/>
          <w:szCs w:val="18"/>
          <w:u w:val="single" w:color="auto"/>
          <w:color w:val="0000FF"/>
          <w:strike w:val="1"/>
        </w:rPr>
        <w:t>77</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98" w:right="1439" w:bottom="1440" w:gutter="0" w:footer="0" w:header="0"/>
        </w:sectPr>
      </w:pPr>
    </w:p>
    <w:bookmarkStart w:id="145" w:name="page146"/>
    <w:bookmarkEnd w:id="145"/>
    <w:p>
      <w:pPr>
        <w:jc w:val="both"/>
        <w:ind w:left="100" w:right="59" w:firstLine="741"/>
        <w:spacing w:after="0" w:line="256" w:lineRule="auto"/>
        <w:tabs>
          <w:tab w:leader="none" w:pos="152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the Borrower shall not, nor shall it be entitled to, request, or to elect to convert or continue, any Borrowing if the Interest Period requested with respect thereto would end after the Maturity Date applicable to the relevant Loans.</w:t>
      </w:r>
    </w:p>
    <w:p>
      <w:pPr>
        <w:spacing w:after="0" w:line="178" w:lineRule="exact"/>
        <w:rPr>
          <w:sz w:val="20"/>
          <w:szCs w:val="20"/>
          <w:color w:val="auto"/>
        </w:rPr>
      </w:pPr>
    </w:p>
    <w:p>
      <w:pPr>
        <w:ind w:left="100" w:right="39" w:firstLine="749"/>
        <w:spacing w:after="0" w:line="255"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Requests for Borrowings</w:t>
      </w:r>
      <w:r>
        <w:rPr>
          <w:rFonts w:ascii="Arial" w:cs="Arial" w:eastAsia="Arial" w:hAnsi="Arial"/>
          <w:sz w:val="17"/>
          <w:szCs w:val="17"/>
          <w:color w:val="auto"/>
        </w:rPr>
        <w:t xml:space="preserve">. Each Term Loan Borrowing, each Revolving Loan Borrowing, each conversion of Term Loans or Revolving Loans from one Type to the other, and each continuation of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Loans shall be made upon irrevocable notice by the Borrower to the Administrative Agent, which may be given by a Borrowing Request or an Interest Election Request,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notice in respect of any Term Loan Borrowing and/or any Revolving Loan Borrowing (x) to be made on the Closing Date may be conditioned on the occurrence of the Closing Date, (y) to be made in connection with any acquisition, investment or repayment or redemption of Indebtedness may be conditioned on the closing of such Permitted Acquisition, permitted Investment or permitted repayment or redemption of Indebtedness or (z) for any other purpose to which the Administrative Agent may consent (such consent not to be unreasonably withheld or delayed), may be conditioned on the occurrence of the relevant event). Each such notice must be in the form of a Borrowing Request or an Interest Election Request, as applicable, appropriately completed and signed by a Responsible Officer of the Borrower and must be received by the Administrative Agent (by hand delivery or other electronic transmission (including “.pdf” or “.tif”)) not later than (i) 12:00 p.m. three Business Days prior to the requested day of any Borrowing of, conversion to or continuation of </w:t>
      </w:r>
      <w:r>
        <w:rPr>
          <w:rFonts w:ascii="Arial" w:cs="Arial" w:eastAsia="Arial" w:hAnsi="Arial"/>
          <w:sz w:val="17"/>
          <w:szCs w:val="17"/>
          <w:color w:val="FF0000"/>
          <w:strike w:val="1"/>
        </w:rPr>
        <w:t>LIBO Rate Loans (or one</w:t>
      </w:r>
      <w:r>
        <w:rPr>
          <w:rFonts w:ascii="Arial" w:cs="Arial" w:eastAsia="Arial" w:hAnsi="Arial"/>
          <w:sz w:val="17"/>
          <w:szCs w:val="17"/>
          <w:color w:val="auto"/>
        </w:rPr>
        <w:t xml:space="preserve"> </w:t>
      </w:r>
      <w:r>
        <w:rPr>
          <w:rFonts w:ascii="Arial" w:cs="Arial" w:eastAsia="Arial" w:hAnsi="Arial"/>
          <w:sz w:val="17"/>
          <w:szCs w:val="17"/>
          <w:color w:val="FF0000"/>
          <w:strike w:val="1"/>
        </w:rPr>
        <w:t>Business Day in the case of any Borrowing of LIBO Rate Loans to be made on the Closing Date)</w:t>
      </w:r>
      <w:r>
        <w:rPr>
          <w:rFonts w:ascii="Arial" w:cs="Arial" w:eastAsia="Arial" w:hAnsi="Arial"/>
          <w:sz w:val="17"/>
          <w:szCs w:val="17"/>
          <w:u w:val="single" w:color="auto"/>
          <w:color w:val="0000FF"/>
        </w:rPr>
        <w:t>Term SOFR Loans</w:t>
      </w:r>
      <w:r>
        <w:rPr>
          <w:rFonts w:ascii="Arial" w:cs="Arial" w:eastAsia="Arial" w:hAnsi="Arial"/>
          <w:sz w:val="17"/>
          <w:szCs w:val="17"/>
          <w:color w:val="FF0000"/>
        </w:rPr>
        <w:t xml:space="preserve"> </w:t>
      </w:r>
      <w:r>
        <w:rPr>
          <w:rFonts w:ascii="Arial" w:cs="Arial" w:eastAsia="Arial" w:hAnsi="Arial"/>
          <w:sz w:val="17"/>
          <w:szCs w:val="17"/>
          <w:color w:val="000000"/>
        </w:rPr>
        <w:t>and (ii) 10:00</w:t>
      </w:r>
      <w:r>
        <w:rPr>
          <w:rFonts w:ascii="Arial" w:cs="Arial" w:eastAsia="Arial" w:hAnsi="Arial"/>
          <w:sz w:val="17"/>
          <w:szCs w:val="17"/>
          <w:color w:val="FF0000"/>
        </w:rPr>
        <w:t xml:space="preserve"> </w:t>
      </w:r>
      <w:r>
        <w:rPr>
          <w:rFonts w:ascii="Arial" w:cs="Arial" w:eastAsia="Arial" w:hAnsi="Arial"/>
          <w:sz w:val="17"/>
          <w:szCs w:val="17"/>
          <w:color w:val="000000"/>
        </w:rPr>
        <w:t xml:space="preserve">a.m. on the requested date of any Borrowing of or conversion to ABR Loans (other than Swingline Loans) (or, in each case, such later time as is reasonably acceptable to the Administrative Agent);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however</w:t>
      </w:r>
      <w:r>
        <w:rPr>
          <w:rFonts w:ascii="Arial" w:cs="Arial" w:eastAsia="Arial" w:hAnsi="Arial"/>
          <w:sz w:val="17"/>
          <w:szCs w:val="17"/>
          <w:color w:val="000000"/>
        </w:rPr>
        <w:t xml:space="preserve">, that if the Borrower wishes to request </w:t>
      </w:r>
      <w:r>
        <w:rPr>
          <w:rFonts w:ascii="Arial" w:cs="Arial" w:eastAsia="Arial" w:hAnsi="Arial"/>
          <w:sz w:val="17"/>
          <w:szCs w:val="17"/>
          <w:color w:val="FF0000"/>
          <w:strike w:val="1"/>
        </w:rPr>
        <w:t>LIBO</w:t>
      </w:r>
      <w:r>
        <w:rPr>
          <w:rFonts w:ascii="Arial" w:cs="Arial" w:eastAsia="Arial" w:hAnsi="Arial"/>
          <w:sz w:val="17"/>
          <w:szCs w:val="17"/>
          <w:color w:val="000000"/>
        </w:rPr>
        <w:t xml:space="preserve"> </w:t>
      </w:r>
      <w:r>
        <w:rPr>
          <w:rFonts w:ascii="Arial" w:cs="Arial" w:eastAsia="Arial" w:hAnsi="Arial"/>
          <w:sz w:val="17"/>
          <w:szCs w:val="17"/>
          <w:color w:val="FF0000"/>
          <w:strike w:val="1"/>
        </w:rPr>
        <w:t>Rate</w:t>
      </w:r>
      <w:r>
        <w:rPr>
          <w:rFonts w:ascii="Arial" w:cs="Arial" w:eastAsia="Arial" w:hAnsi="Arial"/>
          <w:sz w:val="17"/>
          <w:szCs w:val="17"/>
          <w:u w:val="single" w:color="auto"/>
          <w:color w:val="0000FF"/>
        </w:rPr>
        <w:t>Term SOFR</w:t>
      </w:r>
      <w:r>
        <w:rPr>
          <w:rFonts w:ascii="Arial" w:cs="Arial" w:eastAsia="Arial" w:hAnsi="Arial"/>
          <w:sz w:val="17"/>
          <w:szCs w:val="17"/>
          <w:color w:val="FF0000"/>
        </w:rPr>
        <w:t xml:space="preserve"> </w:t>
      </w:r>
      <w:r>
        <w:rPr>
          <w:rFonts w:ascii="Arial" w:cs="Arial" w:eastAsia="Arial" w:hAnsi="Arial"/>
          <w:sz w:val="17"/>
          <w:szCs w:val="17"/>
          <w:color w:val="000000"/>
        </w:rPr>
        <w:t>Loans having an Interest Period other than one, three or six months in duration or such shorter period as provided</w:t>
      </w:r>
      <w:r>
        <w:rPr>
          <w:rFonts w:ascii="Arial" w:cs="Arial" w:eastAsia="Arial" w:hAnsi="Arial"/>
          <w:sz w:val="17"/>
          <w:szCs w:val="17"/>
          <w:color w:val="FF0000"/>
        </w:rPr>
        <w:t xml:space="preserve"> </w:t>
      </w:r>
      <w:r>
        <w:rPr>
          <w:rFonts w:ascii="Arial" w:cs="Arial" w:eastAsia="Arial" w:hAnsi="Arial"/>
          <w:sz w:val="17"/>
          <w:szCs w:val="17"/>
          <w:color w:val="000000"/>
        </w:rPr>
        <w:t xml:space="preserve">in the definition of “Interest Period”, (A) the applicable notice from the Borrower must be received by the Administrative Agent not later than 12:00 p.m. four Business Days prior to the requested date of the relevant Borrowing, conversion or continuation (or such later time as is reasonably acceptable to the Administrative Agent), whereupon the Administrative Agent shall give prompt notice to the appropriate Lenders of such request, (B) the relevant requested Interest Period shall be deemed to be available to each appropriate Lender unless such Lender has delivered written notice to the Administrative Agent indicating that such Interest Period is not available to such Lender within one Business Day following the date on which the notice described in </w:t>
      </w:r>
      <w:r>
        <w:rPr>
          <w:rFonts w:ascii="Arial" w:cs="Arial" w:eastAsia="Arial" w:hAnsi="Arial"/>
          <w:sz w:val="17"/>
          <w:szCs w:val="17"/>
          <w:u w:val="single" w:color="auto"/>
          <w:color w:val="000000"/>
        </w:rPr>
        <w:t>clause (A)</w:t>
      </w:r>
      <w:r>
        <w:rPr>
          <w:rFonts w:ascii="Arial" w:cs="Arial" w:eastAsia="Arial" w:hAnsi="Arial"/>
          <w:sz w:val="17"/>
          <w:szCs w:val="17"/>
          <w:color w:val="000000"/>
        </w:rPr>
        <w:t xml:space="preserve"> above is posted by the Administrative Agent and (C) not later than 12:00 p.m. three Business Days before the requested date of the relevant Borrowing, conversion or continuation, the Administrative Agent shall notify the Borrower whether or not the requested Interest Period is available to the appropriate Lenders.</w:t>
      </w:r>
    </w:p>
    <w:p>
      <w:pPr>
        <w:spacing w:after="0" w:line="181" w:lineRule="exact"/>
        <w:rPr>
          <w:sz w:val="20"/>
          <w:szCs w:val="20"/>
          <w:color w:val="auto"/>
        </w:rPr>
      </w:pPr>
    </w:p>
    <w:p>
      <w:pPr>
        <w:ind w:left="100" w:right="179" w:firstLine="749"/>
        <w:spacing w:after="0" w:line="266" w:lineRule="auto"/>
        <w:rPr>
          <w:sz w:val="20"/>
          <w:szCs w:val="20"/>
          <w:color w:val="auto"/>
        </w:rPr>
      </w:pPr>
      <w:r>
        <w:rPr>
          <w:rFonts w:ascii="Arial" w:cs="Arial" w:eastAsia="Arial" w:hAnsi="Arial"/>
          <w:sz w:val="17"/>
          <w:szCs w:val="17"/>
          <w:color w:val="auto"/>
        </w:rPr>
        <w:t xml:space="preserve">If no election as to the Type of Borrowing is specified, then the requested Borrowing shall be an ABR Borrowing. If no Interest Period is specified with respect to any requested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Borrowing, then the Borrower shall be deemed to have selected an Interest Period of one month’s duration. The Administrative Agent shall advise each Lender of the details and amount of any Loan to be made as part of the relevant requested Borrowing (x) in the case of any ABR Borrowing, on the same Business Day of receipt of a Borrowing Request in accordance with this Section or (y) in the case of any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Borrowing, no later than one Business Day following receipt of a Borrowing Request in accordance with this Section.</w:t>
      </w:r>
    </w:p>
    <w:p>
      <w:pPr>
        <w:spacing w:after="0" w:line="158"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2.04.  </w:t>
      </w:r>
      <w:r>
        <w:rPr>
          <w:rFonts w:ascii="Arial" w:cs="Arial" w:eastAsia="Arial" w:hAnsi="Arial"/>
          <w:sz w:val="19"/>
          <w:szCs w:val="19"/>
          <w:u w:val="single" w:color="auto"/>
          <w:color w:val="auto"/>
        </w:rPr>
        <w:t>Swingline Loans</w:t>
      </w:r>
      <w:r>
        <w:rPr>
          <w:rFonts w:ascii="Arial" w:cs="Arial" w:eastAsia="Arial" w:hAnsi="Arial"/>
          <w:sz w:val="19"/>
          <w:szCs w:val="19"/>
          <w:color w:val="auto"/>
        </w:rPr>
        <w:t>.</w:t>
      </w:r>
    </w:p>
    <w:p>
      <w:pPr>
        <w:spacing w:after="0" w:line="200" w:lineRule="exact"/>
        <w:rPr>
          <w:sz w:val="20"/>
          <w:szCs w:val="20"/>
          <w:color w:val="auto"/>
        </w:rPr>
      </w:pPr>
    </w:p>
    <w:p>
      <w:pPr>
        <w:jc w:val="both"/>
        <w:ind w:left="100" w:right="59" w:firstLine="741"/>
        <w:spacing w:after="0" w:line="279" w:lineRule="auto"/>
        <w:tabs>
          <w:tab w:leader="none" w:pos="15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Subject to the terms and conditions set forth herein, the Swingline Lender agrees to make swingline loans (“</w:t>
      </w:r>
      <w:r>
        <w:rPr>
          <w:rFonts w:ascii="Arial" w:cs="Arial" w:eastAsia="Arial" w:hAnsi="Arial"/>
          <w:sz w:val="17"/>
          <w:szCs w:val="17"/>
          <w:u w:val="single" w:color="auto"/>
          <w:color w:val="auto"/>
        </w:rPr>
        <w:t>Swingline Loans</w:t>
      </w:r>
      <w:r>
        <w:rPr>
          <w:rFonts w:ascii="Arial" w:cs="Arial" w:eastAsia="Arial" w:hAnsi="Arial"/>
          <w:sz w:val="17"/>
          <w:szCs w:val="17"/>
          <w:color w:val="auto"/>
        </w:rPr>
        <w:t xml:space="preserve">”) to the Borrower from time to time on and after the Closing Date and until the Latest Revolving Credit Maturity Date, in an aggregate principal amount at any time outstanding not to exceed $15,000,000;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Swingline Lender shall not be required to make any Swingline Loan to refinance any outstanding Swingline Loan and (ii) after giving effect to any Swingline Loan, the aggregate Outstanding Amount of all Revolving Loans, Swingline Loans and LC Exposure shall not exceed the Total Revolving Credit Commitment. Each Swingline Loan shall be in a minimum principal amount 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78</w:t>
      </w:r>
      <w:r>
        <w:rPr>
          <w:rFonts w:ascii="Arial" w:cs="Arial" w:eastAsia="Arial" w:hAnsi="Arial"/>
          <w:sz w:val="18"/>
          <w:szCs w:val="18"/>
          <w:u w:val="single" w:color="auto"/>
          <w:color w:val="0000FF"/>
          <w:strike w:val="1"/>
        </w:rPr>
        <w:t>78</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46" w:name="page147"/>
    <w:bookmarkEnd w:id="146"/>
    <w:p>
      <w:pPr>
        <w:jc w:val="both"/>
        <w:ind w:left="100" w:right="39"/>
        <w:spacing w:after="0" w:line="244" w:lineRule="auto"/>
        <w:rPr>
          <w:sz w:val="20"/>
          <w:szCs w:val="20"/>
          <w:color w:val="auto"/>
        </w:rPr>
      </w:pPr>
      <w:r>
        <w:rPr>
          <w:rFonts w:ascii="Arial" w:cs="Arial" w:eastAsia="Arial" w:hAnsi="Arial"/>
          <w:sz w:val="18"/>
          <w:szCs w:val="18"/>
          <w:color w:val="auto"/>
        </w:rPr>
        <w:t xml:space="preserve">not less than $100,000 or such lesser amount as may be agreed by the Swingline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any Swingline Loan may be in an aggregate amount that is (1) equal to the entire unused balance of the aggregate unused Revolving Credit Commitments or (2) required to finance the reimbursement of an LC Disbursement as contemplated by </w:t>
      </w:r>
      <w:r>
        <w:rPr>
          <w:rFonts w:ascii="Arial" w:cs="Arial" w:eastAsia="Arial" w:hAnsi="Arial"/>
          <w:sz w:val="18"/>
          <w:szCs w:val="18"/>
          <w:u w:val="single" w:color="auto"/>
          <w:color w:val="auto"/>
        </w:rPr>
        <w:t>Section 2.05(d)</w:t>
      </w:r>
      <w:r>
        <w:rPr>
          <w:rFonts w:ascii="Arial" w:cs="Arial" w:eastAsia="Arial" w:hAnsi="Arial"/>
          <w:sz w:val="18"/>
          <w:szCs w:val="18"/>
          <w:color w:val="auto"/>
        </w:rPr>
        <w:t xml:space="preserve">. Within the foregoing limits and subject to the terms and conditions set forth herein, Swingline Loans may be borrowed, prepaid and reborrowed. To request a Swingline Loan, the Borrower shall notify the Swingline Lender (with a copy to the Administrative Agent) of such request by delivery of a written Borrowing Request, appropriately completed and signed by a Responsible Officer of the Borrower, not later than 1:00 p.m. on the day of a proposed Swingline Loan. The Swingline Lender shall make each Swingline Loan available to the Borrower on the same Business Day by means of a credit to the account designated in the related Borrowing Request or otherwise in accordance with the instructions of the Borrower (including, in the case of a Swingline Loan made to finance the reimbursement of any LC Disbursement as provided in </w:t>
      </w:r>
      <w:r>
        <w:rPr>
          <w:rFonts w:ascii="Arial" w:cs="Arial" w:eastAsia="Arial" w:hAnsi="Arial"/>
          <w:sz w:val="18"/>
          <w:szCs w:val="18"/>
          <w:u w:val="single" w:color="auto"/>
          <w:color w:val="auto"/>
        </w:rPr>
        <w:t>Section 2.05(e)</w:t>
      </w:r>
      <w:r>
        <w:rPr>
          <w:rFonts w:ascii="Arial" w:cs="Arial" w:eastAsia="Arial" w:hAnsi="Arial"/>
          <w:sz w:val="18"/>
          <w:szCs w:val="18"/>
          <w:color w:val="auto"/>
        </w:rPr>
        <w:t>, by remittance to the applicable Issuing Bank).</w:t>
      </w:r>
    </w:p>
    <w:p>
      <w:pPr>
        <w:spacing w:after="0" w:line="183" w:lineRule="exact"/>
        <w:rPr>
          <w:sz w:val="20"/>
          <w:szCs w:val="20"/>
          <w:color w:val="auto"/>
        </w:rPr>
      </w:pPr>
    </w:p>
    <w:p>
      <w:pPr>
        <w:ind w:left="100" w:right="59" w:firstLine="741"/>
        <w:spacing w:after="0" w:line="268" w:lineRule="auto"/>
        <w:tabs>
          <w:tab w:leader="none" w:pos="1522"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The Swingline Lender may by written notice given to the Administrative Agent not later than 12:00 p.m. on any Business Day require the Revolving Lenders to purchase a participation on the Business Day following receipt of such notice in all or a portion of the Swingline Loans outstanding. Such notice shall specify the aggregate amount of Swingline Loans in which the Revolving Lenders will participate. Promptly upon receipt of such notice, the Administrative Agent will give notice thereof to each Revolving Lender, specifying in such notice such Revolving Lender's Applicable Revolving Credit Percentage of such Swingline Loan or Swingline Loans. Each Revolving Lender hereby absolutely and unconditionally agrees, upon receipt of notice as provided above, to pay to the Administrative Agent, for the account of the Swingline Lender, such Lender's Applicable Revolving Credit Percentage of such Swingline Loan or Swingline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Credit Commitments, and that each such payment shall be made without any offset, abatement, withholding or reduction whatsoever. Each Revolving Lender shall comply with its obligation under this paragraph by effecting a wire transfer of immediately available funds, in the same manner as provided in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with respect to Revolving Loans made by such Revolving Lender (and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the payment obligations of the Revolving Lenders pursuant to this </w:t>
      </w:r>
      <w:r>
        <w:rPr>
          <w:rFonts w:ascii="Arial" w:cs="Arial" w:eastAsia="Arial" w:hAnsi="Arial"/>
          <w:sz w:val="17"/>
          <w:szCs w:val="17"/>
          <w:u w:val="single" w:color="auto"/>
          <w:color w:val="auto"/>
        </w:rPr>
        <w:t>Section 2.04(b)</w:t>
      </w:r>
      <w:r>
        <w:rPr>
          <w:rFonts w:ascii="Arial" w:cs="Arial" w:eastAsia="Arial" w:hAnsi="Arial"/>
          <w:sz w:val="17"/>
          <w:szCs w:val="17"/>
          <w:color w:val="auto"/>
        </w:rPr>
        <w:t xml:space="preserve">), and the Administrative Agent shall promptly remit to the Swingline Lender the amounts so received by it from the Revolving Lenders. The Administrative Agent shall notify the Borrower of any participation in any Swingline Loan acquired pursuant to this </w:t>
      </w:r>
      <w:r>
        <w:rPr>
          <w:rFonts w:ascii="Arial" w:cs="Arial" w:eastAsia="Arial" w:hAnsi="Arial"/>
          <w:sz w:val="17"/>
          <w:szCs w:val="17"/>
          <w:u w:val="single" w:color="auto"/>
          <w:color w:val="auto"/>
        </w:rPr>
        <w:t>Section 2.04(b)</w:t>
      </w:r>
      <w:r>
        <w:rPr>
          <w:rFonts w:ascii="Arial" w:cs="Arial" w:eastAsia="Arial" w:hAnsi="Arial"/>
          <w:sz w:val="17"/>
          <w:szCs w:val="17"/>
          <w:color w:val="auto"/>
        </w:rPr>
        <w:t xml:space="preserve">, and thereafter any payment in respect of such Swingline Loan shall be made to the Administrative Agent and not to the Swingline Lender. Any amounts received by the Swingline Lender from the Borrower in respect of any Swingline Loan after receipt by the Swingline Lender of the proceeds of any sale of participations therein shall be promptly remitted by the Swingline Lender to the Administrative Agent, and any such amount received by the Administrative Agent shall be promptly remitted by the Administrative Agent to each Revolving Lender that has made its payment pursuant to this </w:t>
      </w:r>
      <w:r>
        <w:rPr>
          <w:rFonts w:ascii="Arial" w:cs="Arial" w:eastAsia="Arial" w:hAnsi="Arial"/>
          <w:sz w:val="17"/>
          <w:szCs w:val="17"/>
          <w:u w:val="single" w:color="auto"/>
          <w:color w:val="auto"/>
        </w:rPr>
        <w:t>Section 2.04(b)</w:t>
      </w:r>
      <w:r>
        <w:rPr>
          <w:rFonts w:ascii="Arial" w:cs="Arial" w:eastAsia="Arial" w:hAnsi="Arial"/>
          <w:sz w:val="17"/>
          <w:szCs w:val="17"/>
          <w:color w:val="auto"/>
        </w:rPr>
        <w:t xml:space="preserve"> and to the Swingline Lender, as their interests may appear;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and to the extent such payment is required to be funded to the Borrower for any reason, such payment shall be repaid to the Swingline Lender or the Administrative Agent, as the case may be, and thereafter to the Borrower. The purchase of participations in a Swingline Loan pursuant to this </w:t>
      </w:r>
      <w:r>
        <w:rPr>
          <w:rFonts w:ascii="Arial" w:cs="Arial" w:eastAsia="Arial" w:hAnsi="Arial"/>
          <w:sz w:val="17"/>
          <w:szCs w:val="17"/>
          <w:u w:val="single" w:color="auto"/>
          <w:color w:val="auto"/>
        </w:rPr>
        <w:t>Section 2.04(b)</w:t>
      </w:r>
      <w:r>
        <w:rPr>
          <w:rFonts w:ascii="Arial" w:cs="Arial" w:eastAsia="Arial" w:hAnsi="Arial"/>
          <w:sz w:val="17"/>
          <w:szCs w:val="17"/>
          <w:color w:val="auto"/>
        </w:rPr>
        <w:t xml:space="preserve"> shall not relieve the Borrower of any default in the payment thereof.</w:t>
      </w:r>
    </w:p>
    <w:p>
      <w:pPr>
        <w:spacing w:after="0" w:line="186" w:lineRule="exact"/>
        <w:rPr>
          <w:rFonts w:ascii="Arial" w:cs="Arial" w:eastAsia="Arial" w:hAnsi="Arial"/>
          <w:sz w:val="17"/>
          <w:szCs w:val="17"/>
          <w:color w:val="auto"/>
        </w:rPr>
      </w:pPr>
    </w:p>
    <w:p>
      <w:pPr>
        <w:jc w:val="both"/>
        <w:ind w:left="100" w:right="59" w:firstLine="741"/>
        <w:spacing w:after="0" w:line="256" w:lineRule="auto"/>
        <w:tabs>
          <w:tab w:leader="none" w:pos="151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If any Revolving Lender fails to make available to the Administrative Agent (for the account of the Swingline Lender) any amount required to be paid by such Revolving Lender pursuant to the foregoing provisions of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2.04(b)</w:t>
      </w:r>
      <w:r>
        <w:rPr>
          <w:rFonts w:ascii="Arial" w:cs="Arial" w:eastAsia="Arial" w:hAnsi="Arial"/>
          <w:sz w:val="18"/>
          <w:szCs w:val="18"/>
          <w:color w:val="auto"/>
        </w:rPr>
        <w:t>, the Swingline Lender shall be entitled to recover from such Revolving Lender (acting through the Administrative Agent), on demand, such amount with interest thereon for the period from the date such payment is required to the date on which such payment is immediately available to the Swingline Lender at a rate per annum equal to the greater of the Federal Funds Effective Rate from time to time in effect and a rate determined by the Administrative Agent in accordance with banking industry rules on interbank compensation. A certificate of the Swingline Lender submitted to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79</w:t>
      </w:r>
      <w:r>
        <w:rPr>
          <w:rFonts w:ascii="Arial" w:cs="Arial" w:eastAsia="Arial" w:hAnsi="Arial"/>
          <w:sz w:val="18"/>
          <w:szCs w:val="18"/>
          <w:u w:val="single" w:color="auto"/>
          <w:color w:val="0000FF"/>
          <w:strike w:val="1"/>
        </w:rPr>
        <w:t>79</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47" w:name="page148"/>
    <w:bookmarkEnd w:id="147"/>
    <w:p>
      <w:pPr>
        <w:ind w:left="100"/>
        <w:spacing w:after="0"/>
        <w:rPr>
          <w:sz w:val="20"/>
          <w:szCs w:val="20"/>
          <w:color w:val="auto"/>
        </w:rPr>
      </w:pPr>
      <w:r>
        <w:rPr>
          <w:rFonts w:ascii="Arial" w:cs="Arial" w:eastAsia="Arial" w:hAnsi="Arial"/>
          <w:sz w:val="19"/>
          <w:szCs w:val="19"/>
          <w:color w:val="auto"/>
        </w:rPr>
        <w:t xml:space="preserve">any Revolving Lender (through the Administrative Agent) with respect to any amount owing under this </w:t>
      </w:r>
      <w:r>
        <w:rPr>
          <w:rFonts w:ascii="Arial" w:cs="Arial" w:eastAsia="Arial" w:hAnsi="Arial"/>
          <w:sz w:val="19"/>
          <w:szCs w:val="19"/>
          <w:u w:val="single" w:color="auto"/>
          <w:color w:val="auto"/>
        </w:rPr>
        <w:t>clause</w:t>
      </w:r>
    </w:p>
    <w:p>
      <w:pPr>
        <w:spacing w:after="0" w:line="14" w:lineRule="exact"/>
        <w:rPr>
          <w:sz w:val="20"/>
          <w:szCs w:val="20"/>
          <w:color w:val="auto"/>
        </w:rPr>
      </w:pPr>
    </w:p>
    <w:p>
      <w:pPr>
        <w:ind w:left="840" w:right="6620" w:hanging="748"/>
        <w:spacing w:after="0" w:line="544" w:lineRule="auto"/>
        <w:tabs>
          <w:tab w:leader="none" w:pos="387" w:val="left"/>
        </w:tabs>
        <w:numPr>
          <w:ilvl w:val="0"/>
          <w:numId w:val="120"/>
        </w:numPr>
        <w:rPr>
          <w:rFonts w:ascii="Arial" w:cs="Arial" w:eastAsia="Arial" w:hAnsi="Arial"/>
          <w:sz w:val="16"/>
          <w:szCs w:val="16"/>
          <w:u w:val="single" w:color="auto"/>
          <w:color w:val="auto"/>
        </w:rPr>
      </w:pPr>
      <w:r>
        <w:rPr>
          <w:rFonts w:ascii="Arial" w:cs="Arial" w:eastAsia="Arial" w:hAnsi="Arial"/>
          <w:sz w:val="16"/>
          <w:szCs w:val="16"/>
          <w:color w:val="auto"/>
        </w:rPr>
        <w:t xml:space="preserve">shall be conclusive absent manifest error. Section 2.05. </w:t>
      </w:r>
      <w:r>
        <w:rPr>
          <w:rFonts w:ascii="Arial" w:cs="Arial" w:eastAsia="Arial" w:hAnsi="Arial"/>
          <w:sz w:val="16"/>
          <w:szCs w:val="16"/>
          <w:u w:val="single" w:color="auto"/>
          <w:color w:val="auto"/>
        </w:rPr>
        <w:t>Letters of Credit</w:t>
      </w:r>
      <w:r>
        <w:rPr>
          <w:rFonts w:ascii="Arial" w:cs="Arial" w:eastAsia="Arial" w:hAnsi="Arial"/>
          <w:sz w:val="16"/>
          <w:szCs w:val="16"/>
          <w:color w:val="auto"/>
        </w:rPr>
        <w:t>.</w:t>
      </w:r>
    </w:p>
    <w:p>
      <w:pPr>
        <w:jc w:val="both"/>
        <w:ind w:left="100" w:firstLine="742"/>
        <w:spacing w:after="0" w:line="254" w:lineRule="auto"/>
        <w:tabs>
          <w:tab w:leader="none" w:pos="1523"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Subject to the terms and conditions set forth herein, (i) each Issuing Bank agrees, in each case in reliance upon the agreements of the other Revolving Lenders set forth in this </w:t>
      </w:r>
      <w:r>
        <w:rPr>
          <w:rFonts w:ascii="Arial" w:cs="Arial" w:eastAsia="Arial" w:hAnsi="Arial"/>
          <w:sz w:val="18"/>
          <w:szCs w:val="18"/>
          <w:u w:val="single" w:color="auto"/>
          <w:color w:val="auto"/>
        </w:rPr>
        <w:t>Section 2.05</w:t>
      </w:r>
      <w:r>
        <w:rPr>
          <w:rFonts w:ascii="Arial" w:cs="Arial" w:eastAsia="Arial" w:hAnsi="Arial"/>
          <w:sz w:val="18"/>
          <w:szCs w:val="18"/>
          <w:color w:val="auto"/>
        </w:rPr>
        <w:t>, (A) from time to time on any Business Day during the period from the Closing Date to the fifth Business Day prior to the Latest Revolving Credit Maturity Date, upon the request of the Borrower, to issue Letters of Credit, issued on sight basis only on behalf of the Borrower and/or any of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will be the applicant) and to amend or renew any Letter of Credit previously issued by it, in accordance with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and (B) to honor any draft under any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Issuing Bank shall be required to issue any Letter of Credit if (x) the Stated Amount of such Letter of Credit, taken together with the aggregate Stated Amount of all other then-outstanding Letters of Credit then issued by such Issuing Bank would exceed such Issuing Bank’s Letter of Credit Commitment or (y) the issuance of such Letter of Credit would violate any policies or procedures of such Issuing Bank applicable to letters of credit generally and consistently applied by such Issuing Bank to similarly situated borrowers, and (ii) each Revolving Lender severally agrees to participate in each Letter of Credit as provided in </w:t>
      </w:r>
      <w:r>
        <w:rPr>
          <w:rFonts w:ascii="Arial" w:cs="Arial" w:eastAsia="Arial" w:hAnsi="Arial"/>
          <w:sz w:val="18"/>
          <w:szCs w:val="18"/>
          <w:u w:val="single" w:color="auto"/>
          <w:color w:val="auto"/>
        </w:rPr>
        <w:t>Section 2.05(d)</w:t>
      </w:r>
      <w:r>
        <w:rPr>
          <w:rFonts w:ascii="Arial" w:cs="Arial" w:eastAsia="Arial" w:hAnsi="Arial"/>
          <w:sz w:val="18"/>
          <w:szCs w:val="18"/>
          <w:color w:val="auto"/>
        </w:rPr>
        <w:t>. It is understood and agreed that no Issuing Bank shall be required (but shall be permitted) to issue any Letter of Credit that (x) is not denominated in Dollars, (y) has a face amount that is less than $100,000 and (z) if (1) any order, judgment or decree of any Governmental Authority with jurisdiction over such Issuing Bank shall by its terms purport to enjoin or restrain such Issuing Bank from issuing such Letter of Credit, or any law applicable to such Issuing Bank or any directive (whether or not having the force of law) from any Governmental Authority with jurisdiction over such Issuing Bank shall prohibit, or direct that such Issuing Bank refrain from, the issuance of letters of credit generally or such Letter of Credit in particular or (2) the issuance of such Letter of Credit would violate one or more policies to such Issuing Bank now or hereafter applicable to similarly situated borrowers under comparable credit facilities and letters of credit generally.</w:t>
      </w:r>
    </w:p>
    <w:p>
      <w:pPr>
        <w:spacing w:after="0" w:line="184" w:lineRule="exact"/>
        <w:rPr>
          <w:rFonts w:ascii="Arial" w:cs="Arial" w:eastAsia="Arial" w:hAnsi="Arial"/>
          <w:sz w:val="18"/>
          <w:szCs w:val="18"/>
          <w:color w:val="auto"/>
        </w:rPr>
      </w:pPr>
    </w:p>
    <w:p>
      <w:pPr>
        <w:jc w:val="both"/>
        <w:ind w:left="840" w:right="60" w:firstLine="751"/>
        <w:spacing w:after="0" w:line="269" w:lineRule="auto"/>
        <w:tabs>
          <w:tab w:leader="none" w:pos="2366" w:val="left"/>
        </w:tabs>
        <w:numPr>
          <w:ilvl w:val="2"/>
          <w:numId w:val="120"/>
        </w:numPr>
        <w:rPr>
          <w:rFonts w:ascii="Arial" w:cs="Arial" w:eastAsia="Arial" w:hAnsi="Arial"/>
          <w:sz w:val="17"/>
          <w:szCs w:val="17"/>
          <w:color w:val="auto"/>
        </w:rPr>
      </w:pPr>
      <w:r>
        <w:rPr>
          <w:rFonts w:ascii="Arial" w:cs="Arial" w:eastAsia="Arial" w:hAnsi="Arial"/>
          <w:sz w:val="17"/>
          <w:szCs w:val="17"/>
          <w:u w:val="single" w:color="auto"/>
          <w:color w:val="auto"/>
        </w:rPr>
        <w:t>Notice of Issuance, Amendment, Renewal, Extension; Certain Conditions</w:t>
      </w:r>
      <w:r>
        <w:rPr>
          <w:rFonts w:ascii="Arial" w:cs="Arial" w:eastAsia="Arial" w:hAnsi="Arial"/>
          <w:sz w:val="17"/>
          <w:szCs w:val="17"/>
          <w:color w:val="auto"/>
        </w:rPr>
        <w:t xml:space="preserve">. To request the issuance of any Letter of Credit, the Borrower shall deliver to the applicable Issuing Bank and the Administrative Agent, at least three Business Days in advance of the requested date of issuance (or such shorter period as is acceptable to the applicable Issuing Bank or, in the case of any issuance to be made in an Alternate Currency, five Business Days in advance of the requested date of issuance), a Letter of Credit Request (it being understood that, to the extent applicable, the issuance of any Letter of Credit expressly for the benefit of any subsidiary that is not a Loan Party shall be contingent upon the Administrative Agent’s receipt of any documentation and other information with respect to such subsidiary that has not been previously provided with respect to any Loan Party, that is required by regulatory authorities under applicable “know your customer” and anti-money laundering rules and regulations, including the USA PATRIOT Act, and reasonably requested by the applicable Issuing Bank at least three Business Days prior to the requested date of issuance). To request an amendment, extension or renewal of an outstanding Letter of Credit, (other than any automatic extension of a Letter of Credit permitted under </w:t>
      </w:r>
      <w:r>
        <w:rPr>
          <w:rFonts w:ascii="Arial" w:cs="Arial" w:eastAsia="Arial" w:hAnsi="Arial"/>
          <w:sz w:val="17"/>
          <w:szCs w:val="17"/>
          <w:u w:val="single" w:color="auto"/>
          <w:color w:val="auto"/>
        </w:rPr>
        <w:t>Section 2.05(c)</w:t>
      </w:r>
      <w:r>
        <w:rPr>
          <w:rFonts w:ascii="Arial" w:cs="Arial" w:eastAsia="Arial" w:hAnsi="Arial"/>
          <w:sz w:val="17"/>
          <w:szCs w:val="17"/>
          <w:color w:val="auto"/>
        </w:rPr>
        <w:t>) the Borrower shall submit a Letter of Credit Request to the applicable Issuing Bank or Issuing Banks selected by the Borrower (with a copy to the Administrative Agent) at least three Business Days in advance of the requested date of amendment, extension or renewal (or such shorter period as is acceptable to the applicable Issuing Bank), identifying the Letter of Credit to be amended, extended or renewed, and specifying the proposed date (which shall be a Business Day) and other details of the amendment, extension or renewal. If requested by the applicable Issuing Bank in connection with any request for any Letter of Credit, the Borrower also shall submit a letter of credit application on such Issuing Bank’s standard form. In the event of any inconsistency between the terms and conditions of this Agreement and the terms and conditions of any form of letter of credit application or other agreement submitted by the Borrower to, or entered into by the Borrower with, the applicable Issuing Bank relating to any Letter of Credit, the terms and conditions of this Agreement shall control. No Letter of Credit, letter of</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80</w:t>
      </w:r>
      <w:r>
        <w:rPr>
          <w:rFonts w:ascii="Arial" w:cs="Arial" w:eastAsia="Arial" w:hAnsi="Arial"/>
          <w:sz w:val="18"/>
          <w:szCs w:val="18"/>
          <w:u w:val="single" w:color="auto"/>
          <w:color w:val="0000FF"/>
          <w:strike w:val="1"/>
        </w:rPr>
        <w:t>80</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85" w:right="1439" w:bottom="1440" w:gutter="0" w:footer="0" w:header="0"/>
        </w:sectPr>
      </w:pPr>
    </w:p>
    <w:bookmarkStart w:id="148" w:name="page149"/>
    <w:bookmarkEnd w:id="148"/>
    <w:p>
      <w:pPr>
        <w:jc w:val="both"/>
        <w:ind w:left="840" w:right="19"/>
        <w:spacing w:after="0" w:line="256" w:lineRule="auto"/>
        <w:rPr>
          <w:sz w:val="20"/>
          <w:szCs w:val="20"/>
          <w:color w:val="auto"/>
        </w:rPr>
      </w:pPr>
      <w:r>
        <w:rPr>
          <w:rFonts w:ascii="Arial" w:cs="Arial" w:eastAsia="Arial" w:hAnsi="Arial"/>
          <w:sz w:val="17"/>
          <w:szCs w:val="17"/>
          <w:color w:val="auto"/>
        </w:rPr>
        <w:t xml:space="preserve">credit application or other document entered into by the Borrower with any Issuing Bank relating to any Letter of Credit shall contain any representation or warranty, covenant or event of default not set forth in this Agreement (and to the extent any representation or warranty, covenant or event of default in any letter of credit application or any such other document is inconsistent herewith, the same shall be rendered null and void (or reformed automatically without further action by any Person to conform to the terms of this Agreement), and all representations and warranties, covenants and events of default set forth therein shall contain standards, qualifications, thresholds and exceptions for materiality or otherwise consistent with those set forth in this Agreement (and, to the extent any representation or warranty, covenant or event of default in any letter of credit application or any such other document is inconsistent herewith, the same shall be deemed to automatically incorporate the applicable standards, qualifications, thresholds and exceptions set forth herein without action by any Person). No Letter of Credit may be issued, amended, extended or renewed unless (and with respect to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below, upon the issuance, amendment, extension or renewal of each Letter of Credit, the Borrower shall be deemed to represent and warrant that), after giving effect to such issuance, amendment, extension, or renewal (i) the LC Exposure does not exceed the Letter of Credit Sublimit, and (ii) (A) the aggregate amount of the Initial Revolving Credit Exposure shall not exceed the aggregate amount of the Initial Revolving Credit Commitments then in effect, (B) the aggregate amount of the Additional Revolving Credit Exposure attributable to any Class of Additional Revolving Credit Commitments does not exceed the aggregate amount of the Additional Revolving Credit Commitments of such Class then in effect and (C) if such Letter of Credit has a term that extends beyond the Maturity Date applicable to the Revolving Credit Commitments of any Class, the aggregate amount of the LC Exposure attributable to Letters of Credit expiring after such Maturity Date (1) does not exceed the aggregate amount of the Revolving Credit Commitments then in effect that are scheduled to remain in effect after such Maturity Date or (2) is subject to Letter of Credit Support.</w:t>
      </w:r>
    </w:p>
    <w:p>
      <w:pPr>
        <w:spacing w:after="0" w:line="177" w:lineRule="exact"/>
        <w:rPr>
          <w:sz w:val="20"/>
          <w:szCs w:val="20"/>
          <w:color w:val="auto"/>
        </w:rPr>
      </w:pPr>
    </w:p>
    <w:p>
      <w:pPr>
        <w:jc w:val="both"/>
        <w:ind w:left="100" w:right="59" w:firstLine="742"/>
        <w:spacing w:after="0" w:line="245" w:lineRule="auto"/>
        <w:tabs>
          <w:tab w:leader="none" w:pos="1520"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Expiration Date</w:t>
      </w:r>
      <w:r>
        <w:rPr>
          <w:rFonts w:ascii="Arial" w:cs="Arial" w:eastAsia="Arial" w:hAnsi="Arial"/>
          <w:sz w:val="19"/>
          <w:szCs w:val="19"/>
          <w:color w:val="auto"/>
        </w:rPr>
        <w:t xml:space="preserve">. No Letter of Credit shall expire later than the earlier of (A) the date that is one year after the date of the issuance of such Letter of Credit (or such later date to which the applicable Issuing Bank may agree) and (B) the date that is five Business Days prior to the Latest Revolving Credit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Letter of Credit may provide for the automatic extension thereof for any number of additional periods of up to one year in duration (which additional periods shall not extend beyond the date referred to in the preceding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unless such Letter of Credit is subject to Letter of Credit Support).</w:t>
      </w:r>
    </w:p>
    <w:p>
      <w:pPr>
        <w:spacing w:after="0" w:line="187" w:lineRule="exact"/>
        <w:rPr>
          <w:rFonts w:ascii="Arial" w:cs="Arial" w:eastAsia="Arial" w:hAnsi="Arial"/>
          <w:sz w:val="19"/>
          <w:szCs w:val="19"/>
          <w:color w:val="auto"/>
        </w:rPr>
      </w:pPr>
    </w:p>
    <w:p>
      <w:pPr>
        <w:jc w:val="both"/>
        <w:ind w:left="100" w:right="19" w:firstLine="741"/>
        <w:spacing w:after="0" w:line="254" w:lineRule="auto"/>
        <w:tabs>
          <w:tab w:leader="none" w:pos="1523"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xml:space="preserve">. By the issuance of any Letter of Credit (or an amendment to any Letter of Credit increasing the amount thereof) (or by the execution and delivery of this Agreement in the case of any Existing Letter of Credit) and without any further action on the part of the applicable Issuing Bank or the Revolving Lenders, the applicable Issuing Bank hereby grants to each Revolving Lender, and each Revolving Lender hereby acquires from such Issuing Bank, a participation in such Letter of Credit equal to such Revolving Lender’s Applicable Revolving Credit Percentage of the aggregate amount available to be drawn under such Letter of Credit (in respect of any Letter of Credit issued in an Alternate Currency, expressed in the Dollar Equivalent thereof). In consideration and in furtherance of the foregoing, each Revolving Lender hereby absolutely and unconditionally agrees to pay to the Administrative Agent, for the account of the applicable Issuing Bank, such Lender’s Applicable Percentage of each LC Disbursement made by such Issuing Bank and not reimbursed by the Borrower on the date due as provided in </w:t>
      </w:r>
      <w:r>
        <w:rPr>
          <w:rFonts w:ascii="Arial" w:cs="Arial" w:eastAsia="Arial" w:hAnsi="Arial"/>
          <w:sz w:val="18"/>
          <w:szCs w:val="18"/>
          <w:u w:val="single" w:color="auto"/>
          <w:color w:val="auto"/>
        </w:rPr>
        <w:t>paragraph (d)</w:t>
      </w:r>
      <w:r>
        <w:rPr>
          <w:rFonts w:ascii="Arial" w:cs="Arial" w:eastAsia="Arial" w:hAnsi="Arial"/>
          <w:sz w:val="18"/>
          <w:szCs w:val="18"/>
          <w:color w:val="auto"/>
        </w:rPr>
        <w:t xml:space="preserve"> of this Section, or of any reimbursement payment required to be refunded to the Borrower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Event of Default or reduction or termination of the Revolving Credit Commitments, and that each such payment shall be made without any offset, abatement, withholding or reduction whatsoever.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81</w:t>
      </w:r>
      <w:r>
        <w:rPr>
          <w:rFonts w:ascii="Arial" w:cs="Arial" w:eastAsia="Arial" w:hAnsi="Arial"/>
          <w:sz w:val="18"/>
          <w:szCs w:val="18"/>
          <w:u w:val="single" w:color="auto"/>
          <w:color w:val="0000FF"/>
          <w:strike w:val="1"/>
        </w:rPr>
        <w:t>81</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49" w:name="page150"/>
    <w:bookmarkEnd w:id="149"/>
    <w:p>
      <w:pPr>
        <w:ind w:left="1600" w:hanging="758"/>
        <w:spacing w:after="0"/>
        <w:tabs>
          <w:tab w:leader="none" w:pos="1600" w:val="left"/>
        </w:tabs>
        <w:numPr>
          <w:ilvl w:val="1"/>
          <w:numId w:val="122"/>
        </w:numPr>
        <w:rPr>
          <w:rFonts w:ascii="Arial" w:cs="Arial" w:eastAsia="Arial" w:hAnsi="Arial"/>
          <w:sz w:val="19"/>
          <w:szCs w:val="19"/>
          <w:color w:val="auto"/>
        </w:rPr>
      </w:pPr>
      <w:r>
        <w:rPr>
          <w:rFonts w:ascii="Arial" w:cs="Arial" w:eastAsia="Arial" w:hAnsi="Arial"/>
          <w:sz w:val="19"/>
          <w:szCs w:val="19"/>
          <w:u w:val="single" w:color="auto"/>
          <w:color w:val="auto"/>
        </w:rPr>
        <w:t>Reimbursement</w:t>
      </w: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jc w:val="both"/>
        <w:ind w:left="840" w:right="59" w:firstLine="751"/>
        <w:spacing w:after="0" w:line="245" w:lineRule="auto"/>
        <w:tabs>
          <w:tab w:leader="none" w:pos="2366" w:val="left"/>
        </w:tabs>
        <w:numPr>
          <w:ilvl w:val="2"/>
          <w:numId w:val="122"/>
        </w:numPr>
        <w:rPr>
          <w:rFonts w:ascii="Arial" w:cs="Arial" w:eastAsia="Arial" w:hAnsi="Arial"/>
          <w:sz w:val="19"/>
          <w:szCs w:val="19"/>
          <w:color w:val="auto"/>
        </w:rPr>
      </w:pPr>
      <w:r>
        <w:rPr>
          <w:rFonts w:ascii="Arial" w:cs="Arial" w:eastAsia="Arial" w:hAnsi="Arial"/>
          <w:sz w:val="19"/>
          <w:szCs w:val="19"/>
          <w:color w:val="auto"/>
        </w:rPr>
        <w:t xml:space="preserve">If the applicable Issuing Bank makes any LC Disbursement in respect of a Letter of Credit, the Borrower shall reimburse such LC Disbursement by paying to the Administrative Agent an amount equal to such LC Disbursement not later than 1:00 p.m. two Business Days immediately following the date on which the Borrower receives notice of such LC Disbursement under </w:t>
      </w:r>
      <w:r>
        <w:rPr>
          <w:rFonts w:ascii="Arial" w:cs="Arial" w:eastAsia="Arial" w:hAnsi="Arial"/>
          <w:sz w:val="19"/>
          <w:szCs w:val="19"/>
          <w:u w:val="single" w:color="auto"/>
          <w:color w:val="auto"/>
        </w:rPr>
        <w:t>paragraph</w:t>
      </w:r>
    </w:p>
    <w:p>
      <w:pPr>
        <w:spacing w:after="0" w:line="1" w:lineRule="exact"/>
        <w:rPr>
          <w:rFonts w:ascii="Arial" w:cs="Arial" w:eastAsia="Arial" w:hAnsi="Arial"/>
          <w:sz w:val="19"/>
          <w:szCs w:val="19"/>
          <w:color w:val="auto"/>
        </w:rPr>
      </w:pPr>
    </w:p>
    <w:p>
      <w:pPr>
        <w:ind w:left="840" w:right="39" w:firstLine="3"/>
        <w:spacing w:after="0" w:line="255" w:lineRule="auto"/>
        <w:tabs>
          <w:tab w:leader="none" w:pos="1076" w:val="left"/>
        </w:tabs>
        <w:numPr>
          <w:ilvl w:val="1"/>
          <w:numId w:val="123"/>
        </w:numPr>
        <w:rPr>
          <w:rFonts w:ascii="Arial" w:cs="Arial" w:eastAsia="Arial" w:hAnsi="Arial"/>
          <w:sz w:val="17"/>
          <w:szCs w:val="17"/>
          <w:u w:val="single" w:color="auto"/>
          <w:color w:val="auto"/>
        </w:rPr>
      </w:pPr>
      <w:r>
        <w:rPr>
          <w:rFonts w:ascii="Arial" w:cs="Arial" w:eastAsia="Arial" w:hAnsi="Arial"/>
          <w:sz w:val="17"/>
          <w:szCs w:val="17"/>
          <w:color w:val="auto"/>
        </w:rPr>
        <w:t>of this Section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may, subject to the conditions to borrowing set forth herein, request in accordance with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that such payment be financed (A) in the case of a Letter of Credit denominated in Dollars, with an ABR Revolving Loan Borrowing denominated in Dollars in an equivalent amount and (B) in the case of a Letter of Credit denominated in an Alternate Currency, a </w:t>
      </w:r>
      <w:r>
        <w:rPr>
          <w:rFonts w:ascii="Arial" w:cs="Arial" w:eastAsia="Arial" w:hAnsi="Arial"/>
          <w:sz w:val="17"/>
          <w:szCs w:val="17"/>
          <w:color w:val="FF0000"/>
          <w:strike w:val="1"/>
        </w:rPr>
        <w:t>LIBO Rate</w:t>
      </w:r>
      <w:r>
        <w:rPr>
          <w:rFonts w:ascii="Arial" w:cs="Arial" w:eastAsia="Arial" w:hAnsi="Arial"/>
          <w:sz w:val="17"/>
          <w:szCs w:val="17"/>
          <w:color w:val="auto"/>
        </w:rPr>
        <w:t xml:space="preserve"> Revolving Loan denominated in any Alternate Currency in an equivalent amount </w:t>
      </w:r>
      <w:r>
        <w:rPr>
          <w:rFonts w:ascii="Arial" w:cs="Arial" w:eastAsia="Arial" w:hAnsi="Arial"/>
          <w:sz w:val="17"/>
          <w:szCs w:val="17"/>
          <w:u w:val="single" w:color="auto"/>
          <w:color w:val="0000FF"/>
        </w:rPr>
        <w:t>by reference to a benchmark as determined pursuant to Section 1.10</w:t>
      </w:r>
      <w:r>
        <w:rPr>
          <w:rFonts w:ascii="Arial" w:cs="Arial" w:eastAsia="Arial" w:hAnsi="Arial"/>
          <w:sz w:val="17"/>
          <w:szCs w:val="17"/>
          <w:color w:val="auto"/>
        </w:rPr>
        <w:t xml:space="preserve"> (any such Revolving Loan Borrowing, a “</w:t>
      </w:r>
      <w:r>
        <w:rPr>
          <w:rFonts w:ascii="Arial" w:cs="Arial" w:eastAsia="Arial" w:hAnsi="Arial"/>
          <w:sz w:val="17"/>
          <w:szCs w:val="17"/>
          <w:u w:val="single" w:color="auto"/>
          <w:color w:val="auto"/>
        </w:rPr>
        <w:t>Letter of Credit Reimbursement Loan</w:t>
      </w:r>
      <w:r>
        <w:rPr>
          <w:rFonts w:ascii="Arial" w:cs="Arial" w:eastAsia="Arial" w:hAnsi="Arial"/>
          <w:sz w:val="17"/>
          <w:szCs w:val="17"/>
          <w:color w:val="auto"/>
        </w:rPr>
        <w:t xml:space="preserve">”), and, to the extent so financed, the obligation of the Borrower to make such payment shall be discharged and replaced by the resulting Borrowing (it being understood and agreed that the Borrower may also request a Swingline Loan to reimburse such LC Disbursement in accordance with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subject, in the case of any such Swingline Loan, to the satisfaction of the applicable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If the Borrower fails to make such payment when due, the Administrative Agent shall notify each Revolving Lender of the applicable LC Disbursement, the payment then due from the Borrower in respect thereof and such Revolving Lender’s Applicable Revolving Credit Percentage thereof. Promptly following receipt of such notice, each Revolving Lender shall pay to the Administrative Agent its Applicable Revolving Credit Percentage of the payment then due from the Borrower, in the same manner as provided in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with respect to Loans made by such Revolving Lender (and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to the payment obligations of the Revolving Lenders), and the Administrative Agent shall promptly pay to the applicable Issuing Bank the amounts so received by it from the Revolving Lenders. Promptly following receipt by the Administrative Agent of any payment from the Borrower pursuant to this paragraph, the Administrative Agent shall distribute such payment to the applicable Issuing Bank or, to the extent that Revolving Lenders have made payments pursuant to this paragraph to reimburse such Issuing Bank, then to such Revolving Lenders and such Issuing Bank as their interests may appear.</w:t>
      </w:r>
    </w:p>
    <w:p>
      <w:pPr>
        <w:spacing w:after="0" w:line="177" w:lineRule="exact"/>
        <w:rPr>
          <w:rFonts w:ascii="Arial" w:cs="Arial" w:eastAsia="Arial" w:hAnsi="Arial"/>
          <w:sz w:val="17"/>
          <w:szCs w:val="17"/>
          <w:u w:val="single" w:color="auto"/>
          <w:color w:val="auto"/>
        </w:rPr>
      </w:pPr>
    </w:p>
    <w:p>
      <w:pPr>
        <w:jc w:val="both"/>
        <w:ind w:left="840" w:right="19" w:firstLine="752"/>
        <w:spacing w:after="0" w:line="273" w:lineRule="auto"/>
        <w:tabs>
          <w:tab w:leader="none" w:pos="2370" w:val="left"/>
        </w:tabs>
        <w:numPr>
          <w:ilvl w:val="2"/>
          <w:numId w:val="123"/>
        </w:numPr>
        <w:rPr>
          <w:rFonts w:ascii="Arial" w:cs="Arial" w:eastAsia="Arial" w:hAnsi="Arial"/>
          <w:sz w:val="17"/>
          <w:szCs w:val="17"/>
          <w:color w:val="auto"/>
        </w:rPr>
      </w:pPr>
      <w:r>
        <w:rPr>
          <w:rFonts w:ascii="Arial" w:cs="Arial" w:eastAsia="Arial" w:hAnsi="Arial"/>
          <w:sz w:val="17"/>
          <w:szCs w:val="17"/>
          <w:color w:val="auto"/>
        </w:rPr>
        <w:t xml:space="preserve">If any Revolving Lender fails to make available to the Administrative Agent for the account of the applicable Issuing Bank any amount required to be paid by such Revolving Lender pursuant to the foregoing provisions of this </w:t>
      </w:r>
      <w:r>
        <w:rPr>
          <w:rFonts w:ascii="Arial" w:cs="Arial" w:eastAsia="Arial" w:hAnsi="Arial"/>
          <w:sz w:val="17"/>
          <w:szCs w:val="17"/>
          <w:u w:val="single" w:color="auto"/>
          <w:color w:val="auto"/>
        </w:rPr>
        <w:t>Section 2.05(d)</w:t>
      </w:r>
      <w:r>
        <w:rPr>
          <w:rFonts w:ascii="Arial" w:cs="Arial" w:eastAsia="Arial" w:hAnsi="Arial"/>
          <w:sz w:val="17"/>
          <w:szCs w:val="17"/>
          <w:color w:val="auto"/>
        </w:rPr>
        <w:t xml:space="preserve"> by the time specified therein, such Issuing Bank shall be entitled to recover from such Revolving Lender (acting through the Administrative Agent), on demand, such amount with interest thereon for the period from the date such payment is required to the date on which such payment is immediately available to such Issuing Bank at a rate per annum equal to the greater of the Federal Funds Effective Rate (or, in the case of any Letter of Credit denominated in any Alternate Currency, the Administrative Agent’s customary rate for interbank advances in such Alternate Currency) from time to time in effect and a rate determined by the Administrative Agent in accordance with banking industry rules on interbank compensation. A certificate of the applicable Issuing Bank submitted to any Revolving Lender (through the Administrative Agent) with respect to any amount owing under this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shall be conclusive absent manifest error.</w:t>
      </w:r>
    </w:p>
    <w:p>
      <w:pPr>
        <w:spacing w:after="0" w:line="165" w:lineRule="exact"/>
        <w:rPr>
          <w:rFonts w:ascii="Arial" w:cs="Arial" w:eastAsia="Arial" w:hAnsi="Arial"/>
          <w:sz w:val="17"/>
          <w:szCs w:val="17"/>
          <w:color w:val="auto"/>
        </w:rPr>
      </w:pPr>
    </w:p>
    <w:p>
      <w:pPr>
        <w:ind w:left="1520" w:hanging="678"/>
        <w:spacing w:after="0"/>
        <w:tabs>
          <w:tab w:leader="none" w:pos="1520" w:val="left"/>
        </w:tabs>
        <w:numPr>
          <w:ilvl w:val="1"/>
          <w:numId w:val="124"/>
        </w:numPr>
        <w:rPr>
          <w:rFonts w:ascii="Arial" w:cs="Arial" w:eastAsia="Arial" w:hAnsi="Arial"/>
          <w:sz w:val="17"/>
          <w:szCs w:val="17"/>
          <w:color w:val="auto"/>
        </w:rPr>
      </w:pPr>
      <w:r>
        <w:rPr>
          <w:rFonts w:ascii="Arial" w:cs="Arial" w:eastAsia="Arial" w:hAnsi="Arial"/>
          <w:sz w:val="17"/>
          <w:szCs w:val="17"/>
          <w:u w:val="single" w:color="auto"/>
          <w:color w:val="auto"/>
        </w:rPr>
        <w:t>Obligations Absolute</w:t>
      </w:r>
      <w:r>
        <w:rPr>
          <w:rFonts w:ascii="Arial" w:cs="Arial" w:eastAsia="Arial" w:hAnsi="Arial"/>
          <w:sz w:val="17"/>
          <w:szCs w:val="17"/>
          <w:color w:val="auto"/>
        </w:rPr>
        <w:t xml:space="preserve">. The obligation of the Borrower to reimburse LC Disbursements as provided in </w:t>
      </w:r>
      <w:r>
        <w:rPr>
          <w:rFonts w:ascii="Arial" w:cs="Arial" w:eastAsia="Arial" w:hAnsi="Arial"/>
          <w:sz w:val="17"/>
          <w:szCs w:val="17"/>
          <w:u w:val="single" w:color="auto"/>
          <w:color w:val="auto"/>
        </w:rPr>
        <w:t>paragraph</w:t>
      </w:r>
    </w:p>
    <w:p>
      <w:pPr>
        <w:spacing w:after="0" w:line="36" w:lineRule="exact"/>
        <w:rPr>
          <w:rFonts w:ascii="Arial" w:cs="Arial" w:eastAsia="Arial" w:hAnsi="Arial"/>
          <w:sz w:val="17"/>
          <w:szCs w:val="17"/>
          <w:color w:val="auto"/>
        </w:rPr>
      </w:pPr>
    </w:p>
    <w:p>
      <w:pPr>
        <w:jc w:val="both"/>
        <w:ind w:left="100" w:right="39" w:hanging="7"/>
        <w:spacing w:after="0" w:line="254" w:lineRule="auto"/>
        <w:tabs>
          <w:tab w:leader="none" w:pos="377" w:val="left"/>
        </w:tabs>
        <w:numPr>
          <w:ilvl w:val="0"/>
          <w:numId w:val="125"/>
        </w:numPr>
        <w:rPr>
          <w:rFonts w:ascii="Arial" w:cs="Arial" w:eastAsia="Arial" w:hAnsi="Arial"/>
          <w:sz w:val="18"/>
          <w:szCs w:val="18"/>
          <w:u w:val="single" w:color="auto"/>
          <w:color w:val="auto"/>
        </w:rPr>
      </w:pPr>
      <w:r>
        <w:rPr>
          <w:rFonts w:ascii="Arial" w:cs="Arial" w:eastAsia="Arial" w:hAnsi="Arial"/>
          <w:sz w:val="18"/>
          <w:szCs w:val="18"/>
          <w:color w:val="auto"/>
        </w:rPr>
        <w:t>of this Section shall be absolute and unconditional and irrespective of (i) any lack of validity or enforceability of any Letter of Credit or this Agreement, or any term or provision therein, (ii) any draft or other document presented under any Letter of Credit proving to be forged, fraudulent or invalid in any respect or any statement therein being untrue or inaccurate in any respect, (iii) payment by the applicable Issuing Bank under any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82</w:t>
      </w:r>
      <w:r>
        <w:rPr>
          <w:rFonts w:ascii="Arial" w:cs="Arial" w:eastAsia="Arial" w:hAnsi="Arial"/>
          <w:sz w:val="18"/>
          <w:szCs w:val="18"/>
          <w:u w:val="single" w:color="auto"/>
          <w:color w:val="0000FF"/>
          <w:strike w:val="1"/>
        </w:rPr>
        <w:t>82</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50" w:name="page151"/>
    <w:bookmarkEnd w:id="150"/>
    <w:p>
      <w:pPr>
        <w:jc w:val="both"/>
        <w:ind w:left="100" w:right="39"/>
        <w:spacing w:after="0" w:line="242" w:lineRule="auto"/>
        <w:rPr>
          <w:sz w:val="20"/>
          <w:szCs w:val="20"/>
          <w:color w:val="auto"/>
        </w:rPr>
      </w:pPr>
      <w:r>
        <w:rPr>
          <w:rFonts w:ascii="Arial" w:cs="Arial" w:eastAsia="Arial" w:hAnsi="Arial"/>
          <w:sz w:val="18"/>
          <w:szCs w:val="18"/>
          <w:color w:val="auto"/>
        </w:rPr>
        <w:t xml:space="preserve">equitable discharge of, or provide a right of setoff against, the obligations of the Borrower hereunder. Neither the Administrative Agent, the Revolving Lenders nor any Issuing Bank,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be construed to excuse such Issuing Bank from liability to the Borrower to the extent of any direct damages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bad faith or willful misconduct on the part of applicable Issuing Bank (as finally determined by a court of competent jurisdiction), such Issuing Bank shall be deemed to have exercised care in each such determination. In furtherance of the foregoing and without limiting the generality thereof, the parties agree that, with respect to any document presented which appears on its face to be in substantial compliance with the terms of any Letter of Credit, the applicable Issuing Bank may, in its sole discretion, either accept and make payment upon such document without responsibility for further investigation, regardless of any notice or information to the contrary, or refuse to accept and make payment upon such document if such document is not in strict compliance with the terms of such Letter of Credit.</w:t>
      </w:r>
    </w:p>
    <w:p>
      <w:pPr>
        <w:spacing w:after="0" w:line="191" w:lineRule="exact"/>
        <w:rPr>
          <w:sz w:val="20"/>
          <w:szCs w:val="20"/>
          <w:color w:val="auto"/>
        </w:rPr>
      </w:pPr>
    </w:p>
    <w:p>
      <w:pPr>
        <w:jc w:val="both"/>
        <w:ind w:left="100" w:right="59" w:firstLine="741"/>
        <w:spacing w:after="0" w:line="243" w:lineRule="auto"/>
        <w:tabs>
          <w:tab w:leader="none" w:pos="1520" w:val="left"/>
        </w:tabs>
        <w:numPr>
          <w:ilvl w:val="1"/>
          <w:numId w:val="126"/>
        </w:numPr>
        <w:rPr>
          <w:rFonts w:ascii="Arial" w:cs="Arial" w:eastAsia="Arial" w:hAnsi="Arial"/>
          <w:sz w:val="19"/>
          <w:szCs w:val="19"/>
          <w:color w:val="auto"/>
        </w:rPr>
      </w:pPr>
      <w:r>
        <w:rPr>
          <w:rFonts w:ascii="Arial" w:cs="Arial" w:eastAsia="Arial" w:hAnsi="Arial"/>
          <w:sz w:val="19"/>
          <w:szCs w:val="19"/>
          <w:u w:val="single" w:color="auto"/>
          <w:color w:val="auto"/>
        </w:rPr>
        <w:t>Disbursement Procedures</w:t>
      </w:r>
      <w:r>
        <w:rPr>
          <w:rFonts w:ascii="Arial" w:cs="Arial" w:eastAsia="Arial" w:hAnsi="Arial"/>
          <w:sz w:val="19"/>
          <w:szCs w:val="19"/>
          <w:color w:val="auto"/>
        </w:rPr>
        <w:t xml:space="preserve">. The applicable Issuing Bank shall, promptly following its receipt thereof, examine all documents purporting to represent a demand for payment under a Letter of Credit. Such Issuing Bank shall promptly notify the Administrative Agent and the Borrower by electronic means upon any LC Disbursement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failure to give or delay in giving such notice shall relieve the Borrower of its obligation to reimburse such Issuing Bank and the Revolving Lenders with respect to any such LC Disbursement.</w:t>
      </w:r>
    </w:p>
    <w:p>
      <w:pPr>
        <w:spacing w:after="0" w:line="189" w:lineRule="exact"/>
        <w:rPr>
          <w:rFonts w:ascii="Arial" w:cs="Arial" w:eastAsia="Arial" w:hAnsi="Arial"/>
          <w:sz w:val="19"/>
          <w:szCs w:val="19"/>
          <w:color w:val="auto"/>
        </w:rPr>
      </w:pPr>
    </w:p>
    <w:p>
      <w:pPr>
        <w:jc w:val="both"/>
        <w:ind w:left="100" w:right="59" w:firstLine="741"/>
        <w:spacing w:after="0"/>
        <w:tabs>
          <w:tab w:leader="none" w:pos="1520" w:val="left"/>
        </w:tabs>
        <w:numPr>
          <w:ilvl w:val="1"/>
          <w:numId w:val="126"/>
        </w:numPr>
        <w:rPr>
          <w:rFonts w:ascii="Arial" w:cs="Arial" w:eastAsia="Arial" w:hAnsi="Arial"/>
          <w:sz w:val="19"/>
          <w:szCs w:val="19"/>
          <w:color w:val="auto"/>
        </w:rPr>
      </w:pPr>
      <w:r>
        <w:rPr>
          <w:rFonts w:ascii="Arial" w:cs="Arial" w:eastAsia="Arial" w:hAnsi="Arial"/>
          <w:sz w:val="19"/>
          <w:szCs w:val="19"/>
          <w:u w:val="single" w:color="auto"/>
          <w:color w:val="auto"/>
        </w:rPr>
        <w:t>Interim Interest</w:t>
      </w:r>
      <w:r>
        <w:rPr>
          <w:rFonts w:ascii="Arial" w:cs="Arial" w:eastAsia="Arial" w:hAnsi="Arial"/>
          <w:sz w:val="19"/>
          <w:szCs w:val="19"/>
          <w:color w:val="auto"/>
        </w:rPr>
        <w:t>. If any Issuing Bank makes any LC Disbursement, then unless the Borrower reimburses such LC Disbursement in full on the date such LC Disbursement is made, the unpaid amount thereof shall bear interest, for each day from and including the date such LC Disbursement is made to but excluding the date that the Borrower reimburses such LC Disbursement (or the date on which such LC Disbursement is reimbursed with the proceeds of Loans, as applicable), at the rate per annum then applicable</w:t>
      </w:r>
    </w:p>
    <w:p>
      <w:pPr>
        <w:spacing w:after="0" w:line="3" w:lineRule="exact"/>
        <w:rPr>
          <w:rFonts w:ascii="Arial" w:cs="Arial" w:eastAsia="Arial" w:hAnsi="Arial"/>
          <w:sz w:val="19"/>
          <w:szCs w:val="19"/>
          <w:color w:val="auto"/>
        </w:rPr>
      </w:pPr>
    </w:p>
    <w:p>
      <w:pPr>
        <w:ind w:left="380" w:hanging="287"/>
        <w:spacing w:after="0"/>
        <w:tabs>
          <w:tab w:leader="none" w:pos="3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in the case of any Letter of Credit denominated in Dollars, to Initial Revolving Loans that are ABR Loans and (y) in the case of</w:t>
      </w:r>
    </w:p>
    <w:p>
      <w:pPr>
        <w:spacing w:after="0" w:line="29" w:lineRule="exact"/>
        <w:rPr>
          <w:sz w:val="20"/>
          <w:szCs w:val="20"/>
          <w:color w:val="auto"/>
        </w:rPr>
      </w:pPr>
    </w:p>
    <w:p>
      <w:pPr>
        <w:ind w:left="100" w:right="99"/>
        <w:spacing w:after="0" w:line="271" w:lineRule="auto"/>
        <w:rPr>
          <w:sz w:val="20"/>
          <w:szCs w:val="20"/>
          <w:color w:val="auto"/>
        </w:rPr>
      </w:pPr>
      <w:r>
        <w:rPr>
          <w:rFonts w:ascii="Arial" w:cs="Arial" w:eastAsia="Arial" w:hAnsi="Arial"/>
          <w:sz w:val="17"/>
          <w:szCs w:val="17"/>
          <w:color w:val="auto"/>
        </w:rPr>
        <w:t xml:space="preserve">any Letter of Credit denominated in any Alternate Currency, Initial Revolving Loans </w:t>
      </w:r>
      <w:r>
        <w:rPr>
          <w:rFonts w:ascii="Arial" w:cs="Arial" w:eastAsia="Arial" w:hAnsi="Arial"/>
          <w:sz w:val="17"/>
          <w:szCs w:val="17"/>
          <w:color w:val="FF0000"/>
          <w:strike w:val="1"/>
        </w:rPr>
        <w:t>that are LIBO Rate Loans</w:t>
      </w:r>
      <w:r>
        <w:rPr>
          <w:rFonts w:ascii="Arial" w:cs="Arial" w:eastAsia="Arial" w:hAnsi="Arial"/>
          <w:sz w:val="17"/>
          <w:szCs w:val="17"/>
          <w:u w:val="single" w:color="auto"/>
          <w:color w:val="0000FF"/>
        </w:rPr>
        <w:t>by reference to the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benchmark for such Alternate Currency</w:t>
      </w:r>
      <w:r>
        <w:rPr>
          <w:rFonts w:ascii="Arial" w:cs="Arial" w:eastAsia="Arial" w:hAnsi="Arial"/>
          <w:sz w:val="17"/>
          <w:szCs w:val="17"/>
          <w:color w:val="0000FF"/>
        </w:rPr>
        <w:t xml:space="preserve"> </w:t>
      </w:r>
      <w:r>
        <w:rPr>
          <w:rFonts w:ascii="Arial" w:cs="Arial" w:eastAsia="Arial" w:hAnsi="Arial"/>
          <w:sz w:val="17"/>
          <w:szCs w:val="17"/>
          <w:color w:val="000000"/>
        </w:rPr>
        <w:t>(or, to the extent of the participation in such LC Disbursement by any Revolving Lender of</w:t>
      </w:r>
      <w:r>
        <w:rPr>
          <w:rFonts w:ascii="Arial" w:cs="Arial" w:eastAsia="Arial" w:hAnsi="Arial"/>
          <w:sz w:val="17"/>
          <w:szCs w:val="17"/>
          <w:color w:val="0000FF"/>
        </w:rPr>
        <w:t xml:space="preserve"> </w:t>
      </w:r>
      <w:r>
        <w:rPr>
          <w:rFonts w:ascii="Arial" w:cs="Arial" w:eastAsia="Arial" w:hAnsi="Arial"/>
          <w:sz w:val="17"/>
          <w:szCs w:val="17"/>
          <w:color w:val="000000"/>
        </w:rPr>
        <w:t xml:space="preserve">another Class, the rate per annum then applicable to the Revolving Loans of such other Class);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if the Borrower fails to reimburse such LC Disbursement when due pursuant to </w:t>
      </w:r>
      <w:r>
        <w:rPr>
          <w:rFonts w:ascii="Arial" w:cs="Arial" w:eastAsia="Arial" w:hAnsi="Arial"/>
          <w:sz w:val="17"/>
          <w:szCs w:val="17"/>
          <w:u w:val="single" w:color="auto"/>
          <w:color w:val="000000"/>
        </w:rPr>
        <w:t>paragraph (d)</w:t>
      </w:r>
      <w:r>
        <w:rPr>
          <w:rFonts w:ascii="Arial" w:cs="Arial" w:eastAsia="Arial" w:hAnsi="Arial"/>
          <w:sz w:val="17"/>
          <w:szCs w:val="17"/>
          <w:color w:val="000000"/>
        </w:rPr>
        <w:t xml:space="preserve"> of this Section, then </w:t>
      </w:r>
      <w:r>
        <w:rPr>
          <w:rFonts w:ascii="Arial" w:cs="Arial" w:eastAsia="Arial" w:hAnsi="Arial"/>
          <w:sz w:val="17"/>
          <w:szCs w:val="17"/>
          <w:u w:val="single" w:color="auto"/>
          <w:color w:val="000000"/>
        </w:rPr>
        <w:t>Section 2.13(d)</w:t>
      </w:r>
      <w:r>
        <w:rPr>
          <w:rFonts w:ascii="Arial" w:cs="Arial" w:eastAsia="Arial" w:hAnsi="Arial"/>
          <w:sz w:val="17"/>
          <w:szCs w:val="17"/>
          <w:color w:val="000000"/>
        </w:rPr>
        <w:t xml:space="preserve"> shall apply. Interest accrued pursuant to this paragraph shall be for the account of the applicable Issuing Bank, except that interest accrued on and after the date of payment by any Revolving Lender pursuant to </w:t>
      </w:r>
      <w:r>
        <w:rPr>
          <w:rFonts w:ascii="Arial" w:cs="Arial" w:eastAsia="Arial" w:hAnsi="Arial"/>
          <w:sz w:val="17"/>
          <w:szCs w:val="17"/>
          <w:u w:val="single" w:color="auto"/>
          <w:color w:val="000000"/>
        </w:rPr>
        <w:t>paragraph (d)</w:t>
      </w:r>
      <w:r>
        <w:rPr>
          <w:rFonts w:ascii="Arial" w:cs="Arial" w:eastAsia="Arial" w:hAnsi="Arial"/>
          <w:sz w:val="17"/>
          <w:szCs w:val="17"/>
          <w:color w:val="000000"/>
        </w:rPr>
        <w:t xml:space="preserve"> of this Section to reimburse such Issuing Bank shall be for the account of such Revolving Lender to the extent of such payment and shall be payable on the date on which the Borrower is required to reimburse the applicable LC Disbursement in full (and, thereafter, on demand).</w:t>
      </w:r>
    </w:p>
    <w:p>
      <w:pPr>
        <w:spacing w:after="0" w:line="167" w:lineRule="exact"/>
        <w:rPr>
          <w:sz w:val="20"/>
          <w:szCs w:val="20"/>
          <w:color w:val="auto"/>
        </w:rPr>
      </w:pPr>
    </w:p>
    <w:p>
      <w:pPr>
        <w:jc w:val="both"/>
        <w:ind w:left="100" w:right="59" w:firstLine="741"/>
        <w:spacing w:after="0" w:line="277" w:lineRule="auto"/>
        <w:tabs>
          <w:tab w:leader="none" w:pos="1520"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Replacement or Resignation of an Issuing Bank; Designation of New Issuing Banks</w:t>
      </w:r>
      <w:r>
        <w:rPr>
          <w:rFonts w:ascii="Arial" w:cs="Arial" w:eastAsia="Arial" w:hAnsi="Arial"/>
          <w:sz w:val="17"/>
          <w:szCs w:val="17"/>
          <w:color w:val="auto"/>
        </w:rPr>
        <w:t xml:space="preserve">. Any Issuing Bank may be replaced with the consent of the Administrative Agent (not to be unreasonably withheld or delayed) and the Borrower at any time by written agreement among the Borrower, the Administrative Agent and the successor Issuing Bank. The Administrative Agent shall notify the Revolving Lenders of any such replacement of an Issuing Bank. At the time any such replacement becomes effective, unless otherwise agreed by the replaced Issuing Bank, the Borrower shall pay all unpaid fees accrued prior to such date for the account of the replaced Issuing Bank pursuant to </w:t>
      </w:r>
      <w:r>
        <w:rPr>
          <w:rFonts w:ascii="Arial" w:cs="Arial" w:eastAsia="Arial" w:hAnsi="Arial"/>
          <w:sz w:val="17"/>
          <w:szCs w:val="17"/>
          <w:u w:val="single" w:color="auto"/>
          <w:color w:val="auto"/>
        </w:rPr>
        <w:t>Section 2.12(b)(ii)</w:t>
      </w:r>
      <w:r>
        <w:rPr>
          <w:rFonts w:ascii="Arial" w:cs="Arial" w:eastAsia="Arial" w:hAnsi="Arial"/>
          <w:sz w:val="17"/>
          <w:szCs w:val="17"/>
          <w:color w:val="auto"/>
        </w:rPr>
        <w:t>. From and after the effective date of any such replacement, (i) the successor Issuing Bank shall have all the rights and obligations of the replaced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83</w:t>
      </w:r>
      <w:r>
        <w:rPr>
          <w:rFonts w:ascii="Arial" w:cs="Arial" w:eastAsia="Arial" w:hAnsi="Arial"/>
          <w:sz w:val="18"/>
          <w:szCs w:val="18"/>
          <w:u w:val="single" w:color="auto"/>
          <w:color w:val="0000FF"/>
          <w:strike w:val="1"/>
        </w:rPr>
        <w:t>83</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51" w:name="page152"/>
    <w:bookmarkEnd w:id="151"/>
    <w:p>
      <w:pPr>
        <w:jc w:val="both"/>
        <w:ind w:left="100" w:right="59"/>
        <w:spacing w:after="0" w:line="270" w:lineRule="auto"/>
        <w:rPr>
          <w:sz w:val="20"/>
          <w:szCs w:val="20"/>
          <w:color w:val="auto"/>
        </w:rPr>
      </w:pPr>
      <w:r>
        <w:rPr>
          <w:rFonts w:ascii="Arial" w:cs="Arial" w:eastAsia="Arial" w:hAnsi="Arial"/>
          <w:sz w:val="17"/>
          <w:szCs w:val="17"/>
          <w:color w:val="auto"/>
        </w:rPr>
        <w:t>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any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156" w:lineRule="exact"/>
        <w:rPr>
          <w:sz w:val="20"/>
          <w:szCs w:val="20"/>
          <w:color w:val="auto"/>
        </w:rPr>
      </w:pPr>
    </w:p>
    <w:p>
      <w:pPr>
        <w:jc w:val="both"/>
        <w:ind w:left="840" w:right="59" w:firstLine="751"/>
        <w:spacing w:after="0" w:line="270" w:lineRule="auto"/>
        <w:tabs>
          <w:tab w:leader="none" w:pos="221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 xml:space="preserve">The Borrower may, at any time and from time to time with the consent of the Administrative Agent (which consent shall not be unreasonably withheld or delayed) and the relevant Revolving Lender, designate one or more additional Revolving Lenders to act as an issuing bank under the terms of this Agreement. Any Revolving Lender designated as an issuing bank pursuant to this </w:t>
      </w:r>
      <w:r>
        <w:rPr>
          <w:rFonts w:ascii="Arial" w:cs="Arial" w:eastAsia="Arial" w:hAnsi="Arial"/>
          <w:sz w:val="17"/>
          <w:szCs w:val="17"/>
          <w:u w:val="single" w:color="auto"/>
          <w:color w:val="auto"/>
        </w:rPr>
        <w:t>paragraph (i)</w:t>
      </w:r>
      <w:r>
        <w:rPr>
          <w:rFonts w:ascii="Arial" w:cs="Arial" w:eastAsia="Arial" w:hAnsi="Arial"/>
          <w:sz w:val="17"/>
          <w:szCs w:val="17"/>
          <w:color w:val="auto"/>
        </w:rPr>
        <w:t xml:space="preserve"> who agrees in writing to such designation shall be deemed to be an “Issuing Bank” (in addition to being a Revolving Lender) in respect of Letters of Credit issued or to be issued by such Revolving Lender in respect of its Letter of Credit Commitment (the amount of which Letter of Credit Commitment shall be specified in the agreement pursuant to which such Revolving Lender becomes an Issuing Bank), and, with respect to such Letters of Credit, such term shall thereafter apply to the other Issuing Bank and such Revolving Lender; provided, that for the avoidance of doubt, it is understood and agreed that the Letter of Credit Commitments of the other Issuing Banks shall not be reduced or otherwise be affected by the appointment of any additional Revolving Lender as an Issuing Bank pursuant to this </w:t>
      </w:r>
      <w:r>
        <w:rPr>
          <w:rFonts w:ascii="Arial" w:cs="Arial" w:eastAsia="Arial" w:hAnsi="Arial"/>
          <w:sz w:val="17"/>
          <w:szCs w:val="17"/>
          <w:u w:val="single" w:color="auto"/>
          <w:color w:val="auto"/>
        </w:rPr>
        <w:t>paragraph (i)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notwithstanding anything to the contrary contained herein, this Agreement may be amended to give effect to such appointment with the consent of the Borrower, the Administrative Agent (which consent shall not be unreasonably withheld or delayed) and such Issuing Bank being appointed in accordance with this </w:t>
      </w:r>
      <w:r>
        <w:rPr>
          <w:rFonts w:ascii="Arial" w:cs="Arial" w:eastAsia="Arial" w:hAnsi="Arial"/>
          <w:sz w:val="17"/>
          <w:szCs w:val="17"/>
          <w:u w:val="single" w:color="auto"/>
          <w:color w:val="auto"/>
        </w:rPr>
        <w:t>Section 2.05(h)</w:t>
      </w:r>
      <w:r>
        <w:rPr>
          <w:rFonts w:ascii="Arial" w:cs="Arial" w:eastAsia="Arial" w:hAnsi="Arial"/>
          <w:sz w:val="17"/>
          <w:szCs w:val="17"/>
          <w:color w:val="auto"/>
        </w:rPr>
        <w:t>, which amendment may determine the face amount of Letters of Credit required to be issued by such Issuing Bank, and the consent of no other Lender shall be required therefor.</w:t>
      </w:r>
    </w:p>
    <w:p>
      <w:pPr>
        <w:spacing w:after="0" w:line="170" w:lineRule="exact"/>
        <w:rPr>
          <w:rFonts w:ascii="Arial" w:cs="Arial" w:eastAsia="Arial" w:hAnsi="Arial"/>
          <w:sz w:val="17"/>
          <w:szCs w:val="17"/>
          <w:color w:val="auto"/>
        </w:rPr>
      </w:pPr>
    </w:p>
    <w:p>
      <w:pPr>
        <w:jc w:val="both"/>
        <w:ind w:left="840" w:right="19" w:firstLine="752"/>
        <w:spacing w:after="0" w:line="257" w:lineRule="auto"/>
        <w:tabs>
          <w:tab w:leader="none" w:pos="1956" w:val="left"/>
        </w:tabs>
        <w:numPr>
          <w:ilvl w:val="1"/>
          <w:numId w:val="129"/>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herein, each Issuing Bank may, upon 30 days’ prior written notice to the Borrower, each other Issuing Bank and the Lenders, resign as Issuing Bank, which resignation shall be effective as of the date referenced in such notice (but in no event less than 30 days (or such later date as the relevant Issuing Bank may agree) after the delivery of such written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effectiveness of such resignation shall be conditioned on and subject to the appointment of a replacement Issuing Bank reasonably satisfactory to the Borrower who agrees to assume the entire Letter of Credit Commitment of the resigning Issuing Bank, and no such resignation shall become effective unless and until such replacement Issuing Bank has accepted such appointment and agreed to provide such Letter of Credit Commitment on terms acceptable to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it is understood and agreed that in the event of any such resignation, any Letter of Credit then outstanding shall remain outstanding (irrespective of whether any amount have been drawn at such time). In the event of any such resignation of any Issuing Bank, the Borrower shall be entitled, but shall not be obligated, to appoint another Revolving Lender that is willing, in its sole discretion to accept such appointment in writing as successor Issuing Bank in respect of such resigning Issuing Bank; it being understood that the resignation of any such Issuing Bank shall not be effective in the event of a failure to appoint any such successor Issuing Bank and/or a failure of any Revolving Lender to accept such appointment as Issuing Bank. Upon the acceptance of any appointment as Issuing Bank hereunder, the successor Issuing Bank shall thereupon succeed to and become vested with all the rights, powers, privileges and duties of the retiring Issuing Bank, and the retiring Issuing Bank shall be discharged from its duties and obligations in such capacity hereunder.</w:t>
      </w:r>
    </w:p>
    <w:p>
      <w:pPr>
        <w:spacing w:after="0" w:line="167" w:lineRule="exact"/>
        <w:rPr>
          <w:rFonts w:ascii="Arial" w:cs="Arial" w:eastAsia="Arial" w:hAnsi="Arial"/>
          <w:sz w:val="17"/>
          <w:szCs w:val="17"/>
          <w:color w:val="auto"/>
        </w:rPr>
      </w:pPr>
    </w:p>
    <w:p>
      <w:pPr>
        <w:ind w:left="1600" w:hanging="758"/>
        <w:spacing w:after="0"/>
        <w:tabs>
          <w:tab w:leader="none" w:pos="1600"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Cash Collateralization</w:t>
      </w: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jc w:val="both"/>
        <w:ind w:left="840" w:right="19" w:firstLine="752"/>
        <w:spacing w:after="0" w:line="256" w:lineRule="auto"/>
        <w:tabs>
          <w:tab w:leader="none" w:pos="2257" w:val="left"/>
        </w:tabs>
        <w:numPr>
          <w:ilvl w:val="1"/>
          <w:numId w:val="130"/>
        </w:numPr>
        <w:rPr>
          <w:rFonts w:ascii="Arial" w:cs="Arial" w:eastAsia="Arial" w:hAnsi="Arial"/>
          <w:sz w:val="19"/>
          <w:szCs w:val="19"/>
          <w:color w:val="auto"/>
        </w:rPr>
      </w:pPr>
      <w:r>
        <w:rPr>
          <w:rFonts w:ascii="Arial" w:cs="Arial" w:eastAsia="Arial" w:hAnsi="Arial"/>
          <w:sz w:val="19"/>
          <w:szCs w:val="19"/>
          <w:color w:val="auto"/>
        </w:rPr>
        <w:t xml:space="preserve">If any Event of Default exists and the Loans have been declared due and payable in accordance with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hereof, then on the Business Day following the date on which the Borrower receives notice from the Administrative Agent (at the direction of the Required Revolving Lenders)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84</w:t>
      </w:r>
      <w:r>
        <w:rPr>
          <w:rFonts w:ascii="Arial" w:cs="Arial" w:eastAsia="Arial" w:hAnsi="Arial"/>
          <w:sz w:val="18"/>
          <w:szCs w:val="18"/>
          <w:u w:val="single" w:color="auto"/>
          <w:color w:val="0000FF"/>
          <w:strike w:val="1"/>
        </w:rPr>
        <w:t>84</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52" w:name="page153"/>
    <w:bookmarkEnd w:id="152"/>
    <w:p>
      <w:pPr>
        <w:jc w:val="both"/>
        <w:ind w:left="840" w:right="39"/>
        <w:spacing w:after="0" w:line="246" w:lineRule="auto"/>
        <w:rPr>
          <w:sz w:val="20"/>
          <w:szCs w:val="20"/>
          <w:color w:val="auto"/>
        </w:rPr>
      </w:pPr>
      <w:r>
        <w:rPr>
          <w:rFonts w:ascii="Arial" w:cs="Arial" w:eastAsia="Arial" w:hAnsi="Arial"/>
          <w:sz w:val="18"/>
          <w:szCs w:val="18"/>
          <w:color w:val="auto"/>
        </w:rPr>
        <w:t xml:space="preserve">demanding the deposit of Cash collateral pursuant to this </w:t>
      </w:r>
      <w:r>
        <w:rPr>
          <w:rFonts w:ascii="Arial" w:cs="Arial" w:eastAsia="Arial" w:hAnsi="Arial"/>
          <w:sz w:val="18"/>
          <w:szCs w:val="18"/>
          <w:u w:val="single" w:color="auto"/>
          <w:color w:val="auto"/>
        </w:rPr>
        <w:t>paragraph (i)</w:t>
      </w:r>
      <w:r>
        <w:rPr>
          <w:rFonts w:ascii="Arial" w:cs="Arial" w:eastAsia="Arial" w:hAnsi="Arial"/>
          <w:sz w:val="18"/>
          <w:szCs w:val="18"/>
          <w:color w:val="auto"/>
        </w:rPr>
        <w:t>, the Borrower shall deposit (or shall cause to be deposited), in an interest-bearing account with the Administrative Agent, in the name of the Administrative Agent and for the benefit of the Revolving Lenders (the “</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an amount in Cash equal to 100% of the LC Exposure as of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amount then on deposit in the LC Collateral Account);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Arial" w:cs="Arial" w:eastAsia="Arial" w:hAnsi="Arial"/>
          <w:sz w:val="18"/>
          <w:szCs w:val="18"/>
          <w:u w:val="single" w:color="auto"/>
          <w:color w:val="auto"/>
        </w:rPr>
        <w:t>Section 7.01(f)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w:t>
      </w:r>
    </w:p>
    <w:p>
      <w:pPr>
        <w:spacing w:after="0" w:line="175" w:lineRule="exact"/>
        <w:rPr>
          <w:sz w:val="20"/>
          <w:szCs w:val="20"/>
          <w:color w:val="auto"/>
        </w:rPr>
      </w:pPr>
    </w:p>
    <w:p>
      <w:pPr>
        <w:jc w:val="both"/>
        <w:ind w:left="840" w:right="19" w:firstLine="751"/>
        <w:spacing w:after="0" w:line="256" w:lineRule="auto"/>
        <w:tabs>
          <w:tab w:leader="none" w:pos="2257" w:val="left"/>
        </w:tabs>
        <w:numPr>
          <w:ilvl w:val="1"/>
          <w:numId w:val="131"/>
        </w:numPr>
        <w:rPr>
          <w:rFonts w:ascii="Arial" w:cs="Arial" w:eastAsia="Arial" w:hAnsi="Arial"/>
          <w:sz w:val="18"/>
          <w:szCs w:val="18"/>
          <w:color w:val="auto"/>
        </w:rPr>
      </w:pPr>
      <w:r>
        <w:rPr>
          <w:rFonts w:ascii="Arial" w:cs="Arial" w:eastAsia="Arial" w:hAnsi="Arial"/>
          <w:sz w:val="18"/>
          <w:szCs w:val="18"/>
          <w:color w:val="auto"/>
        </w:rPr>
        <w:t xml:space="preserve">Any such deposit under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shall be held by the Administrative Agent as collateral for the payment and performance of the Secured Obligations in accordance with the provisions of this </w:t>
      </w:r>
      <w:r>
        <w:rPr>
          <w:rFonts w:ascii="Arial" w:cs="Arial" w:eastAsia="Arial" w:hAnsi="Arial"/>
          <w:sz w:val="18"/>
          <w:szCs w:val="18"/>
          <w:u w:val="single" w:color="auto"/>
          <w:color w:val="auto"/>
        </w:rPr>
        <w:t>paragraph (i)</w:t>
      </w:r>
      <w:r>
        <w:rPr>
          <w:rFonts w:ascii="Arial" w:cs="Arial" w:eastAsia="Arial" w:hAnsi="Arial"/>
          <w:sz w:val="18"/>
          <w:szCs w:val="18"/>
          <w:color w:val="auto"/>
        </w:rPr>
        <w:t>. The Administrative Agent shall have exclusive dominion and control, including the exclusive right of withdrawal, over such account, and the Borrower hereby grants the Administrative Agent, for the benefit of the Secured Parties, a first priority security interest in the LC Collateral Account. Interest or profits, if any, on such investments shall accumulate in such account. Moneys in such account shall be applied by the Administrative Agent to reimburse the applicable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the Required Revolving Lenders) be applied to satisfy other Secured Obligations. If the Borrower is required to provide an amount of Cash collateral hereunder as a result of the occurrence of an Event of Default, such amount (together with all interest and other earnings with respect thereto, to the extent not applied as aforesaid) shall be returned to the Borrower promptly (but in no event later than three Business Days) after such Event of Default has been cured or waived.</w:t>
      </w:r>
    </w:p>
    <w:p>
      <w:pPr>
        <w:spacing w:after="0" w:line="180" w:lineRule="exact"/>
        <w:rPr>
          <w:rFonts w:ascii="Arial" w:cs="Arial" w:eastAsia="Arial" w:hAnsi="Arial"/>
          <w:sz w:val="18"/>
          <w:szCs w:val="18"/>
          <w:color w:val="auto"/>
        </w:rPr>
      </w:pPr>
    </w:p>
    <w:p>
      <w:pPr>
        <w:jc w:val="both"/>
        <w:ind w:left="100" w:right="19" w:firstLine="741"/>
        <w:spacing w:after="0" w:line="273" w:lineRule="auto"/>
        <w:tabs>
          <w:tab w:leader="none" w:pos="1522"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Reporting</w:t>
      </w:r>
      <w:r>
        <w:rPr>
          <w:rFonts w:ascii="Arial" w:cs="Arial" w:eastAsia="Arial" w:hAnsi="Arial"/>
          <w:sz w:val="17"/>
          <w:szCs w:val="17"/>
          <w:color w:val="auto"/>
        </w:rPr>
        <w:t>. (i) Not later than the third Business Day following the last day of each month and at each issuance of a Letter of Credit (or at such other intervals as the Administrative Agent and the applicable Issuing Bank shall agree), each Issuing Bank shall provide to the Administrative Agent a schedule of the Letters of Credit issued by it, and (ii) at each issuance of a Letter of Credit, the applicable Issuing Bank shall provide to the Administrative Agent a description of such Letter of Credit, in each case, in form and substance reasonably satisfactory to the Administrative Agent, showing the date of issuance of each (or such) Letter of Credit, the account party, the original face amount (if any), the expiration date, and the reference number of any Letter of Credit outstanding at any time during such month (or of such Letter of Credit, as applicable), and showing the aggregate amount (if any) payable by the Borrower to such Issuing Bank during such month (or with respect to such Letter of Credit, as applicable).</w:t>
      </w:r>
    </w:p>
    <w:p>
      <w:pPr>
        <w:spacing w:after="0" w:line="165" w:lineRule="exact"/>
        <w:rPr>
          <w:sz w:val="20"/>
          <w:szCs w:val="20"/>
          <w:color w:val="auto"/>
        </w:rPr>
      </w:pPr>
    </w:p>
    <w:p>
      <w:pPr>
        <w:jc w:val="both"/>
        <w:ind w:left="100" w:right="19" w:firstLine="749"/>
        <w:spacing w:after="0" w:line="245"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FF0000"/>
          <w:strike w:val="1"/>
        </w:rPr>
        <w:t>[Reserved]</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Conforming Changes. With respect to SOFR or Term SOFR, the Administrative Agent will</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have the r 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provided that, with respect to any such amendment effected, the Administrative Agent shall post each such amendment implementing such Conforming Changes to the Borrower and the Lenders reasonably promptly after such amendment becomes effective.</w:t>
      </w:r>
    </w:p>
    <w:p>
      <w:pPr>
        <w:spacing w:after="0" w:line="271"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2.07.  </w:t>
      </w:r>
      <w:r>
        <w:rPr>
          <w:rFonts w:ascii="Arial" w:cs="Arial" w:eastAsia="Arial" w:hAnsi="Arial"/>
          <w:sz w:val="19"/>
          <w:szCs w:val="19"/>
          <w:u w:val="single" w:color="auto"/>
          <w:color w:val="auto"/>
        </w:rPr>
        <w:t>Funding of Borrowings</w:t>
      </w:r>
      <w:r>
        <w:rPr>
          <w:rFonts w:ascii="Arial" w:cs="Arial" w:eastAsia="Arial" w:hAnsi="Arial"/>
          <w:sz w:val="19"/>
          <w:szCs w:val="19"/>
          <w:color w:val="auto"/>
        </w:rPr>
        <w:t>.</w:t>
      </w:r>
    </w:p>
    <w:p>
      <w:pPr>
        <w:spacing w:after="0" w:line="187" w:lineRule="exact"/>
        <w:rPr>
          <w:sz w:val="20"/>
          <w:szCs w:val="20"/>
          <w:color w:val="auto"/>
        </w:rPr>
      </w:pPr>
    </w:p>
    <w:p>
      <w:pPr>
        <w:jc w:val="both"/>
        <w:ind w:left="100" w:right="59" w:firstLine="741"/>
        <w:spacing w:after="0" w:line="283" w:lineRule="auto"/>
        <w:tabs>
          <w:tab w:leader="none" w:pos="15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Each Lender shall make (x) each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 to be made by it hereunder available to the Administrative Agent not later than 12:00 p.m., and (y) each ABR Loan to be made by it hereunder available to the Administrative Agent not later than 1:00 p.m., in each case, on the Business Day specified in the applicable Borrowing Request by wire transfer of immediately available funds to the account of the Administrative Agent most recently designated by it for such purpose by notice to the Lenders in an amount equal to such Lender’s respective Applicable Percentage;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Swingline Loans shall be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85</w:t>
      </w:r>
      <w:r>
        <w:rPr>
          <w:rFonts w:ascii="Arial" w:cs="Arial" w:eastAsia="Arial" w:hAnsi="Arial"/>
          <w:sz w:val="18"/>
          <w:szCs w:val="18"/>
          <w:u w:val="single" w:color="auto"/>
          <w:color w:val="0000FF"/>
          <w:strike w:val="1"/>
        </w:rPr>
        <w:t>85</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53" w:name="page154"/>
    <w:bookmarkEnd w:id="153"/>
    <w:p>
      <w:pPr>
        <w:jc w:val="both"/>
        <w:ind w:left="100" w:right="59"/>
        <w:spacing w:after="0" w:line="234" w:lineRule="auto"/>
        <w:rPr>
          <w:sz w:val="20"/>
          <w:szCs w:val="20"/>
          <w:color w:val="auto"/>
        </w:rPr>
      </w:pPr>
      <w:r>
        <w:rPr>
          <w:rFonts w:ascii="Arial" w:cs="Arial" w:eastAsia="Arial" w:hAnsi="Arial"/>
          <w:sz w:val="19"/>
          <w:szCs w:val="19"/>
          <w:color w:val="auto"/>
        </w:rPr>
        <w:t xml:space="preserve">made as provided in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The Administrative Agent will make such Loans available to the Borrower by promptly crediting the amounts so received on the same Business Day, in like funds, to the account designated in the relevant Borrowing Request or as otherwise directed by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ABR Revolving Loans (or </w:t>
      </w:r>
      <w:r>
        <w:rPr>
          <w:rFonts w:ascii="Arial" w:cs="Arial" w:eastAsia="Arial" w:hAnsi="Arial"/>
          <w:sz w:val="19"/>
          <w:szCs w:val="19"/>
          <w:color w:val="FF0000"/>
          <w:strike w:val="1"/>
        </w:rPr>
        <w:t>LIBO Rate</w:t>
      </w:r>
      <w:r>
        <w:rPr>
          <w:rFonts w:ascii="Arial" w:cs="Arial" w:eastAsia="Arial" w:hAnsi="Arial"/>
          <w:sz w:val="19"/>
          <w:szCs w:val="19"/>
          <w:color w:val="auto"/>
        </w:rPr>
        <w:t xml:space="preserve"> Revolving Loans </w:t>
      </w:r>
      <w:r>
        <w:rPr>
          <w:rFonts w:ascii="Arial" w:cs="Arial" w:eastAsia="Arial" w:hAnsi="Arial"/>
          <w:sz w:val="19"/>
          <w:szCs w:val="19"/>
          <w:u w:val="single" w:color="auto"/>
          <w:color w:val="0000FF"/>
        </w:rPr>
        <w:t>by reference to such</w:t>
      </w:r>
      <w:r>
        <w:rPr>
          <w:rFonts w:ascii="Arial" w:cs="Arial" w:eastAsia="Arial" w:hAnsi="Arial"/>
          <w:sz w:val="19"/>
          <w:szCs w:val="19"/>
          <w:color w:val="auto"/>
        </w:rPr>
        <w:t xml:space="preserve"> </w:t>
      </w:r>
      <w:r>
        <w:rPr>
          <w:rFonts w:ascii="Arial" w:cs="Arial" w:eastAsia="Arial" w:hAnsi="Arial"/>
          <w:sz w:val="19"/>
          <w:szCs w:val="19"/>
          <w:u w:val="single" w:color="auto"/>
          <w:color w:val="0000FF"/>
        </w:rPr>
        <w:t>other applicable benchmark</w:t>
      </w:r>
      <w:r>
        <w:rPr>
          <w:rFonts w:ascii="Arial" w:cs="Arial" w:eastAsia="Arial" w:hAnsi="Arial"/>
          <w:sz w:val="19"/>
          <w:szCs w:val="19"/>
          <w:color w:val="0000FF"/>
        </w:rPr>
        <w:t xml:space="preserve"> </w:t>
      </w:r>
      <w:r>
        <w:rPr>
          <w:rFonts w:ascii="Arial" w:cs="Arial" w:eastAsia="Arial" w:hAnsi="Arial"/>
          <w:sz w:val="19"/>
          <w:szCs w:val="19"/>
          <w:color w:val="000000"/>
        </w:rPr>
        <w:t>in the case of any Letter of Credit denominated in any Alternate Currency) made to finance the</w:t>
      </w:r>
      <w:r>
        <w:rPr>
          <w:rFonts w:ascii="Arial" w:cs="Arial" w:eastAsia="Arial" w:hAnsi="Arial"/>
          <w:sz w:val="19"/>
          <w:szCs w:val="19"/>
          <w:color w:val="0000FF"/>
        </w:rPr>
        <w:t xml:space="preserve"> </w:t>
      </w:r>
      <w:r>
        <w:rPr>
          <w:rFonts w:ascii="Arial" w:cs="Arial" w:eastAsia="Arial" w:hAnsi="Arial"/>
          <w:sz w:val="19"/>
          <w:szCs w:val="19"/>
          <w:color w:val="000000"/>
        </w:rPr>
        <w:t xml:space="preserve">reimbursement of any LC Disbursement as provided in </w:t>
      </w:r>
      <w:r>
        <w:rPr>
          <w:rFonts w:ascii="Arial" w:cs="Arial" w:eastAsia="Arial" w:hAnsi="Arial"/>
          <w:sz w:val="19"/>
          <w:szCs w:val="19"/>
          <w:u w:val="single" w:color="auto"/>
          <w:color w:val="000000"/>
        </w:rPr>
        <w:t>Section 2.05(e)</w:t>
      </w:r>
      <w:r>
        <w:rPr>
          <w:rFonts w:ascii="Arial" w:cs="Arial" w:eastAsia="Arial" w:hAnsi="Arial"/>
          <w:sz w:val="19"/>
          <w:szCs w:val="19"/>
          <w:color w:val="000000"/>
        </w:rPr>
        <w:t xml:space="preserve"> shall be remitted by the Administrative Agent to the applicable Issuing Bank.</w:t>
      </w:r>
    </w:p>
    <w:p>
      <w:pPr>
        <w:spacing w:after="0" w:line="180" w:lineRule="exact"/>
        <w:rPr>
          <w:sz w:val="20"/>
          <w:szCs w:val="20"/>
          <w:color w:val="auto"/>
        </w:rPr>
      </w:pPr>
    </w:p>
    <w:p>
      <w:pPr>
        <w:jc w:val="both"/>
        <w:ind w:left="100" w:right="59" w:firstLine="742"/>
        <w:spacing w:after="0" w:line="269" w:lineRule="auto"/>
        <w:tabs>
          <w:tab w:leader="none" w:pos="15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Unless the Administrative Agent has received notice from any Lender that such Lender will not make available to the Administrative Agent such Lender’s share of any Borrowing prior to the proposed date of such Borrowing (or, in the case of any Borrowing of ABR Loans, prior to 12:00 p.m. on the date of such Borrowing), the Administrative Agent may assume that such Lender has made such share available on such date in accordance with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of this Section and may, in reliance upon such assumption, make available to the Borrower a corresponding amount. In such event, if any Lender has not in fact made its share of the applicable Borrowing available to the Administrative Agent, then the applicable Lender and the Borrower severally agree to pay to the Administrative Agent forthwith on demand (without duplication)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(or, with respect to any amount denominated in any Alternate Currency, the rate of interest per annum at which overnight deposits in the applicable Alternate Currency, on an amount approximately equal to the amount with respect to which such rate is being determined, would be offered for such day by the Administrative Agent in the applicable offshore interbank market for such currency) and a rate determined by the Administrative Agent in accordance with banking industry rules on interbank compensation or (ii) in the case of the Borrower, the interest rate applicable to Loans comprising such Borrowing at such time. If such Lender pays such amount to the Administrative Agent, then such amount shall constitute such Lender’s Loan included in such Borrowing and the obligation of the Borrower to repay the Administrative Agent such corresponding amount pursuant to this </w:t>
      </w:r>
      <w:r>
        <w:rPr>
          <w:rFonts w:ascii="Arial" w:cs="Arial" w:eastAsia="Arial" w:hAnsi="Arial"/>
          <w:sz w:val="17"/>
          <w:szCs w:val="17"/>
          <w:u w:val="single" w:color="auto"/>
          <w:color w:val="auto"/>
        </w:rPr>
        <w:t>Section 2.07(b)</w:t>
      </w:r>
      <w:r>
        <w:rPr>
          <w:rFonts w:ascii="Arial" w:cs="Arial" w:eastAsia="Arial" w:hAnsi="Arial"/>
          <w:sz w:val="17"/>
          <w:szCs w:val="17"/>
          <w:color w:val="auto"/>
        </w:rPr>
        <w:t xml:space="preserve"> shall cease. If the Borrower pays such amount to the Administrative Agent, the amount so paid shall constitute a repayment of such Borrowing by such amount. Nothing herein shall be deemed to relieve any Lender from its obligation to fulfill its Commitment or to prejudice any rights which the Administrative Agent or the Borrower or any other Loan Party may have against any Lender as a result of any default by such Lender hereunder.</w:t>
      </w:r>
    </w:p>
    <w:p>
      <w:pPr>
        <w:spacing w:after="0" w:line="181"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2.08.  </w:t>
      </w:r>
      <w:r>
        <w:rPr>
          <w:rFonts w:ascii="Arial" w:cs="Arial" w:eastAsia="Arial" w:hAnsi="Arial"/>
          <w:sz w:val="19"/>
          <w:szCs w:val="19"/>
          <w:u w:val="single" w:color="auto"/>
          <w:color w:val="auto"/>
        </w:rPr>
        <w:t>Type; Interest Elections</w:t>
      </w:r>
      <w:r>
        <w:rPr>
          <w:rFonts w:ascii="Arial" w:cs="Arial" w:eastAsia="Arial" w:hAnsi="Arial"/>
          <w:sz w:val="19"/>
          <w:szCs w:val="19"/>
          <w:color w:val="auto"/>
        </w:rPr>
        <w:t>.</w:t>
      </w:r>
    </w:p>
    <w:p>
      <w:pPr>
        <w:spacing w:after="0" w:line="200" w:lineRule="exact"/>
        <w:rPr>
          <w:sz w:val="20"/>
          <w:szCs w:val="20"/>
          <w:color w:val="auto"/>
        </w:rPr>
      </w:pPr>
    </w:p>
    <w:p>
      <w:pPr>
        <w:jc w:val="both"/>
        <w:ind w:left="100" w:right="19" w:firstLine="741"/>
        <w:spacing w:after="0" w:line="242" w:lineRule="auto"/>
        <w:tabs>
          <w:tab w:leader="none" w:pos="1522"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Each Borrowing shall initially be of the Type specified in the applicable Borrowing Request and, in the case of any </w:t>
      </w:r>
      <w:r>
        <w:rPr>
          <w:rFonts w:ascii="Arial" w:cs="Arial" w:eastAsia="Arial" w:hAnsi="Arial"/>
          <w:sz w:val="19"/>
          <w:szCs w:val="19"/>
          <w:color w:val="FF0000"/>
          <w:strike w:val="1"/>
        </w:rPr>
        <w:t>LIBO Rate</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Borrowing, shall have an initial Interest Period as specified in such Borrowing Request. Thereafter, the Borrower may elect to convert any Borrowing denominated in Dollars to a Borrowing of a different Type or to continue such Borrowing and, in the case of a </w:t>
      </w:r>
      <w:r>
        <w:rPr>
          <w:rFonts w:ascii="Arial" w:cs="Arial" w:eastAsia="Arial" w:hAnsi="Arial"/>
          <w:sz w:val="19"/>
          <w:szCs w:val="19"/>
          <w:color w:val="FF0000"/>
          <w:strike w:val="1"/>
        </w:rPr>
        <w:t>LIBO Rate</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Borrowing, may elect Interest Periods therefor, all as provided in this Section. The Borrower may elect different options with respect to different portions of the affected Borrowing, in which case each such portion shall be allocated ratably among the Lenders based upon their Applicable Percentages and the Loans comprising each such portion shall be considered a separate Borrowing. This Section shall not apply to Swingline Loans, which may not be a </w:t>
      </w:r>
      <w:r>
        <w:rPr>
          <w:rFonts w:ascii="Arial" w:cs="Arial" w:eastAsia="Arial" w:hAnsi="Arial"/>
          <w:sz w:val="19"/>
          <w:szCs w:val="19"/>
          <w:color w:val="FF0000"/>
          <w:strike w:val="1"/>
        </w:rPr>
        <w:t>LIBO</w:t>
      </w:r>
      <w:r>
        <w:rPr>
          <w:rFonts w:ascii="Arial" w:cs="Arial" w:eastAsia="Arial" w:hAnsi="Arial"/>
          <w:sz w:val="19"/>
          <w:szCs w:val="19"/>
          <w:color w:val="auto"/>
        </w:rPr>
        <w:t xml:space="preserve"> </w:t>
      </w:r>
      <w:r>
        <w:rPr>
          <w:rFonts w:ascii="Arial" w:cs="Arial" w:eastAsia="Arial" w:hAnsi="Arial"/>
          <w:sz w:val="19"/>
          <w:szCs w:val="19"/>
          <w:color w:val="FF0000"/>
          <w:strike w:val="1"/>
        </w:rPr>
        <w:t>Rate</w:t>
      </w:r>
      <w:r>
        <w:rPr>
          <w:rFonts w:ascii="Arial" w:cs="Arial" w:eastAsia="Arial" w:hAnsi="Arial"/>
          <w:sz w:val="19"/>
          <w:szCs w:val="19"/>
          <w:u w:val="single" w:color="auto"/>
          <w:color w:val="0000FF"/>
        </w:rPr>
        <w:t>Term SOFR</w:t>
      </w:r>
      <w:r>
        <w:rPr>
          <w:rFonts w:ascii="Arial" w:cs="Arial" w:eastAsia="Arial" w:hAnsi="Arial"/>
          <w:sz w:val="19"/>
          <w:szCs w:val="19"/>
          <w:color w:val="FF0000"/>
        </w:rPr>
        <w:t xml:space="preserve"> </w:t>
      </w:r>
      <w:r>
        <w:rPr>
          <w:rFonts w:ascii="Arial" w:cs="Arial" w:eastAsia="Arial" w:hAnsi="Arial"/>
          <w:sz w:val="19"/>
          <w:szCs w:val="19"/>
          <w:color w:val="000000"/>
        </w:rPr>
        <w:t>Borrowing.</w:t>
      </w:r>
    </w:p>
    <w:p>
      <w:pPr>
        <w:spacing w:after="0" w:line="276" w:lineRule="exact"/>
        <w:rPr>
          <w:rFonts w:ascii="Arial" w:cs="Arial" w:eastAsia="Arial" w:hAnsi="Arial"/>
          <w:sz w:val="19"/>
          <w:szCs w:val="19"/>
          <w:color w:val="auto"/>
        </w:rPr>
      </w:pPr>
    </w:p>
    <w:p>
      <w:pPr>
        <w:jc w:val="both"/>
        <w:ind w:left="100" w:right="59" w:firstLine="741"/>
        <w:spacing w:after="0" w:line="263" w:lineRule="auto"/>
        <w:tabs>
          <w:tab w:leader="none" w:pos="151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To make an election pursuant to this Section, the Borrower shall deliver an Interest Election Request, appropriately completed and signed by a Responsible Officer of the Borrower, to the Administrative Agent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If any such Interest Election Request requests a </w:t>
      </w:r>
      <w:r>
        <w:rPr>
          <w:rFonts w:ascii="Arial" w:cs="Arial" w:eastAsia="Arial" w:hAnsi="Arial"/>
          <w:sz w:val="18"/>
          <w:szCs w:val="18"/>
          <w:color w:val="FF0000"/>
          <w:strike w:val="1"/>
        </w:rPr>
        <w:t>LIBO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Borrowing but does not specify an Interest Period, then the Borrower shall be deemed to have selected an Interest Period of one month’s duration.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86</w:t>
      </w:r>
      <w:r>
        <w:rPr>
          <w:rFonts w:ascii="Arial" w:cs="Arial" w:eastAsia="Arial" w:hAnsi="Arial"/>
          <w:sz w:val="18"/>
          <w:szCs w:val="18"/>
          <w:u w:val="single" w:color="auto"/>
          <w:color w:val="0000FF"/>
          <w:strike w:val="1"/>
        </w:rPr>
        <w:t>86</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54" w:name="page155"/>
    <w:bookmarkEnd w:id="154"/>
    <w:p>
      <w:pPr>
        <w:ind w:left="100" w:right="39" w:firstLine="741"/>
        <w:spacing w:after="0" w:line="261" w:lineRule="auto"/>
        <w:tabs>
          <w:tab w:leader="none" w:pos="1521" w:val="left"/>
        </w:tabs>
        <w:numPr>
          <w:ilvl w:val="0"/>
          <w:numId w:val="136"/>
        </w:numPr>
        <w:rPr>
          <w:rFonts w:ascii="Arial" w:cs="Arial" w:eastAsia="Arial" w:hAnsi="Arial"/>
          <w:sz w:val="19"/>
          <w:szCs w:val="19"/>
          <w:color w:val="auto"/>
        </w:rPr>
      </w:pPr>
      <w:r>
        <w:rPr>
          <w:rFonts w:ascii="Arial" w:cs="Arial" w:eastAsia="Arial" w:hAnsi="Arial"/>
          <w:sz w:val="19"/>
          <w:szCs w:val="19"/>
          <w:color w:val="auto"/>
        </w:rPr>
        <w:t>Promptly following receipt of an Interest Election Request, the Administrative Agent shall advise each applicable Lender of the details thereof and of such Lender’s portion of each resulting Borrowing.</w:t>
      </w:r>
    </w:p>
    <w:p>
      <w:pPr>
        <w:spacing w:after="0" w:line="186" w:lineRule="exact"/>
        <w:rPr>
          <w:rFonts w:ascii="Arial" w:cs="Arial" w:eastAsia="Arial" w:hAnsi="Arial"/>
          <w:sz w:val="19"/>
          <w:szCs w:val="19"/>
          <w:color w:val="auto"/>
        </w:rPr>
      </w:pPr>
    </w:p>
    <w:p>
      <w:pPr>
        <w:jc w:val="both"/>
        <w:ind w:left="100" w:right="59" w:firstLine="741"/>
        <w:spacing w:after="0" w:line="245" w:lineRule="auto"/>
        <w:tabs>
          <w:tab w:leader="none" w:pos="1519"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If the Borrower fails to deliver (or cause to be delivered) a timely Interest Election Request with respect to a </w:t>
      </w:r>
      <w:r>
        <w:rPr>
          <w:rFonts w:ascii="Arial" w:cs="Arial" w:eastAsia="Arial" w:hAnsi="Arial"/>
          <w:sz w:val="19"/>
          <w:szCs w:val="19"/>
          <w:color w:val="FF0000"/>
          <w:strike w:val="1"/>
        </w:rPr>
        <w:t>LIBO Rate</w:t>
      </w:r>
      <w:r>
        <w:rPr>
          <w:rFonts w:ascii="Arial" w:cs="Arial" w:eastAsia="Arial" w:hAnsi="Arial"/>
          <w:sz w:val="19"/>
          <w:szCs w:val="19"/>
          <w:u w:val="single" w:color="auto"/>
          <w:color w:val="0000FF"/>
        </w:rPr>
        <w:t>Term SOFR</w:t>
      </w:r>
      <w:r>
        <w:rPr>
          <w:rFonts w:ascii="Arial" w:cs="Arial" w:eastAsia="Arial" w:hAnsi="Arial"/>
          <w:sz w:val="19"/>
          <w:szCs w:val="19"/>
          <w:color w:val="FF0000"/>
        </w:rPr>
        <w:t xml:space="preserve"> </w:t>
      </w:r>
      <w:r>
        <w:rPr>
          <w:rFonts w:ascii="Arial" w:cs="Arial" w:eastAsia="Arial" w:hAnsi="Arial"/>
          <w:sz w:val="19"/>
          <w:szCs w:val="19"/>
          <w:color w:val="000000"/>
        </w:rPr>
        <w:t>Borrowing denominated in Dollars prior to the end of the Interest Period applicable thereto, then, unless</w:t>
      </w:r>
      <w:r>
        <w:rPr>
          <w:rFonts w:ascii="Arial" w:cs="Arial" w:eastAsia="Arial" w:hAnsi="Arial"/>
          <w:sz w:val="19"/>
          <w:szCs w:val="19"/>
          <w:color w:val="FF0000"/>
        </w:rPr>
        <w:t xml:space="preserve"> </w:t>
      </w:r>
      <w:r>
        <w:rPr>
          <w:rFonts w:ascii="Arial" w:cs="Arial" w:eastAsia="Arial" w:hAnsi="Arial"/>
          <w:sz w:val="19"/>
          <w:szCs w:val="19"/>
          <w:color w:val="000000"/>
        </w:rPr>
        <w:t>such Borrowing is repaid as provided herein, such Borrowing shall be converted at the end of such Interest Period to an ABR Borrowing.</w:t>
      </w:r>
    </w:p>
    <w:p>
      <w:pPr>
        <w:spacing w:after="0" w:line="187" w:lineRule="exact"/>
        <w:rPr>
          <w:rFonts w:ascii="Arial" w:cs="Arial" w:eastAsia="Arial" w:hAnsi="Arial"/>
          <w:sz w:val="19"/>
          <w:szCs w:val="19"/>
          <w:color w:val="auto"/>
        </w:rPr>
      </w:pPr>
    </w:p>
    <w:p>
      <w:pPr>
        <w:ind w:left="100" w:right="59" w:firstLine="741"/>
        <w:spacing w:after="0" w:line="261" w:lineRule="auto"/>
        <w:tabs>
          <w:tab w:leader="none" w:pos="152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It is understood and agreed that only a Borrowing denominated in Dollars may be made in the form of, or converted into, an ABR Loan.</w:t>
      </w:r>
    </w:p>
    <w:p>
      <w:pPr>
        <w:spacing w:after="0" w:line="173"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2.09.  </w:t>
      </w:r>
      <w:r>
        <w:rPr>
          <w:rFonts w:ascii="Arial" w:cs="Arial" w:eastAsia="Arial" w:hAnsi="Arial"/>
          <w:sz w:val="19"/>
          <w:szCs w:val="19"/>
          <w:u w:val="single" w:color="auto"/>
          <w:color w:val="auto"/>
        </w:rPr>
        <w:t>Termination and Reduction of Commitments</w:t>
      </w:r>
      <w:r>
        <w:rPr>
          <w:rFonts w:ascii="Arial" w:cs="Arial" w:eastAsia="Arial" w:hAnsi="Arial"/>
          <w:sz w:val="19"/>
          <w:szCs w:val="19"/>
          <w:color w:val="auto"/>
        </w:rPr>
        <w:t>.</w:t>
      </w:r>
    </w:p>
    <w:p>
      <w:pPr>
        <w:spacing w:after="0" w:line="200" w:lineRule="exact"/>
        <w:rPr>
          <w:sz w:val="20"/>
          <w:szCs w:val="20"/>
          <w:color w:val="auto"/>
        </w:rPr>
      </w:pPr>
    </w:p>
    <w:p>
      <w:pPr>
        <w:jc w:val="both"/>
        <w:ind w:left="100" w:right="59" w:firstLine="741"/>
        <w:spacing w:after="0" w:line="248" w:lineRule="auto"/>
        <w:tabs>
          <w:tab w:leader="none" w:pos="1520" w:val="left"/>
        </w:tabs>
        <w:numPr>
          <w:ilvl w:val="1"/>
          <w:numId w:val="137"/>
        </w:numPr>
        <w:rPr>
          <w:rFonts w:ascii="Arial" w:cs="Arial" w:eastAsia="Arial" w:hAnsi="Arial"/>
          <w:sz w:val="19"/>
          <w:szCs w:val="19"/>
          <w:color w:val="auto"/>
        </w:rPr>
      </w:pPr>
      <w:r>
        <w:rPr>
          <w:rFonts w:ascii="Arial" w:cs="Arial" w:eastAsia="Arial" w:hAnsi="Arial"/>
          <w:sz w:val="19"/>
          <w:szCs w:val="19"/>
          <w:color w:val="auto"/>
        </w:rPr>
        <w:t>Unless previously terminated, (i) the Initial Term Loan Commitments on the Closing Date shall automatically terminate upon the making of the Initial Term Loans on the Closing Date, (ii) the Initial Revolving Credit Commitments shall automatically terminate on the Initial Revolving Credit Maturity Date,</w:t>
      </w:r>
    </w:p>
    <w:p>
      <w:pPr>
        <w:jc w:val="both"/>
        <w:ind w:left="100" w:right="19" w:hanging="7"/>
        <w:spacing w:after="0" w:line="254" w:lineRule="auto"/>
        <w:tabs>
          <w:tab w:leader="none" w:pos="82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Additional Term Loan Commitments of any Class shall automatically terminate upon the making of the Additional Term Loans of such Class and, if any such Additional Term Loan Commitment is not drawn on the date that such Additional Term Loan Commitment is required to be drawn pursuant to the applicable Refinancing Amendment, Extension Amendment or Incremental Facility Amendment, the undrawn amount thereof shall automatically terminate and (iv) the Additional Revolving Credit Commitments of any Class shall automatically terminate on the Maturity Date specified therefor in the applicable Refinancing Amendment, Extension Amendment or Incremental Facility Amendment, as applicable.</w:t>
      </w:r>
    </w:p>
    <w:p>
      <w:pPr>
        <w:spacing w:after="0" w:line="181" w:lineRule="exact"/>
        <w:rPr>
          <w:rFonts w:ascii="Arial" w:cs="Arial" w:eastAsia="Arial" w:hAnsi="Arial"/>
          <w:sz w:val="18"/>
          <w:szCs w:val="18"/>
          <w:color w:val="auto"/>
        </w:rPr>
      </w:pPr>
    </w:p>
    <w:p>
      <w:pPr>
        <w:jc w:val="both"/>
        <w:ind w:left="100" w:right="39" w:firstLine="742"/>
        <w:spacing w:after="0" w:line="274" w:lineRule="auto"/>
        <w:tabs>
          <w:tab w:leader="none" w:pos="1522" w:val="left"/>
        </w:tabs>
        <w:numPr>
          <w:ilvl w:val="1"/>
          <w:numId w:val="138"/>
        </w:numPr>
        <w:rPr>
          <w:rFonts w:ascii="Arial" w:cs="Arial" w:eastAsia="Arial" w:hAnsi="Arial"/>
          <w:sz w:val="17"/>
          <w:szCs w:val="17"/>
          <w:color w:val="auto"/>
        </w:rPr>
      </w:pPr>
      <w:r>
        <w:rPr>
          <w:rFonts w:ascii="Arial" w:cs="Arial" w:eastAsia="Arial" w:hAnsi="Arial"/>
          <w:sz w:val="17"/>
          <w:szCs w:val="17"/>
          <w:color w:val="auto"/>
        </w:rPr>
        <w:t xml:space="preserve">Upon delivery of the notice required by </w:t>
      </w:r>
      <w:r>
        <w:rPr>
          <w:rFonts w:ascii="Arial" w:cs="Arial" w:eastAsia="Arial" w:hAnsi="Arial"/>
          <w:sz w:val="17"/>
          <w:szCs w:val="17"/>
          <w:u w:val="single" w:color="auto"/>
          <w:color w:val="auto"/>
        </w:rPr>
        <w:t>Section 2.09(c)</w:t>
      </w:r>
      <w:r>
        <w:rPr>
          <w:rFonts w:ascii="Arial" w:cs="Arial" w:eastAsia="Arial" w:hAnsi="Arial"/>
          <w:sz w:val="17"/>
          <w:szCs w:val="17"/>
          <w:color w:val="auto"/>
        </w:rPr>
        <w:t xml:space="preserve">, the Borrower may at any time terminate or from time to time reduce the Revolving Credit Commitments of any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each reduction of the Revolving Credit Commitments of any Class shall be in an amount that is an integral multiple of $1,000,000 and not less than $1,000,000 and (ii) the Borrower shall not terminate or reduce the Revolving Credit Commitments of any Class if, after giving effect to any concurrent prepayment of Revolving Loans, Swingline Loans and/or the provision of Letter of Credit Support with respect to any outstanding Letter of Credit, the aggregate amount of the Revolving Credit Exposure attributable to the Revolving Credit Commitments of such Class would exceed the aggregate amount of the Revolving Credit Commitments of such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the establishment of any Class of Additional Revolving Credit Commitments, any such termination or reduction of the Revolving Credit Commitments of any Class shall be subject to the provisions set forth in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w:t>
      </w:r>
      <w:r>
        <w:rPr>
          <w:rFonts w:ascii="Arial" w:cs="Arial" w:eastAsia="Arial" w:hAnsi="Arial"/>
          <w:sz w:val="17"/>
          <w:szCs w:val="17"/>
          <w:u w:val="single" w:color="auto"/>
          <w:color w:val="auto"/>
        </w:rPr>
        <w:t>2.23</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9.02</w:t>
      </w:r>
      <w:r>
        <w:rPr>
          <w:rFonts w:ascii="Arial" w:cs="Arial" w:eastAsia="Arial" w:hAnsi="Arial"/>
          <w:sz w:val="17"/>
          <w:szCs w:val="17"/>
          <w:color w:val="auto"/>
        </w:rPr>
        <w:t>, as applicable.</w:t>
      </w:r>
    </w:p>
    <w:p>
      <w:pPr>
        <w:spacing w:after="0" w:line="165" w:lineRule="exact"/>
        <w:rPr>
          <w:rFonts w:ascii="Arial" w:cs="Arial" w:eastAsia="Arial" w:hAnsi="Arial"/>
          <w:sz w:val="17"/>
          <w:szCs w:val="17"/>
          <w:color w:val="auto"/>
        </w:rPr>
      </w:pPr>
    </w:p>
    <w:p>
      <w:pPr>
        <w:jc w:val="both"/>
        <w:ind w:left="100" w:right="59" w:firstLine="741"/>
        <w:spacing w:after="0" w:line="255" w:lineRule="auto"/>
        <w:tabs>
          <w:tab w:leader="none" w:pos="15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The Borrower shall notify the Administrative Agent of any election to terminate or reduce any Revolving Credit Commitment under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in writing at least three Business Days prior to the effective date of such termination or reduction (or such later date to which the Administrative Agent may agree), specifying such election and the effective date thereof. Promptly following receipt of any such notice, the Administrative Agent shall advise the Revolving Lenders of each applicable Class of the contents thereof. Each notice delivered by the Borrower pursuant to this Section shall be irrevocable;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notice may state that it is conditioned upon the effectiveness of other transactions or other events, in which case such notice may be revoked by the Borrower (by written notice to the Administrative Agent on or prior to the specified effective date) if such condition is not satisfied. Any termination or reduction of any Revolving Credit Commitment pursuant to this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shall be permanent. Upon any reduction of any Revolving Credit Commitment, the Revolving Credit Commitment of each Revolving Lender of the relevant Class shall be reduced by such Revolving Lender’s Applicable Percentage of the amount of such reduction.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87</w:t>
      </w:r>
      <w:r>
        <w:rPr>
          <w:rFonts w:ascii="Arial" w:cs="Arial" w:eastAsia="Arial" w:hAnsi="Arial"/>
          <w:sz w:val="18"/>
          <w:szCs w:val="18"/>
          <w:u w:val="single" w:color="auto"/>
          <w:color w:val="0000FF"/>
          <w:strike w:val="1"/>
        </w:rPr>
        <w:t>87</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55" w:name="page156"/>
    <w:bookmarkEnd w:id="155"/>
    <w:p>
      <w:pPr>
        <w:ind w:left="840"/>
        <w:spacing w:after="0"/>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u w:val="single" w:color="auto"/>
          <w:color w:val="auto"/>
        </w:rPr>
        <w:t>Repayment of Loans; Evidence of Debt</w:t>
      </w:r>
      <w:r>
        <w:rPr>
          <w:rFonts w:ascii="Arial" w:cs="Arial" w:eastAsia="Arial" w:hAnsi="Arial"/>
          <w:sz w:val="19"/>
          <w:szCs w:val="19"/>
          <w:color w:val="auto"/>
        </w:rPr>
        <w:t>.</w:t>
      </w:r>
    </w:p>
    <w:p>
      <w:pPr>
        <w:spacing w:after="0" w:line="214" w:lineRule="exact"/>
        <w:rPr>
          <w:sz w:val="20"/>
          <w:szCs w:val="20"/>
          <w:color w:val="auto"/>
        </w:rPr>
      </w:pPr>
    </w:p>
    <w:p>
      <w:pPr>
        <w:jc w:val="both"/>
        <w:ind w:left="100" w:right="39" w:firstLine="742"/>
        <w:spacing w:after="0" w:line="272" w:lineRule="auto"/>
        <w:tabs>
          <w:tab w:leader="none" w:pos="152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(i) The Borrower hereby unconditionally promises to repay the outstanding principal amount of the Initial Term Loans to the Administrative Agent for the account of each Term Lender (A) on the last day of each March, June, September and December (commencing December 31, 2021) prior to the Initial Term Loan Maturity Date (each such date being referred to as a “</w:t>
      </w:r>
      <w:r>
        <w:rPr>
          <w:rFonts w:ascii="Arial" w:cs="Arial" w:eastAsia="Arial" w:hAnsi="Arial"/>
          <w:sz w:val="17"/>
          <w:szCs w:val="17"/>
          <w:u w:val="single" w:color="auto"/>
          <w:color w:val="auto"/>
        </w:rPr>
        <w:t>Loan Installment Date</w:t>
      </w:r>
      <w:r>
        <w:rPr>
          <w:rFonts w:ascii="Arial" w:cs="Arial" w:eastAsia="Arial" w:hAnsi="Arial"/>
          <w:sz w:val="17"/>
          <w:szCs w:val="17"/>
          <w:color w:val="auto"/>
        </w:rPr>
        <w:t xml:space="preserve">”), (x) from December 31, 2021 through and including September 30, 2023, in an amount equal to 0.625% of the original principal amount of the Initial Term Loans outstanding on the Closing Date and (y) commencing on December 31, 2023 and thereafter, in an amount equal to 1.25% of the original principal amount of the Initial Term Loans outstanding on the Closing Date (in each case of </w:t>
      </w:r>
      <w:r>
        <w:rPr>
          <w:rFonts w:ascii="Arial" w:cs="Arial" w:eastAsia="Arial" w:hAnsi="Arial"/>
          <w:sz w:val="17"/>
          <w:szCs w:val="17"/>
          <w:u w:val="single" w:color="auto"/>
          <w:color w:val="auto"/>
        </w:rPr>
        <w:t>clauses (x)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(y)</w:t>
      </w:r>
      <w:r>
        <w:rPr>
          <w:rFonts w:ascii="Arial" w:cs="Arial" w:eastAsia="Arial" w:hAnsi="Arial"/>
          <w:sz w:val="17"/>
          <w:szCs w:val="17"/>
          <w:color w:val="auto"/>
        </w:rPr>
        <w:t xml:space="preserve"> above, as such payments may be reduced from time to time as a result of the application of prepayments in accordance with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and repurchases and assignments in accordance with </w:t>
      </w:r>
      <w:r>
        <w:rPr>
          <w:rFonts w:ascii="Arial" w:cs="Arial" w:eastAsia="Arial" w:hAnsi="Arial"/>
          <w:sz w:val="17"/>
          <w:szCs w:val="17"/>
          <w:u w:val="single" w:color="auto"/>
          <w:color w:val="auto"/>
        </w:rPr>
        <w:t>Section 9.05(g)</w:t>
      </w:r>
      <w:r>
        <w:rPr>
          <w:rFonts w:ascii="Arial" w:cs="Arial" w:eastAsia="Arial" w:hAnsi="Arial"/>
          <w:sz w:val="17"/>
          <w:szCs w:val="17"/>
          <w:color w:val="auto"/>
        </w:rPr>
        <w:t xml:space="preserve"> or increased in connection with the incurrence of Incremental Term Loans), and (B) on the Initial Term Loan Maturity Date, in an amount equal to the remainder of the principal amount of such Initial Term Loans outstanding on such date, together, in each case, with accrued and unpaid interest on the principal amount to be paid to but excluding the date of such payment.</w:t>
      </w:r>
    </w:p>
    <w:p>
      <w:pPr>
        <w:spacing w:after="0" w:line="168" w:lineRule="exact"/>
        <w:rPr>
          <w:rFonts w:ascii="Arial" w:cs="Arial" w:eastAsia="Arial" w:hAnsi="Arial"/>
          <w:sz w:val="17"/>
          <w:szCs w:val="17"/>
          <w:color w:val="auto"/>
        </w:rPr>
      </w:pPr>
    </w:p>
    <w:p>
      <w:pPr>
        <w:jc w:val="both"/>
        <w:ind w:left="840" w:right="39" w:firstLine="752"/>
        <w:spacing w:after="0" w:line="231" w:lineRule="auto"/>
        <w:tabs>
          <w:tab w:leader="none" w:pos="2010" w:val="left"/>
        </w:tabs>
        <w:numPr>
          <w:ilvl w:val="3"/>
          <w:numId w:val="139"/>
        </w:numPr>
        <w:rPr>
          <w:rFonts w:ascii="Arial" w:cs="Arial" w:eastAsia="Arial" w:hAnsi="Arial"/>
          <w:sz w:val="19"/>
          <w:szCs w:val="19"/>
          <w:color w:val="auto"/>
        </w:rPr>
      </w:pPr>
      <w:r>
        <w:rPr>
          <w:rFonts w:ascii="Arial" w:cs="Arial" w:eastAsia="Arial" w:hAnsi="Arial"/>
          <w:sz w:val="19"/>
          <w:szCs w:val="19"/>
          <w:color w:val="auto"/>
        </w:rPr>
        <w:t xml:space="preserve">The Borrower shall repay the Additional Term Loans of any Class in such scheduled amortization installments and on such date or dates as shall be specified therefor in the applicable Refinancing Amendment, Incremental Facility Amendment or Extension Amendment (as such payments may be reduced from time to time as a result of the application of prepayments in accordance with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or repurchases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9.05(g)</w:t>
      </w:r>
      <w:r>
        <w:rPr>
          <w:rFonts w:ascii="Arial" w:cs="Arial" w:eastAsia="Arial" w:hAnsi="Arial"/>
          <w:sz w:val="19"/>
          <w:szCs w:val="19"/>
          <w:color w:val="auto"/>
        </w:rPr>
        <w:t xml:space="preserve"> or increased as a result of any increase in the amount of such Additional Term Loans of such Class pursuant to </w:t>
      </w:r>
      <w:r>
        <w:rPr>
          <w:rFonts w:ascii="Arial" w:cs="Arial" w:eastAsia="Arial" w:hAnsi="Arial"/>
          <w:sz w:val="19"/>
          <w:szCs w:val="19"/>
          <w:u w:val="single" w:color="auto"/>
          <w:color w:val="auto"/>
        </w:rPr>
        <w:t>Section 2.22(a)</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jc w:val="both"/>
        <w:ind w:left="100" w:right="59" w:firstLine="741"/>
        <w:spacing w:after="0" w:line="248" w:lineRule="auto"/>
        <w:tabs>
          <w:tab w:leader="none" w:pos="1520" w:val="left"/>
        </w:tabs>
        <w:numPr>
          <w:ilvl w:val="1"/>
          <w:numId w:val="139"/>
        </w:numPr>
        <w:rPr>
          <w:rFonts w:ascii="Arial" w:cs="Arial" w:eastAsia="Arial" w:hAnsi="Arial"/>
          <w:sz w:val="19"/>
          <w:szCs w:val="19"/>
          <w:color w:val="auto"/>
        </w:rPr>
      </w:pPr>
      <w:r>
        <w:rPr>
          <w:rFonts w:ascii="Arial" w:cs="Arial" w:eastAsia="Arial" w:hAnsi="Arial"/>
          <w:sz w:val="19"/>
          <w:szCs w:val="19"/>
          <w:color w:val="auto"/>
        </w:rPr>
        <w:t>(i) The Borrower hereby unconditionally promises to pay in Dollars or the relevant Alternate Currency (A) to the Administrative Agent for the account of each Initial Revolving Lender, the then-unpaid principal amount of the Initial Revolving Loans of such Lender on the Initial Revolving Credit Maturity Date,</w:t>
      </w:r>
    </w:p>
    <w:p>
      <w:pPr>
        <w:jc w:val="both"/>
        <w:ind w:left="100" w:right="59" w:hanging="7"/>
        <w:spacing w:after="0" w:line="260" w:lineRule="auto"/>
        <w:tabs>
          <w:tab w:leader="none" w:pos="44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the Administrative Agent for the account of each Additional Revolving Lender, the then-unpaid principal amount of each Additional Revolving Loan of such Additional Revolving Lender on the Maturity Date applicable thereto and (C) to the Swingline Lender, the then unpaid principal amount of each Swingline Loan on the Latest Revolving Credit Maturity Date.</w:t>
      </w:r>
    </w:p>
    <w:p>
      <w:pPr>
        <w:spacing w:after="0" w:line="175" w:lineRule="exact"/>
        <w:rPr>
          <w:rFonts w:ascii="Arial" w:cs="Arial" w:eastAsia="Arial" w:hAnsi="Arial"/>
          <w:sz w:val="18"/>
          <w:szCs w:val="18"/>
          <w:color w:val="auto"/>
        </w:rPr>
      </w:pPr>
    </w:p>
    <w:p>
      <w:pPr>
        <w:ind w:left="2000" w:hanging="408"/>
        <w:spacing w:after="0"/>
        <w:tabs>
          <w:tab w:leader="none" w:pos="2000" w:val="left"/>
        </w:tabs>
        <w:numPr>
          <w:ilvl w:val="3"/>
          <w:numId w:val="140"/>
        </w:numPr>
        <w:rPr>
          <w:rFonts w:ascii="Arial" w:cs="Arial" w:eastAsia="Arial" w:hAnsi="Arial"/>
          <w:sz w:val="17"/>
          <w:szCs w:val="17"/>
          <w:color w:val="auto"/>
        </w:rPr>
      </w:pPr>
      <w:r>
        <w:rPr>
          <w:rFonts w:ascii="Arial" w:cs="Arial" w:eastAsia="Arial" w:hAnsi="Arial"/>
          <w:sz w:val="17"/>
          <w:szCs w:val="17"/>
          <w:color w:val="auto"/>
        </w:rPr>
        <w:t>On the Maturity Date applicable to the Revolving Credit Commitments of any Class, the Borrower shall</w:t>
      </w:r>
    </w:p>
    <w:p>
      <w:pPr>
        <w:spacing w:after="0" w:line="23" w:lineRule="exact"/>
        <w:rPr>
          <w:rFonts w:ascii="Arial" w:cs="Arial" w:eastAsia="Arial" w:hAnsi="Arial"/>
          <w:sz w:val="17"/>
          <w:szCs w:val="17"/>
          <w:color w:val="auto"/>
        </w:rPr>
      </w:pPr>
    </w:p>
    <w:p>
      <w:pPr>
        <w:ind w:left="1180" w:hanging="337"/>
        <w:spacing w:after="0"/>
        <w:tabs>
          <w:tab w:leader="none" w:pos="118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cancel and return outstanding Letters of Credit (or alternatively, with respect to any outstanding Letter of Credit,</w:t>
      </w:r>
    </w:p>
    <w:p>
      <w:pPr>
        <w:spacing w:after="0" w:line="9" w:lineRule="exact"/>
        <w:rPr>
          <w:sz w:val="20"/>
          <w:szCs w:val="20"/>
          <w:color w:val="auto"/>
        </w:rPr>
      </w:pPr>
    </w:p>
    <w:p>
      <w:pPr>
        <w:jc w:val="both"/>
        <w:ind w:left="840" w:right="19"/>
        <w:spacing w:after="0" w:line="242" w:lineRule="auto"/>
        <w:rPr>
          <w:sz w:val="20"/>
          <w:szCs w:val="20"/>
          <w:color w:val="auto"/>
        </w:rPr>
      </w:pPr>
      <w:r>
        <w:rPr>
          <w:rFonts w:ascii="Arial" w:cs="Arial" w:eastAsia="Arial" w:hAnsi="Arial"/>
          <w:sz w:val="18"/>
          <w:szCs w:val="18"/>
          <w:color w:val="auto"/>
        </w:rPr>
        <w:t>provide Letter of Credit Support with respect thereto), in each case to the extent necessary so that, after giving effect thereto, the aggregate amount of the Revolving Credit Exposure attributable to the Revolving Credit Commitments of any other Class does not exceed the Revolving Credit Commitments of such other Class then in effect, (B) prepay Swingline Loans to the extent necessary so that, after giving effect thereto, the aggregate amount of the Revolving Credit Exposure attributable to the Revolving Credit Commitments of any other Class shall not exceed the Revolving Credit Commitments of such other Class then in effect and (C) make payment in full of all accrued and unpaid fees and all reimbursable expenses and other Obligations with respect to the Revolving Facility of the applicable Class then due, together with accrued and unpaid interest (if any) thereon.</w:t>
      </w:r>
    </w:p>
    <w:p>
      <w:pPr>
        <w:spacing w:after="0" w:line="177" w:lineRule="exact"/>
        <w:rPr>
          <w:sz w:val="20"/>
          <w:szCs w:val="20"/>
          <w:color w:val="auto"/>
        </w:rPr>
      </w:pPr>
    </w:p>
    <w:p>
      <w:pPr>
        <w:jc w:val="both"/>
        <w:ind w:left="100" w:right="59" w:firstLine="742"/>
        <w:spacing w:after="0" w:line="249" w:lineRule="auto"/>
        <w:tabs>
          <w:tab w:leader="none" w:pos="152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3" w:lineRule="exact"/>
        <w:rPr>
          <w:rFonts w:ascii="Arial" w:cs="Arial" w:eastAsia="Arial" w:hAnsi="Arial"/>
          <w:sz w:val="19"/>
          <w:szCs w:val="19"/>
          <w:color w:val="auto"/>
        </w:rPr>
      </w:pPr>
    </w:p>
    <w:p>
      <w:pPr>
        <w:jc w:val="both"/>
        <w:ind w:left="100" w:right="59" w:firstLine="741"/>
        <w:spacing w:after="0" w:line="249" w:lineRule="auto"/>
        <w:tabs>
          <w:tab w:leader="none" w:pos="152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The Administrative Agent shall maintain accounts in which it shall record (i) the amount of each Loan made hereunder, the Class, Type and currency thereof and the Interest Period (if any) applicable thereto, (ii) the amount of any principal or interest due and payable or to become due and payable from the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88</w:t>
      </w:r>
      <w:r>
        <w:rPr>
          <w:rFonts w:ascii="Arial" w:cs="Arial" w:eastAsia="Arial" w:hAnsi="Arial"/>
          <w:sz w:val="18"/>
          <w:szCs w:val="18"/>
          <w:u w:val="single" w:color="auto"/>
          <w:color w:val="0000FF"/>
          <w:strike w:val="1"/>
        </w:rPr>
        <w:t>88</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56" w:name="page157"/>
    <w:bookmarkEnd w:id="156"/>
    <w:p>
      <w:pPr>
        <w:ind w:left="100" w:right="60"/>
        <w:spacing w:after="0" w:line="261" w:lineRule="auto"/>
        <w:rPr>
          <w:sz w:val="20"/>
          <w:szCs w:val="20"/>
          <w:color w:val="auto"/>
        </w:rPr>
      </w:pPr>
      <w:r>
        <w:rPr>
          <w:rFonts w:ascii="Arial" w:cs="Arial" w:eastAsia="Arial" w:hAnsi="Arial"/>
          <w:sz w:val="19"/>
          <w:szCs w:val="19"/>
          <w:color w:val="auto"/>
        </w:rPr>
        <w:t>Borrower to each Lender hereunder and (iii) the amount of any sum received by the Administrative Agent hereunder for the account of the Lenders or the Issuing Banks and each Lender’s or Issuing Bank’s share thereof.</w:t>
      </w:r>
    </w:p>
    <w:p>
      <w:pPr>
        <w:spacing w:after="0" w:line="159" w:lineRule="exact"/>
        <w:rPr>
          <w:sz w:val="20"/>
          <w:szCs w:val="20"/>
          <w:color w:val="auto"/>
        </w:rPr>
      </w:pPr>
    </w:p>
    <w:p>
      <w:pPr>
        <w:jc w:val="both"/>
        <w:ind w:left="100" w:right="60" w:firstLine="742"/>
        <w:spacing w:after="0" w:line="277" w:lineRule="auto"/>
        <w:tabs>
          <w:tab w:leader="none" w:pos="152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The entries made in the accounts maintained pursuant to </w:t>
      </w:r>
      <w:r>
        <w:rPr>
          <w:rFonts w:ascii="Arial" w:cs="Arial" w:eastAsia="Arial" w:hAnsi="Arial"/>
          <w:sz w:val="17"/>
          <w:szCs w:val="17"/>
          <w:u w:val="single" w:color="auto"/>
          <w:color w:val="auto"/>
        </w:rPr>
        <w:t>paragraphs (c)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of this Section shall be prima facie evidence of the existence and amounts of the obligations recorded therein (absent manifest error);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failure of any Lender or the Administrative Agent to maintain such accounts or any manifest error therein shall not in any manner affect the obligation of the Borrower to repay the Loans in accordance with the terms of this Agreement, (ii) in the event of any inconsistency between the accounts maintained by the Administrative Agent pursuant to </w:t>
      </w:r>
      <w:r>
        <w:rPr>
          <w:rFonts w:ascii="Arial" w:cs="Arial" w:eastAsia="Arial" w:hAnsi="Arial"/>
          <w:sz w:val="17"/>
          <w:szCs w:val="17"/>
          <w:u w:val="single" w:color="auto"/>
          <w:color w:val="auto"/>
        </w:rPr>
        <w:t>paragraph (d)</w:t>
      </w:r>
      <w:r>
        <w:rPr>
          <w:rFonts w:ascii="Arial" w:cs="Arial" w:eastAsia="Arial" w:hAnsi="Arial"/>
          <w:sz w:val="17"/>
          <w:szCs w:val="17"/>
          <w:color w:val="auto"/>
        </w:rPr>
        <w:t xml:space="preserve"> of this Section and any Lender’s records, the accounts of the Administrative Agent shall govern and (iii) in the event of any inconsistency between the Register and any other accounts maintained by the Administrative Agent, the Register shall govern absent manifest error.</w:t>
      </w:r>
    </w:p>
    <w:p>
      <w:pPr>
        <w:spacing w:after="0" w:line="162" w:lineRule="exact"/>
        <w:rPr>
          <w:rFonts w:ascii="Arial" w:cs="Arial" w:eastAsia="Arial" w:hAnsi="Arial"/>
          <w:sz w:val="17"/>
          <w:szCs w:val="17"/>
          <w:color w:val="auto"/>
        </w:rPr>
      </w:pPr>
    </w:p>
    <w:p>
      <w:pPr>
        <w:jc w:val="both"/>
        <w:ind w:left="100" w:right="40" w:firstLine="741"/>
        <w:spacing w:after="0"/>
        <w:tabs>
          <w:tab w:leader="none" w:pos="152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 xml:space="preserve">Any Lender may request that any Loan made by it be evidenced by a Promissory Note. In such event, the Borrower shall prepare, execute and deliver a Promissory Note to such Lender payable to such Lender and its registered permitted assigns; it being understood and agreed that such Lender (and/or its applicable permitted assign) shall be required to return such Promissory Note to the Borrower in accordance with </w:t>
      </w:r>
      <w:r>
        <w:rPr>
          <w:rFonts w:ascii="Arial" w:cs="Arial" w:eastAsia="Arial" w:hAnsi="Arial"/>
          <w:sz w:val="19"/>
          <w:szCs w:val="19"/>
          <w:u w:val="single" w:color="auto"/>
          <w:color w:val="auto"/>
        </w:rPr>
        <w:t>Section 9.05(b)(iii)</w:t>
      </w:r>
      <w:r>
        <w:rPr>
          <w:rFonts w:ascii="Arial" w:cs="Arial" w:eastAsia="Arial" w:hAnsi="Arial"/>
          <w:sz w:val="19"/>
          <w:szCs w:val="19"/>
          <w:color w:val="auto"/>
        </w:rPr>
        <w:t xml:space="preserve"> and upon the occurrence of the Termination Date (or as promptly thereafter as practicable). If any Lender loses the original copy of its Promissory Note, it shall execute an affidavit of loss containing an indemnification provision that is reasonably satisfactory to the Borrower. The obligation of each Lender to execute and deliver an affidavit of loss containing an indemnification provision that is reasonably satisfactory to the Borrower shall survive the Termination Date.</w:t>
      </w:r>
    </w:p>
    <w:p>
      <w:pPr>
        <w:spacing w:after="0" w:line="196" w:lineRule="exact"/>
        <w:rPr>
          <w:sz w:val="20"/>
          <w:szCs w:val="20"/>
          <w:color w:val="auto"/>
        </w:rPr>
      </w:pPr>
    </w:p>
    <w:p>
      <w:pPr>
        <w:ind w:left="840"/>
        <w:spacing w:after="0"/>
        <w:tabs>
          <w:tab w:leader="none" w:pos="1960" w:val="left"/>
        </w:tabs>
        <w:rPr>
          <w:sz w:val="20"/>
          <w:szCs w:val="20"/>
          <w:color w:val="auto"/>
        </w:rPr>
      </w:pPr>
      <w:r>
        <w:rPr>
          <w:rFonts w:ascii="Arial" w:cs="Arial" w:eastAsia="Arial" w:hAnsi="Arial"/>
          <w:sz w:val="19"/>
          <w:szCs w:val="19"/>
          <w:color w:val="auto"/>
        </w:rPr>
        <w:t>Section 2.11.</w:t>
      </w:r>
      <w:r>
        <w:rPr>
          <w:sz w:val="20"/>
          <w:szCs w:val="20"/>
          <w:color w:val="auto"/>
        </w:rPr>
        <w:tab/>
      </w:r>
      <w:r>
        <w:rPr>
          <w:rFonts w:ascii="Arial" w:cs="Arial" w:eastAsia="Arial" w:hAnsi="Arial"/>
          <w:sz w:val="16"/>
          <w:szCs w:val="16"/>
          <w:u w:val="single" w:color="auto"/>
          <w:color w:val="auto"/>
        </w:rPr>
        <w:t>Prepayment of Loans</w:t>
      </w:r>
      <w:r>
        <w:rPr>
          <w:rFonts w:ascii="Arial" w:cs="Arial" w:eastAsia="Arial" w:hAnsi="Arial"/>
          <w:sz w:val="16"/>
          <w:szCs w:val="16"/>
          <w:color w:val="auto"/>
        </w:rPr>
        <w:t>.</w:t>
      </w:r>
    </w:p>
    <w:p>
      <w:pPr>
        <w:spacing w:after="0" w:line="214" w:lineRule="exact"/>
        <w:rPr>
          <w:sz w:val="20"/>
          <w:szCs w:val="20"/>
          <w:color w:val="auto"/>
        </w:rPr>
      </w:pPr>
    </w:p>
    <w:p>
      <w:pPr>
        <w:ind w:left="1600" w:hanging="758"/>
        <w:spacing w:after="0"/>
        <w:tabs>
          <w:tab w:leader="none" w:pos="1600"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Optional Prepayments</w:t>
      </w: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jc w:val="both"/>
        <w:ind w:left="840" w:right="40" w:firstLine="751"/>
        <w:spacing w:after="0" w:line="243" w:lineRule="auto"/>
        <w:tabs>
          <w:tab w:leader="none" w:pos="2255" w:val="left"/>
        </w:tabs>
        <w:numPr>
          <w:ilvl w:val="1"/>
          <w:numId w:val="143"/>
        </w:numPr>
        <w:rPr>
          <w:rFonts w:ascii="Arial" w:cs="Arial" w:eastAsia="Arial" w:hAnsi="Arial"/>
          <w:sz w:val="19"/>
          <w:szCs w:val="19"/>
          <w:color w:val="auto"/>
        </w:rPr>
      </w:pPr>
      <w:r>
        <w:rPr>
          <w:rFonts w:ascii="Arial" w:cs="Arial" w:eastAsia="Arial" w:hAnsi="Arial"/>
          <w:sz w:val="19"/>
          <w:szCs w:val="19"/>
          <w:color w:val="auto"/>
        </w:rPr>
        <w:t xml:space="preserve">Upon prior notice in accordance with </w:t>
      </w:r>
      <w:r>
        <w:rPr>
          <w:rFonts w:ascii="Arial" w:cs="Arial" w:eastAsia="Arial" w:hAnsi="Arial"/>
          <w:sz w:val="19"/>
          <w:szCs w:val="19"/>
          <w:u w:val="single" w:color="auto"/>
          <w:color w:val="auto"/>
        </w:rPr>
        <w:t>paragraph (a)(iii)</w:t>
      </w:r>
      <w:r>
        <w:rPr>
          <w:rFonts w:ascii="Arial" w:cs="Arial" w:eastAsia="Arial" w:hAnsi="Arial"/>
          <w:sz w:val="19"/>
          <w:szCs w:val="19"/>
          <w:color w:val="auto"/>
        </w:rPr>
        <w:t xml:space="preserve"> of this Section, the Borrower shall have the right at any time and from time to time to prepay any Borrowing of Term Loans of one or more Classes (such Class or Classes to be selected by the Borrower in its sole discretion) in whole or in part without premium or penalty (but subject if applicable, to </w:t>
      </w:r>
      <w:r>
        <w:rPr>
          <w:rFonts w:ascii="Arial" w:cs="Arial" w:eastAsia="Arial" w:hAnsi="Arial"/>
          <w:sz w:val="19"/>
          <w:szCs w:val="19"/>
          <w:u w:val="single" w:color="auto"/>
          <w:color w:val="auto"/>
        </w:rPr>
        <w:t>Section 2.16</w:t>
      </w:r>
      <w:r>
        <w:rPr>
          <w:rFonts w:ascii="Arial" w:cs="Arial" w:eastAsia="Arial" w:hAnsi="Arial"/>
          <w:sz w:val="19"/>
          <w:szCs w:val="19"/>
          <w:color w:val="auto"/>
        </w:rPr>
        <w:t>). Each such prepayment shall be paid to the Lenders in accordance with their respective Applicable Percentages of the relevant Class.</w:t>
      </w:r>
    </w:p>
    <w:p>
      <w:pPr>
        <w:spacing w:after="0" w:line="189" w:lineRule="exact"/>
        <w:rPr>
          <w:rFonts w:ascii="Arial" w:cs="Arial" w:eastAsia="Arial" w:hAnsi="Arial"/>
          <w:sz w:val="19"/>
          <w:szCs w:val="19"/>
          <w:color w:val="auto"/>
        </w:rPr>
      </w:pPr>
    </w:p>
    <w:p>
      <w:pPr>
        <w:jc w:val="both"/>
        <w:ind w:left="840" w:firstLine="751"/>
        <w:spacing w:after="0" w:line="258" w:lineRule="auto"/>
        <w:tabs>
          <w:tab w:leader="none" w:pos="2257" w:val="left"/>
        </w:tabs>
        <w:numPr>
          <w:ilvl w:val="1"/>
          <w:numId w:val="143"/>
        </w:numPr>
        <w:rPr>
          <w:rFonts w:ascii="Arial" w:cs="Arial" w:eastAsia="Arial" w:hAnsi="Arial"/>
          <w:sz w:val="18"/>
          <w:szCs w:val="18"/>
          <w:color w:val="auto"/>
        </w:rPr>
      </w:pPr>
      <w:r>
        <w:rPr>
          <w:rFonts w:ascii="Arial" w:cs="Arial" w:eastAsia="Arial" w:hAnsi="Arial"/>
          <w:sz w:val="18"/>
          <w:szCs w:val="18"/>
          <w:color w:val="auto"/>
        </w:rPr>
        <w:t xml:space="preserve">Upon prior notice in accordance with </w:t>
      </w:r>
      <w:r>
        <w:rPr>
          <w:rFonts w:ascii="Arial" w:cs="Arial" w:eastAsia="Arial" w:hAnsi="Arial"/>
          <w:sz w:val="18"/>
          <w:szCs w:val="18"/>
          <w:u w:val="single" w:color="auto"/>
          <w:color w:val="auto"/>
        </w:rPr>
        <w:t>paragraph (a)(iii)</w:t>
      </w:r>
      <w:r>
        <w:rPr>
          <w:rFonts w:ascii="Arial" w:cs="Arial" w:eastAsia="Arial" w:hAnsi="Arial"/>
          <w:sz w:val="18"/>
          <w:szCs w:val="18"/>
          <w:color w:val="auto"/>
        </w:rPr>
        <w:t xml:space="preserve"> of this Section, the Borrower shall have the right at any time and from time to time to prepay any Borrowing of Revolving Loans of any Class and/or any Borrowing of Swingline Loans, in whole or in part without premium or penalty (but subject to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after the establishment of any Class of Additional Revolving Loans, any such prepayment of any Borrowing of Revolving Loans of any Class shall be subject to the provisions set forth in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2.23</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9.02</w:t>
      </w:r>
      <w:r>
        <w:rPr>
          <w:rFonts w:ascii="Arial" w:cs="Arial" w:eastAsia="Arial" w:hAnsi="Arial"/>
          <w:sz w:val="18"/>
          <w:szCs w:val="18"/>
          <w:color w:val="auto"/>
        </w:rPr>
        <w:t>, as applicable and (B) no Borrowing of Revolving Loans may be prepaid unless all Swingline Loans then outstanding, if any, are prepaid concurrently therewith. Each such prepayment shall be paid to the Revolving Lenders in accordance with their respective Applicable Percentages of the relevant Class.</w:t>
      </w:r>
    </w:p>
    <w:p>
      <w:pPr>
        <w:spacing w:after="0" w:line="177" w:lineRule="exact"/>
        <w:rPr>
          <w:rFonts w:ascii="Arial" w:cs="Arial" w:eastAsia="Arial" w:hAnsi="Arial"/>
          <w:sz w:val="18"/>
          <w:szCs w:val="18"/>
          <w:color w:val="auto"/>
        </w:rPr>
      </w:pPr>
    </w:p>
    <w:p>
      <w:pPr>
        <w:jc w:val="both"/>
        <w:ind w:left="840" w:right="20" w:firstLine="751"/>
        <w:spacing w:after="0" w:line="256" w:lineRule="auto"/>
        <w:tabs>
          <w:tab w:leader="none" w:pos="2257" w:val="left"/>
        </w:tabs>
        <w:numPr>
          <w:ilvl w:val="1"/>
          <w:numId w:val="143"/>
        </w:numPr>
        <w:rPr>
          <w:rFonts w:ascii="Arial" w:cs="Arial" w:eastAsia="Arial" w:hAnsi="Arial"/>
          <w:sz w:val="18"/>
          <w:szCs w:val="18"/>
          <w:color w:val="auto"/>
        </w:rPr>
      </w:pPr>
      <w:r>
        <w:rPr>
          <w:rFonts w:ascii="Arial" w:cs="Arial" w:eastAsia="Arial" w:hAnsi="Arial"/>
          <w:sz w:val="18"/>
          <w:szCs w:val="18"/>
          <w:color w:val="auto"/>
        </w:rPr>
        <w:t xml:space="preserve">The Borrower shall notify the Administrative Agent (and the Swingline Lender, if applicable) pursuant to delivery to the Administrative Agent (and the Swingline Lender, if applicable) of a Notice of Loan Prepayment in writing of any prepayment under this </w:t>
      </w: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(i) in the case of any prepayment of a </w:t>
      </w:r>
      <w:r>
        <w:rPr>
          <w:rFonts w:ascii="Arial" w:cs="Arial" w:eastAsia="Arial" w:hAnsi="Arial"/>
          <w:sz w:val="18"/>
          <w:szCs w:val="18"/>
          <w:color w:val="FF0000"/>
          <w:strike w:val="1"/>
        </w:rPr>
        <w:t>LIBO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Borrowing, not later than 12:00 p.m. three Business Days before the date of prepayment, (ii) in the case of any prepayment of an ABR Borrowing, not later than 11:00 a.m., on the date of prepayment or (iii) in the case of any prepayment of any Swingline Loan, not later than 1:00 p.m. on the date of prepayment (or, in each case, such later time as to which the Administrative Agent may reasonably agree). Each such notice shall be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89</w:t>
      </w:r>
      <w:r>
        <w:rPr>
          <w:rFonts w:ascii="Arial" w:cs="Arial" w:eastAsia="Arial" w:hAnsi="Arial"/>
          <w:sz w:val="18"/>
          <w:szCs w:val="18"/>
          <w:u w:val="single" w:color="auto"/>
          <w:color w:val="0000FF"/>
          <w:strike w:val="1"/>
        </w:rPr>
        <w:t>89</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85" w:right="1439" w:bottom="1440" w:gutter="0" w:footer="0" w:header="0"/>
        </w:sectPr>
      </w:pPr>
    </w:p>
    <w:bookmarkStart w:id="157" w:name="page158"/>
    <w:bookmarkEnd w:id="157"/>
    <w:p>
      <w:pPr>
        <w:jc w:val="both"/>
        <w:ind w:left="840" w:right="59"/>
        <w:spacing w:after="0" w:line="257" w:lineRule="auto"/>
        <w:rPr>
          <w:sz w:val="20"/>
          <w:szCs w:val="20"/>
          <w:color w:val="auto"/>
        </w:rPr>
      </w:pPr>
      <w:r>
        <w:rPr>
          <w:rFonts w:ascii="Arial" w:cs="Arial" w:eastAsia="Arial" w:hAnsi="Arial"/>
          <w:sz w:val="17"/>
          <w:szCs w:val="17"/>
          <w:color w:val="auto"/>
        </w:rPr>
        <w:t xml:space="preserve">irrevocable (except as set forth in the proviso to this sentence) and shall specify the prepayment date and the principal amount of each Borrowing or portion or each relevant Class to be prepaid;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notice of prepayment delivered by the Borrower may be conditioned upon the effectiveness of other transactions or other events, in which case such notice may be revoked by the Borrower (by notice to the Administrative Agent on or prior to the specified effective date) if such condition is not satisfied. Promptly following receipt of any such notice relating to any Borrowing, the Administrative Agent shall advise the applicable Lenders of the contents thereof. Each partial prepayment of any Borrowing shall be in an amount at least equal to the amount that would be permitted in the case of a Borrowing of the same Type and Class as provided in </w:t>
      </w:r>
      <w:r>
        <w:rPr>
          <w:rFonts w:ascii="Arial" w:cs="Arial" w:eastAsia="Arial" w:hAnsi="Arial"/>
          <w:sz w:val="17"/>
          <w:szCs w:val="17"/>
          <w:u w:val="single" w:color="auto"/>
          <w:color w:val="auto"/>
        </w:rPr>
        <w:t>Section 2.02(c)</w:t>
      </w:r>
      <w:r>
        <w:rPr>
          <w:rFonts w:ascii="Arial" w:cs="Arial" w:eastAsia="Arial" w:hAnsi="Arial"/>
          <w:sz w:val="17"/>
          <w:szCs w:val="17"/>
          <w:color w:val="auto"/>
        </w:rPr>
        <w:t xml:space="preserve">, or such lesser amount that is then outstanding with respect to such Borrowing being repaid (and in increments of $100,000 in excess thereof or such lesser incremental amount that is then outstanding with respect to such Borrowing being repaid). Each prepayment of Term Loans shall be applied to the Class or Classes of Term Loans specified in the applicable prepayment notice, and each prepayment of Term Loans of such Class or Classes made pursuant to this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shall be applied against the remaining scheduled installments of principal due in respect of the Term Loans of such Class or Classes in the manner specified by the Borrower or, in the absence of any such specification on or prior to the date of the relevant optional prepayment, in direct order of maturity.</w:t>
      </w:r>
    </w:p>
    <w:p>
      <w:pPr>
        <w:spacing w:after="0" w:line="188" w:lineRule="exact"/>
        <w:rPr>
          <w:sz w:val="20"/>
          <w:szCs w:val="20"/>
          <w:color w:val="auto"/>
        </w:rPr>
      </w:pPr>
    </w:p>
    <w:p>
      <w:pPr>
        <w:ind w:left="1600" w:hanging="758"/>
        <w:spacing w:after="0"/>
        <w:tabs>
          <w:tab w:leader="none" w:pos="160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Mandatory Prepayments.</w:t>
      </w:r>
    </w:p>
    <w:p>
      <w:pPr>
        <w:spacing w:after="0" w:line="213" w:lineRule="exact"/>
        <w:rPr>
          <w:rFonts w:ascii="Arial" w:cs="Arial" w:eastAsia="Arial" w:hAnsi="Arial"/>
          <w:sz w:val="19"/>
          <w:szCs w:val="19"/>
          <w:color w:val="auto"/>
        </w:rPr>
      </w:pPr>
    </w:p>
    <w:p>
      <w:pPr>
        <w:ind w:left="2340" w:hanging="748"/>
        <w:spacing w:after="0"/>
        <w:tabs>
          <w:tab w:leader="none" w:pos="2340" w:val="left"/>
        </w:tabs>
        <w:numPr>
          <w:ilvl w:val="1"/>
          <w:numId w:val="144"/>
        </w:numPr>
        <w:rPr>
          <w:rFonts w:ascii="Arial" w:cs="Arial" w:eastAsia="Arial" w:hAnsi="Arial"/>
          <w:sz w:val="19"/>
          <w:szCs w:val="19"/>
          <w:color w:val="auto"/>
        </w:rPr>
      </w:pPr>
      <w:r>
        <w:rPr>
          <w:rFonts w:ascii="Arial" w:cs="Arial" w:eastAsia="Arial" w:hAnsi="Arial"/>
          <w:sz w:val="19"/>
          <w:szCs w:val="19"/>
          <w:color w:val="auto"/>
        </w:rPr>
        <w:t>[Reserved].</w:t>
      </w:r>
    </w:p>
    <w:p>
      <w:pPr>
        <w:spacing w:after="0" w:line="213" w:lineRule="exact"/>
        <w:rPr>
          <w:rFonts w:ascii="Arial" w:cs="Arial" w:eastAsia="Arial" w:hAnsi="Arial"/>
          <w:sz w:val="19"/>
          <w:szCs w:val="19"/>
          <w:color w:val="auto"/>
        </w:rPr>
      </w:pPr>
    </w:p>
    <w:p>
      <w:pPr>
        <w:jc w:val="both"/>
        <w:ind w:left="840" w:right="39" w:firstLine="751"/>
        <w:spacing w:after="0" w:line="273" w:lineRule="auto"/>
        <w:tabs>
          <w:tab w:leader="none" w:pos="2255" w:val="left"/>
        </w:tabs>
        <w:numPr>
          <w:ilvl w:val="1"/>
          <w:numId w:val="144"/>
        </w:numPr>
        <w:rPr>
          <w:rFonts w:ascii="Arial" w:cs="Arial" w:eastAsia="Arial" w:hAnsi="Arial"/>
          <w:sz w:val="17"/>
          <w:szCs w:val="17"/>
          <w:color w:val="auto"/>
        </w:rPr>
      </w:pPr>
      <w:r>
        <w:rPr>
          <w:rFonts w:ascii="Arial" w:cs="Arial" w:eastAsia="Arial" w:hAnsi="Arial"/>
          <w:sz w:val="17"/>
          <w:szCs w:val="17"/>
          <w:color w:val="auto"/>
        </w:rPr>
        <w:t>No later than the fifth Business Day following the receipt of Net Proceeds in respect of any Prepayment Asset Sale or Net Insurance/Condemnation Proceeds, in each case, in excess of the greater of $10,000,000 and 10% of Consolidated Adjusted EBITDA as of the last day of the most recently ended Test Period (the “De Minimis Proceeds Threshold”) in any Fiscal Year, the Borrower shall apply (or cause to be applied) 100% of such Net Proceeds of such Prepayment Asset Sale or Net Insurance/Condemnation Proceeds received with respect thereto in excess of the De Minimis Proceeds Threshold (collectively, the “</w:t>
      </w:r>
      <w:r>
        <w:rPr>
          <w:rFonts w:ascii="Arial" w:cs="Arial" w:eastAsia="Arial" w:hAnsi="Arial"/>
          <w:sz w:val="17"/>
          <w:szCs w:val="17"/>
          <w:u w:val="single" w:color="auto"/>
          <w:color w:val="auto"/>
        </w:rPr>
        <w:t>Subject Proceeds</w:t>
      </w:r>
      <w:r>
        <w:rPr>
          <w:rFonts w:ascii="Arial" w:cs="Arial" w:eastAsia="Arial" w:hAnsi="Arial"/>
          <w:sz w:val="17"/>
          <w:szCs w:val="17"/>
          <w:color w:val="auto"/>
        </w:rPr>
        <w:t>”) to prepay the outstanding principal amount of, and accrued interest on, the Initial Term Loans and Additional Term Loans then subject to ratable prepayment requirements (the “</w:t>
      </w:r>
      <w:r>
        <w:rPr>
          <w:rFonts w:ascii="Arial" w:cs="Arial" w:eastAsia="Arial" w:hAnsi="Arial"/>
          <w:sz w:val="17"/>
          <w:szCs w:val="17"/>
          <w:u w:val="single" w:color="auto"/>
          <w:color w:val="auto"/>
        </w:rPr>
        <w:t>Subject Loans</w:t>
      </w:r>
      <w:r>
        <w:rPr>
          <w:rFonts w:ascii="Arial" w:cs="Arial" w:eastAsia="Arial" w:hAnsi="Arial"/>
          <w:sz w:val="17"/>
          <w:szCs w:val="17"/>
          <w:color w:val="auto"/>
        </w:rPr>
        <w:t xml:space="preserve">”) in accordance with </w:t>
      </w:r>
      <w:r>
        <w:rPr>
          <w:rFonts w:ascii="Arial" w:cs="Arial" w:eastAsia="Arial" w:hAnsi="Arial"/>
          <w:sz w:val="17"/>
          <w:szCs w:val="17"/>
          <w:u w:val="single" w:color="auto"/>
          <w:color w:val="auto"/>
        </w:rPr>
        <w:t>clause (vi)</w:t>
      </w:r>
      <w:r>
        <w:rPr>
          <w:rFonts w:ascii="Arial" w:cs="Arial" w:eastAsia="Arial" w:hAnsi="Arial"/>
          <w:sz w:val="17"/>
          <w:szCs w:val="17"/>
          <w:color w:val="auto"/>
        </w:rPr>
        <w:t xml:space="preserve"> below; </w:t>
      </w:r>
      <w:r>
        <w:rPr>
          <w:rFonts w:ascii="Arial" w:cs="Arial" w:eastAsia="Arial" w:hAnsi="Arial"/>
          <w:sz w:val="17"/>
          <w:szCs w:val="17"/>
          <w:u w:val="single" w:color="auto"/>
          <w:color w:val="auto"/>
        </w:rPr>
        <w:t>provided</w:t>
      </w:r>
      <w:r>
        <w:rPr>
          <w:rFonts w:ascii="Arial" w:cs="Arial" w:eastAsia="Arial" w:hAnsi="Arial"/>
          <w:sz w:val="17"/>
          <w:szCs w:val="17"/>
          <w:color w:val="auto"/>
        </w:rPr>
        <w:t>, that:</w:t>
      </w:r>
    </w:p>
    <w:p>
      <w:pPr>
        <w:spacing w:after="0" w:line="165" w:lineRule="exact"/>
        <w:rPr>
          <w:rFonts w:ascii="Arial" w:cs="Arial" w:eastAsia="Arial" w:hAnsi="Arial"/>
          <w:sz w:val="17"/>
          <w:szCs w:val="17"/>
          <w:color w:val="auto"/>
        </w:rPr>
      </w:pPr>
    </w:p>
    <w:p>
      <w:pPr>
        <w:ind w:left="1600" w:right="59" w:firstLine="741"/>
        <w:spacing w:after="0" w:line="304" w:lineRule="auto"/>
        <w:tabs>
          <w:tab w:leader="none" w:pos="3008" w:val="left"/>
        </w:tabs>
        <w:numPr>
          <w:ilvl w:val="2"/>
          <w:numId w:val="144"/>
        </w:numPr>
        <w:rPr>
          <w:rFonts w:ascii="Arial" w:cs="Arial" w:eastAsia="Arial" w:hAnsi="Arial"/>
          <w:sz w:val="18"/>
          <w:szCs w:val="18"/>
          <w:color w:val="auto"/>
        </w:rPr>
      </w:pPr>
      <w:r>
        <w:rPr>
          <w:rFonts w:ascii="Arial" w:cs="Arial" w:eastAsia="Arial" w:hAnsi="Arial"/>
          <w:sz w:val="18"/>
          <w:szCs w:val="18"/>
          <w:color w:val="auto"/>
        </w:rPr>
        <w:t xml:space="preserve">it is understood that only the amount in excess of the De Minimis Proceeds Threshold shall be required to be applied to make a prepayment in accordance with this </w:t>
      </w:r>
      <w:r>
        <w:rPr>
          <w:rFonts w:ascii="Arial" w:cs="Arial" w:eastAsia="Arial" w:hAnsi="Arial"/>
          <w:sz w:val="18"/>
          <w:szCs w:val="18"/>
          <w:u w:val="single" w:color="auto"/>
          <w:color w:val="auto"/>
        </w:rPr>
        <w:t>Section 2.11(b)(ii)</w:t>
      </w:r>
      <w:r>
        <w:rPr>
          <w:rFonts w:ascii="Arial" w:cs="Arial" w:eastAsia="Arial" w:hAnsi="Arial"/>
          <w:sz w:val="18"/>
          <w:szCs w:val="18"/>
          <w:color w:val="auto"/>
        </w:rPr>
        <w:t>;</w:t>
      </w:r>
    </w:p>
    <w:p>
      <w:pPr>
        <w:spacing w:after="0" w:line="137" w:lineRule="exact"/>
        <w:rPr>
          <w:rFonts w:ascii="Arial" w:cs="Arial" w:eastAsia="Arial" w:hAnsi="Arial"/>
          <w:sz w:val="18"/>
          <w:szCs w:val="18"/>
          <w:color w:val="auto"/>
        </w:rPr>
      </w:pPr>
    </w:p>
    <w:p>
      <w:pPr>
        <w:jc w:val="both"/>
        <w:ind w:left="1600" w:right="19" w:firstLine="741"/>
        <w:spacing w:after="0" w:line="254" w:lineRule="auto"/>
        <w:tabs>
          <w:tab w:leader="none" w:pos="3011" w:val="left"/>
        </w:tabs>
        <w:numPr>
          <w:ilvl w:val="2"/>
          <w:numId w:val="144"/>
        </w:numPr>
        <w:rPr>
          <w:rFonts w:ascii="Arial" w:cs="Arial" w:eastAsia="Arial" w:hAnsi="Arial"/>
          <w:sz w:val="18"/>
          <w:szCs w:val="18"/>
          <w:color w:val="auto"/>
        </w:rPr>
      </w:pPr>
      <w:r>
        <w:rPr>
          <w:rFonts w:ascii="Arial" w:cs="Arial" w:eastAsia="Arial" w:hAnsi="Arial"/>
          <w:sz w:val="18"/>
          <w:szCs w:val="18"/>
          <w:color w:val="auto"/>
        </w:rPr>
        <w:t xml:space="preserve">if prior to the date on which any such prepayment is required to be made, the Borrower notifies the Administrative Agent of its intention to reinvest the applicable Subject Proceeds in the business of the Borrower and/or any Restricted Subsidiary (other than an investment in Cash or Cash Equivalents), then the Borrower shall not be required to make a mandatory prepayment under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in respect of the applicable Subject Proceeds to the extent (1) the applicable Subject Proceeds are so reinvested within 18 months following receipt thereof, or (2) the Borrower or any Restricted Subsidiary has committed to so reinvest the applicable Subject Proceeds during such 18 month period and the applicable Subject Proceeds are so reinvested within six months after the expiration of such 18 month period or (3) the Borrower or any Restricted Subsidiary has committed to so reinvest the applicable Subject Proceeds during such 18 month period and such commitment is terminated and a new commitment is made within the six months after the expiration of such 18 month period and the application Proceeds are so reinvested within three months after the expiration of such 24 month period; it being understood that if the applicable Subject Proceeds have not been so reinvested prior to the expiration of the applicable period, the Borrower shall promptly prepay the Subject Loans with the amount of applicable Subject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90</w:t>
      </w:r>
      <w:r>
        <w:rPr>
          <w:rFonts w:ascii="Arial" w:cs="Arial" w:eastAsia="Arial" w:hAnsi="Arial"/>
          <w:sz w:val="18"/>
          <w:szCs w:val="18"/>
          <w:u w:val="single" w:color="auto"/>
          <w:color w:val="0000FF"/>
          <w:strike w:val="1"/>
        </w:rPr>
        <w:t>90</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58" w:name="page159"/>
    <w:bookmarkEnd w:id="158"/>
    <w:p>
      <w:pPr>
        <w:ind w:left="1600"/>
        <w:spacing w:after="0"/>
        <w:rPr>
          <w:sz w:val="20"/>
          <w:szCs w:val="20"/>
          <w:color w:val="auto"/>
        </w:rPr>
      </w:pPr>
      <w:r>
        <w:rPr>
          <w:rFonts w:ascii="Arial" w:cs="Arial" w:eastAsia="Arial" w:hAnsi="Arial"/>
          <w:sz w:val="18"/>
          <w:szCs w:val="18"/>
          <w:color w:val="auto"/>
        </w:rPr>
        <w:t>Proceeds not so reinvested as set forth above (without regard to the immediately preceding proviso); and</w:t>
      </w:r>
    </w:p>
    <w:p>
      <w:pPr>
        <w:spacing w:after="0" w:line="225" w:lineRule="exact"/>
        <w:rPr>
          <w:sz w:val="20"/>
          <w:szCs w:val="20"/>
          <w:color w:val="auto"/>
        </w:rPr>
      </w:pPr>
    </w:p>
    <w:p>
      <w:pPr>
        <w:jc w:val="both"/>
        <w:ind w:left="1600" w:right="39" w:firstLine="741"/>
        <w:spacing w:after="0" w:line="253" w:lineRule="auto"/>
        <w:tabs>
          <w:tab w:leader="none" w:pos="3008"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if, at the time that any such prepayment would be required hereunder, the Borrower or any of its Restricted Subsidiaries is required to repay or repurchase any other First Lien Debt pursuant to the terms of the documentation governing such Indebtedness (such Indebtedness required to be so prepaid or offered to be so repurchased, “</w:t>
      </w:r>
      <w:r>
        <w:rPr>
          <w:rFonts w:ascii="Arial" w:cs="Arial" w:eastAsia="Arial" w:hAnsi="Arial"/>
          <w:sz w:val="18"/>
          <w:szCs w:val="18"/>
          <w:u w:val="single" w:color="auto"/>
          <w:color w:val="auto"/>
        </w:rPr>
        <w:t>Other Applicable Indebtedness</w:t>
      </w:r>
      <w:r>
        <w:rPr>
          <w:rFonts w:ascii="Arial" w:cs="Arial" w:eastAsia="Arial" w:hAnsi="Arial"/>
          <w:sz w:val="18"/>
          <w:szCs w:val="18"/>
          <w:color w:val="auto"/>
        </w:rPr>
        <w:t>”) (or offer to repurchase such Other Applicable Indebtedness), then the relevant Person may apply the Subject Proceeds on a pro rata basis to the prepayment of the Subject Loans and to the repurchase or repayment of the Other Applicable Indebtedness (determined on the basis of the aggregate outstanding principal amount of the Subject Loans and the Other Applicable Indebtedness (or accreted amount if such Other Applicable Indebtedness is issued with original issue discount) at such time); it being understood that</w:t>
      </w:r>
    </w:p>
    <w:p>
      <w:pPr>
        <w:spacing w:after="0" w:line="4" w:lineRule="exact"/>
        <w:rPr>
          <w:rFonts w:ascii="Arial" w:cs="Arial" w:eastAsia="Arial" w:hAnsi="Arial"/>
          <w:sz w:val="18"/>
          <w:szCs w:val="18"/>
          <w:color w:val="auto"/>
        </w:rPr>
      </w:pPr>
    </w:p>
    <w:p>
      <w:pPr>
        <w:jc w:val="both"/>
        <w:ind w:left="1600" w:right="59" w:hanging="7"/>
        <w:spacing w:after="0" w:line="256" w:lineRule="auto"/>
        <w:tabs>
          <w:tab w:leader="none" w:pos="1894"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the portion of the Subject Proceeds allocated to the Other Applicable Indebtedness shall not exceed the amount of the Subject Proceeds that is required to be allocated to the Other Applicable Indebtedness pursuant to the terms thereof, (and the remaining amount, if any, of the Subject Proceeds shall be allocated to the Subject Loans in accordance with the terms hereof), and the amount of the prepayment of the Subject Loans that would have otherwise been required pursuant to this </w:t>
      </w:r>
      <w:r>
        <w:rPr>
          <w:rFonts w:ascii="Arial" w:cs="Arial" w:eastAsia="Arial" w:hAnsi="Arial"/>
          <w:sz w:val="17"/>
          <w:szCs w:val="17"/>
          <w:u w:val="single" w:color="auto"/>
          <w:color w:val="auto"/>
        </w:rPr>
        <w:t>Section 2.11(b)(ii)</w:t>
      </w:r>
      <w:r>
        <w:rPr>
          <w:rFonts w:ascii="Arial" w:cs="Arial" w:eastAsia="Arial" w:hAnsi="Arial"/>
          <w:sz w:val="17"/>
          <w:szCs w:val="17"/>
          <w:color w:val="auto"/>
        </w:rPr>
        <w:t xml:space="preserve"> shall be reduced accordingly and (2) to the extent the holders of the Other Applicable Indebtedness decline to have such Indebtedness prepaid or repurchased, the declined amount shall promptly (and in any event within 10 Business Days after the date of such rejection) be applied to prepay the Subject Loans in accordance with the terms hereof and any other relevant Other Applicable Indebtedness with a corresponding requirement on a pro rata basis (determined in a manner consistent with that set forth in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it being understood and agreed that if any Term Lender or holder of such Other Applicable Indebtedness declines any prepayment contemplated by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above, the Borrower shall not be required to subsequently offer the amount of the relevant declined prepayment to any Term Lender or any holder of Other Applicable Indebtedness.</w:t>
      </w:r>
    </w:p>
    <w:p>
      <w:pPr>
        <w:spacing w:after="0" w:line="168" w:lineRule="exact"/>
        <w:rPr>
          <w:sz w:val="20"/>
          <w:szCs w:val="20"/>
          <w:color w:val="auto"/>
        </w:rPr>
      </w:pPr>
    </w:p>
    <w:p>
      <w:pPr>
        <w:jc w:val="both"/>
        <w:ind w:left="840" w:right="59" w:firstLine="751"/>
        <w:spacing w:after="0" w:line="256" w:lineRule="auto"/>
        <w:tabs>
          <w:tab w:leader="none" w:pos="2254" w:val="left"/>
        </w:tabs>
        <w:numPr>
          <w:ilvl w:val="1"/>
          <w:numId w:val="147"/>
        </w:numPr>
        <w:rPr>
          <w:rFonts w:ascii="Arial" w:cs="Arial" w:eastAsia="Arial" w:hAnsi="Arial"/>
          <w:sz w:val="18"/>
          <w:szCs w:val="18"/>
          <w:color w:val="auto"/>
        </w:rPr>
      </w:pPr>
      <w:r>
        <w:rPr>
          <w:rFonts w:ascii="Arial" w:cs="Arial" w:eastAsia="Arial" w:hAnsi="Arial"/>
          <w:sz w:val="18"/>
          <w:szCs w:val="18"/>
          <w:color w:val="auto"/>
        </w:rPr>
        <w:t xml:space="preserve">In the event that the Borrower or any of its Restricted Subsidiaries receives Net Proceeds from the issuance or incurrence of Indebtedness by the Borrower or any of its Restricted Subsidiaries (other than Indebtedness that is permitted to be incurred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except to the extent the relevant Indebtedness constitutes (A) Refinancing Indebtedness (including Replacement Debt) incurred to refinance all or a portion of any Class of Term Loans pursuant to </w:t>
      </w:r>
      <w:r>
        <w:rPr>
          <w:rFonts w:ascii="Arial" w:cs="Arial" w:eastAsia="Arial" w:hAnsi="Arial"/>
          <w:sz w:val="18"/>
          <w:szCs w:val="18"/>
          <w:u w:val="single" w:color="auto"/>
          <w:color w:val="auto"/>
        </w:rPr>
        <w:t>Section 6.01(p)</w:t>
      </w:r>
      <w:r>
        <w:rPr>
          <w:rFonts w:ascii="Arial" w:cs="Arial" w:eastAsia="Arial" w:hAnsi="Arial"/>
          <w:sz w:val="18"/>
          <w:szCs w:val="18"/>
          <w:color w:val="auto"/>
        </w:rPr>
        <w:t xml:space="preserve">, (B) Incremental Loans incurred in reliance on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definition of “Incremental Cap” to refinance all or a portion of any Class of Term Loans pursuant to </w:t>
      </w:r>
      <w:r>
        <w:rPr>
          <w:rFonts w:ascii="Arial" w:cs="Arial" w:eastAsia="Arial" w:hAnsi="Arial"/>
          <w:sz w:val="18"/>
          <w:szCs w:val="18"/>
          <w:u w:val="single" w:color="auto"/>
          <w:color w:val="auto"/>
        </w:rPr>
        <w:t>Section 2.22</w:t>
      </w:r>
      <w:r>
        <w:rPr>
          <w:rFonts w:ascii="Arial" w:cs="Arial" w:eastAsia="Arial" w:hAnsi="Arial"/>
          <w:sz w:val="18"/>
          <w:szCs w:val="18"/>
          <w:color w:val="auto"/>
        </w:rPr>
        <w:t>,</w:t>
      </w:r>
    </w:p>
    <w:p>
      <w:pPr>
        <w:ind w:left="840" w:right="59" w:firstLine="3"/>
        <w:spacing w:after="0" w:line="255" w:lineRule="auto"/>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Replacement Term Loans incurred to refinance all or any portion of any Class of Term Loans in accordance with the requirements of </w:t>
      </w:r>
      <w:r>
        <w:rPr>
          <w:rFonts w:ascii="Arial" w:cs="Arial" w:eastAsia="Arial" w:hAnsi="Arial"/>
          <w:sz w:val="18"/>
          <w:szCs w:val="18"/>
          <w:u w:val="single" w:color="auto"/>
          <w:color w:val="auto"/>
        </w:rPr>
        <w:t>Section 9.02(c)</w:t>
      </w:r>
      <w:r>
        <w:rPr>
          <w:rFonts w:ascii="Arial" w:cs="Arial" w:eastAsia="Arial" w:hAnsi="Arial"/>
          <w:sz w:val="18"/>
          <w:szCs w:val="18"/>
          <w:color w:val="auto"/>
        </w:rPr>
        <w:t xml:space="preserve"> and/or (D) Incremental Equivalent Debt incurred in reliance on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definition of “Incremental Cap”, to refinance all or a portion of the Loans in accordance with the requirements of the definition thereof, in each case to the extent required by the terms thereof to prepay or offer to prepay such Indebtedness), the Borrower shall, promptly upon (and in any event not later than two Business Days thereafter) the receipt of such Net Proceeds by the Borrower or its applicable Restricted Subsidiary, apply (or cause to be applied) an amount equal to 100% of such Net Proceeds to prepay the outstanding principal amount of the relevant Class or Classes of Term Loans in accordance with </w:t>
      </w:r>
      <w:r>
        <w:rPr>
          <w:rFonts w:ascii="Arial" w:cs="Arial" w:eastAsia="Arial" w:hAnsi="Arial"/>
          <w:sz w:val="18"/>
          <w:szCs w:val="18"/>
          <w:u w:val="single" w:color="auto"/>
          <w:color w:val="auto"/>
        </w:rPr>
        <w:t>clause (vi)</w:t>
      </w:r>
      <w:r>
        <w:rPr>
          <w:rFonts w:ascii="Arial" w:cs="Arial" w:eastAsia="Arial" w:hAnsi="Arial"/>
          <w:sz w:val="18"/>
          <w:szCs w:val="18"/>
          <w:color w:val="auto"/>
        </w:rPr>
        <w:t xml:space="preserve"> below.</w:t>
      </w:r>
    </w:p>
    <w:p>
      <w:pPr>
        <w:spacing w:after="0" w:line="182" w:lineRule="exact"/>
        <w:rPr>
          <w:rFonts w:ascii="Arial" w:cs="Arial" w:eastAsia="Arial" w:hAnsi="Arial"/>
          <w:sz w:val="18"/>
          <w:szCs w:val="18"/>
          <w:color w:val="auto"/>
        </w:rPr>
      </w:pPr>
    </w:p>
    <w:p>
      <w:pPr>
        <w:ind w:left="2340" w:hanging="748"/>
        <w:spacing w:after="0"/>
        <w:tabs>
          <w:tab w:leader="none" w:pos="2340" w:val="left"/>
        </w:tabs>
        <w:numPr>
          <w:ilvl w:val="1"/>
          <w:numId w:val="148"/>
        </w:numPr>
        <w:rPr>
          <w:rFonts w:ascii="Arial" w:cs="Arial" w:eastAsia="Arial" w:hAnsi="Arial"/>
          <w:sz w:val="19"/>
          <w:szCs w:val="19"/>
          <w:color w:val="auto"/>
        </w:rPr>
      </w:pPr>
      <w:r>
        <w:rPr>
          <w:rFonts w:ascii="Arial" w:cs="Arial" w:eastAsia="Arial" w:hAnsi="Arial"/>
          <w:sz w:val="19"/>
          <w:szCs w:val="19"/>
          <w:color w:val="auto"/>
        </w:rPr>
        <w:t xml:space="preserve">Notwithstanding anything in this </w:t>
      </w:r>
      <w:r>
        <w:rPr>
          <w:rFonts w:ascii="Arial" w:cs="Arial" w:eastAsia="Arial" w:hAnsi="Arial"/>
          <w:sz w:val="19"/>
          <w:szCs w:val="19"/>
          <w:u w:val="single" w:color="auto"/>
          <w:color w:val="auto"/>
        </w:rPr>
        <w:t>Section 2.11(b)</w:t>
      </w:r>
      <w:r>
        <w:rPr>
          <w:rFonts w:ascii="Arial" w:cs="Arial" w:eastAsia="Arial" w:hAnsi="Arial"/>
          <w:sz w:val="19"/>
          <w:szCs w:val="19"/>
          <w:color w:val="auto"/>
        </w:rPr>
        <w:t xml:space="preserve"> to the contrary:</w:t>
      </w:r>
    </w:p>
    <w:p>
      <w:pPr>
        <w:spacing w:after="0" w:line="213" w:lineRule="exact"/>
        <w:rPr>
          <w:rFonts w:ascii="Arial" w:cs="Arial" w:eastAsia="Arial" w:hAnsi="Arial"/>
          <w:sz w:val="19"/>
          <w:szCs w:val="19"/>
          <w:color w:val="auto"/>
        </w:rPr>
      </w:pPr>
    </w:p>
    <w:p>
      <w:pPr>
        <w:jc w:val="both"/>
        <w:ind w:left="1600" w:right="59" w:firstLine="741"/>
        <w:spacing w:after="0" w:line="283" w:lineRule="auto"/>
        <w:tabs>
          <w:tab w:leader="none" w:pos="3008" w:val="left"/>
        </w:tabs>
        <w:numPr>
          <w:ilvl w:val="2"/>
          <w:numId w:val="148"/>
        </w:numPr>
        <w:rPr>
          <w:rFonts w:ascii="Arial" w:cs="Arial" w:eastAsia="Arial" w:hAnsi="Arial"/>
          <w:sz w:val="17"/>
          <w:szCs w:val="17"/>
          <w:color w:val="auto"/>
        </w:rPr>
      </w:pPr>
      <w:r>
        <w:rPr>
          <w:rFonts w:ascii="Arial" w:cs="Arial" w:eastAsia="Arial" w:hAnsi="Arial"/>
          <w:sz w:val="17"/>
          <w:szCs w:val="17"/>
          <w:color w:val="auto"/>
        </w:rPr>
        <w:t xml:space="preserve">the Borrower shall not be required to prepay (or cause to be prepaid) any amount that would otherwise be required to be paid pursuant to </w:t>
      </w:r>
      <w:r>
        <w:rPr>
          <w:rFonts w:ascii="Arial" w:cs="Arial" w:eastAsia="Arial" w:hAnsi="Arial"/>
          <w:sz w:val="17"/>
          <w:szCs w:val="17"/>
          <w:u w:val="single" w:color="auto"/>
          <w:color w:val="auto"/>
        </w:rPr>
        <w:t>Section 2.11(b)(ii)</w:t>
      </w:r>
      <w:r>
        <w:rPr>
          <w:rFonts w:ascii="Arial" w:cs="Arial" w:eastAsia="Arial" w:hAnsi="Arial"/>
          <w:sz w:val="17"/>
          <w:szCs w:val="17"/>
          <w:color w:val="auto"/>
        </w:rPr>
        <w:t xml:space="preserve"> above to the extent that the relevant Prepayment Asset Sale is consummated by any Foreign Subsidiary or any Domestic Subsidiary of any Foreign Subsidiary (any such Person, a “</w:t>
      </w:r>
      <w:r>
        <w:rPr>
          <w:rFonts w:ascii="Arial" w:cs="Arial" w:eastAsia="Arial" w:hAnsi="Arial"/>
          <w:sz w:val="17"/>
          <w:szCs w:val="17"/>
          <w:u w:val="single" w:color="auto"/>
          <w:color w:val="auto"/>
        </w:rPr>
        <w:t>Specified Subsidiary</w:t>
      </w:r>
      <w:r>
        <w:rPr>
          <w:rFonts w:ascii="Arial" w:cs="Arial" w:eastAsia="Arial" w:hAnsi="Arial"/>
          <w:sz w:val="17"/>
          <w:szCs w:val="17"/>
          <w:color w:val="auto"/>
        </w:rPr>
        <w:t>”) or the relevant Net Insurance/Condemnation Proceeds are received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91</w:t>
      </w:r>
      <w:r>
        <w:rPr>
          <w:rFonts w:ascii="Arial" w:cs="Arial" w:eastAsia="Arial" w:hAnsi="Arial"/>
          <w:sz w:val="18"/>
          <w:szCs w:val="18"/>
          <w:u w:val="single" w:color="auto"/>
          <w:color w:val="0000FF"/>
          <w:strike w:val="1"/>
        </w:rPr>
        <w:t>91</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59" w:name="page160"/>
    <w:bookmarkEnd w:id="159"/>
    <w:p>
      <w:pPr>
        <w:jc w:val="both"/>
        <w:ind w:left="1600" w:right="20"/>
        <w:spacing w:after="0" w:line="244" w:lineRule="auto"/>
        <w:rPr>
          <w:sz w:val="20"/>
          <w:szCs w:val="20"/>
          <w:color w:val="auto"/>
        </w:rPr>
      </w:pPr>
      <w:r>
        <w:rPr>
          <w:rFonts w:ascii="Arial" w:cs="Arial" w:eastAsia="Arial" w:hAnsi="Arial"/>
          <w:sz w:val="18"/>
          <w:szCs w:val="18"/>
          <w:color w:val="auto"/>
        </w:rPr>
        <w:t>by any Specified Subsidiary, as the case may be, for so long as the repatriation and/or other transfer to the Borrower of any such amount at the time such prepayment would otherwise be required to be made would be, in the good faith determination of the Borrower, prohibited, restricted or delayed under any Requirement of Law (including for the avoidance of doubt, any Requirement of Law relating to financial assistance, corporate benefit, thin capitalization, capital maintenance and similar legal principles, restrictions on “upstreaming” and/or “cross-streaming” of Cash intra-group and Requirements of Law relating to the fiduciary and/or statutory duties of the directors (or equivalent Persons) of the Borrower and/or any of its Restricted Subsidiaries) or would conflict with the fiduciary and/or statutory duties of such Specified Subsidiary’s directors (or equivalent Persons), or result in, or could reasonably be expected to result in, a material risk of personal or criminal liability for any officer, director, employee, manager, member of management or consultant of such Specified Subsidiary;</w:t>
      </w:r>
    </w:p>
    <w:p>
      <w:pPr>
        <w:spacing w:after="0" w:line="183" w:lineRule="exact"/>
        <w:rPr>
          <w:sz w:val="20"/>
          <w:szCs w:val="20"/>
          <w:color w:val="auto"/>
        </w:rPr>
      </w:pPr>
    </w:p>
    <w:p>
      <w:pPr>
        <w:jc w:val="both"/>
        <w:ind w:left="1600" w:firstLine="741"/>
        <w:spacing w:after="0" w:line="276" w:lineRule="auto"/>
        <w:tabs>
          <w:tab w:leader="none" w:pos="3011" w:val="left"/>
        </w:tabs>
        <w:numPr>
          <w:ilvl w:val="2"/>
          <w:numId w:val="149"/>
        </w:numPr>
        <w:rPr>
          <w:rFonts w:ascii="Arial" w:cs="Arial" w:eastAsia="Arial" w:hAnsi="Arial"/>
          <w:sz w:val="17"/>
          <w:szCs w:val="17"/>
          <w:color w:val="auto"/>
        </w:rPr>
      </w:pPr>
      <w:r>
        <w:rPr>
          <w:rFonts w:ascii="Arial" w:cs="Arial" w:eastAsia="Arial" w:hAnsi="Arial"/>
          <w:sz w:val="17"/>
          <w:szCs w:val="17"/>
          <w:color w:val="auto"/>
        </w:rPr>
        <w:t xml:space="preserve">the Borrower shall not be required to prepay (or cause to be prepaid) any amount that would otherwise be required to be paid pursuant to </w:t>
      </w:r>
      <w:r>
        <w:rPr>
          <w:rFonts w:ascii="Arial" w:cs="Arial" w:eastAsia="Arial" w:hAnsi="Arial"/>
          <w:sz w:val="17"/>
          <w:szCs w:val="17"/>
          <w:u w:val="single" w:color="auto"/>
          <w:color w:val="auto"/>
        </w:rPr>
        <w:t>Section 2.11(b)(ii)</w:t>
      </w:r>
      <w:r>
        <w:rPr>
          <w:rFonts w:ascii="Arial" w:cs="Arial" w:eastAsia="Arial" w:hAnsi="Arial"/>
          <w:sz w:val="17"/>
          <w:szCs w:val="17"/>
          <w:color w:val="auto"/>
        </w:rPr>
        <w:t xml:space="preserve"> to the extent that the relevant Subject Proceeds are received by any joint venture, in each case, for so long as the distribution and/or other transfer to the Borrower of such Subject Proceeds would, in the good faith determination of the Borrower, be prohibited at the time such prepayment would otherwise be required to be made under the Organizational Documents (or any relevant shareholders’ or similar agreement) governing such joint venture;</w:t>
      </w:r>
    </w:p>
    <w:p>
      <w:pPr>
        <w:spacing w:after="0" w:line="163" w:lineRule="exact"/>
        <w:rPr>
          <w:rFonts w:ascii="Arial" w:cs="Arial" w:eastAsia="Arial" w:hAnsi="Arial"/>
          <w:sz w:val="17"/>
          <w:szCs w:val="17"/>
          <w:color w:val="auto"/>
        </w:rPr>
      </w:pPr>
    </w:p>
    <w:p>
      <w:pPr>
        <w:jc w:val="both"/>
        <w:ind w:left="1600" w:right="40" w:firstLine="741"/>
        <w:spacing w:after="0" w:line="261" w:lineRule="auto"/>
        <w:tabs>
          <w:tab w:leader="none" w:pos="3008" w:val="left"/>
        </w:tabs>
        <w:numPr>
          <w:ilvl w:val="2"/>
          <w:numId w:val="149"/>
        </w:numPr>
        <w:rPr>
          <w:rFonts w:ascii="Arial" w:cs="Arial" w:eastAsia="Arial" w:hAnsi="Arial"/>
          <w:sz w:val="18"/>
          <w:szCs w:val="18"/>
          <w:color w:val="auto"/>
        </w:rPr>
      </w:pPr>
      <w:r>
        <w:rPr>
          <w:rFonts w:ascii="Arial" w:cs="Arial" w:eastAsia="Arial" w:hAnsi="Arial"/>
          <w:sz w:val="18"/>
          <w:szCs w:val="18"/>
          <w:color w:val="auto"/>
        </w:rPr>
        <w:t xml:space="preserve">the Borrower shall not be required to prepay any amount that would otherwise be required to be paid pursuant to </w:t>
      </w:r>
      <w:r>
        <w:rPr>
          <w:rFonts w:ascii="Arial" w:cs="Arial" w:eastAsia="Arial" w:hAnsi="Arial"/>
          <w:sz w:val="18"/>
          <w:szCs w:val="18"/>
          <w:u w:val="single" w:color="auto"/>
          <w:color w:val="auto"/>
        </w:rPr>
        <w:t>Section 2.11(b)(ii)</w:t>
      </w:r>
      <w:r>
        <w:rPr>
          <w:rFonts w:ascii="Arial" w:cs="Arial" w:eastAsia="Arial" w:hAnsi="Arial"/>
          <w:sz w:val="18"/>
          <w:szCs w:val="18"/>
          <w:color w:val="auto"/>
        </w:rPr>
        <w:t xml:space="preserve"> to the extent that the relevant Subject Proceeds are received by any Foreign Subsidiary that is not a Loan Party, in each case, for so long as the Borrower determines in good faith that the distribution to the Borrower of such Subject Proceeds would be prohibited at the time such prepayment would otherwise be required to be made under an agreement permitted pursuant to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by which such Foreign Subsidiary is bound governing any Indebtedness; and</w:t>
      </w:r>
    </w:p>
    <w:p>
      <w:pPr>
        <w:spacing w:after="0" w:line="174" w:lineRule="exact"/>
        <w:rPr>
          <w:rFonts w:ascii="Arial" w:cs="Arial" w:eastAsia="Arial" w:hAnsi="Arial"/>
          <w:sz w:val="18"/>
          <w:szCs w:val="18"/>
          <w:color w:val="auto"/>
        </w:rPr>
      </w:pPr>
    </w:p>
    <w:p>
      <w:pPr>
        <w:ind w:left="1600" w:right="20" w:firstLine="741"/>
        <w:spacing w:after="0"/>
        <w:tabs>
          <w:tab w:leader="none" w:pos="3011" w:val="left"/>
        </w:tabs>
        <w:numPr>
          <w:ilvl w:val="2"/>
          <w:numId w:val="149"/>
        </w:numPr>
        <w:rPr>
          <w:rFonts w:ascii="Arial" w:cs="Arial" w:eastAsia="Arial" w:hAnsi="Arial"/>
          <w:sz w:val="19"/>
          <w:szCs w:val="19"/>
          <w:color w:val="auto"/>
        </w:rPr>
      </w:pPr>
      <w:r>
        <w:rPr>
          <w:rFonts w:ascii="Arial" w:cs="Arial" w:eastAsia="Arial" w:hAnsi="Arial"/>
          <w:sz w:val="19"/>
          <w:szCs w:val="19"/>
          <w:color w:val="auto"/>
        </w:rPr>
        <w:t xml:space="preserve">if the Borrower determines in good faith that the repatriation (or other intercompany distribution or transfer) to the Borrower, directly or indirectly, from a Specified Subsidiary as a distribution or dividend (or other intercompany transfer) of any amount required to mandatorily prepay the Term Loans pursuant to </w:t>
      </w:r>
      <w:r>
        <w:rPr>
          <w:rFonts w:ascii="Arial" w:cs="Arial" w:eastAsia="Arial" w:hAnsi="Arial"/>
          <w:sz w:val="19"/>
          <w:szCs w:val="19"/>
          <w:u w:val="single" w:color="auto"/>
          <w:color w:val="auto"/>
        </w:rPr>
        <w:t>Section 2.11(b)(ii)</w:t>
      </w:r>
      <w:r>
        <w:rPr>
          <w:rFonts w:ascii="Arial" w:cs="Arial" w:eastAsia="Arial" w:hAnsi="Arial"/>
          <w:sz w:val="19"/>
          <w:szCs w:val="19"/>
          <w:color w:val="auto"/>
        </w:rPr>
        <w:t xml:space="preserve"> above would reasonably be expected to result in a material and adverse Tax liability (including any withholding Tax) being incurred by Holdings, the Borrower, any Parent Company and/or any Restricted Subsidiary (such amount, a “</w:t>
      </w:r>
      <w:r>
        <w:rPr>
          <w:rFonts w:ascii="Arial" w:cs="Arial" w:eastAsia="Arial" w:hAnsi="Arial"/>
          <w:sz w:val="19"/>
          <w:szCs w:val="19"/>
          <w:u w:val="single" w:color="auto"/>
          <w:color w:val="auto"/>
        </w:rPr>
        <w:t>Restricted Amount</w:t>
      </w:r>
      <w:r>
        <w:rPr>
          <w:rFonts w:ascii="Arial" w:cs="Arial" w:eastAsia="Arial" w:hAnsi="Arial"/>
          <w:sz w:val="19"/>
          <w:szCs w:val="19"/>
          <w:color w:val="auto"/>
        </w:rPr>
        <w:t xml:space="preserve">”), the amount that the Borrower shall be required to mandatorily prepay pursuant to </w:t>
      </w:r>
      <w:r>
        <w:rPr>
          <w:rFonts w:ascii="Arial" w:cs="Arial" w:eastAsia="Arial" w:hAnsi="Arial"/>
          <w:sz w:val="19"/>
          <w:szCs w:val="19"/>
          <w:u w:val="single" w:color="auto"/>
          <w:color w:val="auto"/>
        </w:rPr>
        <w:t>Section 2.11(b)(ii)</w:t>
      </w:r>
      <w:r>
        <w:rPr>
          <w:rFonts w:ascii="Arial" w:cs="Arial" w:eastAsia="Arial" w:hAnsi="Arial"/>
          <w:sz w:val="19"/>
          <w:szCs w:val="19"/>
          <w:color w:val="auto"/>
        </w:rPr>
        <w:t xml:space="preserve"> above, as applicable, shall be reduced by the Restricted Amount;</w:t>
      </w:r>
    </w:p>
    <w:p>
      <w:pPr>
        <w:spacing w:after="0" w:line="196" w:lineRule="exact"/>
        <w:rPr>
          <w:rFonts w:ascii="Arial" w:cs="Arial" w:eastAsia="Arial" w:hAnsi="Arial"/>
          <w:sz w:val="19"/>
          <w:szCs w:val="19"/>
          <w:color w:val="auto"/>
        </w:rPr>
      </w:pPr>
    </w:p>
    <w:p>
      <w:pPr>
        <w:jc w:val="both"/>
        <w:ind w:left="840" w:right="60" w:firstLine="751"/>
        <w:spacing w:after="0" w:line="242" w:lineRule="auto"/>
        <w:tabs>
          <w:tab w:leader="none" w:pos="2254" w:val="left"/>
        </w:tabs>
        <w:numPr>
          <w:ilvl w:val="1"/>
          <w:numId w:val="150"/>
        </w:numPr>
        <w:rPr>
          <w:rFonts w:ascii="Arial" w:cs="Arial" w:eastAsia="Arial" w:hAnsi="Arial"/>
          <w:sz w:val="19"/>
          <w:szCs w:val="19"/>
          <w:color w:val="auto"/>
        </w:rPr>
      </w:pPr>
      <w:r>
        <w:rPr>
          <w:rFonts w:ascii="Arial" w:cs="Arial" w:eastAsia="Arial" w:hAnsi="Arial"/>
          <w:sz w:val="19"/>
          <w:szCs w:val="19"/>
          <w:color w:val="auto"/>
        </w:rPr>
        <w:t xml:space="preserve">Any Term Lender may elect, by notice to the Administrative Agent at or prior to the time and in the manner specified by the Administrative Agent, prior to any prepayment of Term Loans required to be made by the Borrower pursuant to this </w:t>
      </w:r>
      <w:r>
        <w:rPr>
          <w:rFonts w:ascii="Arial" w:cs="Arial" w:eastAsia="Arial" w:hAnsi="Arial"/>
          <w:sz w:val="19"/>
          <w:szCs w:val="19"/>
          <w:u w:val="single" w:color="auto"/>
          <w:color w:val="auto"/>
        </w:rPr>
        <w:t>Section 2.11(b)</w:t>
      </w:r>
      <w:r>
        <w:rPr>
          <w:rFonts w:ascii="Arial" w:cs="Arial" w:eastAsia="Arial" w:hAnsi="Arial"/>
          <w:sz w:val="19"/>
          <w:szCs w:val="19"/>
          <w:color w:val="auto"/>
        </w:rPr>
        <w:t>, to decline all (but not a portion) of its Applicable Percentage of such prepayment (such declined amounts, the “</w:t>
      </w:r>
      <w:r>
        <w:rPr>
          <w:rFonts w:ascii="Arial" w:cs="Arial" w:eastAsia="Arial" w:hAnsi="Arial"/>
          <w:sz w:val="19"/>
          <w:szCs w:val="19"/>
          <w:u w:val="single" w:color="auto"/>
          <w:color w:val="auto"/>
        </w:rPr>
        <w:t>Declined Proceeds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no Lender may reject any prepayment made under </w:t>
      </w:r>
      <w:r>
        <w:rPr>
          <w:rFonts w:ascii="Arial" w:cs="Arial" w:eastAsia="Arial" w:hAnsi="Arial"/>
          <w:sz w:val="19"/>
          <w:szCs w:val="19"/>
          <w:u w:val="single" w:color="auto"/>
          <w:color w:val="auto"/>
        </w:rPr>
        <w:t>Section 2.11(b)(iii)</w:t>
      </w:r>
      <w:r>
        <w:rPr>
          <w:rFonts w:ascii="Arial" w:cs="Arial" w:eastAsia="Arial" w:hAnsi="Arial"/>
          <w:sz w:val="19"/>
          <w:szCs w:val="19"/>
          <w:color w:val="auto"/>
        </w:rPr>
        <w:t xml:space="preserve"> above to the extent that such prepayment is made with the Net Proceeds of</w:t>
      </w:r>
    </w:p>
    <w:p>
      <w:pPr>
        <w:spacing w:after="0" w:line="3" w:lineRule="exact"/>
        <w:rPr>
          <w:rFonts w:ascii="Arial" w:cs="Arial" w:eastAsia="Arial" w:hAnsi="Arial"/>
          <w:sz w:val="19"/>
          <w:szCs w:val="19"/>
          <w:color w:val="auto"/>
        </w:rPr>
      </w:pPr>
    </w:p>
    <w:p>
      <w:pPr>
        <w:jc w:val="both"/>
        <w:ind w:left="840" w:right="40" w:firstLine="3"/>
        <w:spacing w:after="0" w:line="254" w:lineRule="auto"/>
        <w:tabs>
          <w:tab w:leader="none" w:pos="11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Refinancing Indebtedness (including Replacement Debt) incurred to refinance all or a portion of the Term Loans pursuant to </w:t>
      </w:r>
      <w:r>
        <w:rPr>
          <w:rFonts w:ascii="Arial" w:cs="Arial" w:eastAsia="Arial" w:hAnsi="Arial"/>
          <w:sz w:val="18"/>
          <w:szCs w:val="18"/>
          <w:u w:val="single" w:color="auto"/>
          <w:color w:val="auto"/>
        </w:rPr>
        <w:t>Section 6.01(p)</w:t>
      </w:r>
      <w:r>
        <w:rPr>
          <w:rFonts w:ascii="Arial" w:cs="Arial" w:eastAsia="Arial" w:hAnsi="Arial"/>
          <w:sz w:val="18"/>
          <w:szCs w:val="18"/>
          <w:color w:val="auto"/>
        </w:rPr>
        <w:t xml:space="preserve">, (2) Incremental Loans incurred to refinance all or a portion of the Term Loans pursuant to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(3) Replacement Term Loans incurred to refinance all or any portion of the Term Loans in accordance with the requirements of </w:t>
      </w:r>
      <w:r>
        <w:rPr>
          <w:rFonts w:ascii="Arial" w:cs="Arial" w:eastAsia="Arial" w:hAnsi="Arial"/>
          <w:sz w:val="18"/>
          <w:szCs w:val="18"/>
          <w:u w:val="single" w:color="auto"/>
          <w:color w:val="auto"/>
        </w:rPr>
        <w:t>Section 9.02(c)</w:t>
      </w:r>
      <w:r>
        <w:rPr>
          <w:rFonts w:ascii="Arial" w:cs="Arial" w:eastAsia="Arial" w:hAnsi="Arial"/>
          <w:sz w:val="18"/>
          <w:szCs w:val="18"/>
          <w:color w:val="auto"/>
        </w:rPr>
        <w:t xml:space="preserve"> and/or (4) Incremental Equivalent Debt incurred to refinance all or a portion of the Loans in accordance with the requirements of the definition thereof. If any Lender fails to deliver a written notice to the Administrative Agent of its election to decline receipt of its Applicable Percentage of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92</w:t>
      </w:r>
      <w:r>
        <w:rPr>
          <w:rFonts w:ascii="Arial" w:cs="Arial" w:eastAsia="Arial" w:hAnsi="Arial"/>
          <w:sz w:val="18"/>
          <w:szCs w:val="18"/>
          <w:u w:val="single" w:color="auto"/>
          <w:color w:val="0000FF"/>
          <w:strike w:val="1"/>
        </w:rPr>
        <w:t>92</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85" w:right="1439" w:bottom="1440" w:gutter="0" w:footer="0" w:header="0"/>
        </w:sectPr>
      </w:pPr>
    </w:p>
    <w:bookmarkStart w:id="160" w:name="page161"/>
    <w:bookmarkEnd w:id="160"/>
    <w:p>
      <w:pPr>
        <w:jc w:val="both"/>
        <w:ind w:left="840" w:right="59"/>
        <w:spacing w:after="0" w:line="241" w:lineRule="auto"/>
        <w:rPr>
          <w:sz w:val="20"/>
          <w:szCs w:val="20"/>
          <w:color w:val="auto"/>
        </w:rPr>
      </w:pPr>
      <w:r>
        <w:rPr>
          <w:rFonts w:ascii="Arial" w:cs="Arial" w:eastAsia="Arial" w:hAnsi="Arial"/>
          <w:sz w:val="19"/>
          <w:szCs w:val="19"/>
          <w:color w:val="auto"/>
        </w:rPr>
        <w:t>any mandatory prepayment within the time frame specified by the Administrative Agent, such failure will be deemed to constitute an acceptance of such Lender’s Applicable Percentage of the total amount of such mandatory prepayment of Term Loans.</w:t>
      </w:r>
    </w:p>
    <w:p>
      <w:pPr>
        <w:spacing w:after="0" w:line="179" w:lineRule="exact"/>
        <w:rPr>
          <w:sz w:val="20"/>
          <w:szCs w:val="20"/>
          <w:color w:val="auto"/>
        </w:rPr>
      </w:pPr>
    </w:p>
    <w:p>
      <w:pPr>
        <w:jc w:val="both"/>
        <w:ind w:left="840" w:right="39" w:firstLine="751"/>
        <w:spacing w:after="0" w:line="269" w:lineRule="auto"/>
        <w:tabs>
          <w:tab w:leader="none" w:pos="2254" w:val="left"/>
        </w:tabs>
        <w:numPr>
          <w:ilvl w:val="0"/>
          <w:numId w:val="152"/>
        </w:numPr>
        <w:rPr>
          <w:rFonts w:ascii="Arial" w:cs="Arial" w:eastAsia="Arial" w:hAnsi="Arial"/>
          <w:sz w:val="17"/>
          <w:szCs w:val="17"/>
          <w:color w:val="auto"/>
        </w:rPr>
      </w:pPr>
      <w:r>
        <w:rPr>
          <w:rFonts w:ascii="Arial" w:cs="Arial" w:eastAsia="Arial" w:hAnsi="Arial"/>
          <w:sz w:val="17"/>
          <w:szCs w:val="17"/>
          <w:color w:val="auto"/>
        </w:rPr>
        <w:t>Except as otherwise contemplated by this Agreement or provided in, or intended with respect to, any Refinancing Amendment, any Incremental Facility Amendment, any Extension Amendment or any Replacement Debt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Refinancing Amendment, Incremental Facility Amendment or Extension Amendment may not provide that the applicable Class of Term Loans receive a greater than pro rata portion of any prepayment of Term Loans pursuant to </w:t>
      </w:r>
      <w:r>
        <w:rPr>
          <w:rFonts w:ascii="Arial" w:cs="Arial" w:eastAsia="Arial" w:hAnsi="Arial"/>
          <w:sz w:val="17"/>
          <w:szCs w:val="17"/>
          <w:u w:val="single" w:color="auto"/>
          <w:color w:val="auto"/>
        </w:rPr>
        <w:t>Section 2.11(b)</w:t>
      </w:r>
      <w:r>
        <w:rPr>
          <w:rFonts w:ascii="Arial" w:cs="Arial" w:eastAsia="Arial" w:hAnsi="Arial"/>
          <w:sz w:val="17"/>
          <w:szCs w:val="17"/>
          <w:color w:val="auto"/>
        </w:rPr>
        <w:t xml:space="preserve"> than would otherwise be permitted by this Agreement), in each case effectuated or issued in a manner consistent with this Agreement, each prepayment of Term Loans pursuant to </w:t>
      </w:r>
      <w:r>
        <w:rPr>
          <w:rFonts w:ascii="Arial" w:cs="Arial" w:eastAsia="Arial" w:hAnsi="Arial"/>
          <w:sz w:val="17"/>
          <w:szCs w:val="17"/>
          <w:u w:val="single" w:color="auto"/>
          <w:color w:val="auto"/>
        </w:rPr>
        <w:t>Section 2.11(b)</w:t>
      </w:r>
      <w:r>
        <w:rPr>
          <w:rFonts w:ascii="Arial" w:cs="Arial" w:eastAsia="Arial" w:hAnsi="Arial"/>
          <w:sz w:val="17"/>
          <w:szCs w:val="17"/>
          <w:color w:val="auto"/>
        </w:rPr>
        <w:t xml:space="preserve"> shall be allocated to prepay any Class of Term Loans as directed by the Borrower or, in the absence of such direction, ratably to each Class of Term Loans then outstanding that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Initial Term Loans in right of payment and with respect to security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prepayment of Term Loans with the Net Proceeds of any Incremental Term Facility incurred in reliance on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definition of “Incremental Cap” to extend the Maturity Date of all or any portion of any Class of Term Loans pursuant to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Incremental Equivalent Debt incurred in reliance on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definition of “Incremental Cap” to extend the Maturity Date of all or any portion of any Class of Term Loans and/or any Replacement Term Loan shall be applied to the applicable Class of Term Loans being extended, refinanced or replaced, as applicable). With respect to each relevant Class of Term Loans, any accepted prepayment under this </w:t>
      </w:r>
      <w:r>
        <w:rPr>
          <w:rFonts w:ascii="Arial" w:cs="Arial" w:eastAsia="Arial" w:hAnsi="Arial"/>
          <w:sz w:val="17"/>
          <w:szCs w:val="17"/>
          <w:u w:val="single" w:color="auto"/>
          <w:color w:val="auto"/>
        </w:rPr>
        <w:t>Section 2.11(b)</w:t>
      </w:r>
      <w:r>
        <w:rPr>
          <w:rFonts w:ascii="Arial" w:cs="Arial" w:eastAsia="Arial" w:hAnsi="Arial"/>
          <w:sz w:val="17"/>
          <w:szCs w:val="17"/>
          <w:color w:val="auto"/>
        </w:rPr>
        <w:t xml:space="preserve"> shall be applied against the remaining scheduled installments of principal due in respect of such Class of Term Loans as directed by the Borrower (or, in the absence of direction from the Borrower, to the remaining scheduled amortization payments in respect of the Term Loans of such Class in direct order of maturity), and each such prepayment shall be paid to the Term Lenders in accordance with their respective Applicable Percentage of the applicable Class. If no Lender exercises the right to decline a prepayment of the Term Loans pursuant to </w:t>
      </w:r>
      <w:r>
        <w:rPr>
          <w:rFonts w:ascii="Arial" w:cs="Arial" w:eastAsia="Arial" w:hAnsi="Arial"/>
          <w:sz w:val="17"/>
          <w:szCs w:val="17"/>
          <w:u w:val="single" w:color="auto"/>
          <w:color w:val="auto"/>
        </w:rPr>
        <w:t>Section 2.11(b)(v)</w:t>
      </w:r>
      <w:r>
        <w:rPr>
          <w:rFonts w:ascii="Arial" w:cs="Arial" w:eastAsia="Arial" w:hAnsi="Arial"/>
          <w:sz w:val="17"/>
          <w:szCs w:val="17"/>
          <w:color w:val="auto"/>
        </w:rPr>
        <w:t xml:space="preserve">, the amount of such mandatory prepayment shall be applied first to the then outstanding Term Loans of the relevant Class that are ABR Loans to the full extent thereof and then to the then outstanding Term Loans of such Class that are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Loans in a manner that minimizes the amount of any payment required to be made by the Borrower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w:t>
      </w:r>
    </w:p>
    <w:p>
      <w:pPr>
        <w:spacing w:after="0" w:line="174" w:lineRule="exact"/>
        <w:rPr>
          <w:rFonts w:ascii="Arial" w:cs="Arial" w:eastAsia="Arial" w:hAnsi="Arial"/>
          <w:sz w:val="17"/>
          <w:szCs w:val="17"/>
          <w:color w:val="auto"/>
        </w:rPr>
      </w:pPr>
    </w:p>
    <w:p>
      <w:pPr>
        <w:jc w:val="both"/>
        <w:ind w:left="840" w:right="19" w:firstLine="751"/>
        <w:spacing w:after="0" w:line="256" w:lineRule="auto"/>
        <w:tabs>
          <w:tab w:leader="none" w:pos="225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(A) In the event that on any Revaluation Date (after giving effect to the determination of the Outstanding Amount of each Revolving Loan, Swingline Loan and/or LC Obligation) the aggregate Revolving Credit Exposure of any Class exceeds the Total Revolving Credit Commitment of such Class then in effect, the Borrower shall, within five Business Days of receipt of notice from the Administrative Agent, prepay the Revolving Loans or Swingline Loans and/or reduce LC Exposure (in each case, taking the Dollar Equivalent of any amount denominated in an Alternate Currency), in an aggregate amount sufficient to reduce such aggregate Revolving Credit Exposure as of the date of such payment to an amount not to exceed 100% of the Revolving Credit Commitment of such Class then in effect by taking any of the following actions as it shall determine at its sole discretion: (I) prepayment of Revolving Loans and/or Swingline Loans in accordance with </w:t>
      </w:r>
      <w:r>
        <w:rPr>
          <w:rFonts w:ascii="Arial" w:cs="Arial" w:eastAsia="Arial" w:hAnsi="Arial"/>
          <w:sz w:val="18"/>
          <w:szCs w:val="18"/>
          <w:u w:val="single" w:color="auto"/>
          <w:color w:val="auto"/>
        </w:rPr>
        <w:t>Section 2.11(a)(ii)</w:t>
      </w:r>
      <w:r>
        <w:rPr>
          <w:rFonts w:ascii="Arial" w:cs="Arial" w:eastAsia="Arial" w:hAnsi="Arial"/>
          <w:sz w:val="18"/>
          <w:szCs w:val="18"/>
          <w:color w:val="auto"/>
        </w:rPr>
        <w:t xml:space="preserve"> and/or (II) with respect to any excess LC Exposure, provide Letter of Credit Support with respect thereto.</w:t>
      </w:r>
    </w:p>
    <w:p>
      <w:pPr>
        <w:spacing w:after="0" w:line="181" w:lineRule="exact"/>
        <w:rPr>
          <w:rFonts w:ascii="Arial" w:cs="Arial" w:eastAsia="Arial" w:hAnsi="Arial"/>
          <w:sz w:val="18"/>
          <w:szCs w:val="18"/>
          <w:color w:val="auto"/>
        </w:rPr>
      </w:pPr>
    </w:p>
    <w:p>
      <w:pPr>
        <w:ind w:left="1600" w:right="59" w:firstLine="742"/>
        <w:spacing w:after="0" w:line="303" w:lineRule="auto"/>
        <w:tabs>
          <w:tab w:leader="none" w:pos="2705" w:val="left"/>
        </w:tabs>
        <w:numPr>
          <w:ilvl w:val="1"/>
          <w:numId w:val="152"/>
        </w:numPr>
        <w:rPr>
          <w:rFonts w:ascii="Arial" w:cs="Arial" w:eastAsia="Arial" w:hAnsi="Arial"/>
          <w:sz w:val="17"/>
          <w:szCs w:val="17"/>
          <w:color w:val="auto"/>
        </w:rPr>
      </w:pPr>
      <w:r>
        <w:rPr>
          <w:rFonts w:ascii="Arial" w:cs="Arial" w:eastAsia="Arial" w:hAnsi="Arial"/>
          <w:sz w:val="17"/>
          <w:szCs w:val="17"/>
          <w:color w:val="auto"/>
        </w:rPr>
        <w:t xml:space="preserve">Each prepayment of any Revolving Loan Borrowing under this </w:t>
      </w:r>
      <w:r>
        <w:rPr>
          <w:rFonts w:ascii="Arial" w:cs="Arial" w:eastAsia="Arial" w:hAnsi="Arial"/>
          <w:sz w:val="17"/>
          <w:szCs w:val="17"/>
          <w:u w:val="single" w:color="auto"/>
          <w:color w:val="auto"/>
        </w:rPr>
        <w:t>Section 2.11(b)(vii)</w:t>
      </w:r>
      <w:r>
        <w:rPr>
          <w:rFonts w:ascii="Arial" w:cs="Arial" w:eastAsia="Arial" w:hAnsi="Arial"/>
          <w:sz w:val="17"/>
          <w:szCs w:val="17"/>
          <w:color w:val="auto"/>
        </w:rPr>
        <w:t xml:space="preserve"> shall be paid to the Revolving Lenders in accordance with their respective Applicable Percentages of the applicable Class.</w:t>
      </w:r>
    </w:p>
    <w:p>
      <w:pPr>
        <w:spacing w:after="0" w:line="140" w:lineRule="exact"/>
        <w:rPr>
          <w:rFonts w:ascii="Arial" w:cs="Arial" w:eastAsia="Arial" w:hAnsi="Arial"/>
          <w:sz w:val="17"/>
          <w:szCs w:val="17"/>
          <w:color w:val="auto"/>
        </w:rPr>
      </w:pPr>
    </w:p>
    <w:p>
      <w:pPr>
        <w:jc w:val="both"/>
        <w:ind w:left="840" w:right="19" w:firstLine="751"/>
        <w:spacing w:after="0" w:line="245" w:lineRule="auto"/>
        <w:tabs>
          <w:tab w:leader="none" w:pos="2256"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Prepayments made under this </w:t>
      </w:r>
      <w:r>
        <w:rPr>
          <w:rFonts w:ascii="Arial" w:cs="Arial" w:eastAsia="Arial" w:hAnsi="Arial"/>
          <w:sz w:val="19"/>
          <w:szCs w:val="19"/>
          <w:u w:val="single" w:color="auto"/>
          <w:color w:val="auto"/>
        </w:rPr>
        <w:t>Section 2.11(b)</w:t>
      </w:r>
      <w:r>
        <w:rPr>
          <w:rFonts w:ascii="Arial" w:cs="Arial" w:eastAsia="Arial" w:hAnsi="Arial"/>
          <w:sz w:val="19"/>
          <w:szCs w:val="19"/>
          <w:color w:val="auto"/>
        </w:rPr>
        <w:t xml:space="preserve"> shall be (A) accompanied by accrued interest as required by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(which may, at the election of the Borrower, be netted in the calculation of the applicable prepayment amount (and in the event such election is made, the amount of the applicable prepayment of principal and the amount of such accrued interest shall be determined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93</w:t>
      </w:r>
      <w:r>
        <w:rPr>
          <w:rFonts w:ascii="Arial" w:cs="Arial" w:eastAsia="Arial" w:hAnsi="Arial"/>
          <w:sz w:val="18"/>
          <w:szCs w:val="18"/>
          <w:u w:val="single" w:color="auto"/>
          <w:color w:val="0000FF"/>
          <w:strike w:val="1"/>
        </w:rPr>
        <w:t>93</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61" w:name="page162"/>
    <w:bookmarkEnd w:id="161"/>
    <w:p>
      <w:pPr>
        <w:ind w:left="840"/>
        <w:spacing w:after="0"/>
        <w:rPr>
          <w:sz w:val="20"/>
          <w:szCs w:val="20"/>
          <w:color w:val="auto"/>
        </w:rPr>
      </w:pPr>
      <w:r>
        <w:rPr>
          <w:rFonts w:ascii="Arial" w:cs="Arial" w:eastAsia="Arial" w:hAnsi="Arial"/>
          <w:sz w:val="19"/>
          <w:szCs w:val="19"/>
          <w:color w:val="auto"/>
        </w:rPr>
        <w:t xml:space="preserve">by the Borrower in good faith in consultation with the Administrative Agent)) and (B) subject to </w:t>
      </w:r>
      <w:r>
        <w:rPr>
          <w:rFonts w:ascii="Arial" w:cs="Arial" w:eastAsia="Arial" w:hAnsi="Arial"/>
          <w:sz w:val="19"/>
          <w:szCs w:val="19"/>
          <w:u w:val="single" w:color="auto"/>
          <w:color w:val="auto"/>
        </w:rPr>
        <w:t>Section 2.16</w:t>
      </w:r>
      <w:r>
        <w:rPr>
          <w:rFonts w:ascii="Arial" w:cs="Arial" w:eastAsia="Arial" w:hAnsi="Arial"/>
          <w:sz w:val="19"/>
          <w:szCs w:val="19"/>
          <w:color w:val="auto"/>
        </w:rPr>
        <w:t>.</w:t>
      </w:r>
    </w:p>
    <w:p>
      <w:pPr>
        <w:spacing w:after="0" w:line="214"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2.12.  </w:t>
      </w:r>
      <w:r>
        <w:rPr>
          <w:rFonts w:ascii="Arial" w:cs="Arial" w:eastAsia="Arial" w:hAnsi="Arial"/>
          <w:sz w:val="19"/>
          <w:szCs w:val="19"/>
          <w:u w:val="single" w:color="auto"/>
          <w:color w:val="auto"/>
        </w:rPr>
        <w:t>Fees</w:t>
      </w:r>
      <w:r>
        <w:rPr>
          <w:rFonts w:ascii="Arial" w:cs="Arial" w:eastAsia="Arial" w:hAnsi="Arial"/>
          <w:sz w:val="19"/>
          <w:szCs w:val="19"/>
          <w:color w:val="auto"/>
        </w:rPr>
        <w:t>.</w:t>
      </w:r>
    </w:p>
    <w:p>
      <w:pPr>
        <w:spacing w:after="0" w:line="200" w:lineRule="exact"/>
        <w:rPr>
          <w:sz w:val="20"/>
          <w:szCs w:val="20"/>
          <w:color w:val="auto"/>
        </w:rPr>
      </w:pPr>
    </w:p>
    <w:p>
      <w:pPr>
        <w:jc w:val="both"/>
        <w:ind w:left="100" w:firstLine="742"/>
        <w:spacing w:after="0" w:line="255" w:lineRule="auto"/>
        <w:tabs>
          <w:tab w:leader="none" w:pos="152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The Borrower agrees to pay to the Administrative Agent for the account of each Revolving Lender of any Class (other than any Defaulting Lender) a commitment fee, which shall accrue at a rate equal to the Commitment Fee Rate per annum applicable to the Revolving Credit Commitments of such Class on the average daily amount of the unused Revolving Credit Commitment of such Class of such Revolving Lender during the period from and including the Closing Date to the date on which such Lender’s Revolving Credit Commitment of such Class terminates. Accrued Commitment fees shall be payable in arrears on each Scheduled Payment Date for the quarterly period then most recently ended (or, in the case of the first such payment made after the Closing Date, for the period from the Closing Date to such date), and on the date on which the Revolving Credit Commitments of the applicable Class terminate. For purposes of calculating the commitment fee payable pursuant to this </w:t>
      </w:r>
      <w:r>
        <w:rPr>
          <w:rFonts w:ascii="Arial" w:cs="Arial" w:eastAsia="Arial" w:hAnsi="Arial"/>
          <w:sz w:val="18"/>
          <w:szCs w:val="18"/>
          <w:u w:val="single" w:color="auto"/>
          <w:color w:val="auto"/>
        </w:rPr>
        <w:t>Section 2.12(a)</w:t>
      </w:r>
      <w:r>
        <w:rPr>
          <w:rFonts w:ascii="Arial" w:cs="Arial" w:eastAsia="Arial" w:hAnsi="Arial"/>
          <w:sz w:val="18"/>
          <w:szCs w:val="18"/>
          <w:color w:val="auto"/>
        </w:rPr>
        <w:t>, the Revolving Credit Commitment of any Class shall be deemed to have been used to the extent of the outstanding principal amount of the Revolving Loans of such Class and the LC Exposure attributable to the Revolving Credit Commitment of such Class, but no portion of the Revolving Credit Commitment of any Class shall be deemed to have been used as a result of any outstanding Swingline Loan.</w:t>
      </w:r>
    </w:p>
    <w:p>
      <w:pPr>
        <w:spacing w:after="0" w:line="182" w:lineRule="exact"/>
        <w:rPr>
          <w:rFonts w:ascii="Arial" w:cs="Arial" w:eastAsia="Arial" w:hAnsi="Arial"/>
          <w:sz w:val="18"/>
          <w:szCs w:val="18"/>
          <w:color w:val="auto"/>
        </w:rPr>
      </w:pPr>
    </w:p>
    <w:p>
      <w:pPr>
        <w:jc w:val="both"/>
        <w:ind w:left="100" w:right="20" w:firstLine="741"/>
        <w:spacing w:after="0" w:line="253" w:lineRule="auto"/>
        <w:tabs>
          <w:tab w:leader="none" w:pos="152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The Borrower agrees to pay (i) to the Administrative Agent for the account of each Revolving Lender of any Class, a participation fee with respect to its participation in any outstanding Letter of Credit that is not subject to Letter of Credit Support, which shall accrue at the Applicable Rate used to determine the interest rate applicable to Revolving Loans of such Class that are </w:t>
      </w:r>
      <w:r>
        <w:rPr>
          <w:rFonts w:ascii="Arial" w:cs="Arial" w:eastAsia="Arial" w:hAnsi="Arial"/>
          <w:sz w:val="18"/>
          <w:szCs w:val="18"/>
          <w:color w:val="FF0000"/>
          <w:strike w:val="1"/>
        </w:rPr>
        <w:t>LIBO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Loans on the daily portion of such Lender’s LC Exposure that is attributable to its Revolving Credit Commitment of such Class (excluding any portion thereof that is attributable to any unreimbursed LC Disbursement), during the period from and including the Closing Date to the earlier of (A) the later of the date on which such Revolving Lender’s Revolving Credit Commitment of such Class terminates and the date on which such Revolving Lender ceases to have any LC Exposure attributable to its Revolving Credit Commitment of such Class and (B) the Termination Date, and (ii) to each Issuing Bank, for its own account, a fronting fee, in respect of each Letter of Credit that is not subject to Letter of Credit Support issued by such Issuing Bank for the period from the date of issuance of such Letter of Credit to the earliest of (A) the expiration date of such Letter of Credit, (B) the date on which such Letter of Credit terminates, (C) the Termination Date, computed at a rate agreed by such Issuing Bank and the Borrower (but in any event not to exceed 0.125% per annum) of the daily available amount of such Letter of Credit, as well as such Issuing Bank’s standard fees with respect to the issuance, amendment, renewal or extension of any Letter of Credit or the processing of any drawing thereunder. Participation fees and fronting fees shall accrue to but excluding each Scheduled Payment Date and be payable in arrears for the quarterly period then most recently ended (or, in the case of the payment made on the first such date after the Closing Date, for the period from the Closing Date to such date) on each Scheduled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that all such fees shall be payable on the date on which the Revolving Credit Commitments of the applicable Class terminate, and any such fees accruing after the date on which the Revolving Credit Commitments of the applicable Class terminate and prior to the Termination Date shall be payable on demand. Any other fee payable to any Issuing Bank pursuant to this paragraph shall be payable within 30 days after receipt of a written demand (accompanied by reasonable back-up documentation) therefor.</w:t>
      </w:r>
    </w:p>
    <w:p>
      <w:pPr>
        <w:spacing w:after="0" w:line="196" w:lineRule="exact"/>
        <w:rPr>
          <w:rFonts w:ascii="Arial" w:cs="Arial" w:eastAsia="Arial" w:hAnsi="Arial"/>
          <w:sz w:val="18"/>
          <w:szCs w:val="18"/>
          <w:color w:val="auto"/>
        </w:rPr>
      </w:pPr>
    </w:p>
    <w:p>
      <w:pPr>
        <w:ind w:left="1600" w:hanging="758"/>
        <w:spacing w:after="0"/>
        <w:tabs>
          <w:tab w:leader="none" w:pos="160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[Reserved].</w:t>
      </w:r>
    </w:p>
    <w:p>
      <w:pPr>
        <w:spacing w:after="0" w:line="213" w:lineRule="exact"/>
        <w:rPr>
          <w:rFonts w:ascii="Arial" w:cs="Arial" w:eastAsia="Arial" w:hAnsi="Arial"/>
          <w:sz w:val="19"/>
          <w:szCs w:val="19"/>
          <w:color w:val="auto"/>
        </w:rPr>
      </w:pPr>
    </w:p>
    <w:p>
      <w:pPr>
        <w:ind w:left="100" w:right="60" w:firstLine="741"/>
        <w:spacing w:after="0" w:line="261" w:lineRule="auto"/>
        <w:tabs>
          <w:tab w:leader="none" w:pos="152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The Borrower agrees to pay to the Administrative Agent, for its own account, the annual administration fee described in the Fee Letter.</w:t>
      </w:r>
    </w:p>
    <w:p>
      <w:pPr>
        <w:spacing w:after="0" w:line="172" w:lineRule="exact"/>
        <w:rPr>
          <w:rFonts w:ascii="Arial" w:cs="Arial" w:eastAsia="Arial" w:hAnsi="Arial"/>
          <w:sz w:val="19"/>
          <w:szCs w:val="19"/>
          <w:color w:val="auto"/>
        </w:rPr>
      </w:pPr>
    </w:p>
    <w:p>
      <w:pPr>
        <w:ind w:left="100" w:right="60" w:firstLine="742"/>
        <w:spacing w:after="0" w:line="261" w:lineRule="auto"/>
        <w:tabs>
          <w:tab w:leader="none" w:pos="152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All fees payable hereunder shall be paid on the date due, in Dollars and in immediately available funds, to the Administrative Agent (or to the applicable Issuing Bank, in the case of fees payable to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94</w:t>
      </w:r>
      <w:r>
        <w:rPr>
          <w:rFonts w:ascii="Arial" w:cs="Arial" w:eastAsia="Arial" w:hAnsi="Arial"/>
          <w:sz w:val="18"/>
          <w:szCs w:val="18"/>
          <w:u w:val="single" w:color="auto"/>
          <w:color w:val="0000FF"/>
          <w:strike w:val="1"/>
        </w:rPr>
        <w:t>94</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85" w:right="1439" w:bottom="1440" w:gutter="0" w:footer="0" w:header="0"/>
        </w:sectPr>
      </w:pPr>
    </w:p>
    <w:bookmarkStart w:id="162" w:name="page163"/>
    <w:bookmarkEnd w:id="162"/>
    <w:p>
      <w:pPr>
        <w:jc w:val="both"/>
        <w:ind w:left="100" w:right="59"/>
        <w:spacing w:after="0" w:line="241" w:lineRule="auto"/>
        <w:rPr>
          <w:sz w:val="20"/>
          <w:szCs w:val="20"/>
          <w:color w:val="auto"/>
        </w:rPr>
      </w:pPr>
      <w:r>
        <w:rPr>
          <w:rFonts w:ascii="Arial" w:cs="Arial" w:eastAsia="Arial" w:hAnsi="Arial"/>
          <w:sz w:val="19"/>
          <w:szCs w:val="19"/>
          <w:color w:val="auto"/>
        </w:rPr>
        <w:t>any Issuing Bank). Fees paid shall not be refundable under any circumstance except as otherwise provided in the Fee Letter. Fees payable hereunder shall accrue through and including the last day of the month immediately preceding the applicable fee payment date.</w:t>
      </w:r>
    </w:p>
    <w:p>
      <w:pPr>
        <w:spacing w:after="0" w:line="179" w:lineRule="exact"/>
        <w:rPr>
          <w:sz w:val="20"/>
          <w:szCs w:val="20"/>
          <w:color w:val="auto"/>
        </w:rPr>
      </w:pPr>
    </w:p>
    <w:p>
      <w:pPr>
        <w:ind w:left="1600" w:hanging="758"/>
        <w:spacing w:after="0"/>
        <w:tabs>
          <w:tab w:leader="none" w:pos="160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[Reserved].</w:t>
      </w:r>
    </w:p>
    <w:p>
      <w:pPr>
        <w:spacing w:after="0" w:line="213" w:lineRule="exact"/>
        <w:rPr>
          <w:rFonts w:ascii="Arial" w:cs="Arial" w:eastAsia="Arial" w:hAnsi="Arial"/>
          <w:sz w:val="19"/>
          <w:szCs w:val="19"/>
          <w:color w:val="auto"/>
        </w:rPr>
      </w:pPr>
    </w:p>
    <w:p>
      <w:pPr>
        <w:jc w:val="both"/>
        <w:ind w:left="100" w:right="39" w:firstLine="741"/>
        <w:spacing w:after="0" w:line="301" w:lineRule="auto"/>
        <w:tabs>
          <w:tab w:leader="none" w:pos="1521" w:val="left"/>
        </w:tabs>
        <w:numPr>
          <w:ilvl w:val="0"/>
          <w:numId w:val="154"/>
        </w:numPr>
        <w:rPr>
          <w:rFonts w:ascii="Arial" w:cs="Arial" w:eastAsia="Arial" w:hAnsi="Arial"/>
          <w:sz w:val="17"/>
          <w:szCs w:val="17"/>
          <w:color w:val="auto"/>
        </w:rPr>
      </w:pPr>
      <w:r>
        <w:rPr>
          <w:rFonts w:ascii="Arial" w:cs="Arial" w:eastAsia="Arial" w:hAnsi="Arial"/>
          <w:sz w:val="17"/>
          <w:szCs w:val="17"/>
          <w:color w:val="auto"/>
        </w:rPr>
        <w:t>Unless otherwise indicated herein, all computations of fees shall be made on the basis of a 360-day year and shall be payable for the actual days elapsed (including the first day but excluding the last day). Each determination by the Administrative Agent of the amount of any fee hereunder shall be conclusive and binding for all purposes, absent manifest error.</w:t>
      </w:r>
    </w:p>
    <w:p>
      <w:pPr>
        <w:spacing w:after="0" w:line="142"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2.13.  </w:t>
      </w:r>
      <w:r>
        <w:rPr>
          <w:rFonts w:ascii="Arial" w:cs="Arial" w:eastAsia="Arial" w:hAnsi="Arial"/>
          <w:sz w:val="19"/>
          <w:szCs w:val="19"/>
          <w:u w:val="single" w:color="auto"/>
          <w:color w:val="auto"/>
        </w:rPr>
        <w:t>Interest</w:t>
      </w:r>
      <w:r>
        <w:rPr>
          <w:rFonts w:ascii="Arial" w:cs="Arial" w:eastAsia="Arial" w:hAnsi="Arial"/>
          <w:sz w:val="19"/>
          <w:szCs w:val="19"/>
          <w:color w:val="auto"/>
        </w:rPr>
        <w:t>.</w:t>
      </w:r>
    </w:p>
    <w:p>
      <w:pPr>
        <w:spacing w:after="0" w:line="200" w:lineRule="exact"/>
        <w:rPr>
          <w:sz w:val="20"/>
          <w:szCs w:val="20"/>
          <w:color w:val="auto"/>
        </w:rPr>
      </w:pPr>
    </w:p>
    <w:p>
      <w:pPr>
        <w:ind w:left="100" w:right="59" w:firstLine="741"/>
        <w:spacing w:after="0" w:line="261" w:lineRule="auto"/>
        <w:tabs>
          <w:tab w:leader="none" w:pos="1520" w:val="left"/>
        </w:tabs>
        <w:numPr>
          <w:ilvl w:val="2"/>
          <w:numId w:val="155"/>
        </w:numPr>
        <w:rPr>
          <w:rFonts w:ascii="Arial" w:cs="Arial" w:eastAsia="Arial" w:hAnsi="Arial"/>
          <w:sz w:val="19"/>
          <w:szCs w:val="19"/>
          <w:color w:val="auto"/>
        </w:rPr>
      </w:pPr>
      <w:r>
        <w:rPr>
          <w:rFonts w:ascii="Arial" w:cs="Arial" w:eastAsia="Arial" w:hAnsi="Arial"/>
          <w:sz w:val="19"/>
          <w:szCs w:val="19"/>
          <w:color w:val="auto"/>
        </w:rPr>
        <w:t xml:space="preserve">The Term Loans, the Revolving Loans and the Swing Loans, in each case, comprising each ABR Borrowing shall bear interest at the Alternate Base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w:t>
      </w:r>
    </w:p>
    <w:p>
      <w:pPr>
        <w:spacing w:after="0" w:line="172" w:lineRule="exact"/>
        <w:rPr>
          <w:rFonts w:ascii="Arial" w:cs="Arial" w:eastAsia="Arial" w:hAnsi="Arial"/>
          <w:sz w:val="19"/>
          <w:szCs w:val="19"/>
          <w:color w:val="auto"/>
        </w:rPr>
      </w:pPr>
    </w:p>
    <w:p>
      <w:pPr>
        <w:jc w:val="both"/>
        <w:ind w:left="100" w:right="59" w:firstLine="742"/>
        <w:spacing w:after="0" w:line="245" w:lineRule="auto"/>
        <w:tabs>
          <w:tab w:leader="none" w:pos="1520" w:val="left"/>
        </w:tabs>
        <w:numPr>
          <w:ilvl w:val="2"/>
          <w:numId w:val="155"/>
        </w:numPr>
        <w:rPr>
          <w:rFonts w:ascii="Arial" w:cs="Arial" w:eastAsia="Arial" w:hAnsi="Arial"/>
          <w:sz w:val="19"/>
          <w:szCs w:val="19"/>
          <w:color w:val="auto"/>
        </w:rPr>
      </w:pPr>
      <w:r>
        <w:rPr>
          <w:rFonts w:ascii="Arial" w:cs="Arial" w:eastAsia="Arial" w:hAnsi="Arial"/>
          <w:sz w:val="19"/>
          <w:szCs w:val="19"/>
          <w:color w:val="auto"/>
        </w:rPr>
        <w:t xml:space="preserve">The Term Loans and the Revolving Loans, in each case, comprising each </w:t>
      </w:r>
      <w:r>
        <w:rPr>
          <w:rFonts w:ascii="Arial" w:cs="Arial" w:eastAsia="Arial" w:hAnsi="Arial"/>
          <w:sz w:val="19"/>
          <w:szCs w:val="19"/>
          <w:color w:val="FF0000"/>
          <w:strike w:val="1"/>
        </w:rPr>
        <w:t>LIBO Rate Borrowing (with any</w:t>
      </w:r>
      <w:r>
        <w:rPr>
          <w:rFonts w:ascii="Arial" w:cs="Arial" w:eastAsia="Arial" w:hAnsi="Arial"/>
          <w:sz w:val="19"/>
          <w:szCs w:val="19"/>
          <w:color w:val="auto"/>
        </w:rPr>
        <w:t xml:space="preserve"> </w:t>
      </w:r>
      <w:r>
        <w:rPr>
          <w:rFonts w:ascii="Arial" w:cs="Arial" w:eastAsia="Arial" w:hAnsi="Arial"/>
          <w:sz w:val="19"/>
          <w:szCs w:val="19"/>
          <w:color w:val="FF0000"/>
          <w:strike w:val="1"/>
        </w:rPr>
        <w:t>Revolving Loans denominated in any Alternate Currency being required to compr ise a LIBO Rate Borrowing)</w:t>
      </w:r>
      <w:r>
        <w:rPr>
          <w:rFonts w:ascii="Arial" w:cs="Arial" w:eastAsia="Arial" w:hAnsi="Arial"/>
          <w:sz w:val="19"/>
          <w:szCs w:val="19"/>
          <w:u w:val="single" w:color="auto"/>
          <w:color w:val="0000FF"/>
          <w:strike w:val="1"/>
        </w:rPr>
        <w:t>Term SOFR</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Borrowing</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shall bear interest at</w:t>
      </w:r>
      <w:r>
        <w:rPr>
          <w:rFonts w:ascii="Arial" w:cs="Arial" w:eastAsia="Arial" w:hAnsi="Arial"/>
          <w:sz w:val="19"/>
          <w:szCs w:val="19"/>
          <w:color w:val="0000FF"/>
          <w:strike w:val="1"/>
        </w:rPr>
        <w:t xml:space="preserve"> </w:t>
      </w:r>
      <w:r>
        <w:rPr>
          <w:rFonts w:ascii="Arial" w:cs="Arial" w:eastAsia="Arial" w:hAnsi="Arial"/>
          <w:sz w:val="19"/>
          <w:szCs w:val="19"/>
          <w:color w:val="FF0000"/>
          <w:strike w:val="1"/>
        </w:rPr>
        <w:t>the LIBO Rate</w:t>
      </w:r>
      <w:r>
        <w:rPr>
          <w:rFonts w:ascii="Arial" w:cs="Arial" w:eastAsia="Arial" w:hAnsi="Arial"/>
          <w:sz w:val="19"/>
          <w:szCs w:val="19"/>
          <w:u w:val="single" w:color="auto"/>
          <w:color w:val="0000FF"/>
          <w:strike w:val="1"/>
        </w:rPr>
        <w:t>Term SOFR</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for the Interest Period in effect for such Borrowing</w:t>
      </w:r>
      <w:r>
        <w:rPr>
          <w:rFonts w:ascii="Arial" w:cs="Arial" w:eastAsia="Arial" w:hAnsi="Arial"/>
          <w:sz w:val="19"/>
          <w:szCs w:val="19"/>
          <w:color w:val="0000FF"/>
          <w:strike w:val="1"/>
        </w:rPr>
        <w:t xml:space="preserve"> </w:t>
      </w:r>
      <w:r>
        <w:rPr>
          <w:rFonts w:ascii="Arial" w:cs="Arial" w:eastAsia="Arial" w:hAnsi="Arial"/>
          <w:sz w:val="19"/>
          <w:szCs w:val="19"/>
          <w:u w:val="single" w:color="auto"/>
          <w:color w:val="000000"/>
          <w:strike w:val="1"/>
        </w:rPr>
        <w:t>plus</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the Applicable</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Rate.</w:t>
      </w:r>
    </w:p>
    <w:p>
      <w:pPr>
        <w:spacing w:after="0" w:line="268" w:lineRule="exact"/>
        <w:rPr>
          <w:rFonts w:ascii="Arial" w:cs="Arial" w:eastAsia="Arial" w:hAnsi="Arial"/>
          <w:sz w:val="19"/>
          <w:szCs w:val="19"/>
          <w:color w:val="auto"/>
        </w:rPr>
      </w:pPr>
    </w:p>
    <w:p>
      <w:pPr>
        <w:ind w:left="1600" w:hanging="758"/>
        <w:spacing w:after="0"/>
        <w:tabs>
          <w:tab w:leader="none" w:pos="1600" w:val="left"/>
        </w:tabs>
        <w:numPr>
          <w:ilvl w:val="2"/>
          <w:numId w:val="155"/>
        </w:numPr>
        <w:rPr>
          <w:rFonts w:ascii="Arial" w:cs="Arial" w:eastAsia="Arial" w:hAnsi="Arial"/>
          <w:sz w:val="19"/>
          <w:szCs w:val="19"/>
          <w:color w:val="auto"/>
        </w:rPr>
      </w:pPr>
      <w:r>
        <w:rPr>
          <w:rFonts w:ascii="Arial" w:cs="Arial" w:eastAsia="Arial" w:hAnsi="Arial"/>
          <w:sz w:val="19"/>
          <w:szCs w:val="19"/>
          <w:color w:val="auto"/>
        </w:rPr>
        <w:t>[Reserved].</w:t>
      </w:r>
    </w:p>
    <w:p>
      <w:pPr>
        <w:spacing w:after="0" w:line="213" w:lineRule="exact"/>
        <w:rPr>
          <w:rFonts w:ascii="Arial" w:cs="Arial" w:eastAsia="Arial" w:hAnsi="Arial"/>
          <w:sz w:val="19"/>
          <w:szCs w:val="19"/>
          <w:color w:val="auto"/>
        </w:rPr>
      </w:pPr>
    </w:p>
    <w:p>
      <w:pPr>
        <w:jc w:val="both"/>
        <w:ind w:left="100" w:right="59" w:firstLine="741"/>
        <w:spacing w:after="0"/>
        <w:tabs>
          <w:tab w:leader="none" w:pos="1519" w:val="left"/>
        </w:tabs>
        <w:numPr>
          <w:ilvl w:val="2"/>
          <w:numId w:val="155"/>
        </w:numPr>
        <w:rPr>
          <w:rFonts w:ascii="Arial" w:cs="Arial" w:eastAsia="Arial" w:hAnsi="Arial"/>
          <w:sz w:val="19"/>
          <w:szCs w:val="19"/>
          <w:color w:val="auto"/>
        </w:rPr>
      </w:pPr>
      <w:r>
        <w:rPr>
          <w:rFonts w:ascii="Arial" w:cs="Arial" w:eastAsia="Arial" w:hAnsi="Arial"/>
          <w:sz w:val="19"/>
          <w:szCs w:val="19"/>
          <w:color w:val="auto"/>
        </w:rPr>
        <w:t xml:space="preserve">Notwithstanding the foregoing but in all cases subject to </w:t>
      </w:r>
      <w:r>
        <w:rPr>
          <w:rFonts w:ascii="Arial" w:cs="Arial" w:eastAsia="Arial" w:hAnsi="Arial"/>
          <w:sz w:val="19"/>
          <w:szCs w:val="19"/>
          <w:u w:val="single" w:color="auto"/>
          <w:color w:val="auto"/>
        </w:rPr>
        <w:t>Section 9.05(f)</w:t>
      </w:r>
      <w:r>
        <w:rPr>
          <w:rFonts w:ascii="Arial" w:cs="Arial" w:eastAsia="Arial" w:hAnsi="Arial"/>
          <w:sz w:val="19"/>
          <w:szCs w:val="19"/>
          <w:color w:val="auto"/>
        </w:rPr>
        <w:t>, if any principal of or interest on any Term Loan, Revolving Loan or Swingline Loan, any LC Disbursement or other amount payable by the Borrower hereunder is not, in each case, paid or reimbursed when due, whether at stated maturity, upon acceleration or otherwise, the relevant overdue amount shall bear interest, to the fullest extent permitted by applicable Requirements of Law, after as well as before judgment, at a rate per annum equal to</w:t>
      </w:r>
    </w:p>
    <w:p>
      <w:pPr>
        <w:spacing w:after="0" w:line="3" w:lineRule="exact"/>
        <w:rPr>
          <w:rFonts w:ascii="Arial" w:cs="Arial" w:eastAsia="Arial" w:hAnsi="Arial"/>
          <w:sz w:val="19"/>
          <w:szCs w:val="19"/>
          <w:color w:val="auto"/>
        </w:rPr>
      </w:pPr>
    </w:p>
    <w:p>
      <w:pPr>
        <w:jc w:val="both"/>
        <w:ind w:left="100" w:right="19" w:hanging="7"/>
        <w:spacing w:after="0" w:line="262" w:lineRule="auto"/>
        <w:tabs>
          <w:tab w:leader="none" w:pos="378" w:val="left"/>
        </w:tabs>
        <w:numPr>
          <w:ilvl w:val="1"/>
          <w:numId w:val="156"/>
        </w:numPr>
        <w:rPr>
          <w:rFonts w:ascii="Arial" w:cs="Arial" w:eastAsia="Arial" w:hAnsi="Arial"/>
          <w:sz w:val="17"/>
          <w:szCs w:val="17"/>
          <w:color w:val="auto"/>
        </w:rPr>
      </w:pPr>
      <w:r>
        <w:rPr>
          <w:rFonts w:ascii="Arial" w:cs="Arial" w:eastAsia="Arial" w:hAnsi="Arial"/>
          <w:sz w:val="17"/>
          <w:szCs w:val="17"/>
          <w:color w:val="auto"/>
        </w:rPr>
        <w:t xml:space="preserve">in the case of overdue principal or interest of any Term Loan, Revolving Loan, Swingline Loan or unreimbursed LC Disbursement, 2.00%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rate otherwise applicable to such Term Loan, Revolving Loan, Swingline Loan or LC Disbursement as provided in the preceding paragraphs of this Section or (ii) in the case of any fee and other amounts, 2.00%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rate applicable to Revolving Loans that are ABR Loans as provided in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amount shall accrue pursuant to this </w:t>
      </w:r>
      <w:r>
        <w:rPr>
          <w:rFonts w:ascii="Arial" w:cs="Arial" w:eastAsia="Arial" w:hAnsi="Arial"/>
          <w:sz w:val="17"/>
          <w:szCs w:val="17"/>
          <w:u w:val="single" w:color="auto"/>
          <w:color w:val="auto"/>
        </w:rPr>
        <w:t>Section 2.13(d)</w:t>
      </w:r>
      <w:r>
        <w:rPr>
          <w:rFonts w:ascii="Arial" w:cs="Arial" w:eastAsia="Arial" w:hAnsi="Arial"/>
          <w:sz w:val="17"/>
          <w:szCs w:val="17"/>
          <w:color w:val="auto"/>
        </w:rPr>
        <w:t xml:space="preserve"> on any overdue amount, reimbursement obligation in respect of any LC Disbursement or other amount that is payable to any Defaulting Lender so long as such Lender is a Defaulting Lender.</w:t>
      </w:r>
    </w:p>
    <w:p>
      <w:pPr>
        <w:spacing w:after="0" w:line="161" w:lineRule="exact"/>
        <w:rPr>
          <w:rFonts w:ascii="Arial" w:cs="Arial" w:eastAsia="Arial" w:hAnsi="Arial"/>
          <w:sz w:val="17"/>
          <w:szCs w:val="17"/>
          <w:color w:val="auto"/>
        </w:rPr>
      </w:pPr>
    </w:p>
    <w:p>
      <w:pPr>
        <w:jc w:val="both"/>
        <w:ind w:left="100" w:right="39" w:firstLine="741"/>
        <w:spacing w:after="0" w:line="271" w:lineRule="auto"/>
        <w:tabs>
          <w:tab w:leader="none" w:pos="1522" w:val="left"/>
        </w:tabs>
        <w:numPr>
          <w:ilvl w:val="2"/>
          <w:numId w:val="156"/>
        </w:numPr>
        <w:rPr>
          <w:rFonts w:ascii="Arial" w:cs="Arial" w:eastAsia="Arial" w:hAnsi="Arial"/>
          <w:sz w:val="17"/>
          <w:szCs w:val="17"/>
          <w:color w:val="auto"/>
        </w:rPr>
      </w:pPr>
      <w:r>
        <w:rPr>
          <w:rFonts w:ascii="Arial" w:cs="Arial" w:eastAsia="Arial" w:hAnsi="Arial"/>
          <w:sz w:val="17"/>
          <w:szCs w:val="17"/>
          <w:color w:val="auto"/>
        </w:rPr>
        <w:t>Accrued interest on each Term Loan, Revolving Loan and Swingline Loan shall be payable in arrears on each Interest Payment Date for such Term Loan, Revolving Loan or Swingline Loan and (i) on the Maturity Date applicable to such Loan, (ii) in the case of a Revolving Loan of any Class, upon termination of the Revolving Credit Commitments of such Class and</w:t>
      </w:r>
    </w:p>
    <w:p>
      <w:pPr>
        <w:spacing w:after="0" w:line="1" w:lineRule="exact"/>
        <w:rPr>
          <w:rFonts w:ascii="Arial" w:cs="Arial" w:eastAsia="Arial" w:hAnsi="Arial"/>
          <w:sz w:val="17"/>
          <w:szCs w:val="17"/>
          <w:color w:val="auto"/>
        </w:rPr>
      </w:pPr>
    </w:p>
    <w:p>
      <w:pPr>
        <w:ind w:left="420" w:hanging="327"/>
        <w:spacing w:after="0"/>
        <w:tabs>
          <w:tab w:leader="none" w:pos="42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 xml:space="preserve">in the case of any Swingline Loan, upon termination of all of the Revolving Credit Commitments,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20" w:lineRule="exact"/>
        <w:rPr>
          <w:rFonts w:ascii="Arial" w:cs="Arial" w:eastAsia="Arial" w:hAnsi="Arial"/>
          <w:sz w:val="17"/>
          <w:szCs w:val="17"/>
          <w:color w:val="auto"/>
        </w:rPr>
      </w:pPr>
    </w:p>
    <w:p>
      <w:pPr>
        <w:jc w:val="both"/>
        <w:ind w:left="100" w:right="19"/>
        <w:spacing w:after="0" w:line="257" w:lineRule="auto"/>
        <w:rPr>
          <w:rFonts w:ascii="Arial" w:cs="Arial" w:eastAsia="Arial" w:hAnsi="Arial"/>
          <w:sz w:val="17"/>
          <w:szCs w:val="17"/>
          <w:color w:val="auto"/>
        </w:rPr>
      </w:pPr>
      <w:r>
        <w:rPr>
          <w:rFonts w:ascii="Arial" w:cs="Arial" w:eastAsia="Arial" w:hAnsi="Arial"/>
          <w:sz w:val="18"/>
          <w:szCs w:val="18"/>
          <w:color w:val="auto"/>
        </w:rPr>
        <w:t xml:space="preserve">(A) interest accrued pursuant to </w:t>
      </w:r>
      <w:r>
        <w:rPr>
          <w:rFonts w:ascii="Arial" w:cs="Arial" w:eastAsia="Arial" w:hAnsi="Arial"/>
          <w:sz w:val="18"/>
          <w:szCs w:val="18"/>
          <w:u w:val="single" w:color="auto"/>
          <w:color w:val="auto"/>
        </w:rPr>
        <w:t>paragraph (d)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shall be payable on demand, (B) except as provided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2.11(b)(viii)</w:t>
      </w:r>
      <w:r>
        <w:rPr>
          <w:rFonts w:ascii="Arial" w:cs="Arial" w:eastAsia="Arial" w:hAnsi="Arial"/>
          <w:sz w:val="18"/>
          <w:szCs w:val="18"/>
          <w:color w:val="auto"/>
        </w:rPr>
        <w:t xml:space="preserve">, in the event of any repayment or prepayment of any Term Loan, Revolving Loan (other than an ABR Revolving Loan of any Class prior to the termination of the Revolving Credit Commitments of such Class) or Swingline Loan, accrued interest on the principal amount repaid or prepaid shall be payable on the date of such repayment or prepayment and (C) in the event of any conversion of any </w:t>
      </w:r>
      <w:r>
        <w:rPr>
          <w:rFonts w:ascii="Arial" w:cs="Arial" w:eastAsia="Arial" w:hAnsi="Arial"/>
          <w:sz w:val="18"/>
          <w:szCs w:val="18"/>
          <w:color w:val="FF0000"/>
          <w:strike w:val="1"/>
        </w:rPr>
        <w:t>LIBO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 prior to the end of the current Interest Period therefor, accrued interest on such Term Loan or Revolving Loan shall be payable on the effective date of such conversion.</w:t>
      </w:r>
    </w:p>
    <w:p>
      <w:pPr>
        <w:spacing w:after="0" w:line="179" w:lineRule="exact"/>
        <w:rPr>
          <w:rFonts w:ascii="Arial" w:cs="Arial" w:eastAsia="Arial" w:hAnsi="Arial"/>
          <w:sz w:val="17"/>
          <w:szCs w:val="17"/>
          <w:color w:val="auto"/>
        </w:rPr>
      </w:pPr>
    </w:p>
    <w:p>
      <w:pPr>
        <w:jc w:val="both"/>
        <w:ind w:left="100" w:right="19" w:firstLine="741"/>
        <w:spacing w:after="0" w:line="245" w:lineRule="auto"/>
        <w:tabs>
          <w:tab w:leader="none" w:pos="1522" w:val="left"/>
        </w:tabs>
        <w:numPr>
          <w:ilvl w:val="2"/>
          <w:numId w:val="157"/>
        </w:numPr>
        <w:rPr>
          <w:rFonts w:ascii="Arial" w:cs="Arial" w:eastAsia="Arial" w:hAnsi="Arial"/>
          <w:sz w:val="19"/>
          <w:szCs w:val="19"/>
          <w:color w:val="auto"/>
        </w:rPr>
      </w:pPr>
      <w:r>
        <w:rPr>
          <w:rFonts w:ascii="Arial" w:cs="Arial" w:eastAsia="Arial" w:hAnsi="Arial"/>
          <w:sz w:val="19"/>
          <w:szCs w:val="19"/>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95</w:t>
      </w:r>
      <w:r>
        <w:rPr>
          <w:rFonts w:ascii="Arial" w:cs="Arial" w:eastAsia="Arial" w:hAnsi="Arial"/>
          <w:sz w:val="18"/>
          <w:szCs w:val="18"/>
          <w:u w:val="single" w:color="auto"/>
          <w:color w:val="0000FF"/>
          <w:strike w:val="1"/>
        </w:rPr>
        <w:t>95</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63" w:name="page164"/>
    <w:bookmarkEnd w:id="163"/>
    <w:p>
      <w:pPr>
        <w:jc w:val="both"/>
        <w:ind w:left="100" w:right="59"/>
        <w:spacing w:after="0" w:line="236" w:lineRule="auto"/>
        <w:rPr>
          <w:sz w:val="20"/>
          <w:szCs w:val="20"/>
          <w:color w:val="auto"/>
        </w:rPr>
      </w:pPr>
      <w:r>
        <w:rPr>
          <w:rFonts w:ascii="Arial" w:cs="Arial" w:eastAsia="Arial" w:hAnsi="Arial"/>
          <w:sz w:val="19"/>
          <w:szCs w:val="19"/>
          <w:color w:val="auto"/>
        </w:rPr>
        <w:t xml:space="preserve">The applicable Alternate Base Rate or </w:t>
      </w:r>
      <w:r>
        <w:rPr>
          <w:rFonts w:ascii="Arial" w:cs="Arial" w:eastAsia="Arial" w:hAnsi="Arial"/>
          <w:sz w:val="19"/>
          <w:szCs w:val="19"/>
          <w:color w:val="FF0000"/>
          <w:strike w:val="1"/>
        </w:rPr>
        <w:t>LIBO Rate</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shall be determined by the Administrative Agent, and such determination shall be conclusive absent manifest error. Interest shall accrue on each Loan for the day on which the Loan is made and shall not accrue on a Loan, or any portion thereof, for the day on which the Loan or such portion is 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Loan that is repaid on the same day on which it is made shall bear interest for one day.</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2.14.  </w:t>
      </w:r>
      <w:r>
        <w:rPr>
          <w:rFonts w:ascii="Arial" w:cs="Arial" w:eastAsia="Arial" w:hAnsi="Arial"/>
          <w:sz w:val="19"/>
          <w:szCs w:val="19"/>
          <w:color w:val="FF0000"/>
          <w:strike w:val="1"/>
        </w:rPr>
        <w:t>Alternate Rate of Interest</w:t>
      </w:r>
      <w:r>
        <w:rPr>
          <w:rFonts w:ascii="Arial" w:cs="Arial" w:eastAsia="Arial" w:hAnsi="Arial"/>
          <w:sz w:val="19"/>
          <w:szCs w:val="19"/>
          <w:u w:val="single" w:color="auto"/>
          <w:color w:val="0000FF"/>
        </w:rPr>
        <w:t>Inability to Determine Rates</w:t>
      </w:r>
      <w:r>
        <w:rPr>
          <w:rFonts w:ascii="Arial" w:cs="Arial" w:eastAsia="Arial" w:hAnsi="Arial"/>
          <w:sz w:val="19"/>
          <w:szCs w:val="19"/>
          <w:color w:val="auto"/>
        </w:rPr>
        <w:t>.</w:t>
      </w:r>
    </w:p>
    <w:p>
      <w:pPr>
        <w:spacing w:after="0" w:line="281" w:lineRule="exact"/>
        <w:rPr>
          <w:sz w:val="20"/>
          <w:szCs w:val="20"/>
          <w:color w:val="auto"/>
        </w:rPr>
      </w:pPr>
    </w:p>
    <w:p>
      <w:pPr>
        <w:ind w:left="100" w:right="619" w:firstLine="749"/>
        <w:spacing w:after="0" w:line="246" w:lineRule="auto"/>
        <w:rPr>
          <w:sz w:val="20"/>
          <w:szCs w:val="20"/>
          <w:color w:val="auto"/>
        </w:rPr>
      </w:pPr>
      <w:r>
        <w:rPr>
          <w:rFonts w:ascii="Arial" w:cs="Arial" w:eastAsia="Arial" w:hAnsi="Arial"/>
          <w:sz w:val="19"/>
          <w:szCs w:val="19"/>
          <w:u w:val="single" w:color="auto"/>
          <w:color w:val="0000FF"/>
        </w:rPr>
        <w:t>If in connection with any request for a Term SOFR Loan or a conversion of ABR Loans to Term SOFR Loans or a continuation of any of such Loans, as applicable:</w:t>
      </w:r>
    </w:p>
    <w:p>
      <w:pPr>
        <w:spacing w:after="0" w:line="254" w:lineRule="exact"/>
        <w:rPr>
          <w:sz w:val="20"/>
          <w:szCs w:val="20"/>
          <w:color w:val="auto"/>
        </w:rPr>
      </w:pPr>
    </w:p>
    <w:p>
      <w:pPr>
        <w:jc w:val="both"/>
        <w:ind w:left="100" w:right="59" w:firstLine="741"/>
        <w:spacing w:after="0" w:line="233" w:lineRule="auto"/>
        <w:tabs>
          <w:tab w:leader="none" w:pos="1133" w:val="left"/>
        </w:tabs>
        <w:numPr>
          <w:ilvl w:val="0"/>
          <w:numId w:val="158"/>
        </w:numPr>
        <w:rPr>
          <w:rFonts w:ascii="Arial" w:cs="Arial" w:eastAsia="Arial" w:hAnsi="Arial"/>
          <w:sz w:val="19"/>
          <w:szCs w:val="19"/>
          <w:color w:val="0000FF"/>
        </w:rPr>
      </w:pPr>
      <w:r>
        <w:rPr>
          <w:rFonts w:ascii="Arial" w:cs="Arial" w:eastAsia="Arial" w:hAnsi="Arial"/>
          <w:sz w:val="19"/>
          <w:szCs w:val="19"/>
          <w:u w:val="single" w:color="auto"/>
          <w:color w:val="0000FF"/>
        </w:rPr>
        <w:t>the Administrative Agent determines (which determination shall be conclusive absent</w:t>
      </w:r>
      <w:r>
        <w:rPr>
          <w:rFonts w:ascii="Arial" w:cs="Arial" w:eastAsia="Arial" w:hAnsi="Arial"/>
          <w:sz w:val="19"/>
          <w:szCs w:val="19"/>
          <w:color w:val="0000FF"/>
        </w:rPr>
        <w:t xml:space="preserve"> manifest error) that (A) no Successor Rate has been determined in accordance with Section 1.13, and the circumstances under Section 1.13(a) or the Scheduled Unavailability Date has occurred, or (B) adequate and reasonable means do not exist for determining Term SOFR for any requested Interest Period with respect to a proposed Term SOFR Loan or in connection with an existing or proposed </w:t>
      </w:r>
      <w:r>
        <w:rPr>
          <w:rFonts w:ascii="Arial" w:cs="Arial" w:eastAsia="Arial" w:hAnsi="Arial"/>
          <w:sz w:val="19"/>
          <w:szCs w:val="19"/>
          <w:u w:val="single" w:color="auto"/>
          <w:color w:val="0000FF"/>
        </w:rPr>
        <w:t>ABR</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Loan; or</w:t>
      </w:r>
    </w:p>
    <w:p>
      <w:pPr>
        <w:spacing w:after="0" w:line="276" w:lineRule="exact"/>
        <w:rPr>
          <w:sz w:val="20"/>
          <w:szCs w:val="20"/>
          <w:color w:val="auto"/>
        </w:rPr>
      </w:pPr>
    </w:p>
    <w:p>
      <w:pPr>
        <w:ind w:left="840"/>
        <w:spacing w:after="0"/>
        <w:rPr>
          <w:sz w:val="20"/>
          <w:szCs w:val="20"/>
          <w:color w:val="auto"/>
        </w:rPr>
      </w:pPr>
      <w:r>
        <w:rPr>
          <w:rFonts w:ascii="Arial" w:cs="Arial" w:eastAsia="Arial" w:hAnsi="Arial"/>
          <w:sz w:val="19"/>
          <w:szCs w:val="19"/>
          <w:color w:val="FF0000"/>
          <w:strike w:val="1"/>
        </w:rPr>
        <w:t>If, pr ior to the commencement of any Interest Per iod for a LIBO Rate Borrowing:</w:t>
      </w:r>
    </w:p>
    <w:p>
      <w:pPr>
        <w:spacing w:after="0" w:line="281" w:lineRule="exact"/>
        <w:rPr>
          <w:sz w:val="20"/>
          <w:szCs w:val="20"/>
          <w:color w:val="auto"/>
        </w:rPr>
      </w:pPr>
    </w:p>
    <w:p>
      <w:pPr>
        <w:jc w:val="both"/>
        <w:ind w:left="100" w:right="39" w:firstLine="741"/>
        <w:spacing w:after="0" w:line="278" w:lineRule="auto"/>
        <w:tabs>
          <w:tab w:leader="none" w:pos="1520" w:val="left"/>
        </w:tabs>
        <w:numPr>
          <w:ilvl w:val="0"/>
          <w:numId w:val="159"/>
        </w:numPr>
        <w:rPr>
          <w:rFonts w:ascii="Arial" w:cs="Arial" w:eastAsia="Arial" w:hAnsi="Arial"/>
          <w:sz w:val="17"/>
          <w:szCs w:val="17"/>
          <w:color w:val="auto"/>
          <w:strike w:val="1"/>
        </w:rPr>
      </w:pPr>
      <w:r>
        <w:rPr>
          <w:rFonts w:ascii="Arial" w:cs="Arial" w:eastAsia="Arial" w:hAnsi="Arial"/>
          <w:sz w:val="17"/>
          <w:szCs w:val="17"/>
          <w:color w:val="FF0000"/>
          <w:strike w:val="1"/>
        </w:rPr>
        <w:t>subject to, and without limitation of,</w:t>
      </w:r>
      <w:r>
        <w:rPr>
          <w:rFonts w:ascii="Arial" w:cs="Arial" w:eastAsia="Arial" w:hAnsi="Arial"/>
          <w:sz w:val="17"/>
          <w:szCs w:val="17"/>
          <w:color w:val="FF0000"/>
        </w:rPr>
        <w:t xml:space="preserve"> </w:t>
      </w:r>
      <w:r>
        <w:rPr>
          <w:rFonts w:ascii="Arial" w:cs="Arial" w:eastAsia="Arial" w:hAnsi="Arial"/>
          <w:sz w:val="17"/>
          <w:szCs w:val="17"/>
          <w:u w:val="single" w:color="auto"/>
          <w:color w:val="FF0000"/>
          <w:strike w:val="1"/>
        </w:rPr>
        <w:t>Section 1.13</w:t>
      </w:r>
      <w:r>
        <w:rPr>
          <w:rFonts w:ascii="Arial" w:cs="Arial" w:eastAsia="Arial" w:hAnsi="Arial"/>
          <w:sz w:val="17"/>
          <w:szCs w:val="17"/>
          <w:color w:val="FF0000"/>
          <w:strike w:val="1"/>
        </w:rPr>
        <w:t>, if the Administrative Agent determines</w:t>
      </w:r>
      <w:r>
        <w:rPr>
          <w:rFonts w:ascii="Arial" w:cs="Arial" w:eastAsia="Arial" w:hAnsi="Arial"/>
          <w:sz w:val="17"/>
          <w:szCs w:val="17"/>
          <w:color w:val="FF0000"/>
        </w:rPr>
        <w:t xml:space="preserve"> (which determination shall be conclusive absent manifest error) that (i) adequate and reasonable means do not exist for ascertaining the LIBO Rate for such Interest Period (and the circumstances described in </w:t>
      </w:r>
      <w:r>
        <w:rPr>
          <w:rFonts w:ascii="Arial" w:cs="Arial" w:eastAsia="Arial" w:hAnsi="Arial"/>
          <w:sz w:val="17"/>
          <w:szCs w:val="17"/>
          <w:u w:val="single" w:color="auto"/>
          <w:color w:val="FF0000"/>
        </w:rPr>
        <w:t>Section 1.13</w:t>
      </w:r>
      <w:r>
        <w:rPr>
          <w:rFonts w:ascii="Arial" w:cs="Arial" w:eastAsia="Arial" w:hAnsi="Arial"/>
          <w:sz w:val="17"/>
          <w:szCs w:val="17"/>
          <w:color w:val="FF0000"/>
        </w:rPr>
        <w:t xml:space="preserve"> do not apply) or (ii) deposits in Dollars are not being offered to banks in the applicable offshore interbank eurodollar market for such currency for the applicable amount and Interest Period </w:t>
      </w:r>
      <w:r>
        <w:rPr>
          <w:rFonts w:ascii="Arial" w:cs="Arial" w:eastAsia="Arial" w:hAnsi="Arial"/>
          <w:sz w:val="17"/>
          <w:szCs w:val="17"/>
          <w:color w:val="FF0000"/>
          <w:strike w:val="1"/>
        </w:rPr>
        <w:t>of</w:t>
      </w:r>
      <w:r>
        <w:rPr>
          <w:rFonts w:ascii="Arial" w:cs="Arial" w:eastAsia="Arial" w:hAnsi="Arial"/>
          <w:sz w:val="17"/>
          <w:szCs w:val="17"/>
          <w:color w:val="FF0000"/>
        </w:rPr>
        <w:t xml:space="preserve"> </w:t>
      </w:r>
      <w:r>
        <w:rPr>
          <w:rFonts w:ascii="Arial" w:cs="Arial" w:eastAsia="Arial" w:hAnsi="Arial"/>
          <w:sz w:val="17"/>
          <w:szCs w:val="17"/>
          <w:color w:val="FF0000"/>
          <w:strike w:val="1"/>
        </w:rPr>
        <w:t xml:space="preserve">such LIBO Rate Loan (in each respect of each of </w:t>
      </w:r>
      <w:r>
        <w:rPr>
          <w:rFonts w:ascii="Arial" w:cs="Arial" w:eastAsia="Arial" w:hAnsi="Arial"/>
          <w:sz w:val="17"/>
          <w:szCs w:val="17"/>
          <w:u w:val="single" w:color="auto"/>
          <w:color w:val="FF0000"/>
          <w:strike w:val="1"/>
        </w:rPr>
        <w:t>clauses (i)</w:t>
      </w:r>
      <w:r>
        <w:rPr>
          <w:rFonts w:ascii="Arial" w:cs="Arial" w:eastAsia="Arial" w:hAnsi="Arial"/>
          <w:sz w:val="17"/>
          <w:szCs w:val="17"/>
          <w:color w:val="FF0000"/>
          <w:strike w:val="1"/>
        </w:rPr>
        <w:t xml:space="preserve"> and </w:t>
      </w:r>
      <w:r>
        <w:rPr>
          <w:rFonts w:ascii="Arial" w:cs="Arial" w:eastAsia="Arial" w:hAnsi="Arial"/>
          <w:sz w:val="17"/>
          <w:szCs w:val="17"/>
          <w:u w:val="single" w:color="auto"/>
          <w:color w:val="FF0000"/>
          <w:strike w:val="1"/>
        </w:rPr>
        <w:t>(ii)</w:t>
      </w:r>
      <w:r>
        <w:rPr>
          <w:rFonts w:ascii="Arial" w:cs="Arial" w:eastAsia="Arial" w:hAnsi="Arial"/>
          <w:sz w:val="17"/>
          <w:szCs w:val="17"/>
          <w:color w:val="FF0000"/>
          <w:strike w:val="1"/>
        </w:rPr>
        <w:t>, “</w:t>
      </w:r>
      <w:r>
        <w:rPr>
          <w:rFonts w:ascii="Arial" w:cs="Arial" w:eastAsia="Arial" w:hAnsi="Arial"/>
          <w:sz w:val="17"/>
          <w:szCs w:val="17"/>
          <w:u w:val="single" w:color="auto"/>
          <w:color w:val="FF0000"/>
          <w:strike w:val="1"/>
        </w:rPr>
        <w:t>Impacted Loans</w:t>
      </w:r>
      <w:r>
        <w:rPr>
          <w:rFonts w:ascii="Arial" w:cs="Arial" w:eastAsia="Arial" w:hAnsi="Arial"/>
          <w:sz w:val="17"/>
          <w:szCs w:val="17"/>
          <w:color w:val="FF0000"/>
          <w:strike w:val="1"/>
        </w:rPr>
        <w:t>”); or</w:t>
      </w:r>
    </w:p>
    <w:p>
      <w:pPr>
        <w:spacing w:after="0" w:line="258" w:lineRule="exact"/>
        <w:rPr>
          <w:rFonts w:ascii="Arial" w:cs="Arial" w:eastAsia="Arial" w:hAnsi="Arial"/>
          <w:sz w:val="17"/>
          <w:szCs w:val="17"/>
          <w:color w:val="auto"/>
          <w:strike w:val="1"/>
        </w:rPr>
      </w:pPr>
    </w:p>
    <w:p>
      <w:pPr>
        <w:jc w:val="both"/>
        <w:ind w:left="100" w:right="59" w:firstLine="741"/>
        <w:spacing w:after="0" w:line="283" w:lineRule="auto"/>
        <w:tabs>
          <w:tab w:leader="none" w:pos="1520" w:val="left"/>
        </w:tabs>
        <w:numPr>
          <w:ilvl w:val="0"/>
          <w:numId w:val="159"/>
        </w:numPr>
        <w:rPr>
          <w:rFonts w:ascii="Arial" w:cs="Arial" w:eastAsia="Arial" w:hAnsi="Arial"/>
          <w:sz w:val="17"/>
          <w:szCs w:val="17"/>
          <w:color w:val="auto"/>
          <w:strike w:val="1"/>
        </w:rPr>
      </w:pPr>
      <w:r>
        <w:rPr>
          <w:rFonts w:ascii="Arial" w:cs="Arial" w:eastAsia="Arial" w:hAnsi="Arial"/>
          <w:sz w:val="17"/>
          <w:szCs w:val="17"/>
          <w:color w:val="auto"/>
        </w:rPr>
        <w:t xml:space="preserve">the Administrative Agent </w:t>
      </w:r>
      <w:r>
        <w:rPr>
          <w:rFonts w:ascii="Arial" w:cs="Arial" w:eastAsia="Arial" w:hAnsi="Arial"/>
          <w:sz w:val="17"/>
          <w:szCs w:val="17"/>
          <w:color w:val="FF0000"/>
          <w:strike w:val="1"/>
        </w:rPr>
        <w:t>is advised by</w:t>
      </w:r>
      <w:r>
        <w:rPr>
          <w:rFonts w:ascii="Arial" w:cs="Arial" w:eastAsia="Arial" w:hAnsi="Arial"/>
          <w:sz w:val="17"/>
          <w:szCs w:val="17"/>
          <w:u w:val="single" w:color="auto"/>
          <w:color w:val="0000FF"/>
        </w:rPr>
        <w:t>or</w:t>
      </w:r>
      <w:r>
        <w:rPr>
          <w:rFonts w:ascii="Arial" w:cs="Arial" w:eastAsia="Arial" w:hAnsi="Arial"/>
          <w:sz w:val="17"/>
          <w:szCs w:val="17"/>
          <w:color w:val="auto"/>
        </w:rPr>
        <w:t xml:space="preserve"> the Required Lenders </w:t>
      </w:r>
      <w:r>
        <w:rPr>
          <w:rFonts w:ascii="Arial" w:cs="Arial" w:eastAsia="Arial" w:hAnsi="Arial"/>
          <w:sz w:val="17"/>
          <w:szCs w:val="17"/>
          <w:color w:val="FF0000"/>
          <w:strike w:val="1"/>
        </w:rPr>
        <w:t>in wr iting that the LIBO Rate for such</w:t>
      </w:r>
      <w:r>
        <w:rPr>
          <w:rFonts w:ascii="Arial" w:cs="Arial" w:eastAsia="Arial" w:hAnsi="Arial"/>
          <w:sz w:val="17"/>
          <w:szCs w:val="17"/>
          <w:u w:val="single" w:color="auto"/>
          <w:color w:val="0000FF"/>
        </w:rPr>
        <w:t>determine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that for any reason that Term SOFR for any requested</w:t>
      </w:r>
      <w:r>
        <w:rPr>
          <w:rFonts w:ascii="Arial" w:cs="Arial" w:eastAsia="Arial" w:hAnsi="Arial"/>
          <w:sz w:val="17"/>
          <w:szCs w:val="17"/>
          <w:color w:val="0000FF"/>
        </w:rPr>
        <w:t xml:space="preserve"> </w:t>
      </w:r>
      <w:r>
        <w:rPr>
          <w:rFonts w:ascii="Arial" w:cs="Arial" w:eastAsia="Arial" w:hAnsi="Arial"/>
          <w:sz w:val="17"/>
          <w:szCs w:val="17"/>
          <w:color w:val="000000"/>
        </w:rPr>
        <w:t>Interest Period</w:t>
      </w:r>
      <w:r>
        <w:rPr>
          <w:rFonts w:ascii="Arial" w:cs="Arial" w:eastAsia="Arial" w:hAnsi="Arial"/>
          <w:sz w:val="17"/>
          <w:szCs w:val="17"/>
          <w:color w:val="0000FF"/>
        </w:rPr>
        <w:t xml:space="preserve"> </w:t>
      </w:r>
      <w:r>
        <w:rPr>
          <w:rFonts w:ascii="Arial" w:cs="Arial" w:eastAsia="Arial" w:hAnsi="Arial"/>
          <w:sz w:val="17"/>
          <w:szCs w:val="17"/>
          <w:color w:val="FF0000"/>
          <w:strike w:val="1"/>
        </w:rPr>
        <w:t>will</w:t>
      </w:r>
      <w:r>
        <w:rPr>
          <w:rFonts w:ascii="Arial" w:cs="Arial" w:eastAsia="Arial" w:hAnsi="Arial"/>
          <w:sz w:val="17"/>
          <w:szCs w:val="17"/>
          <w:u w:val="single" w:color="auto"/>
          <w:color w:val="0000FF"/>
        </w:rPr>
        <w:t>with respect to a proposed Loan does</w:t>
      </w:r>
      <w:r>
        <w:rPr>
          <w:rFonts w:ascii="Arial" w:cs="Arial" w:eastAsia="Arial" w:hAnsi="Arial"/>
          <w:sz w:val="17"/>
          <w:szCs w:val="17"/>
          <w:color w:val="0000FF"/>
        </w:rPr>
        <w:t xml:space="preserve"> </w:t>
      </w:r>
      <w:r>
        <w:rPr>
          <w:rFonts w:ascii="Arial" w:cs="Arial" w:eastAsia="Arial" w:hAnsi="Arial"/>
          <w:sz w:val="17"/>
          <w:szCs w:val="17"/>
          <w:color w:val="000000"/>
        </w:rPr>
        <w:t>not adequately and</w:t>
      </w:r>
      <w:r>
        <w:rPr>
          <w:rFonts w:ascii="Arial" w:cs="Arial" w:eastAsia="Arial" w:hAnsi="Arial"/>
          <w:sz w:val="17"/>
          <w:szCs w:val="17"/>
          <w:color w:val="0000FF"/>
        </w:rPr>
        <w:t xml:space="preserve"> </w:t>
      </w:r>
      <w:r>
        <w:rPr>
          <w:rFonts w:ascii="Arial" w:cs="Arial" w:eastAsia="Arial" w:hAnsi="Arial"/>
          <w:sz w:val="17"/>
          <w:szCs w:val="17"/>
          <w:color w:val="000000"/>
        </w:rPr>
        <w:t xml:space="preserve">fairly reflect the cost to such Lenders of </w:t>
      </w:r>
      <w:r>
        <w:rPr>
          <w:rFonts w:ascii="Arial" w:cs="Arial" w:eastAsia="Arial" w:hAnsi="Arial"/>
          <w:sz w:val="17"/>
          <w:szCs w:val="17"/>
          <w:color w:val="FF0000"/>
          <w:strike w:val="1"/>
        </w:rPr>
        <w:t>making or maintaining their Loans included in such Borrowing for such Interest Per</w:t>
      </w:r>
      <w:r>
        <w:rPr>
          <w:rFonts w:ascii="Arial" w:cs="Arial" w:eastAsia="Arial" w:hAnsi="Arial"/>
          <w:sz w:val="17"/>
          <w:szCs w:val="17"/>
          <w:color w:val="000000"/>
        </w:rPr>
        <w:t xml:space="preserve"> </w:t>
      </w:r>
      <w:r>
        <w:rPr>
          <w:rFonts w:ascii="Arial" w:cs="Arial" w:eastAsia="Arial" w:hAnsi="Arial"/>
          <w:sz w:val="17"/>
          <w:szCs w:val="17"/>
          <w:color w:val="FF0000"/>
          <w:strike w:val="1"/>
        </w:rPr>
        <w:t>iod</w:t>
      </w:r>
      <w:r>
        <w:rPr>
          <w:rFonts w:ascii="Arial" w:cs="Arial" w:eastAsia="Arial" w:hAnsi="Arial"/>
          <w:sz w:val="17"/>
          <w:szCs w:val="17"/>
          <w:u w:val="single" w:color="auto"/>
          <w:color w:val="0000FF"/>
        </w:rPr>
        <w:t>funding such Loan, the Administrative Agent will promptly so notify the Borrower and each Lender</w:t>
      </w:r>
      <w:r>
        <w:rPr>
          <w:rFonts w:ascii="Arial" w:cs="Arial" w:eastAsia="Arial" w:hAnsi="Arial"/>
          <w:sz w:val="17"/>
          <w:szCs w:val="17"/>
          <w:color w:val="FF0000"/>
        </w:rPr>
        <w:t xml:space="preserve"> </w:t>
      </w:r>
      <w:r>
        <w:rPr>
          <w:rFonts w:ascii="Arial" w:cs="Arial" w:eastAsia="Arial" w:hAnsi="Arial"/>
          <w:sz w:val="17"/>
          <w:szCs w:val="17"/>
          <w:color w:val="000000"/>
        </w:rPr>
        <w:t>;</w:t>
      </w:r>
    </w:p>
    <w:p>
      <w:pPr>
        <w:spacing w:after="0" w:line="239" w:lineRule="exact"/>
        <w:rPr>
          <w:sz w:val="20"/>
          <w:szCs w:val="20"/>
          <w:color w:val="auto"/>
        </w:rPr>
      </w:pPr>
    </w:p>
    <w:p>
      <w:pPr>
        <w:jc w:val="both"/>
        <w:ind w:left="100" w:right="39" w:firstLine="749"/>
        <w:spacing w:after="0" w:line="256" w:lineRule="auto"/>
        <w:rPr>
          <w:sz w:val="20"/>
          <w:szCs w:val="20"/>
          <w:color w:val="auto"/>
        </w:rPr>
      </w:pPr>
      <w:r>
        <w:rPr>
          <w:rFonts w:ascii="Arial" w:cs="Arial" w:eastAsia="Arial" w:hAnsi="Arial"/>
          <w:sz w:val="17"/>
          <w:szCs w:val="17"/>
          <w:color w:val="FF0000"/>
          <w:strike w:val="1"/>
        </w:rPr>
        <w:t>then the Administrative Agent shall reasonably promptly give notice thereof to the Borrower</w:t>
      </w:r>
      <w:r>
        <w:rPr>
          <w:rFonts w:ascii="Arial" w:cs="Arial" w:eastAsia="Arial" w:hAnsi="Arial"/>
          <w:sz w:val="17"/>
          <w:szCs w:val="17"/>
          <w:color w:val="FF0000"/>
        </w:rPr>
        <w:t xml:space="preserve"> and the Lenders by telephone, facsimile or electronic mail promptly thereafter (but at least two Business Days prior to the fir st day of such Interest Period) and, until the Administrative Agent notifies the Borrower and the Lenders that the circumstances giving r ise to such notice no longer exist, which the Administrative Agent agrees promptly to do, (i) any Interest Election Request that requests the conversion of any Borrowing to, or continuation of any Borrowing as, a LIBO Rate Borrowing shall be ineffective and such Borrowing shall be converted to an ABR Borrowing on the last day of the Interest Period, (ii) if any Borrowing Request requests a LIBO Rate Borrowing, such Borrowing shall be made </w:t>
      </w:r>
      <w:r>
        <w:rPr>
          <w:rFonts w:ascii="Arial" w:cs="Arial" w:eastAsia="Arial" w:hAnsi="Arial"/>
          <w:sz w:val="17"/>
          <w:szCs w:val="17"/>
          <w:color w:val="FF0000"/>
          <w:strike w:val="1"/>
        </w:rPr>
        <w:t>as an ABR Borrowing, (iii</w:t>
      </w:r>
      <w:r>
        <w:rPr>
          <w:rFonts w:ascii="Arial" w:cs="Arial" w:eastAsia="Arial" w:hAnsi="Arial"/>
          <w:sz w:val="17"/>
          <w:szCs w:val="17"/>
          <w:u w:val="single" w:color="auto"/>
          <w:color w:val="0000FF"/>
        </w:rPr>
        <w:t>thereafter, (x</w:t>
      </w:r>
      <w:r>
        <w:rPr>
          <w:rFonts w:ascii="Arial" w:cs="Arial" w:eastAsia="Arial" w:hAnsi="Arial"/>
          <w:sz w:val="17"/>
          <w:szCs w:val="17"/>
          <w:color w:val="000000"/>
        </w:rPr>
        <w:t>) the obligation of the Lenders to</w:t>
      </w:r>
      <w:r>
        <w:rPr>
          <w:rFonts w:ascii="Arial" w:cs="Arial" w:eastAsia="Arial" w:hAnsi="Arial"/>
          <w:sz w:val="17"/>
          <w:szCs w:val="17"/>
          <w:color w:val="FF0000"/>
        </w:rPr>
        <w:t xml:space="preserve"> </w:t>
      </w:r>
      <w:r>
        <w:rPr>
          <w:rFonts w:ascii="Arial" w:cs="Arial" w:eastAsia="Arial" w:hAnsi="Arial"/>
          <w:sz w:val="17"/>
          <w:szCs w:val="17"/>
          <w:color w:val="000000"/>
        </w:rPr>
        <w:t xml:space="preserve">make or maintain </w:t>
      </w:r>
      <w:r>
        <w:rPr>
          <w:rFonts w:ascii="Arial" w:cs="Arial" w:eastAsia="Arial" w:hAnsi="Arial"/>
          <w:sz w:val="17"/>
          <w:szCs w:val="17"/>
          <w:color w:val="FF0000"/>
          <w:strike w:val="1"/>
        </w:rPr>
        <w:t>a LIBO Rate Loan in Dollars</w:t>
      </w:r>
      <w:r>
        <w:rPr>
          <w:rFonts w:ascii="Arial" w:cs="Arial" w:eastAsia="Arial" w:hAnsi="Arial"/>
          <w:sz w:val="17"/>
          <w:szCs w:val="17"/>
          <w:u w:val="single" w:color="auto"/>
          <w:color w:val="0000FF"/>
        </w:rPr>
        <w:t>Term SOFR Loans, or to convert ABR Loans to Term SOFR Loans,</w:t>
      </w:r>
      <w:r>
        <w:rPr>
          <w:rFonts w:ascii="Arial" w:cs="Arial" w:eastAsia="Arial" w:hAnsi="Arial"/>
          <w:sz w:val="17"/>
          <w:szCs w:val="17"/>
          <w:color w:val="000000"/>
        </w:rPr>
        <w:t xml:space="preserve"> shall be suspended </w:t>
      </w:r>
      <w:r>
        <w:rPr>
          <w:rFonts w:ascii="Arial" w:cs="Arial" w:eastAsia="Arial" w:hAnsi="Arial"/>
          <w:sz w:val="17"/>
          <w:szCs w:val="17"/>
          <w:u w:val="single" w:color="auto"/>
          <w:color w:val="0000FF"/>
        </w:rPr>
        <w:t>(to the extent of the affected Term SOFR Loans or Interest Per iods),</w:t>
      </w:r>
      <w:r>
        <w:rPr>
          <w:rFonts w:ascii="Arial" w:cs="Arial" w:eastAsia="Arial" w:hAnsi="Arial"/>
          <w:sz w:val="17"/>
          <w:szCs w:val="17"/>
          <w:color w:val="000000"/>
        </w:rPr>
        <w:t xml:space="preserve"> and (</w:t>
      </w:r>
      <w:r>
        <w:rPr>
          <w:rFonts w:ascii="Arial" w:cs="Arial" w:eastAsia="Arial" w:hAnsi="Arial"/>
          <w:sz w:val="17"/>
          <w:szCs w:val="17"/>
          <w:color w:val="FF0000"/>
          <w:strike w:val="1"/>
        </w:rPr>
        <w:t>iv</w:t>
      </w:r>
      <w:r>
        <w:rPr>
          <w:rFonts w:ascii="Arial" w:cs="Arial" w:eastAsia="Arial" w:hAnsi="Arial"/>
          <w:sz w:val="17"/>
          <w:szCs w:val="17"/>
          <w:u w:val="single" w:color="auto"/>
          <w:color w:val="0000FF"/>
        </w:rPr>
        <w:t>y</w:t>
      </w:r>
      <w:r>
        <w:rPr>
          <w:rFonts w:ascii="Arial" w:cs="Arial" w:eastAsia="Arial" w:hAnsi="Arial"/>
          <w:sz w:val="17"/>
          <w:szCs w:val="17"/>
          <w:color w:val="000000"/>
        </w:rPr>
        <w:t xml:space="preserve">) in the event of a determination </w:t>
      </w:r>
      <w:r>
        <w:rPr>
          <w:rFonts w:ascii="Arial" w:cs="Arial" w:eastAsia="Arial" w:hAnsi="Arial"/>
          <w:sz w:val="17"/>
          <w:szCs w:val="17"/>
          <w:color w:val="FF0000"/>
          <w:strike w:val="1"/>
        </w:rPr>
        <w:t>in</w:t>
      </w:r>
      <w:r>
        <w:rPr>
          <w:rFonts w:ascii="Arial" w:cs="Arial" w:eastAsia="Arial" w:hAnsi="Arial"/>
          <w:sz w:val="17"/>
          <w:szCs w:val="17"/>
          <w:color w:val="000000"/>
        </w:rPr>
        <w:t xml:space="preserve"> </w:t>
      </w:r>
      <w:r>
        <w:rPr>
          <w:rFonts w:ascii="Arial" w:cs="Arial" w:eastAsia="Arial" w:hAnsi="Arial"/>
          <w:sz w:val="17"/>
          <w:szCs w:val="17"/>
          <w:u w:val="single" w:color="auto"/>
          <w:color w:val="FF0000"/>
          <w:strike w:val="1"/>
        </w:rPr>
        <w:t>clauses</w:t>
      </w:r>
    </w:p>
    <w:p>
      <w:pPr>
        <w:spacing w:after="0" w:line="2" w:lineRule="exact"/>
        <w:rPr>
          <w:sz w:val="20"/>
          <w:szCs w:val="20"/>
          <w:color w:val="auto"/>
        </w:rPr>
      </w:pPr>
    </w:p>
    <w:p>
      <w:pPr>
        <w:jc w:val="both"/>
        <w:ind w:left="100" w:right="59" w:hanging="7"/>
        <w:spacing w:after="0" w:line="265" w:lineRule="auto"/>
        <w:tabs>
          <w:tab w:leader="none" w:pos="357" w:val="left"/>
        </w:tabs>
        <w:numPr>
          <w:ilvl w:val="0"/>
          <w:numId w:val="160"/>
        </w:numPr>
        <w:rPr>
          <w:rFonts w:ascii="Arial" w:cs="Arial" w:eastAsia="Arial" w:hAnsi="Arial"/>
          <w:sz w:val="17"/>
          <w:szCs w:val="17"/>
          <w:u w:val="single" w:color="auto"/>
          <w:color w:val="FF0000"/>
          <w:strike w:val="1"/>
        </w:rPr>
      </w:pPr>
      <w:r>
        <w:rPr>
          <w:rFonts w:ascii="Arial" w:cs="Arial" w:eastAsia="Arial" w:hAnsi="Arial"/>
          <w:sz w:val="17"/>
          <w:szCs w:val="17"/>
          <w:color w:val="FF0000"/>
          <w:strike w:val="1"/>
        </w:rPr>
        <w:t>or</w:t>
      </w:r>
      <w:r>
        <w:rPr>
          <w:rFonts w:ascii="Arial" w:cs="Arial" w:eastAsia="Arial" w:hAnsi="Arial"/>
          <w:sz w:val="17"/>
          <w:szCs w:val="17"/>
          <w:color w:val="FF0000"/>
        </w:rPr>
        <w:t xml:space="preserve"> </w:t>
      </w:r>
      <w:r>
        <w:rPr>
          <w:rFonts w:ascii="Arial" w:cs="Arial" w:eastAsia="Arial" w:hAnsi="Arial"/>
          <w:sz w:val="17"/>
          <w:szCs w:val="17"/>
          <w:u w:val="single" w:color="auto"/>
          <w:color w:val="FF0000"/>
          <w:strike w:val="1"/>
        </w:rPr>
        <w:t>(b)</w:t>
      </w:r>
      <w:r>
        <w:rPr>
          <w:rFonts w:ascii="Arial" w:cs="Arial" w:eastAsia="Arial" w:hAnsi="Arial"/>
          <w:sz w:val="17"/>
          <w:szCs w:val="17"/>
          <w:color w:val="FF0000"/>
        </w:rPr>
        <w:t xml:space="preserve"> </w:t>
      </w:r>
      <w:r>
        <w:rPr>
          <w:rFonts w:ascii="Arial" w:cs="Arial" w:eastAsia="Arial" w:hAnsi="Arial"/>
          <w:sz w:val="17"/>
          <w:szCs w:val="17"/>
          <w:color w:val="FF0000"/>
          <w:strike w:val="1"/>
        </w:rPr>
        <w:t>above</w:t>
      </w:r>
      <w:r>
        <w:rPr>
          <w:rFonts w:ascii="Arial" w:cs="Arial" w:eastAsia="Arial" w:hAnsi="Arial"/>
          <w:sz w:val="17"/>
          <w:szCs w:val="17"/>
          <w:u w:val="single" w:color="auto"/>
          <w:color w:val="0000FF"/>
        </w:rPr>
        <w:t>descr ibed in the preceding sentence</w:t>
      </w:r>
      <w:r>
        <w:rPr>
          <w:rFonts w:ascii="Arial" w:cs="Arial" w:eastAsia="Arial" w:hAnsi="Arial"/>
          <w:sz w:val="17"/>
          <w:szCs w:val="17"/>
          <w:color w:val="FF0000"/>
        </w:rPr>
        <w:t xml:space="preserve"> </w:t>
      </w:r>
      <w:r>
        <w:rPr>
          <w:rFonts w:ascii="Arial" w:cs="Arial" w:eastAsia="Arial" w:hAnsi="Arial"/>
          <w:sz w:val="17"/>
          <w:szCs w:val="17"/>
          <w:color w:val="000000"/>
        </w:rPr>
        <w:t>with respect to the</w:t>
      </w:r>
      <w:r>
        <w:rPr>
          <w:rFonts w:ascii="Arial" w:cs="Arial" w:eastAsia="Arial" w:hAnsi="Arial"/>
          <w:sz w:val="17"/>
          <w:szCs w:val="17"/>
          <w:color w:val="FF0000"/>
        </w:rPr>
        <w:t xml:space="preserve">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 SOFR</w:t>
      </w:r>
      <w:r>
        <w:rPr>
          <w:rFonts w:ascii="Arial" w:cs="Arial" w:eastAsia="Arial" w:hAnsi="Arial"/>
          <w:sz w:val="17"/>
          <w:szCs w:val="17"/>
          <w:color w:val="FF0000"/>
        </w:rPr>
        <w:t xml:space="preserve"> </w:t>
      </w:r>
      <w:r>
        <w:rPr>
          <w:rFonts w:ascii="Arial" w:cs="Arial" w:eastAsia="Arial" w:hAnsi="Arial"/>
          <w:sz w:val="17"/>
          <w:szCs w:val="17"/>
          <w:color w:val="000000"/>
        </w:rPr>
        <w:t>component of the</w:t>
      </w:r>
      <w:r>
        <w:rPr>
          <w:rFonts w:ascii="Arial" w:cs="Arial" w:eastAsia="Arial" w:hAnsi="Arial"/>
          <w:sz w:val="17"/>
          <w:szCs w:val="17"/>
          <w:color w:val="FF0000"/>
        </w:rPr>
        <w:t xml:space="preserve"> </w:t>
      </w:r>
      <w:r>
        <w:rPr>
          <w:rFonts w:ascii="Arial" w:cs="Arial" w:eastAsia="Arial" w:hAnsi="Arial"/>
          <w:sz w:val="17"/>
          <w:szCs w:val="17"/>
          <w:color w:val="FF0000"/>
          <w:strike w:val="1"/>
        </w:rPr>
        <w:t>Base Rate</w:t>
      </w:r>
      <w:r>
        <w:rPr>
          <w:rFonts w:ascii="Arial" w:cs="Arial" w:eastAsia="Arial" w:hAnsi="Arial"/>
          <w:sz w:val="17"/>
          <w:szCs w:val="17"/>
          <w:u w:val="single" w:color="auto"/>
          <w:color w:val="0000FF"/>
        </w:rPr>
        <w:t>ABR</w:t>
      </w:r>
      <w:r>
        <w:rPr>
          <w:rFonts w:ascii="Arial" w:cs="Arial" w:eastAsia="Arial" w:hAnsi="Arial"/>
          <w:sz w:val="17"/>
          <w:szCs w:val="17"/>
          <w:color w:val="000000"/>
        </w:rPr>
        <w:t>,</w:t>
      </w:r>
      <w:r>
        <w:rPr>
          <w:rFonts w:ascii="Arial" w:cs="Arial" w:eastAsia="Arial" w:hAnsi="Arial"/>
          <w:sz w:val="17"/>
          <w:szCs w:val="17"/>
          <w:color w:val="FF0000"/>
        </w:rPr>
        <w:t xml:space="preserve"> </w:t>
      </w:r>
      <w:r>
        <w:rPr>
          <w:rFonts w:ascii="Arial" w:cs="Arial" w:eastAsia="Arial" w:hAnsi="Arial"/>
          <w:sz w:val="17"/>
          <w:szCs w:val="17"/>
          <w:color w:val="000000"/>
        </w:rPr>
        <w:t xml:space="preserve">the utilization of the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 SOFR</w:t>
      </w:r>
      <w:r>
        <w:rPr>
          <w:rFonts w:ascii="Arial" w:cs="Arial" w:eastAsia="Arial" w:hAnsi="Arial"/>
          <w:sz w:val="17"/>
          <w:szCs w:val="17"/>
          <w:color w:val="000000"/>
        </w:rPr>
        <w:t xml:space="preserve"> component </w:t>
      </w:r>
      <w:r>
        <w:rPr>
          <w:rFonts w:ascii="Arial" w:cs="Arial" w:eastAsia="Arial" w:hAnsi="Arial"/>
          <w:sz w:val="17"/>
          <w:szCs w:val="17"/>
          <w:color w:val="FF0000"/>
          <w:strike w:val="1"/>
        </w:rPr>
        <w:t>of the Base Rate</w:t>
      </w:r>
      <w:r>
        <w:rPr>
          <w:rFonts w:ascii="Arial" w:cs="Arial" w:eastAsia="Arial" w:hAnsi="Arial"/>
          <w:sz w:val="17"/>
          <w:szCs w:val="17"/>
          <w:u w:val="single" w:color="auto"/>
          <w:color w:val="0000FF"/>
        </w:rPr>
        <w:t>in determining the ABR</w:t>
      </w:r>
      <w:r>
        <w:rPr>
          <w:rFonts w:ascii="Arial" w:cs="Arial" w:eastAsia="Arial" w:hAnsi="Arial"/>
          <w:sz w:val="17"/>
          <w:szCs w:val="17"/>
          <w:color w:val="000000"/>
        </w:rPr>
        <w:t xml:space="preserve"> shall be suspended</w:t>
      </w:r>
      <w:r>
        <w:rPr>
          <w:rFonts w:ascii="Arial" w:cs="Arial" w:eastAsia="Arial" w:hAnsi="Arial"/>
          <w:sz w:val="17"/>
          <w:szCs w:val="17"/>
          <w:color w:val="FF0000"/>
          <w:strike w:val="1"/>
        </w:rPr>
        <w:t>;</w:t>
      </w:r>
      <w:r>
        <w:rPr>
          <w:rFonts w:ascii="Arial" w:cs="Arial" w:eastAsia="Arial" w:hAnsi="Arial"/>
          <w:sz w:val="17"/>
          <w:szCs w:val="17"/>
          <w:color w:val="000000"/>
        </w:rPr>
        <w:t xml:space="preserve"> </w:t>
      </w:r>
      <w:r>
        <w:rPr>
          <w:rFonts w:ascii="Arial" w:cs="Arial" w:eastAsia="Arial" w:hAnsi="Arial"/>
          <w:sz w:val="17"/>
          <w:szCs w:val="17"/>
          <w:u w:val="single" w:color="auto"/>
          <w:color w:val="FF0000"/>
          <w:strike w:val="1"/>
        </w:rPr>
        <w:t>provided</w:t>
      </w:r>
      <w:r>
        <w:rPr>
          <w:rFonts w:ascii="Arial" w:cs="Arial" w:eastAsia="Arial" w:hAnsi="Arial"/>
          <w:sz w:val="17"/>
          <w:szCs w:val="17"/>
          <w:color w:val="FF0000"/>
          <w:strike w:val="1"/>
        </w:rPr>
        <w:t>, in</w:t>
      </w:r>
      <w:r>
        <w:rPr>
          <w:rFonts w:ascii="Arial" w:cs="Arial" w:eastAsia="Arial" w:hAnsi="Arial"/>
          <w:sz w:val="17"/>
          <w:szCs w:val="17"/>
          <w:color w:val="000000"/>
        </w:rPr>
        <w:t xml:space="preserve"> </w:t>
      </w:r>
      <w:r>
        <w:rPr>
          <w:rFonts w:ascii="Arial" w:cs="Arial" w:eastAsia="Arial" w:hAnsi="Arial"/>
          <w:sz w:val="17"/>
          <w:szCs w:val="17"/>
          <w:color w:val="FF0000"/>
          <w:strike w:val="1"/>
        </w:rPr>
        <w:t>the cases of</w:t>
      </w:r>
      <w:r>
        <w:rPr>
          <w:rFonts w:ascii="Arial" w:cs="Arial" w:eastAsia="Arial" w:hAnsi="Arial"/>
          <w:sz w:val="17"/>
          <w:szCs w:val="17"/>
          <w:color w:val="FF0000"/>
        </w:rPr>
        <w:t xml:space="preserve"> </w:t>
      </w:r>
      <w:r>
        <w:rPr>
          <w:rFonts w:ascii="Arial" w:cs="Arial" w:eastAsia="Arial" w:hAnsi="Arial"/>
          <w:sz w:val="17"/>
          <w:szCs w:val="17"/>
          <w:u w:val="single" w:color="auto"/>
          <w:color w:val="FF0000"/>
          <w:strike w:val="1"/>
        </w:rPr>
        <w:t>clauses (i)</w:t>
      </w:r>
      <w:r>
        <w:rPr>
          <w:rFonts w:ascii="Arial" w:cs="Arial" w:eastAsia="Arial" w:hAnsi="Arial"/>
          <w:sz w:val="17"/>
          <w:szCs w:val="17"/>
          <w:color w:val="FF0000"/>
        </w:rPr>
        <w:t xml:space="preserve"> </w:t>
      </w:r>
      <w:r>
        <w:rPr>
          <w:rFonts w:ascii="Arial" w:cs="Arial" w:eastAsia="Arial" w:hAnsi="Arial"/>
          <w:sz w:val="17"/>
          <w:szCs w:val="17"/>
          <w:color w:val="FF0000"/>
          <w:strike w:val="1"/>
        </w:rPr>
        <w:t>and</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 in each case until the Administrative Agent (or, in the case of a determination by the Required</w:t>
      </w:r>
      <w:r>
        <w:rPr>
          <w:rFonts w:ascii="Arial" w:cs="Arial" w:eastAsia="Arial" w:hAnsi="Arial"/>
          <w:sz w:val="17"/>
          <w:szCs w:val="17"/>
          <w:color w:val="FF0000"/>
        </w:rPr>
        <w:t xml:space="preserve"> </w:t>
      </w:r>
      <w:r>
        <w:rPr>
          <w:rFonts w:ascii="Arial" w:cs="Arial" w:eastAsia="Arial" w:hAnsi="Arial"/>
          <w:sz w:val="17"/>
          <w:szCs w:val="17"/>
          <w:color w:val="0000FF"/>
        </w:rPr>
        <w:t>Lenders</w:t>
      </w:r>
      <w:r>
        <w:rPr>
          <w:rFonts w:ascii="Arial" w:cs="Arial" w:eastAsia="Arial" w:hAnsi="Arial"/>
          <w:sz w:val="17"/>
          <w:szCs w:val="17"/>
          <w:color w:val="FF0000"/>
        </w:rPr>
        <w:t xml:space="preserve"> </w:t>
      </w:r>
      <w:r>
        <w:rPr>
          <w:rFonts w:ascii="Arial" w:cs="Arial" w:eastAsia="Arial" w:hAnsi="Arial"/>
          <w:sz w:val="17"/>
          <w:szCs w:val="17"/>
          <w:color w:val="0000FF"/>
        </w:rPr>
        <w:t xml:space="preserve">described in clause (b) above, until the Administrative Agent upon instruction of the Required </w:t>
      </w:r>
      <w:r>
        <w:rPr>
          <w:rFonts w:ascii="Arial" w:cs="Arial" w:eastAsia="Arial" w:hAnsi="Arial"/>
          <w:sz w:val="17"/>
          <w:szCs w:val="17"/>
          <w:u w:val="single" w:color="auto"/>
          <w:color w:val="0000FF"/>
        </w:rPr>
        <w:t>Lenders) revokes such notice.</w:t>
      </w:r>
    </w:p>
    <w:p>
      <w:pPr>
        <w:spacing w:after="0" w:line="255" w:lineRule="exact"/>
        <w:rPr>
          <w:sz w:val="20"/>
          <w:szCs w:val="20"/>
          <w:color w:val="auto"/>
        </w:rPr>
      </w:pPr>
    </w:p>
    <w:p>
      <w:pPr>
        <w:ind w:left="100" w:right="259" w:firstLine="749"/>
        <w:spacing w:after="0" w:line="246" w:lineRule="auto"/>
        <w:rPr>
          <w:sz w:val="20"/>
          <w:szCs w:val="20"/>
          <w:color w:val="auto"/>
        </w:rPr>
      </w:pPr>
      <w:r>
        <w:rPr>
          <w:rFonts w:ascii="Arial" w:cs="Arial" w:eastAsia="Arial" w:hAnsi="Arial"/>
          <w:sz w:val="19"/>
          <w:szCs w:val="19"/>
          <w:u w:val="single" w:color="auto"/>
          <w:color w:val="0000FF"/>
        </w:rPr>
        <w:t>Upon receipt of such notice,</w:t>
      </w:r>
      <w:r>
        <w:rPr>
          <w:rFonts w:ascii="Arial" w:cs="Arial" w:eastAsia="Arial" w:hAnsi="Arial"/>
          <w:sz w:val="19"/>
          <w:szCs w:val="19"/>
          <w:color w:val="0000FF"/>
        </w:rPr>
        <w:t xml:space="preserve"> </w:t>
      </w:r>
      <w:r>
        <w:rPr>
          <w:rFonts w:ascii="Arial" w:cs="Arial" w:eastAsia="Arial" w:hAnsi="Arial"/>
          <w:sz w:val="19"/>
          <w:szCs w:val="19"/>
          <w:color w:val="000000"/>
        </w:rPr>
        <w:t>(</w:t>
      </w:r>
      <w:r>
        <w:rPr>
          <w:rFonts w:ascii="Arial" w:cs="Arial" w:eastAsia="Arial" w:hAnsi="Arial"/>
          <w:sz w:val="19"/>
          <w:szCs w:val="19"/>
          <w:color w:val="FF0000"/>
          <w:strike w:val="1"/>
        </w:rPr>
        <w:t>ii</w:t>
      </w:r>
      <w:r>
        <w:rPr>
          <w:rFonts w:ascii="Arial" w:cs="Arial" w:eastAsia="Arial" w:hAnsi="Arial"/>
          <w:sz w:val="19"/>
          <w:szCs w:val="19"/>
          <w:color w:val="0000FF"/>
        </w:rPr>
        <w:t>i</w:t>
      </w:r>
      <w:r>
        <w:rPr>
          <w:rFonts w:ascii="Arial" w:cs="Arial" w:eastAsia="Arial" w:hAnsi="Arial"/>
          <w:sz w:val="19"/>
          <w:szCs w:val="19"/>
          <w:color w:val="000000"/>
        </w:rPr>
        <w:t>) the Borrower may</w:t>
      </w:r>
      <w:r>
        <w:rPr>
          <w:rFonts w:ascii="Arial" w:cs="Arial" w:eastAsia="Arial" w:hAnsi="Arial"/>
          <w:sz w:val="19"/>
          <w:szCs w:val="19"/>
          <w:color w:val="0000FF"/>
        </w:rPr>
        <w:t xml:space="preserve"> </w:t>
      </w:r>
      <w:r>
        <w:rPr>
          <w:rFonts w:ascii="Arial" w:cs="Arial" w:eastAsia="Arial" w:hAnsi="Arial"/>
          <w:sz w:val="19"/>
          <w:szCs w:val="19"/>
          <w:color w:val="FF0000"/>
          <w:strike w:val="1"/>
        </w:rPr>
        <w:t>instead</w:t>
      </w:r>
      <w:r>
        <w:rPr>
          <w:rFonts w:ascii="Arial" w:cs="Arial" w:eastAsia="Arial" w:hAnsi="Arial"/>
          <w:sz w:val="19"/>
          <w:szCs w:val="19"/>
          <w:color w:val="0000FF"/>
        </w:rPr>
        <w:t xml:space="preserve"> </w:t>
      </w:r>
      <w:r>
        <w:rPr>
          <w:rFonts w:ascii="Arial" w:cs="Arial" w:eastAsia="Arial" w:hAnsi="Arial"/>
          <w:sz w:val="19"/>
          <w:szCs w:val="19"/>
          <w:color w:val="000000"/>
        </w:rPr>
        <w:t>revoke any pending</w:t>
      </w:r>
      <w:r>
        <w:rPr>
          <w:rFonts w:ascii="Arial" w:cs="Arial" w:eastAsia="Arial" w:hAnsi="Arial"/>
          <w:sz w:val="19"/>
          <w:szCs w:val="19"/>
          <w:color w:val="0000FF"/>
        </w:rPr>
        <w:t xml:space="preserve"> </w:t>
      </w:r>
      <w:r>
        <w:rPr>
          <w:rFonts w:ascii="Arial" w:cs="Arial" w:eastAsia="Arial" w:hAnsi="Arial"/>
          <w:sz w:val="19"/>
          <w:szCs w:val="19"/>
          <w:color w:val="FF0000"/>
          <w:strike w:val="1"/>
        </w:rPr>
        <w:t>Interest Election</w:t>
      </w:r>
      <w:r>
        <w:rPr>
          <w:rFonts w:ascii="Arial" w:cs="Arial" w:eastAsia="Arial" w:hAnsi="Arial"/>
          <w:sz w:val="19"/>
          <w:szCs w:val="19"/>
          <w:color w:val="0000FF"/>
        </w:rPr>
        <w:t xml:space="preserve"> </w:t>
      </w:r>
      <w:r>
        <w:rPr>
          <w:rFonts w:ascii="Arial" w:cs="Arial" w:eastAsia="Arial" w:hAnsi="Arial"/>
          <w:sz w:val="19"/>
          <w:szCs w:val="19"/>
          <w:color w:val="FF0000"/>
        </w:rPr>
        <w:t>Request or Borrowing</w:t>
      </w:r>
      <w:r>
        <w:rPr>
          <w:rFonts w:ascii="Arial" w:cs="Arial" w:eastAsia="Arial" w:hAnsi="Arial"/>
          <w:sz w:val="19"/>
          <w:szCs w:val="19"/>
          <w:color w:val="0000FF"/>
        </w:rPr>
        <w:t xml:space="preserve"> </w:t>
      </w:r>
      <w:r>
        <w:rPr>
          <w:rFonts w:ascii="Arial" w:cs="Arial" w:eastAsia="Arial" w:hAnsi="Arial"/>
          <w:sz w:val="19"/>
          <w:szCs w:val="19"/>
          <w:color w:val="FF0000"/>
        </w:rPr>
        <w:t>Request. In the case of any outstanding LIBO Rate Loans that are Impacted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96</w:t>
      </w:r>
      <w:r>
        <w:rPr>
          <w:rFonts w:ascii="Arial" w:cs="Arial" w:eastAsia="Arial" w:hAnsi="Arial"/>
          <w:sz w:val="18"/>
          <w:szCs w:val="18"/>
          <w:u w:val="single" w:color="auto"/>
          <w:color w:val="0000FF"/>
          <w:strike w:val="1"/>
        </w:rPr>
        <w:t>96</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98" w:right="1440" w:bottom="1440" w:gutter="0" w:footer="0" w:header="0"/>
        </w:sectPr>
      </w:pPr>
    </w:p>
    <w:bookmarkStart w:id="164" w:name="page165"/>
    <w:bookmarkEnd w:id="164"/>
    <w:p>
      <w:pPr>
        <w:ind w:left="100"/>
        <w:spacing w:after="0"/>
        <w:rPr>
          <w:sz w:val="20"/>
          <w:szCs w:val="20"/>
          <w:color w:val="auto"/>
        </w:rPr>
      </w:pPr>
      <w:r>
        <w:rPr>
          <w:rFonts w:ascii="Arial" w:cs="Arial" w:eastAsia="Arial" w:hAnsi="Arial"/>
          <w:sz w:val="17"/>
          <w:szCs w:val="17"/>
          <w:color w:val="FF0000"/>
          <w:strike w:val="1"/>
        </w:rPr>
        <w:t xml:space="preserve">Loans, on the last day of the Interest Per iod applicable thereto, such Impacted Loans will </w:t>
      </w:r>
      <w:r>
        <w:rPr>
          <w:rFonts w:ascii="Arial" w:cs="Arial" w:eastAsia="Arial" w:hAnsi="Arial"/>
          <w:sz w:val="17"/>
          <w:szCs w:val="17"/>
          <w:u w:val="single" w:color="auto"/>
          <w:color w:val="0000FF"/>
          <w:strike w:val="1"/>
        </w:rPr>
        <w:t>request for a Borrowing of, or conversion</w:t>
      </w:r>
    </w:p>
    <w:p>
      <w:pPr>
        <w:spacing w:after="0" w:line="37" w:lineRule="exact"/>
        <w:rPr>
          <w:sz w:val="20"/>
          <w:szCs w:val="20"/>
          <w:color w:val="auto"/>
        </w:rPr>
      </w:pPr>
    </w:p>
    <w:p>
      <w:pPr>
        <w:jc w:val="both"/>
        <w:ind w:left="100" w:right="39"/>
        <w:spacing w:after="0" w:line="232" w:lineRule="auto"/>
        <w:rPr>
          <w:sz w:val="20"/>
          <w:szCs w:val="20"/>
          <w:color w:val="auto"/>
        </w:rPr>
      </w:pPr>
      <w:r>
        <w:rPr>
          <w:rFonts w:ascii="Arial" w:cs="Arial" w:eastAsia="Arial" w:hAnsi="Arial"/>
          <w:sz w:val="19"/>
          <w:szCs w:val="19"/>
          <w:u w:val="single" w:color="auto"/>
          <w:color w:val="0000FF"/>
        </w:rPr>
        <w:t>to, or continuation of Term SOFR Loans (to the extent of the affected Term SOFR Loans or Interest Per iods) or, failing that,</w:t>
      </w:r>
      <w:r>
        <w:rPr>
          <w:rFonts w:ascii="Arial" w:cs="Arial" w:eastAsia="Arial" w:hAnsi="Arial"/>
          <w:sz w:val="19"/>
          <w:szCs w:val="19"/>
          <w:color w:val="0000FF"/>
        </w:rPr>
        <w:t xml:space="preserve"> </w:t>
      </w:r>
      <w:r>
        <w:rPr>
          <w:rFonts w:ascii="Arial" w:cs="Arial" w:eastAsia="Arial" w:hAnsi="Arial"/>
          <w:sz w:val="19"/>
          <w:szCs w:val="19"/>
          <w:i w:val="1"/>
          <w:iCs w:val="1"/>
          <w:color w:val="008000"/>
        </w:rPr>
        <w:t>will</w:t>
      </w:r>
      <w:r>
        <w:rPr>
          <w:rFonts w:ascii="Arial" w:cs="Arial" w:eastAsia="Arial" w:hAnsi="Arial"/>
          <w:sz w:val="19"/>
          <w:szCs w:val="19"/>
          <w:color w:val="0000FF"/>
        </w:rPr>
        <w:t xml:space="preserve"> </w:t>
      </w:r>
      <w:r>
        <w:rPr>
          <w:rFonts w:ascii="Arial" w:cs="Arial" w:eastAsia="Arial" w:hAnsi="Arial"/>
          <w:sz w:val="19"/>
          <w:szCs w:val="19"/>
          <w:i w:val="1"/>
          <w:iCs w:val="1"/>
          <w:color w:val="008000"/>
        </w:rPr>
        <w:t xml:space="preserve">be deemed to have converted such request into a request for a Borrowing of ABR Loans </w:t>
      </w:r>
      <w:r>
        <w:rPr>
          <w:rFonts w:ascii="Arial" w:cs="Arial" w:eastAsia="Arial" w:hAnsi="Arial"/>
          <w:sz w:val="19"/>
          <w:szCs w:val="19"/>
          <w:u w:val="single" w:color="auto"/>
          <w:color w:val="0000FF"/>
        </w:rPr>
        <w:t>in the amount specified therein and (ii) any</w:t>
      </w:r>
      <w:r>
        <w:rPr>
          <w:rFonts w:ascii="Arial" w:cs="Arial" w:eastAsia="Arial" w:hAnsi="Arial"/>
          <w:sz w:val="19"/>
          <w:szCs w:val="19"/>
          <w:i w:val="1"/>
          <w:iCs w:val="1"/>
          <w:color w:val="008000"/>
        </w:rPr>
        <w:t xml:space="preserve"> </w:t>
      </w:r>
      <w:r>
        <w:rPr>
          <w:rFonts w:ascii="Arial" w:cs="Arial" w:eastAsia="Arial" w:hAnsi="Arial"/>
          <w:sz w:val="19"/>
          <w:szCs w:val="19"/>
          <w:u w:val="single" w:color="auto"/>
          <w:color w:val="0000FF"/>
        </w:rPr>
        <w:t>outstanding Term SOFR Loans shall</w:t>
      </w:r>
      <w:r>
        <w:rPr>
          <w:rFonts w:ascii="Arial" w:cs="Arial" w:eastAsia="Arial" w:hAnsi="Arial"/>
          <w:sz w:val="19"/>
          <w:szCs w:val="19"/>
          <w:color w:val="0000FF"/>
        </w:rPr>
        <w:t xml:space="preserve"> </w:t>
      </w:r>
      <w:r>
        <w:rPr>
          <w:rFonts w:ascii="Arial" w:cs="Arial" w:eastAsia="Arial" w:hAnsi="Arial"/>
          <w:sz w:val="19"/>
          <w:szCs w:val="19"/>
          <w:color w:val="000000"/>
        </w:rPr>
        <w:t>be deemed to have been converted to ABR Loans</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immediately at the end of their respective</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applicable Interest Per iod</w:t>
      </w:r>
      <w:r>
        <w:rPr>
          <w:rFonts w:ascii="Arial" w:cs="Arial" w:eastAsia="Arial" w:hAnsi="Arial"/>
          <w:sz w:val="19"/>
          <w:szCs w:val="19"/>
          <w:color w:val="000000"/>
        </w:rPr>
        <w:t>.</w:t>
      </w:r>
    </w:p>
    <w:p>
      <w:pPr>
        <w:spacing w:after="0" w:line="260"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2.15.  </w:t>
      </w:r>
      <w:r>
        <w:rPr>
          <w:rFonts w:ascii="Arial" w:cs="Arial" w:eastAsia="Arial" w:hAnsi="Arial"/>
          <w:sz w:val="19"/>
          <w:szCs w:val="19"/>
          <w:u w:val="single" w:color="auto"/>
          <w:color w:val="auto"/>
        </w:rPr>
        <w:t>Increased Costs</w:t>
      </w:r>
      <w:r>
        <w:rPr>
          <w:rFonts w:ascii="Arial" w:cs="Arial" w:eastAsia="Arial" w:hAnsi="Arial"/>
          <w:sz w:val="19"/>
          <w:szCs w:val="19"/>
          <w:color w:val="auto"/>
        </w:rPr>
        <w:t>.</w:t>
      </w:r>
    </w:p>
    <w:p>
      <w:pPr>
        <w:spacing w:after="0" w:line="200" w:lineRule="exact"/>
        <w:rPr>
          <w:sz w:val="20"/>
          <w:szCs w:val="20"/>
          <w:color w:val="auto"/>
        </w:rPr>
      </w:pPr>
    </w:p>
    <w:p>
      <w:pPr>
        <w:ind w:left="1600" w:hanging="758"/>
        <w:spacing w:after="0"/>
        <w:tabs>
          <w:tab w:leader="none" w:pos="160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If any Change in Law:</w:t>
      </w:r>
    </w:p>
    <w:p>
      <w:pPr>
        <w:spacing w:after="0" w:line="213" w:lineRule="exact"/>
        <w:rPr>
          <w:rFonts w:ascii="Arial" w:cs="Arial" w:eastAsia="Arial" w:hAnsi="Arial"/>
          <w:sz w:val="19"/>
          <w:szCs w:val="19"/>
          <w:color w:val="auto"/>
        </w:rPr>
      </w:pPr>
    </w:p>
    <w:p>
      <w:pPr>
        <w:jc w:val="both"/>
        <w:ind w:left="840" w:right="59" w:firstLine="751"/>
        <w:spacing w:after="0" w:line="256" w:lineRule="auto"/>
        <w:tabs>
          <w:tab w:leader="none" w:pos="2366" w:val="left"/>
        </w:tabs>
        <w:numPr>
          <w:ilvl w:val="1"/>
          <w:numId w:val="161"/>
        </w:numPr>
        <w:rPr>
          <w:rFonts w:ascii="Arial" w:cs="Arial" w:eastAsia="Arial" w:hAnsi="Arial"/>
          <w:sz w:val="19"/>
          <w:szCs w:val="19"/>
          <w:color w:val="auto"/>
        </w:rPr>
      </w:pPr>
      <w:r>
        <w:rPr>
          <w:rFonts w:ascii="Arial" w:cs="Arial" w:eastAsia="Arial" w:hAnsi="Arial"/>
          <w:sz w:val="19"/>
          <w:szCs w:val="19"/>
          <w:color w:val="auto"/>
        </w:rPr>
        <w:t xml:space="preserve">imposes, modifies or deems applicable any reserve, special deposit or similar requirement against assets of, deposits with or for the account of, or credit extended by, any Lender </w:t>
      </w:r>
      <w:r>
        <w:rPr>
          <w:rFonts w:ascii="Arial" w:cs="Arial" w:eastAsia="Arial" w:hAnsi="Arial"/>
          <w:sz w:val="19"/>
          <w:szCs w:val="19"/>
          <w:color w:val="FF0000"/>
          <w:strike w:val="1"/>
        </w:rPr>
        <w:t>(except any such reserve requirement</w:t>
      </w:r>
      <w:r>
        <w:rPr>
          <w:rFonts w:ascii="Arial" w:cs="Arial" w:eastAsia="Arial" w:hAnsi="Arial"/>
          <w:sz w:val="19"/>
          <w:szCs w:val="19"/>
          <w:color w:val="auto"/>
        </w:rPr>
        <w:t xml:space="preserve"> </w:t>
      </w:r>
      <w:r>
        <w:rPr>
          <w:rFonts w:ascii="Arial" w:cs="Arial" w:eastAsia="Arial" w:hAnsi="Arial"/>
          <w:sz w:val="19"/>
          <w:szCs w:val="19"/>
          <w:color w:val="FF0000"/>
          <w:strike w:val="1"/>
        </w:rPr>
        <w:t>reflected in the LIBO Rate)</w:t>
      </w:r>
      <w:r>
        <w:rPr>
          <w:rFonts w:ascii="Arial" w:cs="Arial" w:eastAsia="Arial" w:hAnsi="Arial"/>
          <w:sz w:val="19"/>
          <w:szCs w:val="19"/>
          <w:color w:val="FF0000"/>
        </w:rPr>
        <w:t xml:space="preserve"> </w:t>
      </w:r>
      <w:r>
        <w:rPr>
          <w:rFonts w:ascii="Arial" w:cs="Arial" w:eastAsia="Arial" w:hAnsi="Arial"/>
          <w:sz w:val="19"/>
          <w:szCs w:val="19"/>
          <w:color w:val="000000"/>
        </w:rPr>
        <w:t>or Issuing Bank;</w:t>
      </w:r>
    </w:p>
    <w:p>
      <w:pPr>
        <w:spacing w:after="0" w:line="259" w:lineRule="exact"/>
        <w:rPr>
          <w:rFonts w:ascii="Arial" w:cs="Arial" w:eastAsia="Arial" w:hAnsi="Arial"/>
          <w:sz w:val="19"/>
          <w:szCs w:val="19"/>
          <w:color w:val="auto"/>
        </w:rPr>
      </w:pPr>
    </w:p>
    <w:p>
      <w:pPr>
        <w:jc w:val="both"/>
        <w:ind w:left="840" w:right="19" w:firstLine="751"/>
        <w:spacing w:after="0" w:line="269" w:lineRule="auto"/>
        <w:tabs>
          <w:tab w:leader="none" w:pos="2369" w:val="left"/>
        </w:tabs>
        <w:numPr>
          <w:ilvl w:val="1"/>
          <w:numId w:val="161"/>
        </w:numPr>
        <w:rPr>
          <w:rFonts w:ascii="Arial" w:cs="Arial" w:eastAsia="Arial" w:hAnsi="Arial"/>
          <w:sz w:val="18"/>
          <w:szCs w:val="18"/>
          <w:color w:val="auto"/>
        </w:rPr>
      </w:pPr>
      <w:r>
        <w:rPr>
          <w:rFonts w:ascii="Arial" w:cs="Arial" w:eastAsia="Arial" w:hAnsi="Arial"/>
          <w:sz w:val="18"/>
          <w:szCs w:val="18"/>
          <w:color w:val="auto"/>
        </w:rPr>
        <w:t xml:space="preserve">subjects any Lender or Issuing Bank to any Taxes (other than (A) Indemnified Taxes and Other Taxes indemnifiable under </w:t>
      </w:r>
      <w:r>
        <w:rPr>
          <w:rFonts w:ascii="Arial" w:cs="Arial" w:eastAsia="Arial" w:hAnsi="Arial"/>
          <w:sz w:val="18"/>
          <w:szCs w:val="18"/>
          <w:u w:val="single" w:color="auto"/>
          <w:color w:val="auto"/>
        </w:rPr>
        <w:t>Section 2.17</w:t>
      </w:r>
      <w:r>
        <w:rPr>
          <w:rFonts w:ascii="Arial" w:cs="Arial" w:eastAsia="Arial" w:hAnsi="Arial"/>
          <w:sz w:val="18"/>
          <w:szCs w:val="18"/>
          <w:color w:val="auto"/>
        </w:rPr>
        <w:t>, and (B) Excluded Taxes) on or with respect to its loans, letters of credit, commitments, or other obligations, or its deposits, reserves, other liabilities or capital attributable thereto; or</w:t>
      </w:r>
    </w:p>
    <w:p>
      <w:pPr>
        <w:spacing w:after="0" w:line="154" w:lineRule="exact"/>
        <w:rPr>
          <w:rFonts w:ascii="Arial" w:cs="Arial" w:eastAsia="Arial" w:hAnsi="Arial"/>
          <w:sz w:val="18"/>
          <w:szCs w:val="18"/>
          <w:color w:val="auto"/>
        </w:rPr>
      </w:pPr>
    </w:p>
    <w:p>
      <w:pPr>
        <w:jc w:val="both"/>
        <w:ind w:left="840" w:right="59" w:firstLine="751"/>
        <w:spacing w:after="0" w:line="249" w:lineRule="auto"/>
        <w:tabs>
          <w:tab w:leader="none" w:pos="2366" w:val="left"/>
        </w:tabs>
        <w:numPr>
          <w:ilvl w:val="1"/>
          <w:numId w:val="161"/>
        </w:numPr>
        <w:rPr>
          <w:rFonts w:ascii="Arial" w:cs="Arial" w:eastAsia="Arial" w:hAnsi="Arial"/>
          <w:sz w:val="19"/>
          <w:szCs w:val="19"/>
          <w:color w:val="auto"/>
        </w:rPr>
      </w:pPr>
      <w:r>
        <w:rPr>
          <w:rFonts w:ascii="Arial" w:cs="Arial" w:eastAsia="Arial" w:hAnsi="Arial"/>
          <w:sz w:val="19"/>
          <w:szCs w:val="19"/>
          <w:color w:val="auto"/>
        </w:rPr>
        <w:t xml:space="preserve">imposes on any Lender or Issuing Bank or the </w:t>
      </w:r>
      <w:r>
        <w:rPr>
          <w:rFonts w:ascii="Arial" w:cs="Arial" w:eastAsia="Arial" w:hAnsi="Arial"/>
          <w:sz w:val="19"/>
          <w:szCs w:val="19"/>
          <w:color w:val="FF0000"/>
          <w:strike w:val="1"/>
        </w:rPr>
        <w:t>London interbank</w:t>
      </w:r>
      <w:r>
        <w:rPr>
          <w:rFonts w:ascii="Arial" w:cs="Arial" w:eastAsia="Arial" w:hAnsi="Arial"/>
          <w:sz w:val="19"/>
          <w:szCs w:val="19"/>
          <w:u w:val="single" w:color="auto"/>
          <w:color w:val="0000FF"/>
        </w:rPr>
        <w:t>relevant benchmark</w:t>
      </w:r>
      <w:r>
        <w:rPr>
          <w:rFonts w:ascii="Arial" w:cs="Arial" w:eastAsia="Arial" w:hAnsi="Arial"/>
          <w:sz w:val="19"/>
          <w:szCs w:val="19"/>
          <w:color w:val="auto"/>
        </w:rPr>
        <w:t xml:space="preserve"> market any other condition, cost or expense (other than Taxes) affecting this Agreement or </w:t>
      </w:r>
      <w:r>
        <w:rPr>
          <w:rFonts w:ascii="Arial" w:cs="Arial" w:eastAsia="Arial" w:hAnsi="Arial"/>
          <w:sz w:val="19"/>
          <w:szCs w:val="19"/>
          <w:color w:val="FF0000"/>
          <w:strike w:val="1"/>
        </w:rPr>
        <w:t>LIBO Rate</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Loans made by any Lender or any Letter of Credit or participation therein;</w:t>
      </w:r>
    </w:p>
    <w:p>
      <w:pPr>
        <w:spacing w:after="0" w:line="184" w:lineRule="exact"/>
        <w:rPr>
          <w:sz w:val="20"/>
          <w:szCs w:val="20"/>
          <w:color w:val="auto"/>
        </w:rPr>
      </w:pPr>
    </w:p>
    <w:p>
      <w:pPr>
        <w:jc w:val="both"/>
        <w:ind w:left="100" w:right="59"/>
        <w:spacing w:after="0" w:line="242" w:lineRule="auto"/>
        <w:rPr>
          <w:sz w:val="20"/>
          <w:szCs w:val="20"/>
          <w:color w:val="auto"/>
        </w:rPr>
      </w:pPr>
      <w:r>
        <w:rPr>
          <w:rFonts w:ascii="Arial" w:cs="Arial" w:eastAsia="Arial" w:hAnsi="Arial"/>
          <w:sz w:val="18"/>
          <w:szCs w:val="18"/>
          <w:color w:val="auto"/>
        </w:rPr>
        <w:t xml:space="preserve">and the result of any of the foregoing is to increase the cost to the relevant Lender of making or maintaining any </w:t>
      </w:r>
      <w:r>
        <w:rPr>
          <w:rFonts w:ascii="Arial" w:cs="Arial" w:eastAsia="Arial" w:hAnsi="Arial"/>
          <w:sz w:val="18"/>
          <w:szCs w:val="18"/>
          <w:color w:val="FF0000"/>
          <w:strike w:val="1"/>
        </w:rPr>
        <w:t>LIBO Rate</w:t>
      </w:r>
      <w:r>
        <w:rPr>
          <w:rFonts w:ascii="Arial" w:cs="Arial" w:eastAsia="Arial" w:hAnsi="Arial"/>
          <w:sz w:val="18"/>
          <w:szCs w:val="18"/>
          <w:u w:val="single" w:color="auto"/>
          <w:color w:val="0000FF"/>
        </w:rPr>
        <w:t>Term</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SOFR</w:t>
      </w:r>
      <w:r>
        <w:rPr>
          <w:rFonts w:ascii="Arial" w:cs="Arial" w:eastAsia="Arial" w:hAnsi="Arial"/>
          <w:sz w:val="18"/>
          <w:szCs w:val="18"/>
          <w:color w:val="0000FF"/>
        </w:rPr>
        <w:t xml:space="preserve"> </w:t>
      </w:r>
      <w:r>
        <w:rPr>
          <w:rFonts w:ascii="Arial" w:cs="Arial" w:eastAsia="Arial" w:hAnsi="Arial"/>
          <w:sz w:val="18"/>
          <w:szCs w:val="18"/>
          <w:color w:val="000000"/>
        </w:rPr>
        <w:t>Loan (or of maintaining its obligation to make any such Loan) or to increase the cost to such Lender or Issuing Bank of</w:t>
      </w:r>
      <w:r>
        <w:rPr>
          <w:rFonts w:ascii="Arial" w:cs="Arial" w:eastAsia="Arial" w:hAnsi="Arial"/>
          <w:sz w:val="18"/>
          <w:szCs w:val="18"/>
          <w:color w:val="0000FF"/>
        </w:rPr>
        <w:t xml:space="preserve"> </w:t>
      </w:r>
      <w:r>
        <w:rPr>
          <w:rFonts w:ascii="Arial" w:cs="Arial" w:eastAsia="Arial" w:hAnsi="Arial"/>
          <w:sz w:val="18"/>
          <w:szCs w:val="18"/>
          <w:color w:val="000000"/>
        </w:rPr>
        <w:t xml:space="preserve">participating in, issuing or maintaining any Letter of Credit or to reduce the amount of any sum received or receivable by such Lender or Issuing Bank hereunder (whether of principal, interest or otherwise) in respect of any </w:t>
      </w:r>
      <w:r>
        <w:rPr>
          <w:rFonts w:ascii="Arial" w:cs="Arial" w:eastAsia="Arial" w:hAnsi="Arial"/>
          <w:sz w:val="18"/>
          <w:szCs w:val="18"/>
          <w:color w:val="FF0000"/>
          <w:strike w:val="1"/>
        </w:rPr>
        <w:t>LIBO Rate</w:t>
      </w:r>
      <w:r>
        <w:rPr>
          <w:rFonts w:ascii="Arial" w:cs="Arial" w:eastAsia="Arial" w:hAnsi="Arial"/>
          <w:sz w:val="18"/>
          <w:szCs w:val="18"/>
          <w:u w:val="single" w:color="auto"/>
          <w:color w:val="0000FF"/>
        </w:rPr>
        <w:t>Term SOFR</w:t>
      </w:r>
      <w:r>
        <w:rPr>
          <w:rFonts w:ascii="Arial" w:cs="Arial" w:eastAsia="Arial" w:hAnsi="Arial"/>
          <w:sz w:val="18"/>
          <w:szCs w:val="18"/>
          <w:color w:val="000000"/>
        </w:rPr>
        <w:t xml:space="preserve"> Loan or Letter of Credit in an amount deemed by such Lender or Issuing Bank to be material, then, within 30 days after the Borrower’s receipt of the certificate contemplated by </w:t>
      </w:r>
      <w:r>
        <w:rPr>
          <w:rFonts w:ascii="Arial" w:cs="Arial" w:eastAsia="Arial" w:hAnsi="Arial"/>
          <w:sz w:val="18"/>
          <w:szCs w:val="18"/>
          <w:u w:val="single" w:color="auto"/>
          <w:color w:val="000000"/>
        </w:rPr>
        <w:t>paragraph (c)</w:t>
      </w:r>
      <w:r>
        <w:rPr>
          <w:rFonts w:ascii="Arial" w:cs="Arial" w:eastAsia="Arial" w:hAnsi="Arial"/>
          <w:sz w:val="18"/>
          <w:szCs w:val="18"/>
          <w:color w:val="000000"/>
        </w:rPr>
        <w:t xml:space="preserve"> of this </w:t>
      </w:r>
      <w:r>
        <w:rPr>
          <w:rFonts w:ascii="Arial" w:cs="Arial" w:eastAsia="Arial" w:hAnsi="Arial"/>
          <w:sz w:val="18"/>
          <w:szCs w:val="18"/>
          <w:u w:val="single" w:color="auto"/>
          <w:color w:val="000000"/>
        </w:rPr>
        <w:t>Section 2.15</w:t>
      </w:r>
      <w:r>
        <w:rPr>
          <w:rFonts w:ascii="Arial" w:cs="Arial" w:eastAsia="Arial" w:hAnsi="Arial"/>
          <w:sz w:val="18"/>
          <w:szCs w:val="18"/>
          <w:color w:val="000000"/>
        </w:rPr>
        <w:t xml:space="preserve">, the Borrower will pay (or cause to be paid) to such Lender or Issuing Bank, as applicable, such additional amount or amounts as will compensate such Lender or Issuing Bank, as applicable, for such additional costs incurred or reduction suffered;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the Borrower shall not be liable for such compensation if (x) the relevant Change in Law occurs on a date prior to the date such Lender becomes a party hereto, (y) such Lender invokes </w:t>
      </w:r>
      <w:r>
        <w:rPr>
          <w:rFonts w:ascii="Arial" w:cs="Arial" w:eastAsia="Arial" w:hAnsi="Arial"/>
          <w:sz w:val="18"/>
          <w:szCs w:val="18"/>
          <w:u w:val="single" w:color="auto"/>
          <w:color w:val="000000"/>
        </w:rPr>
        <w:t>Section 2.20</w:t>
      </w:r>
      <w:r>
        <w:rPr>
          <w:rFonts w:ascii="Arial" w:cs="Arial" w:eastAsia="Arial" w:hAnsi="Arial"/>
          <w:sz w:val="18"/>
          <w:szCs w:val="18"/>
          <w:color w:val="000000"/>
        </w:rPr>
        <w:t xml:space="preserve"> or (z) in the case of requests for reimbursement under </w:t>
      </w:r>
      <w:r>
        <w:rPr>
          <w:rFonts w:ascii="Arial" w:cs="Arial" w:eastAsia="Arial" w:hAnsi="Arial"/>
          <w:sz w:val="18"/>
          <w:szCs w:val="18"/>
          <w:u w:val="single" w:color="auto"/>
          <w:color w:val="000000"/>
        </w:rPr>
        <w:t>clause (iii)</w:t>
      </w:r>
      <w:r>
        <w:rPr>
          <w:rFonts w:ascii="Arial" w:cs="Arial" w:eastAsia="Arial" w:hAnsi="Arial"/>
          <w:sz w:val="18"/>
          <w:szCs w:val="18"/>
          <w:color w:val="000000"/>
        </w:rPr>
        <w:t xml:space="preserve"> above resulting from a market disruption, (A) the relevant circumstances do not generally affect the banking market or (B) the applicable request has not been made by Lenders constituting Required Lenders.</w:t>
      </w:r>
    </w:p>
    <w:p>
      <w:pPr>
        <w:spacing w:after="0" w:line="182" w:lineRule="exact"/>
        <w:rPr>
          <w:sz w:val="20"/>
          <w:szCs w:val="20"/>
          <w:color w:val="auto"/>
        </w:rPr>
      </w:pPr>
    </w:p>
    <w:p>
      <w:pPr>
        <w:jc w:val="both"/>
        <w:ind w:left="100" w:right="39" w:firstLine="742"/>
        <w:spacing w:after="0" w:line="256" w:lineRule="auto"/>
        <w:tabs>
          <w:tab w:leader="none" w:pos="152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If any Lender or Issuing Bank determines that any Change in Law regarding liquidity or capital requirements has or would have the effect of reducing the rate of return on such Lender’s or Issuing Bank’s capital or on the capital of such Lender’s or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Issuing Bank’s policies and the policies of such Lender’s or such Issuing Bank’s holding company with respect to liquidity or capital adequacy), then within 30 days of receipt by the Borrower of the certificate contemplated by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the Borrower will pay (or cause to be paid) to such Lender or such Issuing Bank, as applicable, such additional amount or amounts as will compensate such Lender or such Issuing Bank or such Lender’s or such Issuing Bank’s holding company for any such reduction suffered.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97</w:t>
      </w:r>
      <w:r>
        <w:rPr>
          <w:rFonts w:ascii="Arial" w:cs="Arial" w:eastAsia="Arial" w:hAnsi="Arial"/>
          <w:sz w:val="18"/>
          <w:szCs w:val="18"/>
          <w:u w:val="single" w:color="auto"/>
          <w:color w:val="0000FF"/>
          <w:strike w:val="1"/>
        </w:rPr>
        <w:t>97</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65" w:name="page166"/>
    <w:bookmarkEnd w:id="165"/>
    <w:p>
      <w:pPr>
        <w:jc w:val="both"/>
        <w:ind w:left="100" w:right="59" w:firstLine="741"/>
        <w:spacing w:after="0" w:line="264" w:lineRule="auto"/>
        <w:tabs>
          <w:tab w:leader="none" w:pos="15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Any Lender or Issuing Bank requesting compensation under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shall be required to deliver a certificate to the Borrower that (i) sets forth the amount or amounts necessary to compensate such Lender or Issuing Bank or the holding company thereof, as applicable, as specified in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(ii) sets forth, in reasonable detail, the manner in which such amount or amounts were determined and (iii) certifies that such Lender or Issuing Bank is generally charging such amounts to similarly situated borrowers, which certificate shall be conclusive absent manifest error.</w:t>
      </w:r>
    </w:p>
    <w:p>
      <w:pPr>
        <w:spacing w:after="0" w:line="171" w:lineRule="exact"/>
        <w:rPr>
          <w:rFonts w:ascii="Arial" w:cs="Arial" w:eastAsia="Arial" w:hAnsi="Arial"/>
          <w:sz w:val="18"/>
          <w:szCs w:val="18"/>
          <w:color w:val="auto"/>
        </w:rPr>
      </w:pPr>
    </w:p>
    <w:p>
      <w:pPr>
        <w:jc w:val="both"/>
        <w:ind w:left="100" w:right="39" w:firstLine="741"/>
        <w:spacing w:after="0" w:line="274" w:lineRule="auto"/>
        <w:tabs>
          <w:tab w:leader="none" w:pos="152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Failure or delay on the part of any Lender or Issuing Bank to demand compensation pursuant to this Section shall not constitute a waiver of such Lender’s or Issuing Bank’s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Borrower shall not be required to compensate any Lender or an Issuing Bank pursuant to this Section for any increased costs or reductions incurred more than six months prior to the date that such Lender or Issuing Bank notifies the Borrower of the Change in Law giving rise to such increased costs or reductions and of such Lender’s or Issuing Bank’s intention to claim compensation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Change in Law giving rise to such increased costs or reductions is retroactive, then the six month period referred to above shall be extended to include the period of retroactive effect thereof.</w:t>
      </w:r>
    </w:p>
    <w:p>
      <w:pPr>
        <w:spacing w:after="0" w:line="166" w:lineRule="exact"/>
        <w:rPr>
          <w:sz w:val="20"/>
          <w:szCs w:val="20"/>
          <w:color w:val="auto"/>
        </w:rPr>
      </w:pPr>
    </w:p>
    <w:p>
      <w:pPr>
        <w:jc w:val="both"/>
        <w:ind w:left="100" w:right="39" w:firstLine="749"/>
        <w:spacing w:after="0" w:line="257" w:lineRule="auto"/>
        <w:rPr>
          <w:sz w:val="20"/>
          <w:szCs w:val="20"/>
          <w:color w:val="auto"/>
        </w:rPr>
      </w:pPr>
      <w:r>
        <w:rPr>
          <w:rFonts w:ascii="Arial" w:cs="Arial" w:eastAsia="Arial" w:hAnsi="Arial"/>
          <w:sz w:val="17"/>
          <w:szCs w:val="17"/>
          <w:color w:val="auto"/>
        </w:rPr>
        <w:t xml:space="preserve">Section 2.16. </w:t>
      </w:r>
      <w:r>
        <w:rPr>
          <w:rFonts w:ascii="Arial" w:cs="Arial" w:eastAsia="Arial" w:hAnsi="Arial"/>
          <w:sz w:val="17"/>
          <w:szCs w:val="17"/>
          <w:u w:val="single" w:color="auto"/>
          <w:color w:val="auto"/>
        </w:rPr>
        <w:t>Break Funding Payments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9.05(f)</w:t>
      </w:r>
      <w:r>
        <w:rPr>
          <w:rFonts w:ascii="Arial" w:cs="Arial" w:eastAsia="Arial" w:hAnsi="Arial"/>
          <w:sz w:val="17"/>
          <w:szCs w:val="17"/>
          <w:color w:val="auto"/>
        </w:rPr>
        <w:t xml:space="preserve">, in the event of (a) the conversion or prepayment of any principal of any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 other than on the last day of an Interest Period applicable thereto (whether voluntary, mandatory, automatic, by reason of acceleration or otherwise), (b) the failure to borrow, convert, continue or prepay any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 SOFR</w:t>
      </w:r>
      <w:r>
        <w:rPr>
          <w:rFonts w:ascii="Arial" w:cs="Arial" w:eastAsia="Arial" w:hAnsi="Arial"/>
          <w:sz w:val="17"/>
          <w:szCs w:val="17"/>
          <w:color w:val="FF0000"/>
        </w:rPr>
        <w:t xml:space="preserve"> </w:t>
      </w:r>
      <w:r>
        <w:rPr>
          <w:rFonts w:ascii="Arial" w:cs="Arial" w:eastAsia="Arial" w:hAnsi="Arial"/>
          <w:sz w:val="17"/>
          <w:szCs w:val="17"/>
          <w:color w:val="000000"/>
        </w:rPr>
        <w:t>Loan on the date or in the amount specified in any notice delivered pursuant hereto or (c) the assignment of</w:t>
      </w:r>
      <w:r>
        <w:rPr>
          <w:rFonts w:ascii="Arial" w:cs="Arial" w:eastAsia="Arial" w:hAnsi="Arial"/>
          <w:sz w:val="17"/>
          <w:szCs w:val="17"/>
          <w:color w:val="FF0000"/>
        </w:rPr>
        <w:t xml:space="preserve"> </w:t>
      </w:r>
      <w:r>
        <w:rPr>
          <w:rFonts w:ascii="Arial" w:cs="Arial" w:eastAsia="Arial" w:hAnsi="Arial"/>
          <w:sz w:val="17"/>
          <w:szCs w:val="17"/>
          <w:color w:val="000000"/>
        </w:rPr>
        <w:t xml:space="preserve">any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 SOFR</w:t>
      </w:r>
      <w:r>
        <w:rPr>
          <w:rFonts w:ascii="Arial" w:cs="Arial" w:eastAsia="Arial" w:hAnsi="Arial"/>
          <w:sz w:val="17"/>
          <w:szCs w:val="17"/>
          <w:color w:val="000000"/>
        </w:rPr>
        <w:t xml:space="preserve"> Loan of any Lender other than on the last day of the Interest Period applicable thereto as a result of a request by the Borrower pursuant to </w:t>
      </w:r>
      <w:r>
        <w:rPr>
          <w:rFonts w:ascii="Arial" w:cs="Arial" w:eastAsia="Arial" w:hAnsi="Arial"/>
          <w:sz w:val="17"/>
          <w:szCs w:val="17"/>
          <w:u w:val="single" w:color="auto"/>
          <w:color w:val="000000"/>
        </w:rPr>
        <w:t>Section 2.19</w:t>
      </w:r>
      <w:r>
        <w:rPr>
          <w:rFonts w:ascii="Arial" w:cs="Arial" w:eastAsia="Arial" w:hAnsi="Arial"/>
          <w:sz w:val="17"/>
          <w:szCs w:val="17"/>
          <w:color w:val="000000"/>
        </w:rPr>
        <w:t xml:space="preserve">, then, in any such event, the Borrower shall compensate each Lender for the actual amount of any actual out-of-pocket loss, expense and/or liability (including any actual out-of-pocket loss, expense or liability incurred by reason of the liquidation or reemployment of deposits or other funds required by such Lender to fund or maintain </w:t>
      </w:r>
      <w:r>
        <w:rPr>
          <w:rFonts w:ascii="Arial" w:cs="Arial" w:eastAsia="Arial" w:hAnsi="Arial"/>
          <w:sz w:val="17"/>
          <w:szCs w:val="17"/>
          <w:color w:val="FF0000"/>
          <w:strike w:val="1"/>
        </w:rPr>
        <w:t>LIBO</w:t>
      </w:r>
      <w:r>
        <w:rPr>
          <w:rFonts w:ascii="Arial" w:cs="Arial" w:eastAsia="Arial" w:hAnsi="Arial"/>
          <w:sz w:val="17"/>
          <w:szCs w:val="17"/>
          <w:color w:val="000000"/>
        </w:rPr>
        <w:t xml:space="preserve"> </w:t>
      </w:r>
      <w:r>
        <w:rPr>
          <w:rFonts w:ascii="Arial" w:cs="Arial" w:eastAsia="Arial" w:hAnsi="Arial"/>
          <w:sz w:val="17"/>
          <w:szCs w:val="17"/>
          <w:color w:val="FF0000"/>
          <w:strike w:val="1"/>
        </w:rPr>
        <w:t>Rate</w:t>
      </w:r>
      <w:r>
        <w:rPr>
          <w:rFonts w:ascii="Arial" w:cs="Arial" w:eastAsia="Arial" w:hAnsi="Arial"/>
          <w:sz w:val="17"/>
          <w:szCs w:val="17"/>
          <w:u w:val="single" w:color="auto"/>
          <w:color w:val="0000FF"/>
        </w:rPr>
        <w:t>Term SOFR</w:t>
      </w:r>
      <w:r>
        <w:rPr>
          <w:rFonts w:ascii="Arial" w:cs="Arial" w:eastAsia="Arial" w:hAnsi="Arial"/>
          <w:sz w:val="17"/>
          <w:szCs w:val="17"/>
          <w:color w:val="FF0000"/>
        </w:rPr>
        <w:t xml:space="preserve"> </w:t>
      </w:r>
      <w:r>
        <w:rPr>
          <w:rFonts w:ascii="Arial" w:cs="Arial" w:eastAsia="Arial" w:hAnsi="Arial"/>
          <w:sz w:val="17"/>
          <w:szCs w:val="17"/>
          <w:color w:val="000000"/>
        </w:rPr>
        <w:t>loans, but excluding loss of anticipated profit) that such Lender has incurred or sustained as a result of such event.</w:t>
      </w:r>
      <w:r>
        <w:rPr>
          <w:rFonts w:ascii="Arial" w:cs="Arial" w:eastAsia="Arial" w:hAnsi="Arial"/>
          <w:sz w:val="17"/>
          <w:szCs w:val="17"/>
          <w:color w:val="FF0000"/>
        </w:rPr>
        <w:t xml:space="preserve"> </w:t>
      </w:r>
      <w:r>
        <w:rPr>
          <w:rFonts w:ascii="Arial" w:cs="Arial" w:eastAsia="Arial" w:hAnsi="Arial"/>
          <w:sz w:val="17"/>
          <w:szCs w:val="17"/>
          <w:color w:val="000000"/>
        </w:rPr>
        <w:t xml:space="preserve">Any Lender requesting compensation under this </w:t>
      </w:r>
      <w:r>
        <w:rPr>
          <w:rFonts w:ascii="Arial" w:cs="Arial" w:eastAsia="Arial" w:hAnsi="Arial"/>
          <w:sz w:val="17"/>
          <w:szCs w:val="17"/>
          <w:u w:val="single" w:color="auto"/>
          <w:color w:val="000000"/>
        </w:rPr>
        <w:t>Section 2.16</w:t>
      </w:r>
      <w:r>
        <w:rPr>
          <w:rFonts w:ascii="Arial" w:cs="Arial" w:eastAsia="Arial" w:hAnsi="Arial"/>
          <w:sz w:val="17"/>
          <w:szCs w:val="17"/>
          <w:color w:val="000000"/>
        </w:rPr>
        <w:t xml:space="preserve"> shall be required to deliver a certificate to the Borrower that (A) sets forth any amount or amounts that such Lender is entitled to receive pursuant to this Section, the basis therefor and, in reasonable detail, the manner in which such amount or amounts were determined and (B) certifies that such Lender is generally charging the relevant amounts to similarly situated borrowers, which certificate shall be conclusive absent manifest error. The Borrower shall pay such Lender the amount shown as due on any such certificate within 30 days after receipt thereof.</w:t>
      </w:r>
    </w:p>
    <w:p>
      <w:pPr>
        <w:spacing w:after="0" w:line="188"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2.17.  </w:t>
      </w:r>
      <w:r>
        <w:rPr>
          <w:rFonts w:ascii="Arial" w:cs="Arial" w:eastAsia="Arial" w:hAnsi="Arial"/>
          <w:sz w:val="19"/>
          <w:szCs w:val="19"/>
          <w:u w:val="single" w:color="auto"/>
          <w:color w:val="auto"/>
        </w:rPr>
        <w:t>Taxes</w:t>
      </w:r>
      <w:r>
        <w:rPr>
          <w:rFonts w:ascii="Arial" w:cs="Arial" w:eastAsia="Arial" w:hAnsi="Arial"/>
          <w:sz w:val="19"/>
          <w:szCs w:val="19"/>
          <w:color w:val="auto"/>
        </w:rPr>
        <w:t>.</w:t>
      </w:r>
    </w:p>
    <w:p>
      <w:pPr>
        <w:spacing w:after="0" w:line="200" w:lineRule="exact"/>
        <w:rPr>
          <w:sz w:val="20"/>
          <w:szCs w:val="20"/>
          <w:color w:val="auto"/>
        </w:rPr>
      </w:pPr>
    </w:p>
    <w:p>
      <w:pPr>
        <w:jc w:val="both"/>
        <w:ind w:left="100" w:right="39" w:firstLine="741"/>
        <w:spacing w:after="0" w:line="256" w:lineRule="auto"/>
        <w:tabs>
          <w:tab w:leader="none" w:pos="152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xml:space="preserve">. Any payment by or on account of any obligation of any Loan Party under any Loan Document shall be made without deduction or withholding for any Taxes, except as required by applicable Law. If any applicable Law (as determined in the good faith of the applicable withholding agent) requires the deduction or withholding of any Tax from any such payment, then (i) if such Tax is an Indemnified Tax and/or Other Tax, the amount payable by the applicable Loan Party shall be increased as necessary so that after such deduction or withholding has been made (including such deductions or withholdings applicable to additional sums payable under this </w:t>
      </w:r>
      <w:r>
        <w:rPr>
          <w:rFonts w:ascii="Arial" w:cs="Arial" w:eastAsia="Arial" w:hAnsi="Arial"/>
          <w:sz w:val="18"/>
          <w:szCs w:val="18"/>
          <w:u w:val="single" w:color="auto"/>
          <w:color w:val="auto"/>
        </w:rPr>
        <w:t>Section 2.17</w:t>
      </w:r>
      <w:r>
        <w:rPr>
          <w:rFonts w:ascii="Arial" w:cs="Arial" w:eastAsia="Arial" w:hAnsi="Arial"/>
          <w:sz w:val="18"/>
          <w:szCs w:val="18"/>
          <w:color w:val="auto"/>
        </w:rPr>
        <w:t>) each Lender (or, in the case of any payment made to the Administrative Agent for its own account, the Administrative Agent) receives an amount equal to the sum it would have received had no such deductions or withholdings been made, (ii) the applicable withholding agent shall be entitled to make such withholding or deductions and (iii) the applicable withholding agent shall timely pay the full amount withheld or deducted to the relevant Governmental Authority in accordance with applicable Requirements of Law.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98</w:t>
      </w:r>
      <w:r>
        <w:rPr>
          <w:rFonts w:ascii="Arial" w:cs="Arial" w:eastAsia="Arial" w:hAnsi="Arial"/>
          <w:sz w:val="18"/>
          <w:szCs w:val="18"/>
          <w:u w:val="single" w:color="auto"/>
          <w:color w:val="0000FF"/>
          <w:strike w:val="1"/>
        </w:rPr>
        <w:t>98</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66" w:name="page167"/>
    <w:bookmarkEnd w:id="166"/>
    <w:p>
      <w:pPr>
        <w:jc w:val="both"/>
        <w:ind w:left="100" w:right="59" w:firstLine="741"/>
        <w:spacing w:after="0" w:line="256" w:lineRule="auto"/>
        <w:tabs>
          <w:tab w:leader="none" w:pos="1520"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Payment of Other Taxes</w:t>
      </w:r>
      <w:r>
        <w:rPr>
          <w:rFonts w:ascii="Arial" w:cs="Arial" w:eastAsia="Arial" w:hAnsi="Arial"/>
          <w:sz w:val="19"/>
          <w:szCs w:val="19"/>
          <w:color w:val="auto"/>
        </w:rPr>
        <w:t>. In addition, the Loan Parties shall pay any Other Taxes to the relevant Governmental Authority in accordance with applicable Requirements of Law or at the option of the Administrative Agent timely reimburse it for the payment of Other Taxes.</w:t>
      </w:r>
    </w:p>
    <w:p>
      <w:pPr>
        <w:spacing w:after="0" w:line="178" w:lineRule="exact"/>
        <w:rPr>
          <w:rFonts w:ascii="Arial" w:cs="Arial" w:eastAsia="Arial" w:hAnsi="Arial"/>
          <w:sz w:val="19"/>
          <w:szCs w:val="19"/>
          <w:color w:val="auto"/>
        </w:rPr>
      </w:pPr>
    </w:p>
    <w:p>
      <w:pPr>
        <w:jc w:val="both"/>
        <w:ind w:left="100" w:right="19" w:firstLine="741"/>
        <w:spacing w:after="0" w:line="269" w:lineRule="auto"/>
        <w:tabs>
          <w:tab w:leader="none" w:pos="1522"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Indemnification by the Borrower</w:t>
      </w:r>
      <w:r>
        <w:rPr>
          <w:rFonts w:ascii="Arial" w:cs="Arial" w:eastAsia="Arial" w:hAnsi="Arial"/>
          <w:sz w:val="17"/>
          <w:szCs w:val="17"/>
          <w:color w:val="auto"/>
        </w:rPr>
        <w:t xml:space="preserve">. The Borrower shall indemnify the Administrative Agent and each Lender within 30 days after receipt of the certificate described in the succeeding sentence, for the full amount of any Indemnified Taxes or Other Taxes payable or paid by the Administrative Agent or such Lender, as applicable (including Indemnified Taxes or Other Taxes imposed or asserted on or attributable to amounts payable under this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other than any penalties determined by a final and non-appealable judgment of a court of competent jurisdiction (or documented in any settlement agreement) to have resulted from the gross negligence, bad faith or willful misconduct of the Administrative Agent or such Lender, and, in each case, any reasonable expenses arising therefrom or with respect thereto, whether or not such Taxes were correctly or legally imposed or asserted;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reasonably believes that such Taxes were not correctly or legally asserted, the Administrative Agent or such Lender, as applicable, will use reasonable efforts to cooperate with the Borrower to obtain a refund of such Taxes (which shall be repaid to the Borrower in accordance with </w:t>
      </w:r>
      <w:r>
        <w:rPr>
          <w:rFonts w:ascii="Arial" w:cs="Arial" w:eastAsia="Arial" w:hAnsi="Arial"/>
          <w:sz w:val="17"/>
          <w:szCs w:val="17"/>
          <w:u w:val="single" w:color="auto"/>
          <w:color w:val="auto"/>
        </w:rPr>
        <w:t>Section 2.17(g)</w:t>
      </w:r>
      <w:r>
        <w:rPr>
          <w:rFonts w:ascii="Arial" w:cs="Arial" w:eastAsia="Arial" w:hAnsi="Arial"/>
          <w:sz w:val="17"/>
          <w:szCs w:val="17"/>
          <w:color w:val="auto"/>
        </w:rPr>
        <w:t xml:space="preserve">) at the expense of the Loan Parties, so long as such efforts would not, in the sole determination of the Administrative Agent or such Lender, result in any additional out-of-pocket costs or expenses not reimbursed by the Loan Parties or be otherwise materially disadvantageous to the Administrative Agent or such Lender, as applicable. In connection with any request for reimbursement under this </w:t>
      </w:r>
      <w:r>
        <w:rPr>
          <w:rFonts w:ascii="Arial" w:cs="Arial" w:eastAsia="Arial" w:hAnsi="Arial"/>
          <w:sz w:val="17"/>
          <w:szCs w:val="17"/>
          <w:u w:val="single" w:color="auto"/>
          <w:color w:val="auto"/>
        </w:rPr>
        <w:t>Section 2.17(c)</w:t>
      </w:r>
      <w:r>
        <w:rPr>
          <w:rFonts w:ascii="Arial" w:cs="Arial" w:eastAsia="Arial" w:hAnsi="Arial"/>
          <w:sz w:val="17"/>
          <w:szCs w:val="17"/>
          <w:color w:val="auto"/>
        </w:rPr>
        <w:t xml:space="preserve">, the relevant Lender or the Administrative Agent, as applicable, shall deliver a certificate to the Borrower setting forth, in reasonable detail, the basis and calculation of the amount of the relevant payment or liability. Notwithstanding anything to the contrary contained in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no Borrower shall be required to indemnify the Administrative Agent or any Lender pursuant to this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for any amount to the extent the Administrative Agent or such Lender fails to notify the Borrower of such possible indemnification claim within 180 days after the Administrative Agent or such Lender receives written notice from the applicable taxing authority of the specific Tax assessment giving rise to such indemnification claim.</w:t>
      </w:r>
    </w:p>
    <w:p>
      <w:pPr>
        <w:spacing w:after="0" w:line="170" w:lineRule="exact"/>
        <w:rPr>
          <w:rFonts w:ascii="Arial" w:cs="Arial" w:eastAsia="Arial" w:hAnsi="Arial"/>
          <w:sz w:val="17"/>
          <w:szCs w:val="17"/>
          <w:color w:val="auto"/>
        </w:rPr>
      </w:pPr>
    </w:p>
    <w:p>
      <w:pPr>
        <w:ind w:left="1600" w:hanging="758"/>
        <w:spacing w:after="0"/>
        <w:tabs>
          <w:tab w:leader="none" w:pos="160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[Reserved].</w:t>
      </w:r>
    </w:p>
    <w:p>
      <w:pPr>
        <w:spacing w:after="0" w:line="213" w:lineRule="exact"/>
        <w:rPr>
          <w:rFonts w:ascii="Arial" w:cs="Arial" w:eastAsia="Arial" w:hAnsi="Arial"/>
          <w:sz w:val="19"/>
          <w:szCs w:val="19"/>
          <w:color w:val="auto"/>
        </w:rPr>
      </w:pPr>
    </w:p>
    <w:p>
      <w:pPr>
        <w:jc w:val="both"/>
        <w:ind w:left="100" w:right="59" w:firstLine="741"/>
        <w:spacing w:after="0" w:line="268" w:lineRule="auto"/>
        <w:tabs>
          <w:tab w:leader="none" w:pos="152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As soon as practicable after any payment of any Taxes pursuant to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by any Loan Party to a Governmental Authority, the Borrower shall deliver to the Administrative Agent the original or a certified copy of a receipt issued, if any, by such Governmental Authority evidencing such payment, a copy of the return reporting such payment or other evidence of such payment that is reasonably satisfactory to the Administrative Agent.</w:t>
      </w:r>
    </w:p>
    <w:p>
      <w:pPr>
        <w:spacing w:after="0" w:line="168" w:lineRule="exact"/>
        <w:rPr>
          <w:rFonts w:ascii="Arial" w:cs="Arial" w:eastAsia="Arial" w:hAnsi="Arial"/>
          <w:sz w:val="18"/>
          <w:szCs w:val="18"/>
          <w:color w:val="auto"/>
        </w:rPr>
      </w:pPr>
    </w:p>
    <w:p>
      <w:pPr>
        <w:ind w:left="1600" w:hanging="758"/>
        <w:spacing w:after="0"/>
        <w:tabs>
          <w:tab w:leader="none" w:pos="1600"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Status of Lenders</w:t>
      </w: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ind w:left="840" w:right="59" w:firstLine="751"/>
        <w:spacing w:after="0" w:line="254" w:lineRule="auto"/>
        <w:tabs>
          <w:tab w:leader="none" w:pos="2254" w:val="left"/>
        </w:tabs>
        <w:numPr>
          <w:ilvl w:val="1"/>
          <w:numId w:val="165"/>
        </w:numPr>
        <w:rPr>
          <w:rFonts w:ascii="Arial" w:cs="Arial" w:eastAsia="Arial" w:hAnsi="Arial"/>
          <w:sz w:val="18"/>
          <w:szCs w:val="18"/>
          <w:color w:val="auto"/>
        </w:rPr>
      </w:pPr>
      <w:r>
        <w:rPr>
          <w:rFonts w:ascii="Arial" w:cs="Arial" w:eastAsia="Arial" w:hAnsi="Arial"/>
          <w:sz w:val="18"/>
          <w:szCs w:val="18"/>
          <w:color w:val="auto"/>
        </w:rPr>
        <w:t xml:space="preserve">Any Lender that is entitled to an exemption from or reduction of any withholding Tax with respect to any payment made under any Loan Document shall deliver to the Borrower and the Administrative Agent, at the time or times reasonably requested by the Borrower or the Administrative Agent, such properly completed and executed documentation as the Borrower or the Administrative Agent may reasonably request to permit such payments to be made without withholding or at a reduced rate of withholding. In addition, any Lender, if reasonably requested by the Borrower or the Administrative Agent, shall deliver such other documentation prescribed by applicable Requirements of Law or reasonably requested by the Borrower or the Administrative Agent as will enable the Borrower or the Administrative Agent to determine whether or not such Lender is subject to backup withholding or information reporting requirements. Each Lender hereby authorizes the Administrative Agent to deliver to the Borrower and to any successor Administrative Agent any documentation provided to the Administrative Agent pursuant to this </w:t>
      </w:r>
      <w:r>
        <w:rPr>
          <w:rFonts w:ascii="Arial" w:cs="Arial" w:eastAsia="Arial" w:hAnsi="Arial"/>
          <w:sz w:val="18"/>
          <w:szCs w:val="18"/>
          <w:u w:val="single" w:color="auto"/>
          <w:color w:val="auto"/>
        </w:rPr>
        <w:t>Section 2.17(f)</w:t>
      </w:r>
      <w:r>
        <w:rPr>
          <w:rFonts w:ascii="Arial" w:cs="Arial" w:eastAsia="Arial" w:hAnsi="Arial"/>
          <w:sz w:val="18"/>
          <w:szCs w:val="18"/>
          <w:color w:val="auto"/>
        </w:rPr>
        <w:t xml:space="preserve">. Notwithstanding anything to the contrary in the preceding two sentences, the completion, execution and submission of such documentation (other than such documentation set forth in </w:t>
      </w:r>
      <w:r>
        <w:rPr>
          <w:rFonts w:ascii="Arial" w:cs="Arial" w:eastAsia="Arial" w:hAnsi="Arial"/>
          <w:sz w:val="18"/>
          <w:szCs w:val="18"/>
          <w:u w:val="single" w:color="auto"/>
          <w:color w:val="auto"/>
        </w:rPr>
        <w:t>paragraphs (f)(ii)(A)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2.17</w:t>
      </w:r>
      <w:r>
        <w:rPr>
          <w:rFonts w:ascii="Arial" w:cs="Arial" w:eastAsia="Arial" w:hAnsi="Arial"/>
          <w:sz w:val="18"/>
          <w:szCs w:val="18"/>
          <w:color w:val="auto"/>
        </w:rPr>
        <w:t>) shall not be required if in the Lender’s reasonable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99</w:t>
      </w:r>
      <w:r>
        <w:rPr>
          <w:rFonts w:ascii="Arial" w:cs="Arial" w:eastAsia="Arial" w:hAnsi="Arial"/>
          <w:sz w:val="18"/>
          <w:szCs w:val="18"/>
          <w:u w:val="single" w:color="auto"/>
          <w:color w:val="0000FF"/>
          <w:strike w:val="1"/>
        </w:rPr>
        <w:t>99</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67" w:name="page168"/>
    <w:bookmarkEnd w:id="167"/>
    <w:p>
      <w:pPr>
        <w:ind w:left="840" w:right="59"/>
        <w:spacing w:after="0" w:line="261" w:lineRule="auto"/>
        <w:rPr>
          <w:sz w:val="20"/>
          <w:szCs w:val="20"/>
          <w:color w:val="auto"/>
        </w:rPr>
      </w:pPr>
      <w:r>
        <w:rPr>
          <w:rFonts w:ascii="Arial" w:cs="Arial" w:eastAsia="Arial" w:hAnsi="Arial"/>
          <w:sz w:val="19"/>
          <w:szCs w:val="19"/>
          <w:color w:val="auto"/>
        </w:rPr>
        <w:t>judgment such completion, execution or submission would subject such Lender to any material unreimbursed cost or expense or would materially prejudice the legal or commercial position of such Lender.</w:t>
      </w:r>
    </w:p>
    <w:p>
      <w:pPr>
        <w:spacing w:after="0" w:line="159" w:lineRule="exact"/>
        <w:rPr>
          <w:sz w:val="20"/>
          <w:szCs w:val="20"/>
          <w:color w:val="auto"/>
        </w:rPr>
      </w:pPr>
    </w:p>
    <w:p>
      <w:pPr>
        <w:ind w:left="2340" w:hanging="748"/>
        <w:spacing w:after="0"/>
        <w:tabs>
          <w:tab w:leader="none" w:pos="234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Without limiting the generality of the foregoing,</w:t>
      </w:r>
    </w:p>
    <w:p>
      <w:pPr>
        <w:spacing w:after="0" w:line="213" w:lineRule="exact"/>
        <w:rPr>
          <w:rFonts w:ascii="Arial" w:cs="Arial" w:eastAsia="Arial" w:hAnsi="Arial"/>
          <w:sz w:val="19"/>
          <w:szCs w:val="19"/>
          <w:color w:val="auto"/>
        </w:rPr>
      </w:pPr>
    </w:p>
    <w:p>
      <w:pPr>
        <w:jc w:val="both"/>
        <w:ind w:left="1600" w:right="39" w:firstLine="741"/>
        <w:spacing w:after="0" w:line="263" w:lineRule="auto"/>
        <w:tabs>
          <w:tab w:leader="none" w:pos="3008" w:val="left"/>
        </w:tabs>
        <w:numPr>
          <w:ilvl w:val="1"/>
          <w:numId w:val="166"/>
        </w:numPr>
        <w:rPr>
          <w:rFonts w:ascii="Arial" w:cs="Arial" w:eastAsia="Arial" w:hAnsi="Arial"/>
          <w:sz w:val="18"/>
          <w:szCs w:val="18"/>
          <w:color w:val="auto"/>
        </w:rPr>
      </w:pPr>
      <w:r>
        <w:rPr>
          <w:rFonts w:ascii="Arial" w:cs="Arial" w:eastAsia="Arial" w:hAnsi="Arial"/>
          <w:sz w:val="18"/>
          <w:szCs w:val="18"/>
          <w:color w:val="auto"/>
        </w:rPr>
        <w:t>each Lender that is a US Person shall deliver to the Borrower and the Administrative Agent on or prior to the date on which it becomes a Lender under this Agreement (and from time to time thereafter upon the reasonable request of the Borrower or the Administrative Agent), two executed copies of IRS Form W-9 certifying that such Lender is exempt from US federal backup withholding;</w:t>
      </w:r>
    </w:p>
    <w:p>
      <w:pPr>
        <w:spacing w:after="0" w:line="172" w:lineRule="exact"/>
        <w:rPr>
          <w:rFonts w:ascii="Arial" w:cs="Arial" w:eastAsia="Arial" w:hAnsi="Arial"/>
          <w:sz w:val="18"/>
          <w:szCs w:val="18"/>
          <w:color w:val="auto"/>
        </w:rPr>
      </w:pPr>
    </w:p>
    <w:p>
      <w:pPr>
        <w:jc w:val="both"/>
        <w:ind w:left="1600" w:right="19" w:firstLine="741"/>
        <w:spacing w:after="0" w:line="250" w:lineRule="auto"/>
        <w:tabs>
          <w:tab w:leader="none" w:pos="3011" w:val="left"/>
        </w:tabs>
        <w:numPr>
          <w:ilvl w:val="1"/>
          <w:numId w:val="166"/>
        </w:numPr>
        <w:rPr>
          <w:rFonts w:ascii="Arial" w:cs="Arial" w:eastAsia="Arial" w:hAnsi="Arial"/>
          <w:sz w:val="19"/>
          <w:szCs w:val="19"/>
          <w:color w:val="auto"/>
        </w:rPr>
      </w:pPr>
      <w:r>
        <w:rPr>
          <w:rFonts w:ascii="Arial" w:cs="Arial" w:eastAsia="Arial" w:hAnsi="Arial"/>
          <w:sz w:val="19"/>
          <w:szCs w:val="19"/>
          <w:color w:val="auto"/>
        </w:rPr>
        <w:t>each Foreign Lender shall, to the extent it is legally entitled to do so, deliver to the Borrower and the Administrative Agent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83" w:lineRule="exact"/>
        <w:rPr>
          <w:rFonts w:ascii="Arial" w:cs="Arial" w:eastAsia="Arial" w:hAnsi="Arial"/>
          <w:sz w:val="19"/>
          <w:szCs w:val="19"/>
          <w:color w:val="auto"/>
        </w:rPr>
      </w:pPr>
    </w:p>
    <w:p>
      <w:pPr>
        <w:jc w:val="both"/>
        <w:ind w:left="2340" w:right="39" w:firstLine="750"/>
        <w:spacing w:after="0" w:line="292" w:lineRule="auto"/>
        <w:tabs>
          <w:tab w:leader="none" w:pos="3741" w:val="left"/>
        </w:tabs>
        <w:numPr>
          <w:ilvl w:val="2"/>
          <w:numId w:val="166"/>
        </w:numPr>
        <w:rPr>
          <w:rFonts w:ascii="Arial" w:cs="Arial" w:eastAsia="Arial" w:hAnsi="Arial"/>
          <w:sz w:val="17"/>
          <w:szCs w:val="17"/>
          <w:color w:val="auto"/>
        </w:rPr>
      </w:pPr>
      <w:r>
        <w:rPr>
          <w:rFonts w:ascii="Arial" w:cs="Arial" w:eastAsia="Arial" w:hAnsi="Arial"/>
          <w:sz w:val="17"/>
          <w:szCs w:val="17"/>
          <w:color w:val="auto"/>
        </w:rPr>
        <w:t>in the case of any Foreign Lender claiming the benefits of an income tax treaty to which the US is a party, two executed copies of IRS Form W-8BEN or W-8BEN-E, as applicable, establishing any available exemption from, or reduction of, US federal withholding Tax;</w:t>
      </w:r>
    </w:p>
    <w:p>
      <w:pPr>
        <w:spacing w:after="0" w:line="231" w:lineRule="exact"/>
        <w:rPr>
          <w:rFonts w:ascii="Arial" w:cs="Arial" w:eastAsia="Arial" w:hAnsi="Arial"/>
          <w:sz w:val="17"/>
          <w:szCs w:val="17"/>
          <w:color w:val="auto"/>
        </w:rPr>
      </w:pPr>
    </w:p>
    <w:p>
      <w:pPr>
        <w:ind w:left="3840" w:hanging="750"/>
        <w:spacing w:after="0"/>
        <w:tabs>
          <w:tab w:leader="none" w:pos="3840" w:val="left"/>
        </w:tabs>
        <w:numPr>
          <w:ilvl w:val="2"/>
          <w:numId w:val="166"/>
        </w:numPr>
        <w:rPr>
          <w:rFonts w:ascii="Arial" w:cs="Arial" w:eastAsia="Arial" w:hAnsi="Arial"/>
          <w:sz w:val="19"/>
          <w:szCs w:val="19"/>
          <w:color w:val="auto"/>
        </w:rPr>
      </w:pPr>
      <w:r>
        <w:rPr>
          <w:rFonts w:ascii="Arial" w:cs="Arial" w:eastAsia="Arial" w:hAnsi="Arial"/>
          <w:sz w:val="19"/>
          <w:szCs w:val="19"/>
          <w:color w:val="auto"/>
        </w:rPr>
        <w:t>two executed copies of IRS Form W-8ECI (or any successor</w:t>
      </w:r>
    </w:p>
    <w:p>
      <w:pPr>
        <w:spacing w:after="0" w:line="14" w:lineRule="exact"/>
        <w:rPr>
          <w:sz w:val="20"/>
          <w:szCs w:val="20"/>
          <w:color w:val="auto"/>
        </w:rPr>
      </w:pPr>
    </w:p>
    <w:p>
      <w:pPr>
        <w:ind w:left="2340"/>
        <w:spacing w:after="0"/>
        <w:rPr>
          <w:sz w:val="20"/>
          <w:szCs w:val="20"/>
          <w:color w:val="auto"/>
        </w:rPr>
      </w:pPr>
      <w:r>
        <w:rPr>
          <w:rFonts w:ascii="Arial" w:cs="Arial" w:eastAsia="Arial" w:hAnsi="Arial"/>
          <w:sz w:val="19"/>
          <w:szCs w:val="19"/>
          <w:color w:val="auto"/>
        </w:rPr>
        <w:t>forms);</w:t>
      </w:r>
    </w:p>
    <w:p>
      <w:pPr>
        <w:spacing w:after="0" w:line="279" w:lineRule="exact"/>
        <w:rPr>
          <w:sz w:val="20"/>
          <w:szCs w:val="20"/>
          <w:color w:val="auto"/>
        </w:rPr>
      </w:pPr>
    </w:p>
    <w:p>
      <w:pPr>
        <w:jc w:val="both"/>
        <w:ind w:left="2340" w:right="19" w:firstLine="750"/>
        <w:spacing w:after="0"/>
        <w:tabs>
          <w:tab w:leader="none" w:pos="3742" w:val="left"/>
        </w:tabs>
        <w:numPr>
          <w:ilvl w:val="1"/>
          <w:numId w:val="167"/>
        </w:numPr>
        <w:rPr>
          <w:rFonts w:ascii="Arial" w:cs="Arial" w:eastAsia="Arial" w:hAnsi="Arial"/>
          <w:sz w:val="19"/>
          <w:szCs w:val="19"/>
          <w:color w:val="auto"/>
        </w:rPr>
      </w:pPr>
      <w:r>
        <w:rPr>
          <w:rFonts w:ascii="Arial" w:cs="Arial" w:eastAsia="Arial" w:hAnsi="Arial"/>
          <w:sz w:val="19"/>
          <w:szCs w:val="19"/>
          <w:color w:val="auto"/>
        </w:rPr>
        <w:t xml:space="preserve">in the case of any Foreign Lender claiming the benefits of the exemption for portfolio interest under Section 871(h) or 881(c) of the Code, (x) two executed copies of a certificate substantially in the form of </w:t>
      </w:r>
      <w:r>
        <w:rPr>
          <w:rFonts w:ascii="Arial" w:cs="Arial" w:eastAsia="Arial" w:hAnsi="Arial"/>
          <w:sz w:val="19"/>
          <w:szCs w:val="19"/>
          <w:u w:val="single" w:color="auto"/>
          <w:color w:val="auto"/>
        </w:rPr>
        <w:t>Exhibit O-1</w:t>
      </w:r>
      <w:r>
        <w:rPr>
          <w:rFonts w:ascii="Arial" w:cs="Arial" w:eastAsia="Arial" w:hAnsi="Arial"/>
          <w:sz w:val="19"/>
          <w:szCs w:val="19"/>
          <w:color w:val="auto"/>
        </w:rPr>
        <w:t xml:space="preserve"> to the effect that such Foreign Lender is not a “bank” within the meaning of Section 881(c)(3)(A) of the Code, a “10-percent shareholder” of the Borrower within the meaning of Section 871(h)(3)(B) of the Code, or a “controlled foreign corporation” related to the Borrower as described in Section 881(c)(3)(C) of the Code, and that no payments payable to such Lender are effectively connected with the conduct of a US trade or business (a “</w:t>
      </w:r>
      <w:r>
        <w:rPr>
          <w:rFonts w:ascii="Arial" w:cs="Arial" w:eastAsia="Arial" w:hAnsi="Arial"/>
          <w:sz w:val="19"/>
          <w:szCs w:val="19"/>
          <w:u w:val="single" w:color="auto"/>
          <w:color w:val="auto"/>
        </w:rPr>
        <w:t>Tax Compliance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Certificate</w:t>
      </w:r>
      <w:r>
        <w:rPr>
          <w:rFonts w:ascii="Arial" w:cs="Arial" w:eastAsia="Arial" w:hAnsi="Arial"/>
          <w:sz w:val="19"/>
          <w:szCs w:val="19"/>
          <w:color w:val="auto"/>
        </w:rPr>
        <w:t>”) and (y) two executed copies of IRS Form W-8BEN or W-8BEN-E, as applicable (or any successor forms); or</w:t>
      </w:r>
    </w:p>
    <w:p>
      <w:pPr>
        <w:spacing w:after="0" w:line="193" w:lineRule="exact"/>
        <w:rPr>
          <w:rFonts w:ascii="Arial" w:cs="Arial" w:eastAsia="Arial" w:hAnsi="Arial"/>
          <w:sz w:val="19"/>
          <w:szCs w:val="19"/>
          <w:color w:val="auto"/>
        </w:rPr>
      </w:pPr>
    </w:p>
    <w:p>
      <w:pPr>
        <w:jc w:val="both"/>
        <w:ind w:left="2340" w:right="39" w:firstLine="750"/>
        <w:spacing w:after="0" w:line="257" w:lineRule="auto"/>
        <w:tabs>
          <w:tab w:leader="none" w:pos="3741"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to the extent any Foreign Lender is not the beneficial owner (</w:t>
      </w:r>
      <w:r>
        <w:rPr>
          <w:rFonts w:ascii="Arial" w:cs="Arial" w:eastAsia="Arial" w:hAnsi="Arial"/>
          <w:sz w:val="18"/>
          <w:szCs w:val="18"/>
          <w:i w:val="1"/>
          <w:iCs w:val="1"/>
          <w:color w:val="auto"/>
        </w:rPr>
        <w:t>e.g.</w:t>
      </w:r>
      <w:r>
        <w:rPr>
          <w:rFonts w:ascii="Arial" w:cs="Arial" w:eastAsia="Arial" w:hAnsi="Arial"/>
          <w:sz w:val="18"/>
          <w:szCs w:val="18"/>
          <w:color w:val="auto"/>
        </w:rPr>
        <w:t xml:space="preserve">, where the Foreign Lender is a partnership or participating Lender), two executed copies of IRS Form W-8IMY (or any successor forms), accompanied by IRS Form W-8ECI, IRS Form W-8BEN or W-8BEN-E, a Tax Compliance Certificate substantially in the form of </w:t>
      </w:r>
      <w:r>
        <w:rPr>
          <w:rFonts w:ascii="Arial" w:cs="Arial" w:eastAsia="Arial" w:hAnsi="Arial"/>
          <w:sz w:val="18"/>
          <w:szCs w:val="18"/>
          <w:u w:val="single" w:color="auto"/>
          <w:color w:val="auto"/>
        </w:rPr>
        <w:t>Exhibit O-2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O-4</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Foreign Lender is a partnership (and not a participating Lender) and one or more direct or indirect partners of such Foreign Lender are claiming the portfolio interest exemption, such Foreign Lender may provide a Tax Compliance Certificate substantially in the form of </w:t>
      </w:r>
      <w:r>
        <w:rPr>
          <w:rFonts w:ascii="Arial" w:cs="Arial" w:eastAsia="Arial" w:hAnsi="Arial"/>
          <w:sz w:val="18"/>
          <w:szCs w:val="18"/>
          <w:u w:val="single" w:color="auto"/>
          <w:color w:val="auto"/>
        </w:rPr>
        <w:t>Exhibit O-3</w:t>
      </w:r>
      <w:r>
        <w:rPr>
          <w:rFonts w:ascii="Arial" w:cs="Arial" w:eastAsia="Arial" w:hAnsi="Arial"/>
          <w:sz w:val="18"/>
          <w:szCs w:val="18"/>
          <w:color w:val="auto"/>
        </w:rPr>
        <w:t xml:space="preserve"> on behalf of each such direct or indirect partner(s);</w:t>
      </w:r>
    </w:p>
    <w:p>
      <w:pPr>
        <w:spacing w:after="0" w:line="178" w:lineRule="exact"/>
        <w:rPr>
          <w:rFonts w:ascii="Arial" w:cs="Arial" w:eastAsia="Arial" w:hAnsi="Arial"/>
          <w:sz w:val="18"/>
          <w:szCs w:val="18"/>
          <w:color w:val="auto"/>
        </w:rPr>
      </w:pPr>
    </w:p>
    <w:p>
      <w:pPr>
        <w:jc w:val="both"/>
        <w:ind w:left="1600" w:right="19" w:firstLine="741"/>
        <w:spacing w:after="0" w:line="245" w:lineRule="auto"/>
        <w:tabs>
          <w:tab w:leader="none" w:pos="3011" w:val="left"/>
        </w:tabs>
        <w:numPr>
          <w:ilvl w:val="0"/>
          <w:numId w:val="168"/>
        </w:numPr>
        <w:rPr>
          <w:rFonts w:ascii="Arial" w:cs="Arial" w:eastAsia="Arial" w:hAnsi="Arial"/>
          <w:sz w:val="19"/>
          <w:szCs w:val="19"/>
          <w:color w:val="auto"/>
        </w:rPr>
      </w:pPr>
      <w:r>
        <w:rPr>
          <w:rFonts w:ascii="Arial" w:cs="Arial" w:eastAsia="Arial" w:hAnsi="Arial"/>
          <w:sz w:val="19"/>
          <w:szCs w:val="19"/>
          <w:color w:val="auto"/>
        </w:rPr>
        <w:t>each Foreign Lender shall, to the extent it is legally entitled to do so, deliver to the Borrower and the Administrative Agent on or prior to the date on which such Foreign Lender becomes a Lender under this Agreement (and from time to time thereafter upon the reasonable request of the Borrower or the Administrative Agent), two executed copies of any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100</w:t>
      </w:r>
      <w:r>
        <w:rPr>
          <w:rFonts w:ascii="Arial" w:cs="Arial" w:eastAsia="Arial" w:hAnsi="Arial"/>
          <w:sz w:val="18"/>
          <w:szCs w:val="18"/>
          <w:u w:val="single" w:color="auto"/>
          <w:color w:val="0000FF"/>
          <w:strike w:val="1"/>
        </w:rPr>
        <w:t>100</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68" w:name="page169"/>
    <w:bookmarkEnd w:id="168"/>
    <w:p>
      <w:pPr>
        <w:jc w:val="both"/>
        <w:ind w:left="1600" w:right="59"/>
        <w:spacing w:after="0" w:line="236" w:lineRule="auto"/>
        <w:rPr>
          <w:sz w:val="20"/>
          <w:szCs w:val="20"/>
          <w:color w:val="auto"/>
        </w:rPr>
      </w:pPr>
      <w:r>
        <w:rPr>
          <w:rFonts w:ascii="Arial" w:cs="Arial" w:eastAsia="Arial" w:hAnsi="Arial"/>
          <w:sz w:val="19"/>
          <w:szCs w:val="19"/>
          <w:color w:val="auto"/>
        </w:rPr>
        <w:t>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or the Administrative Agent to determine the withholding or deduction required to be made; and</w:t>
      </w:r>
    </w:p>
    <w:p>
      <w:pPr>
        <w:spacing w:after="0" w:line="194" w:lineRule="exact"/>
        <w:rPr>
          <w:sz w:val="20"/>
          <w:szCs w:val="20"/>
          <w:color w:val="auto"/>
        </w:rPr>
      </w:pPr>
    </w:p>
    <w:p>
      <w:pPr>
        <w:jc w:val="both"/>
        <w:ind w:left="1600" w:right="39" w:firstLine="741"/>
        <w:spacing w:after="0" w:line="254" w:lineRule="auto"/>
        <w:tabs>
          <w:tab w:leader="none" w:pos="300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if a payment made to any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applicable Requirements of Law and at such time or times reasonably requested by the Borrower or the Administrative Agent such documentation as is prescribed by applicable Requirements of Law (including as prescribed by Section 1471(b)(3)(C)(i) of the Code) as may be necessary for the Borrower and the Administrative Agent to comply with their obligations under FATCA, to determine whether such Lender has complied with such Lender’s obligations under FATCA or to determine the amount, if any, to deduct and withhold from such payment. Solely for purposes of this </w:t>
      </w:r>
      <w:r>
        <w:rPr>
          <w:rFonts w:ascii="Arial" w:cs="Arial" w:eastAsia="Arial" w:hAnsi="Arial"/>
          <w:sz w:val="18"/>
          <w:szCs w:val="18"/>
          <w:u w:val="single" w:color="auto"/>
          <w:color w:val="auto"/>
        </w:rPr>
        <w:t>clause (D)</w:t>
      </w:r>
      <w:r>
        <w:rPr>
          <w:rFonts w:ascii="Arial" w:cs="Arial" w:eastAsia="Arial" w:hAnsi="Arial"/>
          <w:sz w:val="18"/>
          <w:szCs w:val="18"/>
          <w:color w:val="auto"/>
        </w:rPr>
        <w:t>, “FATCA” shall include any amendments made to FATCA after the date of this Agreement.</w:t>
      </w:r>
    </w:p>
    <w:p>
      <w:pPr>
        <w:spacing w:after="0" w:line="196" w:lineRule="exact"/>
        <w:rPr>
          <w:sz w:val="20"/>
          <w:szCs w:val="20"/>
          <w:color w:val="auto"/>
        </w:rPr>
      </w:pPr>
    </w:p>
    <w:p>
      <w:pPr>
        <w:jc w:val="both"/>
        <w:ind w:left="100" w:right="19" w:firstLine="749"/>
        <w:spacing w:after="0" w:line="236" w:lineRule="auto"/>
        <w:rPr>
          <w:sz w:val="20"/>
          <w:szCs w:val="20"/>
          <w:color w:val="auto"/>
        </w:rPr>
      </w:pPr>
      <w:r>
        <w:rPr>
          <w:rFonts w:ascii="Arial" w:cs="Arial" w:eastAsia="Arial" w:hAnsi="Arial"/>
          <w:sz w:val="19"/>
          <w:szCs w:val="19"/>
          <w:color w:val="auto"/>
        </w:rPr>
        <w:t>For the avoidance of doubt, if a Lender is an entity disregarded from its owner for US federal income tax purposes, references to the foregoing documentation are intended to refer to documentation with respect to such Lender’s owner and, as applicable, such Lender.</w:t>
      </w:r>
    </w:p>
    <w:p>
      <w:pPr>
        <w:spacing w:after="0" w:line="179"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 xml:space="preserve">Each Lender agrees that if any documentation it previously delivered expires or becomes obsolete or inaccurate in any respect (including any specific documentation required above in this </w:t>
      </w:r>
      <w:r>
        <w:rPr>
          <w:rFonts w:ascii="Arial" w:cs="Arial" w:eastAsia="Arial" w:hAnsi="Arial"/>
          <w:sz w:val="19"/>
          <w:szCs w:val="19"/>
          <w:u w:val="single" w:color="auto"/>
          <w:color w:val="auto"/>
        </w:rPr>
        <w:t>Section 2.17(f)</w:t>
      </w:r>
      <w:r>
        <w:rPr>
          <w:rFonts w:ascii="Arial" w:cs="Arial" w:eastAsia="Arial" w:hAnsi="Arial"/>
          <w:sz w:val="19"/>
          <w:szCs w:val="19"/>
          <w:color w:val="auto"/>
        </w:rPr>
        <w:t>), it shall deliver to the Borrower and the Administrative Agent updated or other appropriate documentation (including any new documentation reasonably requested by the Borrower or the Administrative Agent) or promptly notify the Borrower and the Administrative Agent in writing of its legal ineligibility to do so.</w:t>
      </w:r>
    </w:p>
    <w:p>
      <w:pPr>
        <w:spacing w:after="0" w:line="181" w:lineRule="exact"/>
        <w:rPr>
          <w:sz w:val="20"/>
          <w:szCs w:val="20"/>
          <w:color w:val="auto"/>
        </w:rPr>
      </w:pPr>
    </w:p>
    <w:p>
      <w:pPr>
        <w:jc w:val="both"/>
        <w:ind w:left="100" w:right="19" w:firstLine="741"/>
        <w:spacing w:after="0" w:line="252" w:lineRule="auto"/>
        <w:tabs>
          <w:tab w:leader="none" w:pos="1523" w:val="left"/>
        </w:tabs>
        <w:numPr>
          <w:ilvl w:val="1"/>
          <w:numId w:val="170"/>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xml:space="preserve">. If the Administrative Agent or any Lender determines, in its sole discretion, that it has received a refund (whether received in cash or applied as a credit against any cash taxes payable) of any Indemnified Taxes or Other Taxes as to which it has been indemnified by the Borrower or with respect to which any Loan Party has paid additional amounts pursuant to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it shall pay over such refund to the applicable Loan Party (but only to the extent of indemnity payments made, or additional amounts paid, by such Loan Party under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with respect to the Indemnified Taxes or Other Taxes giving rise to such refund), net of all out-of-pocket expenses of the Administrative Agent or such Lender (including any Taxes imposed with respect to such refund), and without interest (other than any interest paid by the relevant Governmental Authority with respect to such refund);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applicable Loan Party, upon the request of the Administrative Agent or such Lender, agrees to repay the amount paid over to such Loan Party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w:t>
      </w:r>
      <w:r>
        <w:rPr>
          <w:rFonts w:ascii="Arial" w:cs="Arial" w:eastAsia="Arial" w:hAnsi="Arial"/>
          <w:sz w:val="18"/>
          <w:szCs w:val="18"/>
          <w:u w:val="single" w:color="auto"/>
          <w:color w:val="auto"/>
        </w:rPr>
        <w:t>paragraph (g)</w:t>
      </w:r>
      <w:r>
        <w:rPr>
          <w:rFonts w:ascii="Arial" w:cs="Arial" w:eastAsia="Arial" w:hAnsi="Arial"/>
          <w:sz w:val="18"/>
          <w:szCs w:val="18"/>
          <w:color w:val="auto"/>
        </w:rPr>
        <w:t xml:space="preserve">, in no event will the Administrative Agent or any Lender be required to pay any amount to the applicable Loan Party pursuant to this </w:t>
      </w:r>
      <w:r>
        <w:rPr>
          <w:rFonts w:ascii="Arial" w:cs="Arial" w:eastAsia="Arial" w:hAnsi="Arial"/>
          <w:sz w:val="18"/>
          <w:szCs w:val="18"/>
          <w:u w:val="single" w:color="auto"/>
          <w:color w:val="auto"/>
        </w:rPr>
        <w:t>paragraph (g)</w:t>
      </w:r>
      <w:r>
        <w:rPr>
          <w:rFonts w:ascii="Arial" w:cs="Arial" w:eastAsia="Arial" w:hAnsi="Arial"/>
          <w:sz w:val="18"/>
          <w:szCs w:val="18"/>
          <w:color w:val="auto"/>
        </w:rPr>
        <w:t xml:space="preserve">, in no event will the Administrative Agent or any Lender be required to pay any amount to the Borrower pursuant to this </w:t>
      </w:r>
      <w:r>
        <w:rPr>
          <w:rFonts w:ascii="Arial" w:cs="Arial" w:eastAsia="Arial" w:hAnsi="Arial"/>
          <w:sz w:val="18"/>
          <w:szCs w:val="18"/>
          <w:u w:val="single" w:color="auto"/>
          <w:color w:val="auto"/>
        </w:rPr>
        <w:t>paragraph</w:t>
      </w:r>
    </w:p>
    <w:p>
      <w:pPr>
        <w:spacing w:after="0" w:line="10" w:lineRule="exact"/>
        <w:rPr>
          <w:rFonts w:ascii="Arial" w:cs="Arial" w:eastAsia="Arial" w:hAnsi="Arial"/>
          <w:sz w:val="18"/>
          <w:szCs w:val="18"/>
          <w:color w:val="auto"/>
        </w:rPr>
      </w:pPr>
    </w:p>
    <w:p>
      <w:pPr>
        <w:jc w:val="both"/>
        <w:ind w:left="100" w:right="59" w:hanging="7"/>
        <w:spacing w:after="0" w:line="242" w:lineRule="auto"/>
        <w:tabs>
          <w:tab w:leader="none" w:pos="771" w:val="left"/>
        </w:tabs>
        <w:numPr>
          <w:ilvl w:val="0"/>
          <w:numId w:val="171"/>
        </w:numPr>
        <w:rPr>
          <w:rFonts w:ascii="Arial" w:cs="Arial" w:eastAsia="Arial" w:hAnsi="Arial"/>
          <w:sz w:val="19"/>
          <w:szCs w:val="19"/>
          <w:u w:val="single" w:color="auto"/>
          <w:color w:val="auto"/>
        </w:rPr>
      </w:pPr>
      <w:r>
        <w:rPr>
          <w:rFonts w:ascii="Arial" w:cs="Arial" w:eastAsia="Arial" w:hAnsi="Arial"/>
          <w:sz w:val="19"/>
          <w:szCs w:val="19"/>
          <w:color w:val="auto"/>
        </w:rPr>
        <w:t xml:space="preserve">to the extent that the payment thereof would place the Administrative Agent or such Lender in a less favorable net after-Tax position than the position that the Administrative Agent or such Lender would have been in if the Tax subject to indemnification had not been deducted, withheld or otherwise imposed and the indemnification payments or additional amounts giving rise to such refund had never been paid.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shall not be construed to require the Administrative Agent or any Lender to make available its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101</w:t>
      </w:r>
      <w:r>
        <w:rPr>
          <w:rFonts w:ascii="Arial" w:cs="Arial" w:eastAsia="Arial" w:hAnsi="Arial"/>
          <w:sz w:val="18"/>
          <w:szCs w:val="18"/>
          <w:u w:val="single" w:color="auto"/>
          <w:color w:val="0000FF"/>
          <w:strike w:val="1"/>
        </w:rPr>
        <w:t>101</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69" w:name="page170"/>
    <w:bookmarkEnd w:id="169"/>
    <w:p>
      <w:pPr>
        <w:ind w:left="100" w:right="499"/>
        <w:spacing w:after="0" w:line="261" w:lineRule="auto"/>
        <w:rPr>
          <w:sz w:val="20"/>
          <w:szCs w:val="20"/>
          <w:color w:val="auto"/>
        </w:rPr>
      </w:pPr>
      <w:r>
        <w:rPr>
          <w:rFonts w:ascii="Arial" w:cs="Arial" w:eastAsia="Arial" w:hAnsi="Arial"/>
          <w:sz w:val="19"/>
          <w:szCs w:val="19"/>
          <w:color w:val="auto"/>
        </w:rPr>
        <w:t>Tax returns (or any other information relating to its Taxes which it deems confidential) to the relevant Loan Party or any other Person.</w:t>
      </w:r>
    </w:p>
    <w:p>
      <w:pPr>
        <w:spacing w:after="0" w:line="159" w:lineRule="exact"/>
        <w:rPr>
          <w:sz w:val="20"/>
          <w:szCs w:val="20"/>
          <w:color w:val="auto"/>
        </w:rPr>
      </w:pPr>
    </w:p>
    <w:p>
      <w:pPr>
        <w:jc w:val="both"/>
        <w:ind w:left="100" w:right="59" w:firstLine="741"/>
        <w:spacing w:after="0" w:line="249" w:lineRule="auto"/>
        <w:tabs>
          <w:tab w:leader="none" w:pos="1519" w:val="left"/>
        </w:tabs>
        <w:numPr>
          <w:ilvl w:val="0"/>
          <w:numId w:val="17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Each party’s obligations under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shall survive the resignation or replacement of the Administrative Agent or any assignment of rights by, or the replacement of, any Lender, the termination of the Commitments and the repayment, satisfaction or discharge of all obligations under any Loan Document.</w:t>
      </w:r>
    </w:p>
    <w:p>
      <w:pPr>
        <w:spacing w:after="0" w:line="183" w:lineRule="exact"/>
        <w:rPr>
          <w:rFonts w:ascii="Arial" w:cs="Arial" w:eastAsia="Arial" w:hAnsi="Arial"/>
          <w:sz w:val="19"/>
          <w:szCs w:val="19"/>
          <w:u w:val="single" w:color="auto"/>
          <w:color w:val="auto"/>
        </w:rPr>
      </w:pPr>
    </w:p>
    <w:p>
      <w:pPr>
        <w:ind w:left="100" w:right="99" w:firstLine="741"/>
        <w:spacing w:after="0" w:line="261" w:lineRule="auto"/>
        <w:tabs>
          <w:tab w:leader="none" w:pos="1517" w:val="left"/>
        </w:tabs>
        <w:numPr>
          <w:ilvl w:val="0"/>
          <w:numId w:val="17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Definition of “Lender”</w:t>
      </w:r>
      <w:r>
        <w:rPr>
          <w:rFonts w:ascii="Arial" w:cs="Arial" w:eastAsia="Arial" w:hAnsi="Arial"/>
          <w:sz w:val="19"/>
          <w:szCs w:val="19"/>
          <w:color w:val="auto"/>
        </w:rPr>
        <w:t xml:space="preserve">. For the avoidance of doubt, the term “Lender” shall, for all purposes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w:t>
      </w:r>
      <w:r>
        <w:rPr>
          <w:rFonts w:ascii="Arial" w:cs="Arial" w:eastAsia="Arial" w:hAnsi="Arial"/>
          <w:sz w:val="19"/>
          <w:szCs w:val="19"/>
          <w:color w:val="auto"/>
        </w:rPr>
        <w:t>, include any Issuing Bank and the Swingline Lender.</w:t>
      </w:r>
    </w:p>
    <w:p>
      <w:pPr>
        <w:spacing w:after="0" w:line="172" w:lineRule="exact"/>
        <w:rPr>
          <w:rFonts w:ascii="Arial" w:cs="Arial" w:eastAsia="Arial" w:hAnsi="Arial"/>
          <w:sz w:val="19"/>
          <w:szCs w:val="19"/>
          <w:u w:val="single" w:color="auto"/>
          <w:color w:val="auto"/>
        </w:rPr>
      </w:pPr>
    </w:p>
    <w:p>
      <w:pPr>
        <w:jc w:val="both"/>
        <w:ind w:left="100" w:right="59" w:firstLine="742"/>
        <w:spacing w:after="0" w:line="271" w:lineRule="auto"/>
        <w:tabs>
          <w:tab w:leader="none" w:pos="1520" w:val="left"/>
        </w:tabs>
        <w:numPr>
          <w:ilvl w:val="0"/>
          <w:numId w:val="172"/>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Certain Documentation</w:t>
      </w:r>
      <w:r>
        <w:rPr>
          <w:rFonts w:ascii="Arial" w:cs="Arial" w:eastAsia="Arial" w:hAnsi="Arial"/>
          <w:sz w:val="17"/>
          <w:szCs w:val="17"/>
          <w:color w:val="auto"/>
        </w:rPr>
        <w:t xml:space="preserve">. On or before the date on which the Administrative Agent becomes a party to this Agreement, the Administrative Agent shall deliver to the Borrower whichever of the following is applicable: (i) if the Administrative Agent is a US Person, two executed copies of IRS Form W-9 certifying that such Administrative Agent is exempt from US federal backup withholding or (ii) if the Administrative Agent is not a US Person, (A) with respect to payments received for its own account, two executed copies of IRS Form W-8ECI or W-8BEN-E, as applicable and (ii) with respect to payments received on account of any Lender, two executed copies of IRS Form W-8IMY (together with all required accompanying documentation) certifying that the Administrative Agent is either a US branch and may be treated as a US person for purposes of applicable US federal withholding Tax or a qualified intermediary. At any time thereafter, the Administrative Agent shall provide updated documentation previously provided (or a successor form thereto) when any documentation previously delivered has expired or become obsolete or invalid or otherwise upon the reasonable request of the Borrower. Notwithstanding anything to the contrary in this </w:t>
      </w:r>
      <w:r>
        <w:rPr>
          <w:rFonts w:ascii="Arial" w:cs="Arial" w:eastAsia="Arial" w:hAnsi="Arial"/>
          <w:sz w:val="17"/>
          <w:szCs w:val="17"/>
          <w:u w:val="single" w:color="auto"/>
          <w:color w:val="auto"/>
        </w:rPr>
        <w:t>Section 2.17(j)</w:t>
      </w:r>
      <w:r>
        <w:rPr>
          <w:rFonts w:ascii="Arial" w:cs="Arial" w:eastAsia="Arial" w:hAnsi="Arial"/>
          <w:sz w:val="17"/>
          <w:szCs w:val="17"/>
          <w:color w:val="auto"/>
        </w:rPr>
        <w:t>, the Administrative Agent shall not be required to provide any documentation that the Administrative Agent is not legally eligible to deliver as a result of a Change in Law after the Closing Date.</w:t>
      </w:r>
    </w:p>
    <w:p>
      <w:pPr>
        <w:spacing w:after="0" w:line="173"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2.18.  </w:t>
      </w:r>
      <w:r>
        <w:rPr>
          <w:rFonts w:ascii="Arial" w:cs="Arial" w:eastAsia="Arial" w:hAnsi="Arial"/>
          <w:sz w:val="19"/>
          <w:szCs w:val="19"/>
          <w:u w:val="single" w:color="auto"/>
          <w:color w:val="auto"/>
        </w:rPr>
        <w:t>Payments Generally; Allocation of Proceeds; Sharing of Payments</w:t>
      </w:r>
      <w:r>
        <w:rPr>
          <w:rFonts w:ascii="Arial" w:cs="Arial" w:eastAsia="Arial" w:hAnsi="Arial"/>
          <w:sz w:val="19"/>
          <w:szCs w:val="19"/>
          <w:color w:val="auto"/>
        </w:rPr>
        <w:t>.</w:t>
      </w:r>
    </w:p>
    <w:p>
      <w:pPr>
        <w:spacing w:after="0" w:line="214" w:lineRule="exact"/>
        <w:rPr>
          <w:sz w:val="20"/>
          <w:szCs w:val="20"/>
          <w:color w:val="auto"/>
        </w:rPr>
      </w:pPr>
    </w:p>
    <w:p>
      <w:pPr>
        <w:jc w:val="both"/>
        <w:ind w:left="100" w:right="39" w:firstLine="742"/>
        <w:spacing w:after="0" w:line="268" w:lineRule="auto"/>
        <w:tabs>
          <w:tab w:leader="none" w:pos="1521" w:val="left"/>
        </w:tabs>
        <w:numPr>
          <w:ilvl w:val="0"/>
          <w:numId w:val="173"/>
        </w:numPr>
        <w:rPr>
          <w:rFonts w:ascii="Arial" w:cs="Arial" w:eastAsia="Arial" w:hAnsi="Arial"/>
          <w:sz w:val="17"/>
          <w:szCs w:val="17"/>
          <w:color w:val="auto"/>
        </w:rPr>
      </w:pPr>
      <w:r>
        <w:rPr>
          <w:rFonts w:ascii="Arial" w:cs="Arial" w:eastAsia="Arial" w:hAnsi="Arial"/>
          <w:sz w:val="17"/>
          <w:szCs w:val="17"/>
          <w:color w:val="auto"/>
        </w:rPr>
        <w:t xml:space="preserve">Unless otherwise specified, the Borrower shall make each payment required to be made by it hereunder (whether of principal, interest or fees, reimbursements of LC Disbursements, or of amounts payable under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or otherwise) prior to 3:00 p.m. on the date when due. Each such payment shall be made in immediately available funds (or such other form of consideration as the relevant recipient may agree), without set-off or counterclaim. Any amount received after such time on any date may, in the discretion of the Administrative Agent, be deemed to have been received on the next succeeding Business Day for purposes of calculating interest thereon. Each such payment shall be made to the Administrative Agent to the applicable account designated by the Administrative Agent to the Borrower, except that payments pursuant to </w:t>
      </w:r>
      <w:r>
        <w:rPr>
          <w:rFonts w:ascii="Arial" w:cs="Arial" w:eastAsia="Arial" w:hAnsi="Arial"/>
          <w:sz w:val="17"/>
          <w:szCs w:val="17"/>
          <w:u w:val="single" w:color="auto"/>
          <w:color w:val="auto"/>
        </w:rPr>
        <w:t>Sections 2.12(b)(ii)</w:t>
      </w:r>
      <w:r>
        <w:rPr>
          <w:rFonts w:ascii="Arial" w:cs="Arial" w:eastAsia="Arial" w:hAnsi="Arial"/>
          <w:sz w:val="17"/>
          <w:szCs w:val="17"/>
          <w:color w:val="auto"/>
        </w:rPr>
        <w:t xml:space="preserve">,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9.03</w:t>
      </w:r>
      <w:r>
        <w:rPr>
          <w:rFonts w:ascii="Arial" w:cs="Arial" w:eastAsia="Arial" w:hAnsi="Arial"/>
          <w:sz w:val="17"/>
          <w:szCs w:val="17"/>
          <w:color w:val="auto"/>
        </w:rPr>
        <w:t xml:space="preserve"> shall be made directly to the Person or Persons entitled thereto. The Administrative Agent shall distribute any such payment received by it for the account of any other Person to the appropriate recipient promptly following receipt thereof. Except as provided in </w:t>
      </w:r>
      <w:r>
        <w:rPr>
          <w:rFonts w:ascii="Arial" w:cs="Arial" w:eastAsia="Arial" w:hAnsi="Arial"/>
          <w:sz w:val="17"/>
          <w:szCs w:val="17"/>
          <w:u w:val="single" w:color="auto"/>
          <w:color w:val="auto"/>
        </w:rPr>
        <w:t>Sections 2.19(b)</w:t>
      </w:r>
      <w:r>
        <w:rPr>
          <w:rFonts w:ascii="Arial" w:cs="Arial" w:eastAsia="Arial" w:hAnsi="Arial"/>
          <w:sz w:val="17"/>
          <w:szCs w:val="17"/>
          <w:color w:val="auto"/>
        </w:rPr>
        <w:t xml:space="preserve">, </w:t>
      </w:r>
      <w:r>
        <w:rPr>
          <w:rFonts w:ascii="Arial" w:cs="Arial" w:eastAsia="Arial" w:hAnsi="Arial"/>
          <w:sz w:val="17"/>
          <w:szCs w:val="17"/>
          <w:u w:val="single" w:color="auto"/>
          <w:color w:val="auto"/>
        </w:rPr>
        <w:t>2.21</w:t>
      </w:r>
      <w:r>
        <w:rPr>
          <w:rFonts w:ascii="Arial" w:cs="Arial" w:eastAsia="Arial" w:hAnsi="Arial"/>
          <w:sz w:val="17"/>
          <w:szCs w:val="17"/>
          <w:color w:val="auto"/>
        </w:rPr>
        <w:t xml:space="preserve">, </w:t>
      </w:r>
      <w:r>
        <w:rPr>
          <w:rFonts w:ascii="Arial" w:cs="Arial" w:eastAsia="Arial" w:hAnsi="Arial"/>
          <w:sz w:val="17"/>
          <w:szCs w:val="17"/>
          <w:u w:val="single" w:color="auto"/>
          <w:color w:val="auto"/>
        </w:rPr>
        <w:t>2.22</w:t>
      </w:r>
      <w:r>
        <w:rPr>
          <w:rFonts w:ascii="Arial" w:cs="Arial" w:eastAsia="Arial" w:hAnsi="Arial"/>
          <w:sz w:val="17"/>
          <w:szCs w:val="17"/>
          <w:color w:val="auto"/>
        </w:rPr>
        <w:t xml:space="preserve">, </w:t>
      </w:r>
      <w:r>
        <w:rPr>
          <w:rFonts w:ascii="Arial" w:cs="Arial" w:eastAsia="Arial" w:hAnsi="Arial"/>
          <w:sz w:val="17"/>
          <w:szCs w:val="17"/>
          <w:u w:val="single" w:color="auto"/>
          <w:color w:val="auto"/>
        </w:rPr>
        <w:t>2.23</w:t>
      </w:r>
      <w:r>
        <w:rPr>
          <w:rFonts w:ascii="Arial" w:cs="Arial" w:eastAsia="Arial" w:hAnsi="Arial"/>
          <w:sz w:val="17"/>
          <w:szCs w:val="17"/>
          <w:color w:val="auto"/>
        </w:rPr>
        <w:t xml:space="preserve">, </w:t>
      </w:r>
      <w:r>
        <w:rPr>
          <w:rFonts w:ascii="Arial" w:cs="Arial" w:eastAsia="Arial" w:hAnsi="Arial"/>
          <w:sz w:val="17"/>
          <w:szCs w:val="17"/>
          <w:u w:val="single" w:color="auto"/>
          <w:color w:val="auto"/>
        </w:rPr>
        <w:t>9.02(c)</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9.05</w:t>
      </w:r>
      <w:r>
        <w:rPr>
          <w:rFonts w:ascii="Arial" w:cs="Arial" w:eastAsia="Arial" w:hAnsi="Arial"/>
          <w:sz w:val="17"/>
          <w:szCs w:val="17"/>
          <w:color w:val="auto"/>
        </w:rPr>
        <w:t xml:space="preserve"> and/or any other express provision of this Agreement, each Borrowing, each payment or prepayment of principal of any Borrowing, each payment of interest on the Loans of a given Class and each conversion of any Borrowing to or continuation of any Borrowing as a Borrowing of any Type (and of the same Class) shall be allocated pro rata among the Lenders in accordance with their respective Applicable Percentages of the applicable Class. Each Lender agrees that in computing such Lender’s portion of any Borrowing to be made hereunder, the Administrative Agent may, in its discretion, round each Lender’s percentage of such Borrowing to the next higher or lower whole Dollar amount. All payments hereunder shall be made in Dollars or the relevant Alternate Currency, as applicable (or such other form of consideration as the relevant recipient may agree).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102</w:t>
      </w:r>
      <w:r>
        <w:rPr>
          <w:rFonts w:ascii="Arial" w:cs="Arial" w:eastAsia="Arial" w:hAnsi="Arial"/>
          <w:sz w:val="18"/>
          <w:szCs w:val="18"/>
          <w:u w:val="single" w:color="auto"/>
          <w:color w:val="0000FF"/>
          <w:strike w:val="1"/>
        </w:rPr>
        <w:t>102</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70" w:name="page171"/>
    <w:bookmarkEnd w:id="170"/>
    <w:p>
      <w:pPr>
        <w:jc w:val="both"/>
        <w:ind w:left="100" w:right="59" w:firstLine="741"/>
        <w:spacing w:after="0" w:line="256" w:lineRule="auto"/>
        <w:tabs>
          <w:tab w:leader="none" w:pos="152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 xml:space="preserve">Subject in all respects to the provisions of any applicable Intercreditor Agreement, all proceeds of Collateral received by the Administrative Agent while an Event of Default exists and all or any portion of the Loans have been accelerated hereunder pursuant to </w:t>
      </w:r>
      <w:r>
        <w:rPr>
          <w:rFonts w:ascii="Arial" w:cs="Arial" w:eastAsia="Arial" w:hAnsi="Arial"/>
          <w:sz w:val="19"/>
          <w:szCs w:val="19"/>
          <w:u w:val="single" w:color="auto"/>
          <w:color w:val="auto"/>
        </w:rPr>
        <w:t>Section 7.01</w:t>
      </w:r>
      <w:r>
        <w:rPr>
          <w:rFonts w:ascii="Arial" w:cs="Arial" w:eastAsia="Arial" w:hAnsi="Arial"/>
          <w:sz w:val="19"/>
          <w:szCs w:val="19"/>
          <w:color w:val="auto"/>
        </w:rPr>
        <w:t>, shall be applied:</w:t>
      </w:r>
    </w:p>
    <w:p>
      <w:pPr>
        <w:spacing w:after="0" w:line="178" w:lineRule="exact"/>
        <w:rPr>
          <w:rFonts w:ascii="Arial" w:cs="Arial" w:eastAsia="Arial" w:hAnsi="Arial"/>
          <w:sz w:val="19"/>
          <w:szCs w:val="19"/>
          <w:color w:val="auto"/>
        </w:rPr>
      </w:pPr>
    </w:p>
    <w:p>
      <w:pPr>
        <w:jc w:val="both"/>
        <w:ind w:left="840" w:right="59" w:firstLine="751"/>
        <w:spacing w:after="0" w:line="258" w:lineRule="auto"/>
        <w:tabs>
          <w:tab w:leader="none" w:pos="2366"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the payment of all costs and expenses then due incurred by the Administrative Agent in connection with any collection, sale or realization on Collateral or otherwise in connection with this Agreement, any other Loan Document or any of the Secured Obligations, including all court costs and the fees and expenses of agents and legal counsel, the repayment of all advances made by the Administrative Agent hereunder or under any other Loan Document on behalf of any Loan Party and any other costs or expenses incurred in connection with the exercise of any right or remedy hereunder or under any other Loan Document,</w:t>
      </w:r>
    </w:p>
    <w:p>
      <w:pPr>
        <w:spacing w:after="0" w:line="176" w:lineRule="exact"/>
        <w:rPr>
          <w:rFonts w:ascii="Arial" w:cs="Arial" w:eastAsia="Arial" w:hAnsi="Arial"/>
          <w:sz w:val="18"/>
          <w:szCs w:val="18"/>
          <w:color w:val="auto"/>
        </w:rPr>
      </w:pPr>
    </w:p>
    <w:p>
      <w:pPr>
        <w:jc w:val="both"/>
        <w:ind w:left="840" w:right="59" w:firstLine="751"/>
        <w:spacing w:after="0" w:line="249" w:lineRule="auto"/>
        <w:tabs>
          <w:tab w:leader="none" w:pos="2366" w:val="left"/>
        </w:tabs>
        <w:numPr>
          <w:ilvl w:val="1"/>
          <w:numId w:val="174"/>
        </w:numPr>
        <w:rPr>
          <w:rFonts w:ascii="Arial" w:cs="Arial" w:eastAsia="Arial" w:hAnsi="Arial"/>
          <w:sz w:val="19"/>
          <w:szCs w:val="19"/>
          <w:color w:val="auto"/>
        </w:rPr>
      </w:pPr>
      <w:r>
        <w:rPr>
          <w:rFonts w:ascii="Arial" w:cs="Arial" w:eastAsia="Arial" w:hAnsi="Arial"/>
          <w:sz w:val="19"/>
          <w:szCs w:val="19"/>
          <w:u w:val="single" w:color="auto"/>
          <w:color w:val="auto"/>
        </w:rPr>
        <w:t>second</w:t>
      </w:r>
      <w:r>
        <w:rPr>
          <w:rFonts w:ascii="Arial" w:cs="Arial" w:eastAsia="Arial" w:hAnsi="Arial"/>
          <w:sz w:val="19"/>
          <w:szCs w:val="19"/>
          <w:color w:val="auto"/>
        </w:rPr>
        <w:t>, on a pro rata basis, to pay any fees, indemnities or expense reimbursements constituting Secured Obligations then due to the Administrative Agent (other than those covered in clause first above) or to the Swingline Lender or any Issuing Bank from the Borrower,</w:t>
      </w:r>
    </w:p>
    <w:p>
      <w:pPr>
        <w:spacing w:after="0" w:line="183" w:lineRule="exact"/>
        <w:rPr>
          <w:rFonts w:ascii="Arial" w:cs="Arial" w:eastAsia="Arial" w:hAnsi="Arial"/>
          <w:sz w:val="19"/>
          <w:szCs w:val="19"/>
          <w:color w:val="auto"/>
        </w:rPr>
      </w:pPr>
    </w:p>
    <w:p>
      <w:pPr>
        <w:jc w:val="both"/>
        <w:ind w:left="840" w:right="19" w:firstLine="752"/>
        <w:spacing w:after="0" w:line="277" w:lineRule="auto"/>
        <w:tabs>
          <w:tab w:leader="none" w:pos="2370" w:val="left"/>
        </w:tabs>
        <w:numPr>
          <w:ilvl w:val="1"/>
          <w:numId w:val="174"/>
        </w:numPr>
        <w:rPr>
          <w:rFonts w:ascii="Arial" w:cs="Arial" w:eastAsia="Arial" w:hAnsi="Arial"/>
          <w:sz w:val="17"/>
          <w:szCs w:val="17"/>
          <w:color w:val="auto"/>
        </w:rPr>
      </w:pPr>
      <w:r>
        <w:rPr>
          <w:rFonts w:ascii="Arial" w:cs="Arial" w:eastAsia="Arial" w:hAnsi="Arial"/>
          <w:sz w:val="17"/>
          <w:szCs w:val="17"/>
          <w:u w:val="single" w:color="auto"/>
          <w:color w:val="auto"/>
        </w:rPr>
        <w:t>third</w:t>
      </w:r>
      <w:r>
        <w:rPr>
          <w:rFonts w:ascii="Arial" w:cs="Arial" w:eastAsia="Arial" w:hAnsi="Arial"/>
          <w:sz w:val="17"/>
          <w:szCs w:val="17"/>
          <w:color w:val="auto"/>
        </w:rPr>
        <w:t>, on a pro rata basis in accordance with the amounts of the Secured Obligations (other than contingent indemnification obligations for which no claim has yet been made) owed to the Secured Parties on the date of any such distribution, to the payment in full of the Secured Obligations (including, with respect to LC Exposure, an amount to be paid to the Administrative Agent equal to 100% of the LC Exposure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amount then on deposit in the LC Collateral Account) on such date, to be held in the LC Collateral Account as Cash collateral for such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Letter of Credit expires undrawn, then any Cash collateral held to secure the related LC Exposure shall be applied in accordance with this </w:t>
      </w:r>
      <w:r>
        <w:rPr>
          <w:rFonts w:ascii="Arial" w:cs="Arial" w:eastAsia="Arial" w:hAnsi="Arial"/>
          <w:sz w:val="17"/>
          <w:szCs w:val="17"/>
          <w:u w:val="single" w:color="auto"/>
          <w:color w:val="auto"/>
        </w:rPr>
        <w:t>Section 2.18(b)</w:t>
      </w:r>
      <w:r>
        <w:rPr>
          <w:rFonts w:ascii="Arial" w:cs="Arial" w:eastAsia="Arial" w:hAnsi="Arial"/>
          <w:sz w:val="17"/>
          <w:szCs w:val="17"/>
          <w:color w:val="auto"/>
        </w:rPr>
        <w:t>, beginning with clause first above,</w:t>
      </w:r>
    </w:p>
    <w:p>
      <w:pPr>
        <w:spacing w:after="0" w:line="162" w:lineRule="exact"/>
        <w:rPr>
          <w:rFonts w:ascii="Arial" w:cs="Arial" w:eastAsia="Arial" w:hAnsi="Arial"/>
          <w:sz w:val="17"/>
          <w:szCs w:val="17"/>
          <w:color w:val="auto"/>
        </w:rPr>
      </w:pPr>
    </w:p>
    <w:p>
      <w:pPr>
        <w:ind w:left="2340" w:hanging="748"/>
        <w:spacing w:after="0"/>
        <w:tabs>
          <w:tab w:leader="none" w:pos="2340" w:val="left"/>
        </w:tabs>
        <w:numPr>
          <w:ilvl w:val="1"/>
          <w:numId w:val="174"/>
        </w:numPr>
        <w:rPr>
          <w:rFonts w:ascii="Arial" w:cs="Arial" w:eastAsia="Arial" w:hAnsi="Arial"/>
          <w:sz w:val="19"/>
          <w:szCs w:val="19"/>
          <w:color w:val="auto"/>
        </w:rPr>
      </w:pPr>
      <w:r>
        <w:rPr>
          <w:rFonts w:ascii="Arial" w:cs="Arial" w:eastAsia="Arial" w:hAnsi="Arial"/>
          <w:sz w:val="19"/>
          <w:szCs w:val="19"/>
          <w:u w:val="single" w:color="auto"/>
          <w:color w:val="auto"/>
        </w:rPr>
        <w:t>fourth</w:t>
      </w:r>
      <w:r>
        <w:rPr>
          <w:rFonts w:ascii="Arial" w:cs="Arial" w:eastAsia="Arial" w:hAnsi="Arial"/>
          <w:sz w:val="19"/>
          <w:szCs w:val="19"/>
          <w:color w:val="auto"/>
        </w:rPr>
        <w:t>, as provided in any applicable Intercreditor Agreement, and</w:t>
      </w:r>
    </w:p>
    <w:p>
      <w:pPr>
        <w:spacing w:after="0" w:line="213" w:lineRule="exact"/>
        <w:rPr>
          <w:rFonts w:ascii="Arial" w:cs="Arial" w:eastAsia="Arial" w:hAnsi="Arial"/>
          <w:sz w:val="19"/>
          <w:szCs w:val="19"/>
          <w:color w:val="auto"/>
        </w:rPr>
      </w:pPr>
    </w:p>
    <w:p>
      <w:pPr>
        <w:ind w:left="2360" w:hanging="768"/>
        <w:spacing w:after="0"/>
        <w:tabs>
          <w:tab w:leader="none" w:pos="2360"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to, or at the direction of, the Borrower or as a court of competent jurisdiction may otherwise</w:t>
      </w:r>
    </w:p>
    <w:p>
      <w:pPr>
        <w:spacing w:after="0" w:line="25"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9"/>
          <w:szCs w:val="19"/>
          <w:color w:val="auto"/>
        </w:rPr>
        <w:t>direct.</w:t>
      </w:r>
    </w:p>
    <w:p>
      <w:pPr>
        <w:spacing w:after="0" w:line="197" w:lineRule="exact"/>
        <w:rPr>
          <w:rFonts w:ascii="Arial" w:cs="Arial" w:eastAsia="Arial" w:hAnsi="Arial"/>
          <w:sz w:val="18"/>
          <w:szCs w:val="18"/>
          <w:color w:val="auto"/>
        </w:rPr>
      </w:pPr>
    </w:p>
    <w:p>
      <w:pPr>
        <w:jc w:val="both"/>
        <w:ind w:left="100" w:right="39" w:firstLine="741"/>
        <w:spacing w:after="0" w:line="254" w:lineRule="auto"/>
        <w:tabs>
          <w:tab w:leader="none" w:pos="152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If any Lender obtains payment (whether voluntary, involuntary, through the exercise of any right of set-off or otherwise) in respect of any principal of or interest on any Loan of any Class or any participation in LC Disbursements or Swingline Loans held by it resulting in such Lender receiving payment of a greater proportion of the aggregate amount of its Loans of such Class and participations in LC Disbursements or Swingline Loans and accrued interest thereon than the proportion received by any other Lender with Loans of such Class and participations in LC Disbursements or Swingline Loans, then the Lender receiving such greater proportion shall purchase (for Cash at face value) participations in the Loans of such Class and sub-participations in LC Disbursements or Swingline Loans of other Lenders of such Class at such time outstanding to the extent necessary so that the benefit of all such payments shall be shared by the Lenders of such Class ratably in accordance with the aggregate amount of principal of and accrued interest on their respective Loans of such Class and participations in LC Disbursements or Swingline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any such participation is purchased and all or any portion of the payment giving rise thereto is recovered, such participations shall be rescinded and the purchase price restored to the extent of such recovery, without interest, and (ii) the provisions of this paragraph shall not apply to (A) any payment made by the Borrower pursuant to and in accordance with the express terms of this Agreement or (B) any payment obtained by any Lender as consideration for the assignment of or sale of a participation in any Loan to any permitted assignee or participant, including any payment made or deemed made in connection with </w:t>
      </w:r>
      <w:r>
        <w:rPr>
          <w:rFonts w:ascii="Arial" w:cs="Arial" w:eastAsia="Arial" w:hAnsi="Arial"/>
          <w:sz w:val="18"/>
          <w:szCs w:val="18"/>
          <w:u w:val="single" w:color="auto"/>
          <w:color w:val="auto"/>
        </w:rPr>
        <w:t>Sections 2.22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2.23</w:t>
      </w:r>
      <w:r>
        <w:rPr>
          <w:rFonts w:ascii="Arial" w:cs="Arial" w:eastAsia="Arial" w:hAnsi="Arial"/>
          <w:sz w:val="18"/>
          <w:szCs w:val="18"/>
          <w:color w:val="auto"/>
        </w:rPr>
        <w:t xml:space="preserve">, </w:t>
      </w:r>
      <w:r>
        <w:rPr>
          <w:rFonts w:ascii="Arial" w:cs="Arial" w:eastAsia="Arial" w:hAnsi="Arial"/>
          <w:sz w:val="18"/>
          <w:szCs w:val="18"/>
          <w:u w:val="single" w:color="auto"/>
          <w:color w:val="auto"/>
        </w:rPr>
        <w:t>9.02(c)</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The Borrower consents to the foregoing and agrees, to the extent it may effectively do so under applicable Requirements of Law, that any Lender acquiring a participation pursuant to the foregoing arrangements may exercise rights of set-off and counterclaim against the Borrower with respect to such participation as fully as if such Lender were a direct creditor of the Borrower in the amount of such participation. The Administrative Agent will keep records (which shall be conclusive and binding in the absence of manifest error) of participations purchased under this </w:t>
      </w:r>
      <w:r>
        <w:rPr>
          <w:rFonts w:ascii="Arial" w:cs="Arial" w:eastAsia="Arial" w:hAnsi="Arial"/>
          <w:sz w:val="18"/>
          <w:szCs w:val="18"/>
          <w:u w:val="single" w:color="auto"/>
          <w:color w:val="auto"/>
        </w:rPr>
        <w:t>Section 2.18(c)</w:t>
      </w:r>
      <w:r>
        <w:rPr>
          <w:rFonts w:ascii="Arial" w:cs="Arial" w:eastAsia="Arial" w:hAnsi="Arial"/>
          <w:sz w:val="18"/>
          <w:szCs w:val="18"/>
          <w:color w:val="auto"/>
        </w:rPr>
        <w:t xml:space="preserve"> and will, in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103</w:t>
      </w:r>
      <w:r>
        <w:rPr>
          <w:rFonts w:ascii="Arial" w:cs="Arial" w:eastAsia="Arial" w:hAnsi="Arial"/>
          <w:sz w:val="18"/>
          <w:szCs w:val="18"/>
          <w:u w:val="single" w:color="auto"/>
          <w:color w:val="0000FF"/>
          <w:strike w:val="1"/>
        </w:rPr>
        <w:t>103</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71" w:name="page172"/>
    <w:bookmarkEnd w:id="171"/>
    <w:p>
      <w:pPr>
        <w:jc w:val="both"/>
        <w:ind w:left="100" w:right="19"/>
        <w:spacing w:after="0" w:line="252" w:lineRule="auto"/>
        <w:rPr>
          <w:sz w:val="20"/>
          <w:szCs w:val="20"/>
          <w:color w:val="auto"/>
        </w:rPr>
      </w:pPr>
      <w:r>
        <w:rPr>
          <w:rFonts w:ascii="Arial" w:cs="Arial" w:eastAsia="Arial" w:hAnsi="Arial"/>
          <w:sz w:val="18"/>
          <w:szCs w:val="18"/>
          <w:color w:val="auto"/>
        </w:rPr>
        <w:t xml:space="preserve">each case, notify the Lenders following any such purchase or repayment. Each Lender that purchases a participation pursuant to this </w:t>
      </w:r>
      <w:r>
        <w:rPr>
          <w:rFonts w:ascii="Arial" w:cs="Arial" w:eastAsia="Arial" w:hAnsi="Arial"/>
          <w:sz w:val="18"/>
          <w:szCs w:val="18"/>
          <w:u w:val="single" w:color="auto"/>
          <w:color w:val="auto"/>
        </w:rPr>
        <w:t>Section 2.18(c)</w:t>
      </w:r>
      <w:r>
        <w:rPr>
          <w:rFonts w:ascii="Arial" w:cs="Arial" w:eastAsia="Arial" w:hAnsi="Arial"/>
          <w:sz w:val="18"/>
          <w:szCs w:val="18"/>
          <w:color w:val="auto"/>
        </w:rPr>
        <w:t xml:space="preserve"> shall from and after the date of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spacing w:after="0" w:line="184" w:lineRule="exact"/>
        <w:rPr>
          <w:sz w:val="20"/>
          <w:szCs w:val="20"/>
          <w:color w:val="auto"/>
        </w:rPr>
      </w:pPr>
    </w:p>
    <w:p>
      <w:pPr>
        <w:jc w:val="both"/>
        <w:ind w:left="100" w:right="19" w:firstLine="742"/>
        <w:spacing w:after="0" w:line="272" w:lineRule="auto"/>
        <w:tabs>
          <w:tab w:leader="none" w:pos="1522" w:val="left"/>
        </w:tabs>
        <w:numPr>
          <w:ilvl w:val="0"/>
          <w:numId w:val="175"/>
        </w:numPr>
        <w:rPr>
          <w:rFonts w:ascii="Arial" w:cs="Arial" w:eastAsia="Arial" w:hAnsi="Arial"/>
          <w:sz w:val="17"/>
          <w:szCs w:val="17"/>
          <w:color w:val="auto"/>
        </w:rPr>
      </w:pPr>
      <w:r>
        <w:rPr>
          <w:rFonts w:ascii="Arial" w:cs="Arial" w:eastAsia="Arial" w:hAnsi="Arial"/>
          <w:sz w:val="17"/>
          <w:szCs w:val="17"/>
          <w:color w:val="auto"/>
        </w:rPr>
        <w:t>Unless the Administrative Agent has received written notice from the Borrower prior to the date on which any payment is due to the Administrative Agent for the account of any Lender or any Issuing Bank hereunder that the Borrower will not make such payment, the Administrative Agent may assume that the Borrower has made such payment on such date in accordance herewith and may, in reliance upon such assumption, distribute to the applicable Lender or Issuing Bank the amount due. In such event, if the Borrower has not in fact made such payment (or caused such payment to be made), then each Lender or the applicable Issuing Bank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66" w:lineRule="exact"/>
        <w:rPr>
          <w:rFonts w:ascii="Arial" w:cs="Arial" w:eastAsia="Arial" w:hAnsi="Arial"/>
          <w:sz w:val="17"/>
          <w:szCs w:val="17"/>
          <w:color w:val="auto"/>
        </w:rPr>
      </w:pPr>
    </w:p>
    <w:p>
      <w:pPr>
        <w:jc w:val="both"/>
        <w:ind w:left="100" w:right="59" w:firstLine="741"/>
        <w:spacing w:after="0" w:line="250" w:lineRule="auto"/>
        <w:tabs>
          <w:tab w:leader="none" w:pos="152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 xml:space="preserve">If any Lender fails to make any payment required to be made by it pursuant to </w:t>
      </w:r>
      <w:r>
        <w:rPr>
          <w:rFonts w:ascii="Arial" w:cs="Arial" w:eastAsia="Arial" w:hAnsi="Arial"/>
          <w:sz w:val="19"/>
          <w:szCs w:val="19"/>
          <w:u w:val="single" w:color="auto"/>
          <w:color w:val="auto"/>
        </w:rPr>
        <w:t>Section 2.07(b)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2.18(d)</w:t>
      </w:r>
      <w:r>
        <w:rPr>
          <w:rFonts w:ascii="Arial" w:cs="Arial" w:eastAsia="Arial" w:hAnsi="Arial"/>
          <w:sz w:val="19"/>
          <w:szCs w:val="19"/>
          <w:color w:val="auto"/>
        </w:rPr>
        <w:t>, then the Administrative Agent may, in its discretion (notwithstanding any contrary provision hereof), apply any amount thereafter received by the Administrative Agent for the account of such Lender to satisfy such Lender’s obligations under such Sections until all such unsatisfied obligations are fully paid.</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2.19.  </w:t>
      </w:r>
      <w:r>
        <w:rPr>
          <w:rFonts w:ascii="Arial" w:cs="Arial" w:eastAsia="Arial" w:hAnsi="Arial"/>
          <w:sz w:val="19"/>
          <w:szCs w:val="19"/>
          <w:u w:val="single" w:color="auto"/>
          <w:color w:val="auto"/>
        </w:rPr>
        <w:t>Mitigation Obligations; Replacement of Lenders</w:t>
      </w:r>
      <w:r>
        <w:rPr>
          <w:rFonts w:ascii="Arial" w:cs="Arial" w:eastAsia="Arial" w:hAnsi="Arial"/>
          <w:sz w:val="19"/>
          <w:szCs w:val="19"/>
          <w:color w:val="auto"/>
        </w:rPr>
        <w:t>.</w:t>
      </w:r>
    </w:p>
    <w:p>
      <w:pPr>
        <w:spacing w:after="0" w:line="200" w:lineRule="exact"/>
        <w:rPr>
          <w:sz w:val="20"/>
          <w:szCs w:val="20"/>
          <w:color w:val="auto"/>
        </w:rPr>
      </w:pPr>
    </w:p>
    <w:p>
      <w:pPr>
        <w:jc w:val="both"/>
        <w:ind w:left="100" w:right="39" w:firstLine="741"/>
        <w:spacing w:after="0" w:line="256" w:lineRule="auto"/>
        <w:tabs>
          <w:tab w:leader="none" w:pos="152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If any Lender requests compensation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determines it can no longer make or maintain </w:t>
      </w:r>
      <w:r>
        <w:rPr>
          <w:rFonts w:ascii="Arial" w:cs="Arial" w:eastAsia="Arial" w:hAnsi="Arial"/>
          <w:sz w:val="18"/>
          <w:szCs w:val="18"/>
          <w:color w:val="FF0000"/>
          <w:strike w:val="1"/>
        </w:rPr>
        <w:t>LIBO</w:t>
      </w:r>
      <w:r>
        <w:rPr>
          <w:rFonts w:ascii="Arial" w:cs="Arial" w:eastAsia="Arial" w:hAnsi="Arial"/>
          <w:sz w:val="18"/>
          <w:szCs w:val="18"/>
          <w:color w:val="auto"/>
        </w:rPr>
        <w:t xml:space="preserve"> </w:t>
      </w:r>
      <w:r>
        <w:rPr>
          <w:rFonts w:ascii="Arial" w:cs="Arial" w:eastAsia="Arial" w:hAnsi="Arial"/>
          <w:sz w:val="18"/>
          <w:szCs w:val="18"/>
          <w:color w:val="FF0000"/>
          <w:strike w:val="1"/>
        </w:rPr>
        <w:t>Rate</w:t>
      </w:r>
      <w:r>
        <w:rPr>
          <w:rFonts w:ascii="Arial" w:cs="Arial" w:eastAsia="Arial" w:hAnsi="Arial"/>
          <w:sz w:val="18"/>
          <w:szCs w:val="18"/>
          <w:u w:val="single" w:color="auto"/>
          <w:color w:val="0000FF"/>
        </w:rPr>
        <w:t>Term SOFR</w:t>
      </w:r>
      <w:r>
        <w:rPr>
          <w:rFonts w:ascii="Arial" w:cs="Arial" w:eastAsia="Arial" w:hAnsi="Arial"/>
          <w:sz w:val="18"/>
          <w:szCs w:val="18"/>
          <w:color w:val="FF0000"/>
        </w:rPr>
        <w:t xml:space="preserve"> </w:t>
      </w:r>
      <w:r>
        <w:rPr>
          <w:rFonts w:ascii="Arial" w:cs="Arial" w:eastAsia="Arial" w:hAnsi="Arial"/>
          <w:sz w:val="18"/>
          <w:szCs w:val="18"/>
          <w:color w:val="000000"/>
        </w:rPr>
        <w:t>Loans pursuant to</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Section 2.20</w:t>
      </w:r>
      <w:r>
        <w:rPr>
          <w:rFonts w:ascii="Arial" w:cs="Arial" w:eastAsia="Arial" w:hAnsi="Arial"/>
          <w:sz w:val="18"/>
          <w:szCs w:val="18"/>
          <w:color w:val="000000"/>
        </w:rPr>
        <w:t>, or any Loan Party is required to pay any additional amount to or indemnify any</w:t>
      </w:r>
      <w:r>
        <w:rPr>
          <w:rFonts w:ascii="Arial" w:cs="Arial" w:eastAsia="Arial" w:hAnsi="Arial"/>
          <w:sz w:val="18"/>
          <w:szCs w:val="18"/>
          <w:color w:val="FF0000"/>
        </w:rPr>
        <w:t xml:space="preserve"> </w:t>
      </w:r>
      <w:r>
        <w:rPr>
          <w:rFonts w:ascii="Arial" w:cs="Arial" w:eastAsia="Arial" w:hAnsi="Arial"/>
          <w:sz w:val="18"/>
          <w:szCs w:val="18"/>
          <w:color w:val="000000"/>
        </w:rPr>
        <w:t xml:space="preserve">Lender or any Governmental Authority for the account of any Lender pursuant to </w:t>
      </w:r>
      <w:r>
        <w:rPr>
          <w:rFonts w:ascii="Arial" w:cs="Arial" w:eastAsia="Arial" w:hAnsi="Arial"/>
          <w:sz w:val="18"/>
          <w:szCs w:val="18"/>
          <w:u w:val="single" w:color="auto"/>
          <w:color w:val="000000"/>
        </w:rPr>
        <w:t>Section 2.17</w:t>
      </w:r>
      <w:r>
        <w:rPr>
          <w:rFonts w:ascii="Arial" w:cs="Arial" w:eastAsia="Arial" w:hAnsi="Arial"/>
          <w:sz w:val="18"/>
          <w:szCs w:val="18"/>
          <w:color w:val="000000"/>
        </w:rPr>
        <w:t xml:space="preserve">, then such Lender shall use reasonable efforts to designate a different lending office for funding or booking its Loans hereunder or its participation in any Letter of Credit affected by such event, or to assign its rights and obligations hereunder to another of its offices, branches or affiliates, if, in the reasonable judgment of such Lender, such designation or assignment (i) would eliminate or reduce amounts payable pursuant to </w:t>
      </w:r>
      <w:r>
        <w:rPr>
          <w:rFonts w:ascii="Arial" w:cs="Arial" w:eastAsia="Arial" w:hAnsi="Arial"/>
          <w:sz w:val="18"/>
          <w:szCs w:val="18"/>
          <w:u w:val="single" w:color="auto"/>
          <w:color w:val="000000"/>
        </w:rPr>
        <w:t>Section 2.15</w:t>
      </w:r>
      <w:r>
        <w:rPr>
          <w:rFonts w:ascii="Arial" w:cs="Arial" w:eastAsia="Arial" w:hAnsi="Arial"/>
          <w:sz w:val="18"/>
          <w:szCs w:val="18"/>
          <w:color w:val="000000"/>
        </w:rPr>
        <w:t xml:space="preserve"> or </w:t>
      </w:r>
      <w:r>
        <w:rPr>
          <w:rFonts w:ascii="Arial" w:cs="Arial" w:eastAsia="Arial" w:hAnsi="Arial"/>
          <w:sz w:val="18"/>
          <w:szCs w:val="18"/>
          <w:u w:val="single" w:color="auto"/>
          <w:color w:val="000000"/>
        </w:rPr>
        <w:t>2.17</w:t>
      </w:r>
      <w:r>
        <w:rPr>
          <w:rFonts w:ascii="Arial" w:cs="Arial" w:eastAsia="Arial" w:hAnsi="Arial"/>
          <w:sz w:val="18"/>
          <w:szCs w:val="18"/>
          <w:color w:val="000000"/>
        </w:rPr>
        <w:t xml:space="preserve">, as applicable, in the future or mitigate the impact of </w:t>
      </w:r>
      <w:r>
        <w:rPr>
          <w:rFonts w:ascii="Arial" w:cs="Arial" w:eastAsia="Arial" w:hAnsi="Arial"/>
          <w:sz w:val="18"/>
          <w:szCs w:val="18"/>
          <w:u w:val="single" w:color="auto"/>
          <w:color w:val="000000"/>
        </w:rPr>
        <w:t>Section 2.20</w:t>
      </w:r>
      <w:r>
        <w:rPr>
          <w:rFonts w:ascii="Arial" w:cs="Arial" w:eastAsia="Arial" w:hAnsi="Arial"/>
          <w:sz w:val="18"/>
          <w:szCs w:val="18"/>
          <w:color w:val="000000"/>
        </w:rPr>
        <w:t>, as the case may be, and (ii) would not subject such Lender to any unreimbursed out-of-pocket cost or expense and would not otherwise be disadvantageous to such Lender in any material respect. The Borrower hereby agrees to pay all reasonable out-of-pocket costs and expenses incurred by any Lender in connection with any such designation or assignment.</w:t>
      </w:r>
    </w:p>
    <w:p>
      <w:pPr>
        <w:spacing w:after="0" w:line="181" w:lineRule="exact"/>
        <w:rPr>
          <w:rFonts w:ascii="Arial" w:cs="Arial" w:eastAsia="Arial" w:hAnsi="Arial"/>
          <w:sz w:val="18"/>
          <w:szCs w:val="18"/>
          <w:color w:val="auto"/>
        </w:rPr>
      </w:pPr>
    </w:p>
    <w:p>
      <w:pPr>
        <w:ind w:left="100" w:right="99" w:firstLine="741"/>
        <w:spacing w:after="0" w:line="271" w:lineRule="auto"/>
        <w:tabs>
          <w:tab w:leader="none" w:pos="152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 xml:space="preserve">If (i) any Lender requests compensation under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or determines it can no longer make or maintain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 SOFR</w:t>
      </w:r>
      <w:r>
        <w:rPr>
          <w:rFonts w:ascii="Arial" w:cs="Arial" w:eastAsia="Arial" w:hAnsi="Arial"/>
          <w:sz w:val="17"/>
          <w:szCs w:val="17"/>
          <w:color w:val="FF0000"/>
        </w:rPr>
        <w:t xml:space="preserve"> </w:t>
      </w:r>
      <w:r>
        <w:rPr>
          <w:rFonts w:ascii="Arial" w:cs="Arial" w:eastAsia="Arial" w:hAnsi="Arial"/>
          <w:sz w:val="17"/>
          <w:szCs w:val="17"/>
          <w:color w:val="000000"/>
        </w:rPr>
        <w:t>Loans pursuant to</w:t>
      </w:r>
      <w:r>
        <w:rPr>
          <w:rFonts w:ascii="Arial" w:cs="Arial" w:eastAsia="Arial" w:hAnsi="Arial"/>
          <w:sz w:val="17"/>
          <w:szCs w:val="17"/>
          <w:color w:val="FF0000"/>
        </w:rPr>
        <w:t xml:space="preserve"> </w:t>
      </w:r>
      <w:r>
        <w:rPr>
          <w:rFonts w:ascii="Arial" w:cs="Arial" w:eastAsia="Arial" w:hAnsi="Arial"/>
          <w:sz w:val="17"/>
          <w:szCs w:val="17"/>
          <w:u w:val="single" w:color="auto"/>
          <w:color w:val="000000"/>
        </w:rPr>
        <w:t>Section 2.20</w:t>
      </w:r>
      <w:r>
        <w:rPr>
          <w:rFonts w:ascii="Arial" w:cs="Arial" w:eastAsia="Arial" w:hAnsi="Arial"/>
          <w:sz w:val="17"/>
          <w:szCs w:val="17"/>
          <w:color w:val="000000"/>
        </w:rPr>
        <w:t>, (ii) any Loan Party is required to pay any additional amount to or</w:t>
      </w:r>
      <w:r>
        <w:rPr>
          <w:rFonts w:ascii="Arial" w:cs="Arial" w:eastAsia="Arial" w:hAnsi="Arial"/>
          <w:sz w:val="17"/>
          <w:szCs w:val="17"/>
          <w:color w:val="FF0000"/>
        </w:rPr>
        <w:t xml:space="preserve"> </w:t>
      </w:r>
      <w:r>
        <w:rPr>
          <w:rFonts w:ascii="Arial" w:cs="Arial" w:eastAsia="Arial" w:hAnsi="Arial"/>
          <w:sz w:val="17"/>
          <w:szCs w:val="17"/>
          <w:color w:val="000000"/>
        </w:rPr>
        <w:t xml:space="preserve">indemnify any Lender or any Governmental Authority for the account of any Lender pursuant to </w:t>
      </w:r>
      <w:r>
        <w:rPr>
          <w:rFonts w:ascii="Arial" w:cs="Arial" w:eastAsia="Arial" w:hAnsi="Arial"/>
          <w:sz w:val="17"/>
          <w:szCs w:val="17"/>
          <w:u w:val="single" w:color="auto"/>
          <w:color w:val="000000"/>
        </w:rPr>
        <w:t>Section 2.17</w:t>
      </w:r>
      <w:r>
        <w:rPr>
          <w:rFonts w:ascii="Arial" w:cs="Arial" w:eastAsia="Arial" w:hAnsi="Arial"/>
          <w:sz w:val="17"/>
          <w:szCs w:val="17"/>
          <w:color w:val="000000"/>
        </w:rPr>
        <w:t>, (iii) any Lender is a Defaulting Lender or (iv) in connection with any proposed amendment, waiver or consent requiring the consent of “each Lender”, “each Revolving Lender” or “each Lender directly affected thereby” (or any other Class or group of Lenders other than the Required Lenders) with respect to which Required Lender or Required Revolving Lender consent (or the consent of Lenders holding loans or commitments of such Class or lesser group representing more than 50% of the sum of the total loans and unused commitments of such Class or lesser group at such time) has been obtained, as applicable, any Lender is a non-consenting Lender, then the Borrower may, at its sole expense and effort, upon notice to such Lender and the Administrative Agent, (x) terminate the applicable Commitments of such Lender, and repay all Obligations of the Borrower owing to such Lender relating to the applicable Loans and participations held by such Lender as of such termination date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if, after giving effect such termination and repayment, the aggregate amount of the Revolving Credit Exposure of any Class exceeds the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104</w:t>
      </w:r>
      <w:r>
        <w:rPr>
          <w:rFonts w:ascii="Arial" w:cs="Arial" w:eastAsia="Arial" w:hAnsi="Arial"/>
          <w:sz w:val="18"/>
          <w:szCs w:val="18"/>
          <w:u w:val="single" w:color="auto"/>
          <w:color w:val="0000FF"/>
          <w:strike w:val="1"/>
        </w:rPr>
        <w:t>104</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72" w:name="page173"/>
    <w:bookmarkEnd w:id="172"/>
    <w:p>
      <w:pPr>
        <w:jc w:val="both"/>
        <w:ind w:left="100" w:right="59"/>
        <w:spacing w:after="0" w:line="255" w:lineRule="auto"/>
        <w:rPr>
          <w:sz w:val="20"/>
          <w:szCs w:val="20"/>
          <w:color w:val="auto"/>
        </w:rPr>
      </w:pPr>
      <w:r>
        <w:rPr>
          <w:rFonts w:ascii="Arial" w:cs="Arial" w:eastAsia="Arial" w:hAnsi="Arial"/>
          <w:sz w:val="17"/>
          <w:szCs w:val="17"/>
          <w:color w:val="auto"/>
        </w:rPr>
        <w:t xml:space="preserve">aggregate amount of the Revolving Credit Commitments of such Class then in effect, then the Borrower shall, not later than the next Business Day, prepay one or more Revolving Loan Borrowings of the applicable Class and/or Swingline Loans (and, if no Revolving Loan Borrowings of such Class are outstanding, deposit Cash collateral in the LC Collateral Account) in an amount necessary to eliminate such excess) or (y) replace such Lender by requiring such Lender to assign and delegate (and such Lender shall be obligated to assign and delegate), without recourse (in accordance with and subject to the restrictions contained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9.05</w:t>
      </w:r>
      <w:r>
        <w:rPr>
          <w:rFonts w:ascii="Arial" w:cs="Arial" w:eastAsia="Arial" w:hAnsi="Arial"/>
          <w:sz w:val="17"/>
          <w:szCs w:val="17"/>
          <w:color w:val="auto"/>
        </w:rPr>
        <w:t xml:space="preserve">), all of its interests, rights and obligations under this Agreement to an Eligible Assignee that assumes such obligations (which Eligible Assignee may be another Lender, if any Lender accepts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Lender has received payment of an amount equal to the outstanding principal amount of its Loans and, if applicable, participations in LC Disbursements or Swingline Loans, in each case of such Class of Loans and/or Commitments, accrued interest thereon, accrued fees and all other amounts payable to it under any Loan Document with respect to such Class of Loans and/or Commitments, (B) in the case of any assignment resulting from a claim for compensation under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or any payment required to be made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w:t>
      </w:r>
      <w:r>
        <w:rPr>
          <w:rFonts w:ascii="Arial" w:cs="Arial" w:eastAsia="Arial" w:hAnsi="Arial"/>
          <w:sz w:val="17"/>
          <w:szCs w:val="17"/>
          <w:color w:val="auto"/>
        </w:rPr>
        <w:t>, such assignment would result in a reduction in such compensation or payment and</w:t>
      </w:r>
    </w:p>
    <w:p>
      <w:pPr>
        <w:spacing w:after="0" w:line="8" w:lineRule="exact"/>
        <w:rPr>
          <w:sz w:val="20"/>
          <w:szCs w:val="20"/>
          <w:color w:val="auto"/>
        </w:rPr>
      </w:pPr>
    </w:p>
    <w:p>
      <w:pPr>
        <w:jc w:val="both"/>
        <w:ind w:left="100" w:right="39" w:hanging="7"/>
        <w:spacing w:after="0" w:line="253" w:lineRule="auto"/>
        <w:tabs>
          <w:tab w:leader="none" w:pos="45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such assignment does not conflict with applicable Requirements of Law. No Lender (other than a Defaulting Lender) shall be required to make any such assignment and delegation, and the Borrower may not repay the Obligations of such Lender or terminate its Commitments, if, prior thereto, as a result of a waiver by such Lender or otherwise, the circumstances entitling the Borrower to require such assignment and delegation cease to apply. Each Lender agrees that if it is replaced pursuant to this </w:t>
      </w:r>
      <w:r>
        <w:rPr>
          <w:rFonts w:ascii="Arial" w:cs="Arial" w:eastAsia="Arial" w:hAnsi="Arial"/>
          <w:sz w:val="18"/>
          <w:szCs w:val="18"/>
          <w:u w:val="single" w:color="auto"/>
          <w:color w:val="auto"/>
        </w:rPr>
        <w:t>Section 2.19</w:t>
      </w:r>
      <w:r>
        <w:rPr>
          <w:rFonts w:ascii="Arial" w:cs="Arial" w:eastAsia="Arial" w:hAnsi="Arial"/>
          <w:sz w:val="18"/>
          <w:szCs w:val="18"/>
          <w:color w:val="auto"/>
        </w:rPr>
        <w:t>, it shall execute and deliver to the Administrative Agent an Assignment Agreement to evidence such sale and purchase and shall deliver to the Administrative Agent any Promissory Note (if the assigning Lender’s Loans are evidenced by one or more Promissory Notes) subject to such Assignment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replaced pursuant to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to execute an Assignment Agreement or deliver any such Promissory Note shall not render such sale and purchase (and the corresponding assignment) invalid), such assignment shall be recorded in the Register and any such Promissory Note shall be deemed cancelled. Each Lender hereby irrevocably appoints the Administrative Agent (such appointment being coupled with an interest) as such Lender’s attorney-in-fact, with full authority in the place and stead of such Lender and in the name of such Lender, from time to time in the Administrative Agent’s discretion, with prior written notice to such Lender, to take any action and to execute any such Assignment Agreement or other instrument that the Administrative Agent may deem reasonably necessary to carry out the provisions of this </w:t>
      </w:r>
      <w:r>
        <w:rPr>
          <w:rFonts w:ascii="Arial" w:cs="Arial" w:eastAsia="Arial" w:hAnsi="Arial"/>
          <w:sz w:val="18"/>
          <w:szCs w:val="18"/>
          <w:u w:val="single" w:color="auto"/>
          <w:color w:val="auto"/>
        </w:rPr>
        <w:t>clause (b)</w:t>
      </w:r>
      <w:r>
        <w:rPr>
          <w:rFonts w:ascii="Arial" w:cs="Arial" w:eastAsia="Arial" w:hAnsi="Arial"/>
          <w:sz w:val="18"/>
          <w:szCs w:val="18"/>
          <w:color w:val="auto"/>
        </w:rPr>
        <w:t>.</w:t>
      </w:r>
    </w:p>
    <w:p>
      <w:pPr>
        <w:spacing w:after="0" w:line="183" w:lineRule="exact"/>
        <w:rPr>
          <w:sz w:val="20"/>
          <w:szCs w:val="20"/>
          <w:color w:val="auto"/>
        </w:rPr>
      </w:pPr>
    </w:p>
    <w:p>
      <w:pPr>
        <w:jc w:val="both"/>
        <w:ind w:left="100" w:right="59" w:firstLine="749"/>
        <w:spacing w:after="0" w:line="255" w:lineRule="auto"/>
        <w:rPr>
          <w:sz w:val="20"/>
          <w:szCs w:val="20"/>
          <w:color w:val="auto"/>
        </w:rPr>
      </w:pPr>
      <w:r>
        <w:rPr>
          <w:rFonts w:ascii="Arial" w:cs="Arial" w:eastAsia="Arial" w:hAnsi="Arial"/>
          <w:sz w:val="17"/>
          <w:szCs w:val="17"/>
          <w:color w:val="auto"/>
        </w:rPr>
        <w:t xml:space="preserve">Section 2.20. </w:t>
      </w:r>
      <w:r>
        <w:rPr>
          <w:rFonts w:ascii="Arial" w:cs="Arial" w:eastAsia="Arial" w:hAnsi="Arial"/>
          <w:sz w:val="17"/>
          <w:szCs w:val="17"/>
          <w:u w:val="single" w:color="auto"/>
          <w:color w:val="auto"/>
        </w:rPr>
        <w:t>Illegality</w:t>
      </w:r>
      <w:r>
        <w:rPr>
          <w:rFonts w:ascii="Arial" w:cs="Arial" w:eastAsia="Arial" w:hAnsi="Arial"/>
          <w:sz w:val="17"/>
          <w:szCs w:val="17"/>
          <w:color w:val="auto"/>
        </w:rPr>
        <w:t xml:space="preserve">. If any Lender reasonably determines that any Change in Law has made it unlawful, or that any Governmental Authority has asserted after the Closing Date that it is unlawful, for such Lender or its applicable lending office to make, maintain or fund Loans whose interest is determined by reference to </w:t>
      </w:r>
      <w:r>
        <w:rPr>
          <w:rFonts w:ascii="Arial" w:cs="Arial" w:eastAsia="Arial" w:hAnsi="Arial"/>
          <w:sz w:val="17"/>
          <w:szCs w:val="17"/>
          <w:color w:val="FF0000"/>
          <w:strike w:val="1"/>
        </w:rPr>
        <w:t>the Published LIBO Rate (whether</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Term SOFR or such</w:t>
      </w:r>
      <w:r>
        <w:rPr>
          <w:rFonts w:ascii="Arial" w:cs="Arial" w:eastAsia="Arial" w:hAnsi="Arial"/>
          <w:sz w:val="17"/>
          <w:szCs w:val="17"/>
          <w:color w:val="auto"/>
        </w:rPr>
        <w:t xml:space="preserve"> </w:t>
      </w:r>
      <w:r>
        <w:rPr>
          <w:rFonts w:ascii="Arial" w:cs="Arial" w:eastAsia="Arial" w:hAnsi="Arial"/>
          <w:sz w:val="17"/>
          <w:szCs w:val="17"/>
          <w:u w:val="single" w:color="auto"/>
          <w:color w:val="0000FF"/>
        </w:rPr>
        <w:t>other benchmark with respect to Revolving Loans</w:t>
      </w:r>
      <w:r>
        <w:rPr>
          <w:rFonts w:ascii="Arial" w:cs="Arial" w:eastAsia="Arial" w:hAnsi="Arial"/>
          <w:sz w:val="17"/>
          <w:szCs w:val="17"/>
          <w:color w:val="0000FF"/>
        </w:rPr>
        <w:t xml:space="preserve"> </w:t>
      </w:r>
      <w:r>
        <w:rPr>
          <w:rFonts w:ascii="Arial" w:cs="Arial" w:eastAsia="Arial" w:hAnsi="Arial"/>
          <w:sz w:val="17"/>
          <w:szCs w:val="17"/>
          <w:color w:val="000000"/>
        </w:rPr>
        <w:t>denominated in</w:t>
      </w:r>
      <w:r>
        <w:rPr>
          <w:rFonts w:ascii="Arial" w:cs="Arial" w:eastAsia="Arial" w:hAnsi="Arial"/>
          <w:sz w:val="17"/>
          <w:szCs w:val="17"/>
          <w:color w:val="0000FF"/>
        </w:rPr>
        <w:t xml:space="preserve"> </w:t>
      </w:r>
      <w:r>
        <w:rPr>
          <w:rFonts w:ascii="Arial" w:cs="Arial" w:eastAsia="Arial" w:hAnsi="Arial"/>
          <w:sz w:val="17"/>
          <w:szCs w:val="17"/>
          <w:color w:val="FF0000"/>
          <w:strike w:val="1"/>
        </w:rPr>
        <w:t>Dollars or an</w:t>
      </w:r>
      <w:r>
        <w:rPr>
          <w:rFonts w:ascii="Arial" w:cs="Arial" w:eastAsia="Arial" w:hAnsi="Arial"/>
          <w:sz w:val="17"/>
          <w:szCs w:val="17"/>
          <w:u w:val="single" w:color="auto"/>
          <w:color w:val="0000FF"/>
        </w:rPr>
        <w:t>any</w:t>
      </w:r>
      <w:r>
        <w:rPr>
          <w:rFonts w:ascii="Arial" w:cs="Arial" w:eastAsia="Arial" w:hAnsi="Arial"/>
          <w:sz w:val="17"/>
          <w:szCs w:val="17"/>
          <w:color w:val="0000FF"/>
        </w:rPr>
        <w:t xml:space="preserve"> </w:t>
      </w:r>
      <w:r>
        <w:rPr>
          <w:rFonts w:ascii="Arial" w:cs="Arial" w:eastAsia="Arial" w:hAnsi="Arial"/>
          <w:sz w:val="17"/>
          <w:szCs w:val="17"/>
          <w:color w:val="000000"/>
        </w:rPr>
        <w:t>Alternate Currency</w:t>
      </w:r>
      <w:r>
        <w:rPr>
          <w:rFonts w:ascii="Arial" w:cs="Arial" w:eastAsia="Arial" w:hAnsi="Arial"/>
          <w:sz w:val="17"/>
          <w:szCs w:val="17"/>
          <w:color w:val="FF0000"/>
        </w:rPr>
        <w:t>)</w:t>
      </w:r>
      <w:r>
        <w:rPr>
          <w:rFonts w:ascii="Arial" w:cs="Arial" w:eastAsia="Arial" w:hAnsi="Arial"/>
          <w:sz w:val="17"/>
          <w:szCs w:val="17"/>
          <w:color w:val="000000"/>
        </w:rPr>
        <w:t>, or to determine or charge</w:t>
      </w:r>
      <w:r>
        <w:rPr>
          <w:rFonts w:ascii="Arial" w:cs="Arial" w:eastAsia="Arial" w:hAnsi="Arial"/>
          <w:sz w:val="17"/>
          <w:szCs w:val="17"/>
          <w:color w:val="0000FF"/>
        </w:rPr>
        <w:t xml:space="preserve"> </w:t>
      </w:r>
      <w:r>
        <w:rPr>
          <w:rFonts w:ascii="Arial" w:cs="Arial" w:eastAsia="Arial" w:hAnsi="Arial"/>
          <w:sz w:val="17"/>
          <w:szCs w:val="17"/>
          <w:color w:val="000000"/>
        </w:rPr>
        <w:t xml:space="preserve">interest rates based upon </w:t>
      </w:r>
      <w:r>
        <w:rPr>
          <w:rFonts w:ascii="Arial" w:cs="Arial" w:eastAsia="Arial" w:hAnsi="Arial"/>
          <w:sz w:val="17"/>
          <w:szCs w:val="17"/>
          <w:color w:val="FF0000"/>
          <w:strike w:val="1"/>
        </w:rPr>
        <w:t>the Published LIBO Rate,</w:t>
      </w:r>
      <w:r>
        <w:rPr>
          <w:rFonts w:ascii="Arial" w:cs="Arial" w:eastAsia="Arial" w:hAnsi="Arial"/>
          <w:sz w:val="17"/>
          <w:szCs w:val="17"/>
          <w:u w:val="single" w:color="auto"/>
          <w:color w:val="0000FF"/>
        </w:rPr>
        <w:t>Term SOFR or such other benchmark,</w:t>
      </w:r>
      <w:r>
        <w:rPr>
          <w:rFonts w:ascii="Arial" w:cs="Arial" w:eastAsia="Arial" w:hAnsi="Arial"/>
          <w:sz w:val="17"/>
          <w:szCs w:val="17"/>
          <w:color w:val="000000"/>
        </w:rPr>
        <w:t xml:space="preserve"> or any Governmental Authority has imposed material restrictions on the authority of such Lender to purchase or sell, or to take deposits of Dollars or any Alternate Currency in the applicable interbank market, then, on notice thereof by such Lender to the Borrower through the Administrative Agent, (i) any obligation of such Lender to make or continue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 SOFR</w:t>
      </w:r>
      <w:r>
        <w:rPr>
          <w:rFonts w:ascii="Arial" w:cs="Arial" w:eastAsia="Arial" w:hAnsi="Arial"/>
          <w:sz w:val="17"/>
          <w:szCs w:val="17"/>
          <w:color w:val="000000"/>
        </w:rPr>
        <w:t xml:space="preserve"> Loans </w:t>
      </w:r>
      <w:r>
        <w:rPr>
          <w:rFonts w:ascii="Arial" w:cs="Arial" w:eastAsia="Arial" w:hAnsi="Arial"/>
          <w:sz w:val="17"/>
          <w:szCs w:val="17"/>
          <w:color w:val="FF0000"/>
          <w:strike w:val="1"/>
        </w:rPr>
        <w:t>in the effected currency or currencies</w:t>
      </w:r>
      <w:r>
        <w:rPr>
          <w:rFonts w:ascii="Arial" w:cs="Arial" w:eastAsia="Arial" w:hAnsi="Arial"/>
          <w:sz w:val="17"/>
          <w:szCs w:val="17"/>
          <w:color w:val="000000"/>
        </w:rPr>
        <w:t xml:space="preserve"> or to convert ABR Loans to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 SOFR</w:t>
      </w:r>
      <w:r>
        <w:rPr>
          <w:rFonts w:ascii="Arial" w:cs="Arial" w:eastAsia="Arial" w:hAnsi="Arial"/>
          <w:sz w:val="17"/>
          <w:szCs w:val="17"/>
          <w:color w:val="000000"/>
        </w:rPr>
        <w:t xml:space="preserve"> Loans shall be suspended and (ii) if such notice asserts the illegality of such Lender making or maintaining ABR Loans the interest rate on which is determined by reference to </w:t>
      </w:r>
      <w:r>
        <w:rPr>
          <w:rFonts w:ascii="Arial" w:cs="Arial" w:eastAsia="Arial" w:hAnsi="Arial"/>
          <w:sz w:val="17"/>
          <w:szCs w:val="17"/>
          <w:color w:val="FF0000"/>
          <w:strike w:val="1"/>
        </w:rPr>
        <w:t>the Published LIBO Rate</w:t>
      </w:r>
      <w:r>
        <w:rPr>
          <w:rFonts w:ascii="Arial" w:cs="Arial" w:eastAsia="Arial" w:hAnsi="Arial"/>
          <w:sz w:val="17"/>
          <w:szCs w:val="17"/>
          <w:u w:val="single" w:color="auto"/>
          <w:color w:val="0000FF"/>
        </w:rPr>
        <w:t>Term</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SOFR</w:t>
      </w:r>
      <w:r>
        <w:rPr>
          <w:rFonts w:ascii="Arial" w:cs="Arial" w:eastAsia="Arial" w:hAnsi="Arial"/>
          <w:sz w:val="17"/>
          <w:szCs w:val="17"/>
          <w:color w:val="0000FF"/>
        </w:rPr>
        <w:t xml:space="preserve"> </w:t>
      </w:r>
      <w:r>
        <w:rPr>
          <w:rFonts w:ascii="Arial" w:cs="Arial" w:eastAsia="Arial" w:hAnsi="Arial"/>
          <w:sz w:val="17"/>
          <w:szCs w:val="17"/>
          <w:color w:val="000000"/>
        </w:rPr>
        <w:t>component of the Alternate Base Rate, the interest rate on which ABR Loans of such Lender, shall, if necessary to avoid</w:t>
      </w:r>
      <w:r>
        <w:rPr>
          <w:rFonts w:ascii="Arial" w:cs="Arial" w:eastAsia="Arial" w:hAnsi="Arial"/>
          <w:sz w:val="17"/>
          <w:szCs w:val="17"/>
          <w:color w:val="0000FF"/>
        </w:rPr>
        <w:t xml:space="preserve"> </w:t>
      </w:r>
      <w:r>
        <w:rPr>
          <w:rFonts w:ascii="Arial" w:cs="Arial" w:eastAsia="Arial" w:hAnsi="Arial"/>
          <w:sz w:val="17"/>
          <w:szCs w:val="17"/>
          <w:color w:val="000000"/>
        </w:rPr>
        <w:t xml:space="preserve">such illegality, be determined by the Administrative Agent without reference to </w:t>
      </w:r>
      <w:r>
        <w:rPr>
          <w:rFonts w:ascii="Arial" w:cs="Arial" w:eastAsia="Arial" w:hAnsi="Arial"/>
          <w:sz w:val="17"/>
          <w:szCs w:val="17"/>
          <w:color w:val="FF0000"/>
          <w:strike w:val="1"/>
        </w:rPr>
        <w:t>the Published LIBO Rate</w:t>
      </w:r>
      <w:r>
        <w:rPr>
          <w:rFonts w:ascii="Arial" w:cs="Arial" w:eastAsia="Arial" w:hAnsi="Arial"/>
          <w:sz w:val="17"/>
          <w:szCs w:val="17"/>
          <w:u w:val="single" w:color="auto"/>
          <w:color w:val="0000FF"/>
        </w:rPr>
        <w:t>Term SOFR</w:t>
      </w:r>
      <w:r>
        <w:rPr>
          <w:rFonts w:ascii="Arial" w:cs="Arial" w:eastAsia="Arial" w:hAnsi="Arial"/>
          <w:sz w:val="17"/>
          <w:szCs w:val="17"/>
          <w:color w:val="000000"/>
        </w:rPr>
        <w:t xml:space="preserve"> component of the Alternate Base Rate, in each case until such Lender notifies the Administrative Agent and the Borrower that the circumstances giving rise to such determination no longer exist (which notice such Lender agrees to give promptly). Upon receipt of such notice,</w:t>
      </w:r>
    </w:p>
    <w:p>
      <w:pPr>
        <w:spacing w:after="0" w:line="11" w:lineRule="exact"/>
        <w:rPr>
          <w:sz w:val="20"/>
          <w:szCs w:val="20"/>
          <w:color w:val="auto"/>
        </w:rPr>
      </w:pPr>
    </w:p>
    <w:p>
      <w:pPr>
        <w:ind w:left="360" w:hanging="267"/>
        <w:spacing w:after="0"/>
        <w:tabs>
          <w:tab w:leader="none" w:pos="36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Borrower shall, upon demand from the relevant Lender (with a copy to the Administrative Agent), at its election, prepay or</w:t>
      </w:r>
    </w:p>
    <w:p>
      <w:pPr>
        <w:spacing w:after="0" w:line="7" w:lineRule="exact"/>
        <w:rPr>
          <w:rFonts w:ascii="Arial" w:cs="Arial" w:eastAsia="Arial" w:hAnsi="Arial"/>
          <w:sz w:val="17"/>
          <w:szCs w:val="17"/>
          <w:color w:val="auto"/>
        </w:rPr>
      </w:pPr>
    </w:p>
    <w:p>
      <w:pPr>
        <w:jc w:val="both"/>
        <w:ind w:left="100" w:right="39"/>
        <w:spacing w:after="0" w:line="274" w:lineRule="auto"/>
        <w:rPr>
          <w:rFonts w:ascii="Arial" w:cs="Arial" w:eastAsia="Arial" w:hAnsi="Arial"/>
          <w:sz w:val="17"/>
          <w:szCs w:val="17"/>
          <w:color w:val="auto"/>
        </w:rPr>
      </w:pPr>
      <w:r>
        <w:rPr>
          <w:rFonts w:ascii="Arial" w:cs="Arial" w:eastAsia="Arial" w:hAnsi="Arial"/>
          <w:sz w:val="17"/>
          <w:szCs w:val="17"/>
          <w:color w:val="auto"/>
        </w:rPr>
        <w:t xml:space="preserve">(I) if applicable and such Loans are denominated in Dollars, convert all of such Lender’s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Loans to ABR Loans (the interest rate on which ABR Loans of such Lender shall, if necessary to avoid such illegality, be determined by the Administrative Agent without reference to </w:t>
      </w:r>
      <w:r>
        <w:rPr>
          <w:rFonts w:ascii="Arial" w:cs="Arial" w:eastAsia="Arial" w:hAnsi="Arial"/>
          <w:sz w:val="17"/>
          <w:szCs w:val="17"/>
          <w:color w:val="FF0000"/>
          <w:strike w:val="1"/>
        </w:rPr>
        <w:t>the Published LIBO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component of the Alternate Base Rate) or (II) if</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105</w:t>
      </w:r>
      <w:r>
        <w:rPr>
          <w:rFonts w:ascii="Arial" w:cs="Arial" w:eastAsia="Arial" w:hAnsi="Arial"/>
          <w:sz w:val="18"/>
          <w:szCs w:val="18"/>
          <w:u w:val="single" w:color="auto"/>
          <w:color w:val="0000FF"/>
          <w:strike w:val="1"/>
        </w:rPr>
        <w:t>105</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73" w:name="page174"/>
    <w:bookmarkEnd w:id="173"/>
    <w:p>
      <w:pPr>
        <w:jc w:val="both"/>
        <w:ind w:left="100" w:right="59"/>
        <w:spacing w:after="0" w:line="242" w:lineRule="auto"/>
        <w:rPr>
          <w:sz w:val="20"/>
          <w:szCs w:val="20"/>
          <w:color w:val="auto"/>
        </w:rPr>
      </w:pPr>
      <w:r>
        <w:rPr>
          <w:rFonts w:ascii="Arial" w:cs="Arial" w:eastAsia="Arial" w:hAnsi="Arial"/>
          <w:sz w:val="18"/>
          <w:szCs w:val="18"/>
          <w:color w:val="auto"/>
        </w:rPr>
        <w:t xml:space="preserve">applicable and such Loans are denominated in any Alternate Currency, convert such Loans to Loans bearing interest at an alternative rate mutually acceptable to the Borrower and such Lender, in each case, either on the last day of the Interest Period therefor, if such Lender may lawfully continue to maintain such </w:t>
      </w:r>
      <w:r>
        <w:rPr>
          <w:rFonts w:ascii="Arial" w:cs="Arial" w:eastAsia="Arial" w:hAnsi="Arial"/>
          <w:sz w:val="18"/>
          <w:szCs w:val="18"/>
          <w:color w:val="FF0000"/>
          <w:strike w:val="1"/>
        </w:rPr>
        <w:t>LIBO Rate Loans</w:t>
      </w:r>
      <w:r>
        <w:rPr>
          <w:rFonts w:ascii="Arial" w:cs="Arial" w:eastAsia="Arial" w:hAnsi="Arial"/>
          <w:sz w:val="18"/>
          <w:szCs w:val="18"/>
          <w:u w:val="single" w:color="auto"/>
          <w:color w:val="0000FF"/>
        </w:rPr>
        <w:t>Term SOFR Loans (or Loans by reference to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benchmark with respect to such Alternate Currency)</w:t>
      </w:r>
      <w:r>
        <w:rPr>
          <w:rFonts w:ascii="Arial" w:cs="Arial" w:eastAsia="Arial" w:hAnsi="Arial"/>
          <w:sz w:val="18"/>
          <w:szCs w:val="18"/>
          <w:color w:val="0000FF"/>
        </w:rPr>
        <w:t xml:space="preserve"> </w:t>
      </w:r>
      <w:r>
        <w:rPr>
          <w:rFonts w:ascii="Arial" w:cs="Arial" w:eastAsia="Arial" w:hAnsi="Arial"/>
          <w:sz w:val="18"/>
          <w:szCs w:val="18"/>
          <w:color w:val="000000"/>
        </w:rPr>
        <w:t>until such day, or immediately, if such Lender may not lawfully continue to</w:t>
      </w:r>
      <w:r>
        <w:rPr>
          <w:rFonts w:ascii="Arial" w:cs="Arial" w:eastAsia="Arial" w:hAnsi="Arial"/>
          <w:sz w:val="18"/>
          <w:szCs w:val="18"/>
          <w:color w:val="0000FF"/>
        </w:rPr>
        <w:t xml:space="preserve"> </w:t>
      </w:r>
      <w:r>
        <w:rPr>
          <w:rFonts w:ascii="Arial" w:cs="Arial" w:eastAsia="Arial" w:hAnsi="Arial"/>
          <w:sz w:val="18"/>
          <w:szCs w:val="18"/>
          <w:color w:val="000000"/>
        </w:rPr>
        <w:t xml:space="preserve">maintain such </w:t>
      </w:r>
      <w:r>
        <w:rPr>
          <w:rFonts w:ascii="Arial" w:cs="Arial" w:eastAsia="Arial" w:hAnsi="Arial"/>
          <w:sz w:val="18"/>
          <w:szCs w:val="18"/>
          <w:color w:val="FF0000"/>
          <w:strike w:val="1"/>
        </w:rPr>
        <w:t>LIBO Rate Loans</w:t>
      </w:r>
      <w:r>
        <w:rPr>
          <w:rFonts w:ascii="Arial" w:cs="Arial" w:eastAsia="Arial" w:hAnsi="Arial"/>
          <w:sz w:val="18"/>
          <w:szCs w:val="18"/>
          <w:u w:val="single" w:color="auto"/>
          <w:color w:val="0000FF"/>
        </w:rPr>
        <w:t>Term SOFR Loans (or Loans by reference to the benchmark with respect to such Alternate</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Currency)</w:t>
      </w:r>
      <w:r>
        <w:rPr>
          <w:rFonts w:ascii="Arial" w:cs="Arial" w:eastAsia="Arial" w:hAnsi="Arial"/>
          <w:sz w:val="18"/>
          <w:szCs w:val="18"/>
          <w:color w:val="0000FF"/>
        </w:rPr>
        <w:t xml:space="preserve"> </w:t>
      </w:r>
      <w:r>
        <w:rPr>
          <w:rFonts w:ascii="Arial" w:cs="Arial" w:eastAsia="Arial" w:hAnsi="Arial"/>
          <w:sz w:val="18"/>
          <w:szCs w:val="18"/>
          <w:color w:val="000000"/>
        </w:rPr>
        <w:t>(in which case the Borrower shall not be required to make payments pursuant to</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Section 2.16</w:t>
      </w:r>
      <w:r>
        <w:rPr>
          <w:rFonts w:ascii="Arial" w:cs="Arial" w:eastAsia="Arial" w:hAnsi="Arial"/>
          <w:sz w:val="18"/>
          <w:szCs w:val="18"/>
          <w:color w:val="0000FF"/>
        </w:rPr>
        <w:t xml:space="preserve"> </w:t>
      </w:r>
      <w:r>
        <w:rPr>
          <w:rFonts w:ascii="Arial" w:cs="Arial" w:eastAsia="Arial" w:hAnsi="Arial"/>
          <w:sz w:val="18"/>
          <w:szCs w:val="18"/>
          <w:color w:val="000000"/>
        </w:rPr>
        <w:t>in connection with such</w:t>
      </w:r>
      <w:r>
        <w:rPr>
          <w:rFonts w:ascii="Arial" w:cs="Arial" w:eastAsia="Arial" w:hAnsi="Arial"/>
          <w:sz w:val="18"/>
          <w:szCs w:val="18"/>
          <w:color w:val="0000FF"/>
        </w:rPr>
        <w:t xml:space="preserve"> </w:t>
      </w:r>
      <w:r>
        <w:rPr>
          <w:rFonts w:ascii="Arial" w:cs="Arial" w:eastAsia="Arial" w:hAnsi="Arial"/>
          <w:sz w:val="18"/>
          <w:szCs w:val="18"/>
          <w:color w:val="000000"/>
        </w:rPr>
        <w:t xml:space="preserve">payment); and (y) if such notice asserts the illegality of such Lender determining or charging interest rates based upon </w:t>
      </w:r>
      <w:r>
        <w:rPr>
          <w:rFonts w:ascii="Arial" w:cs="Arial" w:eastAsia="Arial" w:hAnsi="Arial"/>
          <w:sz w:val="18"/>
          <w:szCs w:val="18"/>
          <w:color w:val="FF0000"/>
          <w:strike w:val="1"/>
        </w:rPr>
        <w:t>the</w:t>
      </w:r>
      <w:r>
        <w:rPr>
          <w:rFonts w:ascii="Arial" w:cs="Arial" w:eastAsia="Arial" w:hAnsi="Arial"/>
          <w:sz w:val="18"/>
          <w:szCs w:val="18"/>
          <w:color w:val="000000"/>
        </w:rPr>
        <w:t xml:space="preserve"> </w:t>
      </w:r>
      <w:r>
        <w:rPr>
          <w:rFonts w:ascii="Arial" w:cs="Arial" w:eastAsia="Arial" w:hAnsi="Arial"/>
          <w:sz w:val="18"/>
          <w:szCs w:val="18"/>
          <w:color w:val="FF0000"/>
          <w:strike w:val="1"/>
        </w:rPr>
        <w:t>Published LIBO Rate</w:t>
      </w:r>
      <w:r>
        <w:rPr>
          <w:rFonts w:ascii="Arial" w:cs="Arial" w:eastAsia="Arial" w:hAnsi="Arial"/>
          <w:sz w:val="18"/>
          <w:szCs w:val="18"/>
          <w:u w:val="single" w:color="auto"/>
          <w:color w:val="0000FF"/>
        </w:rPr>
        <w:t>Term SOFR</w:t>
      </w:r>
      <w:r>
        <w:rPr>
          <w:rFonts w:ascii="Arial" w:cs="Arial" w:eastAsia="Arial" w:hAnsi="Arial"/>
          <w:sz w:val="18"/>
          <w:szCs w:val="18"/>
          <w:color w:val="000000"/>
        </w:rPr>
        <w:t>, the Administrative Agent shall during the period of such suspension compute the Alternate Base</w:t>
      </w:r>
      <w:r>
        <w:rPr>
          <w:rFonts w:ascii="Arial" w:cs="Arial" w:eastAsia="Arial" w:hAnsi="Arial"/>
          <w:sz w:val="18"/>
          <w:szCs w:val="18"/>
          <w:color w:val="FF0000"/>
        </w:rPr>
        <w:t xml:space="preserve"> </w:t>
      </w:r>
      <w:r>
        <w:rPr>
          <w:rFonts w:ascii="Arial" w:cs="Arial" w:eastAsia="Arial" w:hAnsi="Arial"/>
          <w:sz w:val="18"/>
          <w:szCs w:val="18"/>
          <w:color w:val="000000"/>
        </w:rPr>
        <w:t xml:space="preserve">Rate applicable to such Lender without reference to </w:t>
      </w:r>
      <w:r>
        <w:rPr>
          <w:rFonts w:ascii="Arial" w:cs="Arial" w:eastAsia="Arial" w:hAnsi="Arial"/>
          <w:sz w:val="18"/>
          <w:szCs w:val="18"/>
          <w:color w:val="FF0000"/>
          <w:strike w:val="1"/>
        </w:rPr>
        <w:t>the Published LIBO Rate</w:t>
      </w:r>
      <w:r>
        <w:rPr>
          <w:rFonts w:ascii="Arial" w:cs="Arial" w:eastAsia="Arial" w:hAnsi="Arial"/>
          <w:sz w:val="18"/>
          <w:szCs w:val="18"/>
          <w:u w:val="single" w:color="auto"/>
          <w:color w:val="0000FF"/>
        </w:rPr>
        <w:t>Term SOFR</w:t>
      </w:r>
      <w:r>
        <w:rPr>
          <w:rFonts w:ascii="Arial" w:cs="Arial" w:eastAsia="Arial" w:hAnsi="Arial"/>
          <w:sz w:val="18"/>
          <w:szCs w:val="18"/>
          <w:color w:val="000000"/>
        </w:rPr>
        <w:t xml:space="preserve"> component thereof until the Administrative Agent is advised in writing by such Lender that it is no longer illegal for such Lender to determine or charge interest rates based upon </w:t>
      </w:r>
      <w:r>
        <w:rPr>
          <w:rFonts w:ascii="Arial" w:cs="Arial" w:eastAsia="Arial" w:hAnsi="Arial"/>
          <w:sz w:val="18"/>
          <w:szCs w:val="18"/>
          <w:color w:val="FF0000"/>
          <w:strike w:val="1"/>
        </w:rPr>
        <w:t>the Published LIBO Rate</w:t>
      </w:r>
      <w:r>
        <w:rPr>
          <w:rFonts w:ascii="Arial" w:cs="Arial" w:eastAsia="Arial" w:hAnsi="Arial"/>
          <w:sz w:val="18"/>
          <w:szCs w:val="18"/>
          <w:u w:val="single" w:color="auto"/>
          <w:color w:val="0000FF"/>
        </w:rPr>
        <w:t>Term SOFR</w:t>
      </w:r>
      <w:r>
        <w:rPr>
          <w:rFonts w:ascii="Arial" w:cs="Arial" w:eastAsia="Arial" w:hAnsi="Arial"/>
          <w:sz w:val="18"/>
          <w:szCs w:val="18"/>
          <w:color w:val="000000"/>
        </w:rPr>
        <w:t>. Upon any such prepayment or conversion, the Borrower shall also pay accrued interest on the amount so prepaid or converted. Each Lender agrees to designate a different lending office if such designation will avoid the need for such notice and will not, in the determination of such Lender, otherwise be materially disadvantageous to such Lender.</w:t>
      </w:r>
    </w:p>
    <w:p>
      <w:pPr>
        <w:spacing w:after="0" w:line="197" w:lineRule="exact"/>
        <w:rPr>
          <w:sz w:val="20"/>
          <w:szCs w:val="20"/>
          <w:color w:val="auto"/>
        </w:rPr>
      </w:pPr>
    </w:p>
    <w:p>
      <w:pPr>
        <w:jc w:val="both"/>
        <w:ind w:left="100" w:right="59" w:firstLine="749"/>
        <w:spacing w:after="0" w:line="273" w:lineRule="auto"/>
        <w:rPr>
          <w:sz w:val="20"/>
          <w:szCs w:val="20"/>
          <w:color w:val="auto"/>
        </w:rPr>
      </w:pPr>
      <w:r>
        <w:rPr>
          <w:rFonts w:ascii="Arial" w:cs="Arial" w:eastAsia="Arial" w:hAnsi="Arial"/>
          <w:sz w:val="18"/>
          <w:szCs w:val="18"/>
          <w:color w:val="auto"/>
        </w:rPr>
        <w:t xml:space="preserve">Section 2.21.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provision of this Agreement to the contrary, if any Person becomes a Defaulting Lender, then the following provisions shall apply for so long as such Person is a Defaulting Lender:</w:t>
      </w:r>
    </w:p>
    <w:p>
      <w:pPr>
        <w:spacing w:after="0" w:line="150" w:lineRule="exact"/>
        <w:rPr>
          <w:sz w:val="20"/>
          <w:szCs w:val="20"/>
          <w:color w:val="auto"/>
        </w:rPr>
      </w:pPr>
    </w:p>
    <w:p>
      <w:pPr>
        <w:jc w:val="both"/>
        <w:ind w:left="100" w:right="59" w:firstLine="741"/>
        <w:spacing w:after="0" w:line="269" w:lineRule="auto"/>
        <w:tabs>
          <w:tab w:leader="none" w:pos="15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Fees shall cease to accrue on the unfunded portion of any Commitment of such Defaulting Lender pursuant to </w:t>
      </w:r>
      <w:r>
        <w:rPr>
          <w:rFonts w:ascii="Arial" w:cs="Arial" w:eastAsia="Arial" w:hAnsi="Arial"/>
          <w:sz w:val="18"/>
          <w:szCs w:val="18"/>
          <w:u w:val="single" w:color="auto"/>
          <w:color w:val="auto"/>
        </w:rPr>
        <w:t>Section 2.12(a)</w:t>
      </w:r>
      <w:r>
        <w:rPr>
          <w:rFonts w:ascii="Arial" w:cs="Arial" w:eastAsia="Arial" w:hAnsi="Arial"/>
          <w:sz w:val="18"/>
          <w:szCs w:val="18"/>
          <w:color w:val="auto"/>
        </w:rPr>
        <w:t xml:space="preserve"> and, subject to </w:t>
      </w:r>
      <w:r>
        <w:rPr>
          <w:rFonts w:ascii="Arial" w:cs="Arial" w:eastAsia="Arial" w:hAnsi="Arial"/>
          <w:sz w:val="18"/>
          <w:szCs w:val="18"/>
          <w:u w:val="single" w:color="auto"/>
          <w:color w:val="auto"/>
        </w:rPr>
        <w:t>clause (d)(iv)</w:t>
      </w:r>
      <w:r>
        <w:rPr>
          <w:rFonts w:ascii="Arial" w:cs="Arial" w:eastAsia="Arial" w:hAnsi="Arial"/>
          <w:sz w:val="18"/>
          <w:szCs w:val="18"/>
          <w:color w:val="auto"/>
        </w:rPr>
        <w:t xml:space="preserve"> below, on the participation of such Defaulting Lender in Letters of Credit pursuant to </w:t>
      </w:r>
      <w:r>
        <w:rPr>
          <w:rFonts w:ascii="Arial" w:cs="Arial" w:eastAsia="Arial" w:hAnsi="Arial"/>
          <w:sz w:val="18"/>
          <w:szCs w:val="18"/>
          <w:u w:val="single" w:color="auto"/>
          <w:color w:val="auto"/>
        </w:rPr>
        <w:t>Section 2.12(b)</w:t>
      </w:r>
      <w:r>
        <w:rPr>
          <w:rFonts w:ascii="Arial" w:cs="Arial" w:eastAsia="Arial" w:hAnsi="Arial"/>
          <w:sz w:val="18"/>
          <w:szCs w:val="18"/>
          <w:color w:val="auto"/>
        </w:rPr>
        <w:t xml:space="preserve"> and pursuant to any other provision of this Agreement or any other Loan Document.</w:t>
      </w:r>
    </w:p>
    <w:p>
      <w:pPr>
        <w:spacing w:after="0" w:line="168" w:lineRule="exact"/>
        <w:rPr>
          <w:rFonts w:ascii="Arial" w:cs="Arial" w:eastAsia="Arial" w:hAnsi="Arial"/>
          <w:sz w:val="18"/>
          <w:szCs w:val="18"/>
          <w:color w:val="auto"/>
        </w:rPr>
      </w:pPr>
    </w:p>
    <w:p>
      <w:pPr>
        <w:jc w:val="both"/>
        <w:ind w:left="100" w:right="59" w:firstLine="742"/>
        <w:spacing w:after="0" w:line="242" w:lineRule="auto"/>
        <w:tabs>
          <w:tab w:leader="none" w:pos="152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 xml:space="preserve">The Loans, the Commitments and the Revolving Credit Exposure of such Defaulting Lender shall not be included in determining whether all Lenders, each affected Lender, the Required Lenders, the Required Revolving Lenders or such other number of Lenders as may be required hereby or under any other Loan Document have taken or may take any action hereunder (including any consent to any waiver, amendment or modification pursuant to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waiver, amendment or modification requiring the consent of all Lenders or each affected Lender which (i) increases the Commitment of such Defaulting Lender hereunder, (ii) reduces the principal amount of any amount owing to such Defaulting Lender or (iii) affects such Defaulting Lender disproportionately and adversely relative to other affected Lenders shall require the consent of such Defaulting Lender.</w:t>
      </w:r>
    </w:p>
    <w:p>
      <w:pPr>
        <w:spacing w:after="0" w:line="195" w:lineRule="exact"/>
        <w:rPr>
          <w:rFonts w:ascii="Arial" w:cs="Arial" w:eastAsia="Arial" w:hAnsi="Arial"/>
          <w:sz w:val="19"/>
          <w:szCs w:val="19"/>
          <w:color w:val="auto"/>
        </w:rPr>
      </w:pPr>
    </w:p>
    <w:p>
      <w:pPr>
        <w:jc w:val="both"/>
        <w:ind w:left="100" w:right="39" w:firstLine="742"/>
        <w:spacing w:after="0" w:line="254" w:lineRule="auto"/>
        <w:tabs>
          <w:tab w:leader="none" w:pos="1521"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Any payment of principal, interest, fees or other amounts received by the Administrative Agent for the account of any Defaulting Lender (whether voluntary or mandatory, at maturity,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or otherwise, and including any amount made available to the Administrative Agent by such Defaulting Lender pursuant to </w:t>
      </w:r>
      <w:r>
        <w:rPr>
          <w:rFonts w:ascii="Arial" w:cs="Arial" w:eastAsia="Arial" w:hAnsi="Arial"/>
          <w:sz w:val="18"/>
          <w:szCs w:val="18"/>
          <w:u w:val="single" w:color="auto"/>
          <w:color w:val="auto"/>
        </w:rPr>
        <w:t>Section 9.09</w:t>
      </w:r>
      <w:r>
        <w:rPr>
          <w:rFonts w:ascii="Arial" w:cs="Arial" w:eastAsia="Arial" w:hAnsi="Arial"/>
          <w:sz w:val="18"/>
          <w:szCs w:val="18"/>
          <w:color w:val="auto"/>
        </w:rPr>
        <w:t xml:space="preserve">), shall be applied at such time or times as may be determined by the Administrative Agent and, where relevant, the Borrower as follows: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payment of any amount owing by such Defaulting Lender to the Administrative Agent hereunder;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payment on a pro rata basis of any amount owing by such Defaulting Lender to any applicable Issuing Bank and/or the Swingline Lender hereunder;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if so reasonably determined by the Administrative Agent or reasonably requested by the applicable Issuing Bank, to be held as Cash collateral for future funding obligations of such Defaulting Lender in respect of any participation in any Letter of Credit;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so long as no Default or Event of Default exists, as the Borrower may request, to the funding of any Loan in respect of which such Defaulting Lender has failed to fund its portion thereof as required by this Agreement;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as the Administrative Agent or the Borrower may elect, to be held in a Deposit Account and released in order to satisfy obligations of such Defaulting Lender to fund Loans under this Agreement; </w:t>
      </w:r>
      <w:r>
        <w:rPr>
          <w:rFonts w:ascii="Arial" w:cs="Arial" w:eastAsia="Arial" w:hAnsi="Arial"/>
          <w:sz w:val="18"/>
          <w:szCs w:val="18"/>
          <w:u w:val="single" w:color="auto"/>
          <w:color w:val="auto"/>
        </w:rPr>
        <w:t>sixth</w:t>
      </w:r>
      <w:r>
        <w:rPr>
          <w:rFonts w:ascii="Arial" w:cs="Arial" w:eastAsia="Arial" w:hAnsi="Arial"/>
          <w:sz w:val="18"/>
          <w:szCs w:val="18"/>
          <w:color w:val="auto"/>
        </w:rPr>
        <w:t>, to the payment of any amount owing to the non-Defaulting Lenders, Issuing Banks or the Swingline Lender as a result of any judgment of a court of competent jurisdiction obtained by any non-Defaulting Lender, any Issuing Bank or the Swingline Lender against such Defaulting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106</w:t>
      </w:r>
      <w:r>
        <w:rPr>
          <w:rFonts w:ascii="Arial" w:cs="Arial" w:eastAsia="Arial" w:hAnsi="Arial"/>
          <w:sz w:val="18"/>
          <w:szCs w:val="18"/>
          <w:u w:val="single" w:color="auto"/>
          <w:color w:val="0000FF"/>
          <w:strike w:val="1"/>
        </w:rPr>
        <w:t>106</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74" w:name="page175"/>
    <w:bookmarkEnd w:id="174"/>
    <w:p>
      <w:pPr>
        <w:jc w:val="both"/>
        <w:ind w:left="100" w:right="19"/>
        <w:spacing w:after="0" w:line="260" w:lineRule="auto"/>
        <w:rPr>
          <w:sz w:val="20"/>
          <w:szCs w:val="20"/>
          <w:color w:val="auto"/>
        </w:rPr>
      </w:pPr>
      <w:r>
        <w:rPr>
          <w:rFonts w:ascii="Arial" w:cs="Arial" w:eastAsia="Arial" w:hAnsi="Arial"/>
          <w:sz w:val="17"/>
          <w:szCs w:val="17"/>
          <w:color w:val="auto"/>
        </w:rPr>
        <w:t xml:space="preserve">Lender as a result of such Defaulting Lender’s breach of its obligations under this Agreement; </w:t>
      </w:r>
      <w:r>
        <w:rPr>
          <w:rFonts w:ascii="Arial" w:cs="Arial" w:eastAsia="Arial" w:hAnsi="Arial"/>
          <w:sz w:val="17"/>
          <w:szCs w:val="17"/>
          <w:u w:val="single" w:color="auto"/>
          <w:color w:val="auto"/>
        </w:rPr>
        <w:t>seventh</w:t>
      </w:r>
      <w:r>
        <w:rPr>
          <w:rFonts w:ascii="Arial" w:cs="Arial" w:eastAsia="Arial" w:hAnsi="Arial"/>
          <w:sz w:val="17"/>
          <w:szCs w:val="17"/>
          <w:color w:val="auto"/>
        </w:rPr>
        <w:t xml:space="preserve">, to the payment of any amount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7"/>
          <w:szCs w:val="17"/>
          <w:u w:val="single" w:color="auto"/>
          <w:color w:val="auto"/>
        </w:rPr>
        <w:t>eighth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(x) such payment is a payment of the principal amount of any Loan or LC Exposure in respect of which such Defaulting Lender has not fully funded its appropriate share and (y) such Loan or LC Exposure was made or created, as applicable, at a time when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were satisfied or waived, such payment shall be applied solely to pay the Loans of, and LC Exposure owed to, all non-Defaulting Lenders on a pro rata basis prior to being applied to the payment of any Loan of, or LC Exposure owed to, such Defaulting Lender. Any payment, prepayment or other amount paid or payable to any Defaulting Lender that are applied (or held) to pay any amount owed by any Defaulting Lender or to post Cash collateral pursuant to this </w:t>
      </w:r>
      <w:r>
        <w:rPr>
          <w:rFonts w:ascii="Arial" w:cs="Arial" w:eastAsia="Arial" w:hAnsi="Arial"/>
          <w:sz w:val="17"/>
          <w:szCs w:val="17"/>
          <w:u w:val="single" w:color="auto"/>
          <w:color w:val="auto"/>
        </w:rPr>
        <w:t>Section 2.21(c)</w:t>
      </w:r>
      <w:r>
        <w:rPr>
          <w:rFonts w:ascii="Arial" w:cs="Arial" w:eastAsia="Arial" w:hAnsi="Arial"/>
          <w:sz w:val="17"/>
          <w:szCs w:val="17"/>
          <w:color w:val="auto"/>
        </w:rPr>
        <w:t xml:space="preserve"> shall be deemed paid to and redirected by such Defaulting Lender, and each Lender irrevocably consents hereto.</w:t>
      </w:r>
    </w:p>
    <w:p>
      <w:pPr>
        <w:spacing w:after="0" w:line="168" w:lineRule="exact"/>
        <w:rPr>
          <w:sz w:val="20"/>
          <w:szCs w:val="20"/>
          <w:color w:val="auto"/>
        </w:rPr>
      </w:pPr>
    </w:p>
    <w:p>
      <w:pPr>
        <w:ind w:left="1520" w:hanging="679"/>
        <w:spacing w:after="0"/>
        <w:tabs>
          <w:tab w:leader="none" w:pos="15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any Swingline Exposure or LC Exposure exists at the time any Lender becomes a Defaulting Lender then:</w:t>
      </w:r>
    </w:p>
    <w:p>
      <w:pPr>
        <w:spacing w:after="0" w:line="225" w:lineRule="exact"/>
        <w:rPr>
          <w:rFonts w:ascii="Arial" w:cs="Arial" w:eastAsia="Arial" w:hAnsi="Arial"/>
          <w:sz w:val="18"/>
          <w:szCs w:val="18"/>
          <w:color w:val="auto"/>
        </w:rPr>
      </w:pPr>
    </w:p>
    <w:p>
      <w:pPr>
        <w:jc w:val="both"/>
        <w:ind w:left="840" w:right="39" w:firstLine="751"/>
        <w:spacing w:after="0" w:line="255" w:lineRule="auto"/>
        <w:tabs>
          <w:tab w:leader="none" w:pos="2255"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Swingline Exposure and LC Exposure of such Defaulting Lender shall be reallocated among the non-Defaulting Lenders under the Revolving Facility (the “</w:t>
      </w:r>
      <w:r>
        <w:rPr>
          <w:rFonts w:ascii="Arial" w:cs="Arial" w:eastAsia="Arial" w:hAnsi="Arial"/>
          <w:sz w:val="18"/>
          <w:szCs w:val="18"/>
          <w:u w:val="single" w:color="auto"/>
          <w:color w:val="auto"/>
        </w:rPr>
        <w:t>Non-Defaulting Revolving Lenders</w:t>
      </w:r>
      <w:r>
        <w:rPr>
          <w:rFonts w:ascii="Arial" w:cs="Arial" w:eastAsia="Arial" w:hAnsi="Arial"/>
          <w:sz w:val="18"/>
          <w:szCs w:val="18"/>
          <w:color w:val="auto"/>
        </w:rPr>
        <w:t xml:space="preserve">”) in accordance with their respective Applicable Revolving Credit Percentages but only to the extent that (A) the sum of the Revolving Credit Exposures of all non-Defaulting Lenders attributable to the Revolving Credit Commitments of any Class does not exceed the total of the Revolving Credit Commitments of all Non-Defaulting Revolving Lenders of such Class and (B) the Revolving Credit Exposure of any non-Defaulting Lender that is attributable to its Revolving Credit Commitment of such Class does not exceed such non-Defaulting Lender’s Revolving Credit Commitment of such Class; it being understood and agreed that, subject to </w:t>
      </w:r>
      <w:r>
        <w:rPr>
          <w:rFonts w:ascii="Arial" w:cs="Arial" w:eastAsia="Arial" w:hAnsi="Arial"/>
          <w:sz w:val="18"/>
          <w:szCs w:val="18"/>
          <w:u w:val="single" w:color="auto"/>
          <w:color w:val="auto"/>
        </w:rPr>
        <w:t>Section 9.23</w:t>
      </w:r>
      <w:r>
        <w:rPr>
          <w:rFonts w:ascii="Arial" w:cs="Arial" w:eastAsia="Arial" w:hAnsi="Arial"/>
          <w:sz w:val="18"/>
          <w:szCs w:val="18"/>
          <w:color w:val="auto"/>
        </w:rPr>
        <w:t>, no reallocation hereunder shall constitute a waiver or release of any claim of any party hereunder against any Defaulting Lender arising from such Lender’s having become a Defaulting Lender, including any claim of any Non-Defaulting Lender as a result of such Non-Defaulting Lender's increased exposure following such reallocation;</w:t>
      </w:r>
    </w:p>
    <w:p>
      <w:pPr>
        <w:spacing w:after="0" w:line="186" w:lineRule="exact"/>
        <w:rPr>
          <w:rFonts w:ascii="Arial" w:cs="Arial" w:eastAsia="Arial" w:hAnsi="Arial"/>
          <w:sz w:val="18"/>
          <w:szCs w:val="18"/>
          <w:color w:val="auto"/>
        </w:rPr>
      </w:pPr>
    </w:p>
    <w:p>
      <w:pPr>
        <w:jc w:val="both"/>
        <w:ind w:left="840" w:right="19" w:firstLine="751"/>
        <w:spacing w:after="0" w:line="254" w:lineRule="auto"/>
        <w:tabs>
          <w:tab w:leader="none" w:pos="2257" w:val="left"/>
        </w:tabs>
        <w:numPr>
          <w:ilvl w:val="1"/>
          <w:numId w:val="180"/>
        </w:numPr>
        <w:rPr>
          <w:rFonts w:ascii="Arial" w:cs="Arial" w:eastAsia="Arial" w:hAnsi="Arial"/>
          <w:sz w:val="18"/>
          <w:szCs w:val="18"/>
          <w:color w:val="auto"/>
        </w:rPr>
      </w:pPr>
      <w:r>
        <w:rPr>
          <w:rFonts w:ascii="Arial" w:cs="Arial" w:eastAsia="Arial" w:hAnsi="Arial"/>
          <w:sz w:val="18"/>
          <w:szCs w:val="18"/>
          <w:color w:val="auto"/>
        </w:rPr>
        <w:t xml:space="preserve">if the reallocation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cannot, or can only partially, be effected, the Borrower shall, without prejudice to any other right or remedy available to it hereunder or under applicable Requirements of Law, within two Business Days following notice by the Administrative Agent, Cash collateralize 100% of such Defaulting Lender’s LC Exposure and any obligation of such Defaulting Lender to fund any participation in any Swingline Exposure (after giving effect to any partial reallocation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and any Cash collateral provided by such Defaulting Lender or pursuant to </w:t>
      </w:r>
      <w:r>
        <w:rPr>
          <w:rFonts w:ascii="Arial" w:cs="Arial" w:eastAsia="Arial" w:hAnsi="Arial"/>
          <w:sz w:val="18"/>
          <w:szCs w:val="18"/>
          <w:u w:val="single" w:color="auto"/>
          <w:color w:val="auto"/>
        </w:rPr>
        <w:t>Section 2.21(c)</w:t>
      </w:r>
      <w:r>
        <w:rPr>
          <w:rFonts w:ascii="Arial" w:cs="Arial" w:eastAsia="Arial" w:hAnsi="Arial"/>
          <w:sz w:val="18"/>
          <w:szCs w:val="18"/>
          <w:color w:val="auto"/>
        </w:rPr>
        <w:t xml:space="preserve"> above) or make other arrangements reasonably satisfactory to the Administrative Agent and to the applicable Issuing Bank and/or the Swingline Lender with respect to such LC Exposure and/or Swingline Exposure and any obligation to fund any participation therein. Cash collateral (or the appropriate portion thereof) provided to reduce LC Exposure or other obligations shall be released promptly following (A) the elimination of the applicable LC Exposure or other obligations giving rise thereto (including by the termination of the Defaulting Lender status of the applicable Lender (or, as appropriate, its assignee following compliance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or (B) the Administrative Agent's good faith determination that there exists excess Cash collateral (including as a result of any subsequent reallocation of Swingline Exposure and/or LC Exposure among the non-Defaulting Lenders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w:t>
      </w:r>
    </w:p>
    <w:p>
      <w:pPr>
        <w:spacing w:after="0" w:line="186" w:lineRule="exact"/>
        <w:rPr>
          <w:rFonts w:ascii="Arial" w:cs="Arial" w:eastAsia="Arial" w:hAnsi="Arial"/>
          <w:sz w:val="18"/>
          <w:szCs w:val="18"/>
          <w:color w:val="auto"/>
        </w:rPr>
      </w:pPr>
    </w:p>
    <w:p>
      <w:pPr>
        <w:jc w:val="both"/>
        <w:ind w:left="840" w:right="59" w:firstLine="751"/>
        <w:spacing w:after="0" w:line="249" w:lineRule="auto"/>
        <w:tabs>
          <w:tab w:leader="none" w:pos="2254" w:val="left"/>
        </w:tabs>
        <w:numPr>
          <w:ilvl w:val="1"/>
          <w:numId w:val="180"/>
        </w:numPr>
        <w:rPr>
          <w:rFonts w:ascii="Arial" w:cs="Arial" w:eastAsia="Arial" w:hAnsi="Arial"/>
          <w:sz w:val="19"/>
          <w:szCs w:val="19"/>
          <w:color w:val="auto"/>
        </w:rPr>
      </w:pPr>
      <w:r>
        <w:rPr>
          <w:rFonts w:ascii="Arial" w:cs="Arial" w:eastAsia="Arial" w:hAnsi="Arial"/>
          <w:sz w:val="19"/>
          <w:szCs w:val="19"/>
          <w:color w:val="auto"/>
        </w:rPr>
        <w:t xml:space="preserve">if the LC Exposure of the non-Defaulting Lenders is reallocated pursuant to this </w:t>
      </w:r>
      <w:r>
        <w:rPr>
          <w:rFonts w:ascii="Arial" w:cs="Arial" w:eastAsia="Arial" w:hAnsi="Arial"/>
          <w:sz w:val="19"/>
          <w:szCs w:val="19"/>
          <w:u w:val="single" w:color="auto"/>
          <w:color w:val="auto"/>
        </w:rPr>
        <w:t>Section 2.21(d)</w:t>
      </w:r>
      <w:r>
        <w:rPr>
          <w:rFonts w:ascii="Arial" w:cs="Arial" w:eastAsia="Arial" w:hAnsi="Arial"/>
          <w:sz w:val="19"/>
          <w:szCs w:val="19"/>
          <w:color w:val="auto"/>
        </w:rPr>
        <w:t xml:space="preserve">, then the fees payable to the applicable Lenders pursuant to </w:t>
      </w:r>
      <w:r>
        <w:rPr>
          <w:rFonts w:ascii="Arial" w:cs="Arial" w:eastAsia="Arial" w:hAnsi="Arial"/>
          <w:sz w:val="19"/>
          <w:szCs w:val="19"/>
          <w:u w:val="single" w:color="auto"/>
          <w:color w:val="auto"/>
        </w:rPr>
        <w:t>Sections 2.12(a)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as the case may be, shall be adjusted to give effect to such reallocation; and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107</w:t>
      </w:r>
      <w:r>
        <w:rPr>
          <w:rFonts w:ascii="Arial" w:cs="Arial" w:eastAsia="Arial" w:hAnsi="Arial"/>
          <w:sz w:val="18"/>
          <w:szCs w:val="18"/>
          <w:u w:val="single" w:color="auto"/>
          <w:color w:val="0000FF"/>
          <w:strike w:val="1"/>
        </w:rPr>
        <w:t>107</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75" w:name="page176"/>
    <w:bookmarkEnd w:id="175"/>
    <w:p>
      <w:pPr>
        <w:jc w:val="both"/>
        <w:ind w:left="840" w:right="59" w:firstLine="751"/>
        <w:spacing w:after="0" w:line="246" w:lineRule="auto"/>
        <w:tabs>
          <w:tab w:leader="none" w:pos="2254" w:val="left"/>
        </w:tabs>
        <w:numPr>
          <w:ilvl w:val="2"/>
          <w:numId w:val="181"/>
        </w:numPr>
        <w:rPr>
          <w:rFonts w:ascii="Arial" w:cs="Arial" w:eastAsia="Arial" w:hAnsi="Arial"/>
          <w:sz w:val="19"/>
          <w:szCs w:val="19"/>
          <w:color w:val="auto"/>
        </w:rPr>
      </w:pPr>
      <w:r>
        <w:rPr>
          <w:rFonts w:ascii="Arial" w:cs="Arial" w:eastAsia="Arial" w:hAnsi="Arial"/>
          <w:sz w:val="19"/>
          <w:szCs w:val="19"/>
          <w:color w:val="auto"/>
        </w:rPr>
        <w:t xml:space="preserve">if any Defaulting Lender’s LC Exposure is not Cash collateralized, prepaid or reallocated pursuant to this </w:t>
      </w:r>
      <w:r>
        <w:rPr>
          <w:rFonts w:ascii="Arial" w:cs="Arial" w:eastAsia="Arial" w:hAnsi="Arial"/>
          <w:sz w:val="19"/>
          <w:szCs w:val="19"/>
          <w:u w:val="single" w:color="auto"/>
          <w:color w:val="auto"/>
        </w:rPr>
        <w:t>Section 2.21(d)</w:t>
      </w:r>
      <w:r>
        <w:rPr>
          <w:rFonts w:ascii="Arial" w:cs="Arial" w:eastAsia="Arial" w:hAnsi="Arial"/>
          <w:sz w:val="19"/>
          <w:szCs w:val="19"/>
          <w:color w:val="auto"/>
        </w:rPr>
        <w:t xml:space="preserve">, then, without prejudice to any rights or remedies of the applicable Issuing Bank or any Revolving Lender hereunder, all letter of credit fees payable under </w:t>
      </w:r>
      <w:r>
        <w:rPr>
          <w:rFonts w:ascii="Arial" w:cs="Arial" w:eastAsia="Arial" w:hAnsi="Arial"/>
          <w:sz w:val="19"/>
          <w:szCs w:val="19"/>
          <w:u w:val="single" w:color="auto"/>
          <w:color w:val="auto"/>
        </w:rPr>
        <w:t>Section 2.12(b)</w:t>
      </w:r>
      <w:r>
        <w:rPr>
          <w:rFonts w:ascii="Arial" w:cs="Arial" w:eastAsia="Arial" w:hAnsi="Arial"/>
          <w:sz w:val="19"/>
          <w:szCs w:val="19"/>
          <w:color w:val="auto"/>
        </w:rPr>
        <w:t xml:space="preserve"> with respect to such Defaulting Lender’s LC Exposure shall be payable to the applicable Issuing Bank until such Defaulting Lender’s LC Exposure is Cash collateralized or reallocated.</w:t>
      </w:r>
    </w:p>
    <w:p>
      <w:pPr>
        <w:spacing w:after="0" w:line="189" w:lineRule="exact"/>
        <w:rPr>
          <w:rFonts w:ascii="Arial" w:cs="Arial" w:eastAsia="Arial" w:hAnsi="Arial"/>
          <w:sz w:val="19"/>
          <w:szCs w:val="19"/>
          <w:color w:val="auto"/>
        </w:rPr>
      </w:pPr>
    </w:p>
    <w:p>
      <w:pPr>
        <w:jc w:val="both"/>
        <w:ind w:left="100" w:right="59" w:firstLine="741"/>
        <w:spacing w:after="0" w:line="274" w:lineRule="auto"/>
        <w:tabs>
          <w:tab w:leader="none" w:pos="152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 xml:space="preserve">So long as any Revolving Lender is a Defaulting Lender, the Swingline Lender shall not be required to fund any Swingline Loan, and no Issuing Bank shall be required to issue, extend, create, incur, amend or increase any Letter of Credit unless the relevant Issuing Banks, as applicable, are reasonably satisfied that the related exposure will be 100% covered by the Revolving Credit Commitments of the non-Defaulting Revolving Lenders, Cash collateral provided pursuant to </w:t>
      </w:r>
      <w:r>
        <w:rPr>
          <w:rFonts w:ascii="Arial" w:cs="Arial" w:eastAsia="Arial" w:hAnsi="Arial"/>
          <w:sz w:val="17"/>
          <w:szCs w:val="17"/>
          <w:u w:val="single" w:color="auto"/>
          <w:color w:val="auto"/>
        </w:rPr>
        <w:t>Section 2.21(c)</w:t>
      </w:r>
      <w:r>
        <w:rPr>
          <w:rFonts w:ascii="Arial" w:cs="Arial" w:eastAsia="Arial" w:hAnsi="Arial"/>
          <w:sz w:val="17"/>
          <w:szCs w:val="17"/>
          <w:color w:val="auto"/>
        </w:rPr>
        <w:t xml:space="preserve"> and/or Cash collateral provided in accordance with </w:t>
      </w:r>
      <w:r>
        <w:rPr>
          <w:rFonts w:ascii="Arial" w:cs="Arial" w:eastAsia="Arial" w:hAnsi="Arial"/>
          <w:sz w:val="17"/>
          <w:szCs w:val="17"/>
          <w:u w:val="single" w:color="auto"/>
          <w:color w:val="auto"/>
        </w:rPr>
        <w:t>Section 2.21(d)</w:t>
      </w:r>
      <w:r>
        <w:rPr>
          <w:rFonts w:ascii="Arial" w:cs="Arial" w:eastAsia="Arial" w:hAnsi="Arial"/>
          <w:sz w:val="17"/>
          <w:szCs w:val="17"/>
          <w:color w:val="auto"/>
        </w:rPr>
        <w:t xml:space="preserve">, and participating interest in any such newly issued, extended or created Letter of Credit or newly made Swingline Loan shall be allocated among Non-Defaulting Revolving Lenders in a manner consistent with </w:t>
      </w:r>
      <w:r>
        <w:rPr>
          <w:rFonts w:ascii="Arial" w:cs="Arial" w:eastAsia="Arial" w:hAnsi="Arial"/>
          <w:sz w:val="17"/>
          <w:szCs w:val="17"/>
          <w:u w:val="single" w:color="auto"/>
          <w:color w:val="auto"/>
        </w:rPr>
        <w:t>Section 2.21(d)(i)</w:t>
      </w:r>
      <w:r>
        <w:rPr>
          <w:rFonts w:ascii="Arial" w:cs="Arial" w:eastAsia="Arial" w:hAnsi="Arial"/>
          <w:sz w:val="17"/>
          <w:szCs w:val="17"/>
          <w:color w:val="auto"/>
        </w:rPr>
        <w:t xml:space="preserve"> (it being understood that Defaulting Lenders shall not participate therein).</w:t>
      </w:r>
    </w:p>
    <w:p>
      <w:pPr>
        <w:spacing w:after="0" w:line="165" w:lineRule="exact"/>
        <w:rPr>
          <w:rFonts w:ascii="Arial" w:cs="Arial" w:eastAsia="Arial" w:hAnsi="Arial"/>
          <w:sz w:val="17"/>
          <w:szCs w:val="17"/>
          <w:color w:val="auto"/>
        </w:rPr>
      </w:pPr>
    </w:p>
    <w:p>
      <w:pPr>
        <w:jc w:val="both"/>
        <w:ind w:left="100" w:right="59" w:firstLine="742"/>
        <w:spacing w:after="0" w:line="254" w:lineRule="auto"/>
        <w:tabs>
          <w:tab w:leader="none" w:pos="15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In the event that the Administrative Agent and the Borrower agree that any Defaulting Lender has adequately remedied all matters that caused such Person to be a Defaulting Lender, then the Applicable Revolving Credit Percentage of LC Exposure and the Swingline Exposure of the Revolving Lenders shall be readjusted to reflect the inclusion of such Person’s Revolving Credit Commitment, and on such date such Revolving Lender shall purchase at par such of the Revolving Loans of the applicable Class of the other Revolving Lenders (other than any Swingline Loan) or participations in Revolving Loans of the applicable Class as the Administrative Agent determine as necessary in order for such Revolving Lender to hold such Revolving Loans or participations in accordance with its Applicable Percentage of the applicable Class or its Applicable Revolving Credit Percentage, as applicable. Notwithstanding the fact that any Defaulting Lender has adequately remedied all matters that caused such Person to be a Defaulting Lender,</w:t>
      </w:r>
    </w:p>
    <w:p>
      <w:pPr>
        <w:spacing w:after="0" w:line="1" w:lineRule="exact"/>
        <w:rPr>
          <w:rFonts w:ascii="Arial" w:cs="Arial" w:eastAsia="Arial" w:hAnsi="Arial"/>
          <w:sz w:val="18"/>
          <w:szCs w:val="18"/>
          <w:color w:val="auto"/>
        </w:rPr>
      </w:pPr>
    </w:p>
    <w:p>
      <w:pPr>
        <w:jc w:val="both"/>
        <w:ind w:left="100" w:right="39" w:hanging="7"/>
        <w:spacing w:after="0" w:line="244" w:lineRule="auto"/>
        <w:tabs>
          <w:tab w:leader="none" w:pos="382" w:val="left"/>
        </w:tabs>
        <w:numPr>
          <w:ilvl w:val="0"/>
          <w:numId w:val="183"/>
        </w:numPr>
        <w:rPr>
          <w:rFonts w:ascii="Arial" w:cs="Arial" w:eastAsia="Arial" w:hAnsi="Arial"/>
          <w:sz w:val="19"/>
          <w:szCs w:val="19"/>
          <w:color w:val="auto"/>
        </w:rPr>
      </w:pPr>
      <w:r>
        <w:rPr>
          <w:rFonts w:ascii="Arial" w:cs="Arial" w:eastAsia="Arial" w:hAnsi="Arial"/>
          <w:sz w:val="19"/>
          <w:szCs w:val="19"/>
          <w:color w:val="auto"/>
        </w:rPr>
        <w:t>no adjustment will be made retroactively with respect to fees accrued or payments made by or on behalf of the Borrower while such Lender was a Defaulting Lender and (y) except to the extent otherwise expressly agreed by the affected parties, no change hereunder from Defaulting Lender to Lender will constitute a waiver or release of any claim of any party hereunder arising from such Person’s having been a Defaulting Lender.</w:t>
      </w:r>
    </w:p>
    <w:p>
      <w:pPr>
        <w:spacing w:after="0" w:line="189"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2.22.  </w:t>
      </w:r>
      <w:r>
        <w:rPr>
          <w:rFonts w:ascii="Arial" w:cs="Arial" w:eastAsia="Arial" w:hAnsi="Arial"/>
          <w:sz w:val="19"/>
          <w:szCs w:val="19"/>
          <w:u w:val="single" w:color="auto"/>
          <w:color w:val="auto"/>
        </w:rPr>
        <w:t>Incremental Credit Extensions</w:t>
      </w:r>
      <w:r>
        <w:rPr>
          <w:rFonts w:ascii="Arial" w:cs="Arial" w:eastAsia="Arial" w:hAnsi="Arial"/>
          <w:sz w:val="19"/>
          <w:szCs w:val="19"/>
          <w:color w:val="auto"/>
        </w:rPr>
        <w:t>.</w:t>
      </w:r>
    </w:p>
    <w:p>
      <w:pPr>
        <w:spacing w:after="0" w:line="200" w:lineRule="exact"/>
        <w:rPr>
          <w:sz w:val="20"/>
          <w:szCs w:val="20"/>
          <w:color w:val="auto"/>
        </w:rPr>
      </w:pPr>
    </w:p>
    <w:p>
      <w:pPr>
        <w:jc w:val="both"/>
        <w:ind w:left="100" w:right="59" w:firstLine="742"/>
        <w:spacing w:after="0" w:line="255" w:lineRule="auto"/>
        <w:tabs>
          <w:tab w:leader="none" w:pos="15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Borrower may, at any time, on one or more occasions pursuant to an Incremental Facility Amendment (x) add one or more new Classes of term facilities and/or increase the principal amount of the Term Loans of any existing Class by requesting new commitments to provide such Term Loans (any such new Class or increase, an “</w:t>
      </w:r>
      <w:r>
        <w:rPr>
          <w:rFonts w:ascii="Arial" w:cs="Arial" w:eastAsia="Arial" w:hAnsi="Arial"/>
          <w:sz w:val="18"/>
          <w:szCs w:val="18"/>
          <w:u w:val="single" w:color="auto"/>
          <w:color w:val="auto"/>
        </w:rPr>
        <w:t>Incremental Term Facility</w:t>
      </w:r>
      <w:r>
        <w:rPr>
          <w:rFonts w:ascii="Arial" w:cs="Arial" w:eastAsia="Arial" w:hAnsi="Arial"/>
          <w:sz w:val="18"/>
          <w:szCs w:val="18"/>
          <w:color w:val="auto"/>
        </w:rPr>
        <w:t>” and any loan made pursuant to an Incremental Term Facility, an “</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and/or (y) increase the aggregate amount of the Revolving Credit Commitments of any existing Class (any such increase, an “</w:t>
      </w:r>
      <w:r>
        <w:rPr>
          <w:rFonts w:ascii="Arial" w:cs="Arial" w:eastAsia="Arial" w:hAnsi="Arial"/>
          <w:sz w:val="18"/>
          <w:szCs w:val="18"/>
          <w:u w:val="single" w:color="auto"/>
          <w:color w:val="auto"/>
        </w:rPr>
        <w:t>Incremental Revolving Facility</w:t>
      </w:r>
      <w:r>
        <w:rPr>
          <w:rFonts w:ascii="Arial" w:cs="Arial" w:eastAsia="Arial" w:hAnsi="Arial"/>
          <w:sz w:val="18"/>
          <w:szCs w:val="18"/>
          <w:color w:val="auto"/>
        </w:rPr>
        <w:t>” and, together with any Incremental Term Facility, “</w:t>
      </w:r>
      <w:r>
        <w:rPr>
          <w:rFonts w:ascii="Arial" w:cs="Arial" w:eastAsia="Arial" w:hAnsi="Arial"/>
          <w:sz w:val="18"/>
          <w:szCs w:val="18"/>
          <w:u w:val="single" w:color="auto"/>
          <w:color w:val="auto"/>
        </w:rPr>
        <w:t>Incremental Facilities</w:t>
      </w:r>
      <w:r>
        <w:rPr>
          <w:rFonts w:ascii="Arial" w:cs="Arial" w:eastAsia="Arial" w:hAnsi="Arial"/>
          <w:sz w:val="18"/>
          <w:szCs w:val="18"/>
          <w:color w:val="auto"/>
        </w:rPr>
        <w:t>”; and the loans thereunder, “</w:t>
      </w:r>
      <w:r>
        <w:rPr>
          <w:rFonts w:ascii="Arial" w:cs="Arial" w:eastAsia="Arial" w:hAnsi="Arial"/>
          <w:sz w:val="18"/>
          <w:szCs w:val="18"/>
          <w:u w:val="single" w:color="auto"/>
          <w:color w:val="auto"/>
        </w:rPr>
        <w:t>Incremental Revolving Loans</w:t>
      </w:r>
      <w:r>
        <w:rPr>
          <w:rFonts w:ascii="Arial" w:cs="Arial" w:eastAsia="Arial" w:hAnsi="Arial"/>
          <w:sz w:val="18"/>
          <w:szCs w:val="18"/>
          <w:color w:val="auto"/>
        </w:rPr>
        <w:t>” and any Incremental Revolving Loans, together with any Incremental Term Loans, the “</w:t>
      </w:r>
      <w:r>
        <w:rPr>
          <w:rFonts w:ascii="Arial" w:cs="Arial" w:eastAsia="Arial" w:hAnsi="Arial"/>
          <w:sz w:val="18"/>
          <w:szCs w:val="18"/>
          <w:u w:val="single" w:color="auto"/>
          <w:color w:val="auto"/>
        </w:rPr>
        <w:t>Incremental Loans</w:t>
      </w:r>
      <w:r>
        <w:rPr>
          <w:rFonts w:ascii="Arial" w:cs="Arial" w:eastAsia="Arial" w:hAnsi="Arial"/>
          <w:sz w:val="18"/>
          <w:szCs w:val="18"/>
          <w:color w:val="auto"/>
        </w:rPr>
        <w:t xml:space="preserve">”) in an aggregate outstanding principal amount not to exceed the Incremental Cap; </w:t>
      </w:r>
      <w:r>
        <w:rPr>
          <w:rFonts w:ascii="Arial" w:cs="Arial" w:eastAsia="Arial" w:hAnsi="Arial"/>
          <w:sz w:val="18"/>
          <w:szCs w:val="18"/>
          <w:u w:val="single" w:color="auto"/>
          <w:color w:val="auto"/>
        </w:rPr>
        <w:t>provided</w:t>
      </w:r>
      <w:r>
        <w:rPr>
          <w:rFonts w:ascii="Arial" w:cs="Arial" w:eastAsia="Arial" w:hAnsi="Arial"/>
          <w:sz w:val="18"/>
          <w:szCs w:val="18"/>
          <w:color w:val="auto"/>
        </w:rPr>
        <w:t>, that:</w:t>
      </w:r>
    </w:p>
    <w:p>
      <w:pPr>
        <w:spacing w:after="0" w:line="184" w:lineRule="exact"/>
        <w:rPr>
          <w:rFonts w:ascii="Arial" w:cs="Arial" w:eastAsia="Arial" w:hAnsi="Arial"/>
          <w:sz w:val="18"/>
          <w:szCs w:val="18"/>
          <w:color w:val="auto"/>
        </w:rPr>
      </w:pPr>
    </w:p>
    <w:p>
      <w:pPr>
        <w:ind w:left="840" w:right="39" w:firstLine="751"/>
        <w:spacing w:after="0" w:line="304" w:lineRule="auto"/>
        <w:tabs>
          <w:tab w:leader="none" w:pos="2255" w:val="left"/>
        </w:tabs>
        <w:numPr>
          <w:ilvl w:val="1"/>
          <w:numId w:val="184"/>
        </w:numPr>
        <w:rPr>
          <w:rFonts w:ascii="Arial" w:cs="Arial" w:eastAsia="Arial" w:hAnsi="Arial"/>
          <w:sz w:val="18"/>
          <w:szCs w:val="18"/>
          <w:color w:val="auto"/>
        </w:rPr>
      </w:pPr>
      <w:r>
        <w:rPr>
          <w:rFonts w:ascii="Arial" w:cs="Arial" w:eastAsia="Arial" w:hAnsi="Arial"/>
          <w:sz w:val="18"/>
          <w:szCs w:val="18"/>
          <w:color w:val="auto"/>
        </w:rPr>
        <w:t>no Incremental Commitment in respect of any Incremental Term Facility may be in an amount that is less than $5,000,000 (or such lesser amount to which the Administrative Agent may reasonably agree);</w:t>
      </w:r>
    </w:p>
    <w:p>
      <w:pPr>
        <w:spacing w:after="0" w:line="137" w:lineRule="exact"/>
        <w:rPr>
          <w:rFonts w:ascii="Arial" w:cs="Arial" w:eastAsia="Arial" w:hAnsi="Arial"/>
          <w:sz w:val="18"/>
          <w:szCs w:val="18"/>
          <w:color w:val="auto"/>
        </w:rPr>
      </w:pPr>
    </w:p>
    <w:p>
      <w:pPr>
        <w:jc w:val="both"/>
        <w:ind w:left="840" w:right="59" w:firstLine="751"/>
        <w:spacing w:after="0" w:line="249" w:lineRule="auto"/>
        <w:tabs>
          <w:tab w:leader="none" w:pos="2254" w:val="left"/>
        </w:tabs>
        <w:numPr>
          <w:ilvl w:val="1"/>
          <w:numId w:val="184"/>
        </w:numPr>
        <w:rPr>
          <w:rFonts w:ascii="Arial" w:cs="Arial" w:eastAsia="Arial" w:hAnsi="Arial"/>
          <w:sz w:val="19"/>
          <w:szCs w:val="19"/>
          <w:color w:val="auto"/>
        </w:rPr>
      </w:pPr>
      <w:r>
        <w:rPr>
          <w:rFonts w:ascii="Arial" w:cs="Arial" w:eastAsia="Arial" w:hAnsi="Arial"/>
          <w:sz w:val="19"/>
          <w:szCs w:val="19"/>
          <w:color w:val="auto"/>
        </w:rPr>
        <w:t>except as the Borrower and any Lender may separately agree, no Lender shall be obligated to provide any Incremental Commitment, and the determination to provide any Incremental Commitment shall be within the sole and absolute discretion of such Lender (it being agreed that the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108</w:t>
      </w:r>
      <w:r>
        <w:rPr>
          <w:rFonts w:ascii="Arial" w:cs="Arial" w:eastAsia="Arial" w:hAnsi="Arial"/>
          <w:sz w:val="18"/>
          <w:szCs w:val="18"/>
          <w:u w:val="single" w:color="auto"/>
          <w:color w:val="0000FF"/>
          <w:strike w:val="1"/>
        </w:rPr>
        <w:t>108</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76" w:name="page177"/>
    <w:bookmarkEnd w:id="176"/>
    <w:p>
      <w:pPr>
        <w:ind w:left="840"/>
        <w:spacing w:after="0"/>
        <w:rPr>
          <w:sz w:val="20"/>
          <w:szCs w:val="20"/>
          <w:color w:val="auto"/>
        </w:rPr>
      </w:pPr>
      <w:r>
        <w:rPr>
          <w:rFonts w:ascii="Arial" w:cs="Arial" w:eastAsia="Arial" w:hAnsi="Arial"/>
          <w:sz w:val="18"/>
          <w:szCs w:val="18"/>
          <w:color w:val="auto"/>
        </w:rPr>
        <w:t>Borrower shall not be obligated to offer the opportunity to any Lender to participate in any Incremental Facility);</w:t>
      </w:r>
    </w:p>
    <w:p>
      <w:pPr>
        <w:spacing w:after="0" w:line="225" w:lineRule="exact"/>
        <w:rPr>
          <w:sz w:val="20"/>
          <w:szCs w:val="20"/>
          <w:color w:val="auto"/>
        </w:rPr>
      </w:pPr>
    </w:p>
    <w:p>
      <w:pPr>
        <w:jc w:val="both"/>
        <w:ind w:left="840" w:right="60" w:firstLine="751"/>
        <w:spacing w:after="0" w:line="249" w:lineRule="auto"/>
        <w:tabs>
          <w:tab w:leader="none" w:pos="2254" w:val="left"/>
        </w:tabs>
        <w:numPr>
          <w:ilvl w:val="0"/>
          <w:numId w:val="185"/>
        </w:numPr>
        <w:rPr>
          <w:rFonts w:ascii="Arial" w:cs="Arial" w:eastAsia="Arial" w:hAnsi="Arial"/>
          <w:sz w:val="19"/>
          <w:szCs w:val="19"/>
          <w:color w:val="auto"/>
        </w:rPr>
      </w:pPr>
      <w:r>
        <w:rPr>
          <w:rFonts w:ascii="Arial" w:cs="Arial" w:eastAsia="Arial" w:hAnsi="Arial"/>
          <w:sz w:val="19"/>
          <w:szCs w:val="19"/>
          <w:color w:val="auto"/>
        </w:rPr>
        <w:t>no Incremental Facility or Incremental Loan (nor the creation, provision or implementation thereof) shall require the approval of any existing Lender other than in its capacity, if any, as a lender providing all or part of any Incremental Commitment or Incremental Loan;</w:t>
      </w:r>
    </w:p>
    <w:p>
      <w:pPr>
        <w:spacing w:after="0" w:line="183" w:lineRule="exact"/>
        <w:rPr>
          <w:rFonts w:ascii="Arial" w:cs="Arial" w:eastAsia="Arial" w:hAnsi="Arial"/>
          <w:sz w:val="19"/>
          <w:szCs w:val="19"/>
          <w:color w:val="auto"/>
        </w:rPr>
      </w:pPr>
    </w:p>
    <w:p>
      <w:pPr>
        <w:jc w:val="both"/>
        <w:ind w:left="840" w:right="60" w:firstLine="751"/>
        <w:spacing w:after="0" w:line="249" w:lineRule="auto"/>
        <w:tabs>
          <w:tab w:leader="none" w:pos="2254" w:val="left"/>
        </w:tabs>
        <w:numPr>
          <w:ilvl w:val="0"/>
          <w:numId w:val="185"/>
        </w:numPr>
        <w:rPr>
          <w:rFonts w:ascii="Arial" w:cs="Arial" w:eastAsia="Arial" w:hAnsi="Arial"/>
          <w:sz w:val="19"/>
          <w:szCs w:val="19"/>
          <w:color w:val="auto"/>
        </w:rPr>
      </w:pPr>
      <w:r>
        <w:rPr>
          <w:rFonts w:ascii="Arial" w:cs="Arial" w:eastAsia="Arial" w:hAnsi="Arial"/>
          <w:sz w:val="19"/>
          <w:szCs w:val="19"/>
          <w:color w:val="auto"/>
        </w:rPr>
        <w:t>except as otherwise permitted herein (including with respect to currency, pricing (including any “MFN” or other pricing term), interest rate margins, rate floors, fees, premiums (including prepayment premiums), funding discounts, maturity and amortization):</w:t>
      </w:r>
    </w:p>
    <w:p>
      <w:pPr>
        <w:spacing w:after="0" w:line="183" w:lineRule="exact"/>
        <w:rPr>
          <w:rFonts w:ascii="Arial" w:cs="Arial" w:eastAsia="Arial" w:hAnsi="Arial"/>
          <w:sz w:val="19"/>
          <w:szCs w:val="19"/>
          <w:color w:val="auto"/>
        </w:rPr>
      </w:pPr>
    </w:p>
    <w:p>
      <w:pPr>
        <w:jc w:val="both"/>
        <w:ind w:left="1600" w:right="40" w:firstLine="741"/>
        <w:spacing w:after="0" w:line="270" w:lineRule="auto"/>
        <w:tabs>
          <w:tab w:leader="none" w:pos="3009" w:val="left"/>
        </w:tabs>
        <w:numPr>
          <w:ilvl w:val="1"/>
          <w:numId w:val="185"/>
        </w:numPr>
        <w:rPr>
          <w:rFonts w:ascii="Arial" w:cs="Arial" w:eastAsia="Arial" w:hAnsi="Arial"/>
          <w:sz w:val="17"/>
          <w:szCs w:val="17"/>
          <w:color w:val="auto"/>
        </w:rPr>
      </w:pPr>
      <w:r>
        <w:rPr>
          <w:rFonts w:ascii="Arial" w:cs="Arial" w:eastAsia="Arial" w:hAnsi="Arial"/>
          <w:sz w:val="17"/>
          <w:szCs w:val="17"/>
          <w:color w:val="auto"/>
        </w:rPr>
        <w:t>the terms of any Incremental Term Facility, if not substantially consistent with those applicable to any then-existing Class of Term Loans, must be reasonably acceptable to the Administrative Agent; it being agreed that any terms applicable to such Incremental Term Facility that (1) are applicable only after the then-existing Latest Term Loan Maturity Date, (2) are, taken as a whole, in the good faith determination of the Borrower, not more favorable to the lenders or the agent of such Incremental Term Facility than those contained in the Loan Documents, (3) are more favorable to the lenders or the agent of such Incremental Term Facility than those contained in the Loan Documents and are then conformed (or added) to the Loan Documents for the benefit of the Term Lenders or, as applicable, the Administrative Agent (</w:t>
      </w:r>
      <w:r>
        <w:rPr>
          <w:rFonts w:ascii="Arial" w:cs="Arial" w:eastAsia="Arial" w:hAnsi="Arial"/>
          <w:sz w:val="17"/>
          <w:szCs w:val="17"/>
          <w:i w:val="1"/>
          <w:iCs w:val="1"/>
          <w:color w:val="auto"/>
        </w:rPr>
        <w:t>i.e.</w:t>
      </w:r>
      <w:r>
        <w:rPr>
          <w:rFonts w:ascii="Arial" w:cs="Arial" w:eastAsia="Arial" w:hAnsi="Arial"/>
          <w:sz w:val="17"/>
          <w:szCs w:val="17"/>
          <w:color w:val="auto"/>
        </w:rPr>
        <w:t xml:space="preserve">, by conforming or adding a term to the then-outstanding Term Loans pursuant to the applicable Incremental Facility Amendment) and/or (4) taken as a whole, reflect then current market terms and conditions at the time of the incurrence or issuance of such Incremental Term Facility (as determined by the Borrower in good faith), shall, in each case, be deemed to be satisfactory to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that notwithstanding the foregoing, any Incremental Term Facility may be structured as a “delayed draw” facility with such conditions to borrowing thereunder as the Borrower and the relevant Incremental Lenders may agree; and</w:t>
      </w:r>
    </w:p>
    <w:p>
      <w:pPr>
        <w:spacing w:after="0" w:line="174" w:lineRule="exact"/>
        <w:rPr>
          <w:rFonts w:ascii="Arial" w:cs="Arial" w:eastAsia="Arial" w:hAnsi="Arial"/>
          <w:sz w:val="17"/>
          <w:szCs w:val="17"/>
          <w:color w:val="auto"/>
        </w:rPr>
      </w:pPr>
    </w:p>
    <w:p>
      <w:pPr>
        <w:jc w:val="both"/>
        <w:ind w:left="1600" w:firstLine="741"/>
        <w:spacing w:after="0" w:line="250" w:lineRule="auto"/>
        <w:tabs>
          <w:tab w:leader="none" w:pos="3012" w:val="left"/>
        </w:tabs>
        <w:numPr>
          <w:ilvl w:val="1"/>
          <w:numId w:val="185"/>
        </w:numPr>
        <w:rPr>
          <w:rFonts w:ascii="Arial" w:cs="Arial" w:eastAsia="Arial" w:hAnsi="Arial"/>
          <w:sz w:val="19"/>
          <w:szCs w:val="19"/>
          <w:color w:val="auto"/>
        </w:rPr>
      </w:pPr>
      <w:r>
        <w:rPr>
          <w:rFonts w:ascii="Arial" w:cs="Arial" w:eastAsia="Arial" w:hAnsi="Arial"/>
          <w:sz w:val="19"/>
          <w:szCs w:val="19"/>
          <w:color w:val="auto"/>
        </w:rPr>
        <w:t>the terms of any Incremental Revolving Facility (for the avoidance of doubt, other than any arrangement, commitment, structuring, underwriting, ticking and/or amendment fee paid or to be paid in connection with the implementation of such Incremental Revolving Facility) shall be consistent with the terms of a then-existing Revolving Facility (if any);</w:t>
      </w:r>
    </w:p>
    <w:p>
      <w:pPr>
        <w:spacing w:after="0" w:line="183" w:lineRule="exact"/>
        <w:rPr>
          <w:rFonts w:ascii="Arial" w:cs="Arial" w:eastAsia="Arial" w:hAnsi="Arial"/>
          <w:sz w:val="19"/>
          <w:szCs w:val="19"/>
          <w:color w:val="auto"/>
        </w:rPr>
      </w:pPr>
    </w:p>
    <w:p>
      <w:pPr>
        <w:jc w:val="both"/>
        <w:ind w:left="840" w:right="20" w:firstLine="752"/>
        <w:spacing w:after="0" w:line="245" w:lineRule="auto"/>
        <w:tabs>
          <w:tab w:leader="none" w:pos="2256"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the currency, pricing (including any “MFN” or other pricing term), interest rate margins, rate floors, fees, premiums (including any prepayment premium), funding discounts and, subject to </w:t>
      </w:r>
      <w:r>
        <w:rPr>
          <w:rFonts w:ascii="Arial" w:cs="Arial" w:eastAsia="Arial" w:hAnsi="Arial"/>
          <w:sz w:val="19"/>
          <w:szCs w:val="19"/>
          <w:u w:val="single" w:color="auto"/>
          <w:color w:val="auto"/>
        </w:rPr>
        <w:t>clauses (vi)</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(viii)</w:t>
      </w:r>
      <w:r>
        <w:rPr>
          <w:rFonts w:ascii="Arial" w:cs="Arial" w:eastAsia="Arial" w:hAnsi="Arial"/>
          <w:sz w:val="19"/>
          <w:szCs w:val="19"/>
          <w:color w:val="auto"/>
        </w:rPr>
        <w:t xml:space="preserve"> below, the maturity and amortization schedule applicable to any Incremental Facility shall be determined by the Borrower and the lender or lenders providing such Incremental Facility;</w:t>
      </w:r>
    </w:p>
    <w:p>
      <w:pPr>
        <w:spacing w:after="0" w:line="187" w:lineRule="exact"/>
        <w:rPr>
          <w:rFonts w:ascii="Arial" w:cs="Arial" w:eastAsia="Arial" w:hAnsi="Arial"/>
          <w:sz w:val="19"/>
          <w:szCs w:val="19"/>
          <w:color w:val="auto"/>
        </w:rPr>
      </w:pPr>
    </w:p>
    <w:p>
      <w:pPr>
        <w:jc w:val="both"/>
        <w:ind w:left="840" w:right="60" w:firstLine="751"/>
        <w:spacing w:after="0" w:line="260" w:lineRule="auto"/>
        <w:tabs>
          <w:tab w:leader="none" w:pos="225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other than with respect to any Incremental Term Facility consisting of Indebtedness in the form of Customary Bridge Loans, the final maturity date with respect to any Class of Incremental Term Loan shall be no earlier than the then-existing Latest Term Loan Maturity Date, it being understood and agreed for the avoidance of doubt that any undrawn commitment in respect of any Incremental Term Facility may terminate at such time as the Borrower and the lenders providing the relevant Incremental Term Facility may agree;</w:t>
      </w:r>
    </w:p>
    <w:p>
      <w:pPr>
        <w:spacing w:after="0" w:line="174" w:lineRule="exact"/>
        <w:rPr>
          <w:rFonts w:ascii="Arial" w:cs="Arial" w:eastAsia="Arial" w:hAnsi="Arial"/>
          <w:sz w:val="18"/>
          <w:szCs w:val="18"/>
          <w:color w:val="auto"/>
        </w:rPr>
      </w:pPr>
    </w:p>
    <w:p>
      <w:pPr>
        <w:jc w:val="both"/>
        <w:ind w:left="840" w:right="60" w:firstLine="751"/>
        <w:spacing w:after="0" w:line="256" w:lineRule="auto"/>
        <w:tabs>
          <w:tab w:leader="none" w:pos="2254" w:val="left"/>
        </w:tabs>
        <w:numPr>
          <w:ilvl w:val="0"/>
          <w:numId w:val="185"/>
        </w:numPr>
        <w:rPr>
          <w:rFonts w:ascii="Arial" w:cs="Arial" w:eastAsia="Arial" w:hAnsi="Arial"/>
          <w:sz w:val="19"/>
          <w:szCs w:val="19"/>
          <w:color w:val="auto"/>
        </w:rPr>
      </w:pPr>
      <w:r>
        <w:rPr>
          <w:rFonts w:ascii="Arial" w:cs="Arial" w:eastAsia="Arial" w:hAnsi="Arial"/>
          <w:sz w:val="19"/>
          <w:szCs w:val="19"/>
          <w:color w:val="auto"/>
        </w:rPr>
        <w:t>other than with respect to any Incremental Term Facility consisting of Indebtedness in the form of Customary Bridge Loans, the Weighted Average Life to Maturity of any Incremental Term Facility shall be no shorter than the remaining Weighted Average Life to Maturity of any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109</w:t>
      </w:r>
      <w:r>
        <w:rPr>
          <w:rFonts w:ascii="Arial" w:cs="Arial" w:eastAsia="Arial" w:hAnsi="Arial"/>
          <w:sz w:val="18"/>
          <w:szCs w:val="18"/>
          <w:u w:val="single" w:color="auto"/>
          <w:color w:val="0000FF"/>
          <w:strike w:val="1"/>
        </w:rPr>
        <w:t>109</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85" w:right="1439" w:bottom="1440" w:gutter="0" w:footer="0" w:header="0"/>
        </w:sectPr>
      </w:pPr>
    </w:p>
    <w:bookmarkStart w:id="177" w:name="page178"/>
    <w:bookmarkEnd w:id="177"/>
    <w:p>
      <w:pPr>
        <w:ind w:left="840" w:right="300"/>
        <w:spacing w:after="0" w:line="261" w:lineRule="auto"/>
        <w:rPr>
          <w:sz w:val="20"/>
          <w:szCs w:val="20"/>
          <w:color w:val="auto"/>
        </w:rPr>
      </w:pPr>
      <w:r>
        <w:rPr>
          <w:rFonts w:ascii="Arial" w:cs="Arial" w:eastAsia="Arial" w:hAnsi="Arial"/>
          <w:sz w:val="19"/>
          <w:szCs w:val="19"/>
          <w:color w:val="auto"/>
        </w:rPr>
        <w:t>then-existing tranche of Term Loans (without giving effect to any prepayment thereof that would otherwise modify the Weighted Average Life to Maturity thereof);</w:t>
      </w:r>
    </w:p>
    <w:p>
      <w:pPr>
        <w:spacing w:after="0" w:line="159" w:lineRule="exact"/>
        <w:rPr>
          <w:sz w:val="20"/>
          <w:szCs w:val="20"/>
          <w:color w:val="auto"/>
        </w:rPr>
      </w:pPr>
    </w:p>
    <w:p>
      <w:pPr>
        <w:ind w:left="840" w:right="60" w:firstLine="751"/>
        <w:spacing w:after="0" w:line="289" w:lineRule="auto"/>
        <w:tabs>
          <w:tab w:leader="none" w:pos="2254" w:val="left"/>
        </w:tabs>
        <w:numPr>
          <w:ilvl w:val="1"/>
          <w:numId w:val="186"/>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clauses (vi)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above, any Incremental Term Facility may otherwise have an amortization schedule as determined by the Borrower and the lenders providing such Incremental Term Facility;</w:t>
      </w:r>
    </w:p>
    <w:p>
      <w:pPr>
        <w:spacing w:after="0" w:line="149" w:lineRule="exact"/>
        <w:rPr>
          <w:rFonts w:ascii="Arial" w:cs="Arial" w:eastAsia="Arial" w:hAnsi="Arial"/>
          <w:sz w:val="18"/>
          <w:szCs w:val="18"/>
          <w:color w:val="auto"/>
        </w:rPr>
      </w:pPr>
    </w:p>
    <w:p>
      <w:pPr>
        <w:jc w:val="both"/>
        <w:ind w:left="840" w:right="60" w:firstLine="752"/>
        <w:spacing w:after="0" w:line="249" w:lineRule="auto"/>
        <w:tabs>
          <w:tab w:leader="none" w:pos="2254" w:val="left"/>
        </w:tabs>
        <w:numPr>
          <w:ilvl w:val="1"/>
          <w:numId w:val="186"/>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above, to the extent applicable, any fee payable in connection with any Incremental Facility shall be determined by the Borrower and the arrangers and/or lenders providing such Incremental Facility;</w:t>
      </w:r>
    </w:p>
    <w:p>
      <w:pPr>
        <w:spacing w:after="0" w:line="183" w:lineRule="exact"/>
        <w:rPr>
          <w:rFonts w:ascii="Arial" w:cs="Arial" w:eastAsia="Arial" w:hAnsi="Arial"/>
          <w:sz w:val="19"/>
          <w:szCs w:val="19"/>
          <w:color w:val="auto"/>
        </w:rPr>
      </w:pPr>
    </w:p>
    <w:p>
      <w:pPr>
        <w:jc w:val="both"/>
        <w:ind w:left="840" w:right="20" w:firstLine="752"/>
        <w:spacing w:after="0" w:line="277" w:lineRule="auto"/>
        <w:tabs>
          <w:tab w:leader="none" w:pos="2257" w:val="left"/>
        </w:tabs>
        <w:numPr>
          <w:ilvl w:val="1"/>
          <w:numId w:val="186"/>
        </w:numPr>
        <w:rPr>
          <w:rFonts w:ascii="Arial" w:cs="Arial" w:eastAsia="Arial" w:hAnsi="Arial"/>
          <w:sz w:val="17"/>
          <w:szCs w:val="17"/>
          <w:color w:val="auto"/>
        </w:rPr>
      </w:pPr>
      <w:r>
        <w:rPr>
          <w:rFonts w:ascii="Arial" w:cs="Arial" w:eastAsia="Arial" w:hAnsi="Arial"/>
          <w:sz w:val="17"/>
          <w:szCs w:val="17"/>
          <w:color w:val="auto"/>
        </w:rPr>
        <w:t xml:space="preserve">(A) any Incremental Term Facility may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or junior to any then-existing Class of Term Loans in right of payment and/or security or may be unsecured (and to the extent the relevant Incremental Facility is secured on a junior lien basis or subordinated in right of payment, it shall be subject to an Intercreditor Agreement) and</w:t>
      </w:r>
    </w:p>
    <w:p>
      <w:pPr>
        <w:jc w:val="both"/>
        <w:ind w:left="840" w:right="20" w:firstLine="3"/>
        <w:spacing w:after="0" w:line="253" w:lineRule="auto"/>
        <w:tabs>
          <w:tab w:leader="none" w:pos="115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no Incremental Facility may be (x) guaranteed by any subsidiary that is not a Loan Party (it being understood and agreed that the obligations of any subsidiary with respect to any escrow arrangement into which the proceeds of such Incremental Term Facility are deposited shall not constitute a guarantee by any subsidiary that is not a Loan Party) or (y) secured by any asset that does not constitute Collateral; it being understood that any Incremental Facility that is funded into Escrow pursuant to customary (in the good faith determination of the Borrower) escrow arrangements may be secured by the applicable funds and related assets held in Escrow (and the proceeds thereof) until the date on which such funds are released from Escrow;</w:t>
      </w:r>
    </w:p>
    <w:p>
      <w:pPr>
        <w:spacing w:after="0" w:line="184" w:lineRule="exact"/>
        <w:rPr>
          <w:rFonts w:ascii="Arial" w:cs="Arial" w:eastAsia="Arial" w:hAnsi="Arial"/>
          <w:sz w:val="18"/>
          <w:szCs w:val="18"/>
          <w:color w:val="auto"/>
        </w:rPr>
      </w:pPr>
    </w:p>
    <w:p>
      <w:pPr>
        <w:jc w:val="both"/>
        <w:ind w:left="840" w:right="60" w:firstLine="751"/>
        <w:spacing w:after="0" w:line="249" w:lineRule="auto"/>
        <w:tabs>
          <w:tab w:leader="none" w:pos="2254" w:val="left"/>
        </w:tabs>
        <w:numPr>
          <w:ilvl w:val="1"/>
          <w:numId w:val="187"/>
        </w:numPr>
        <w:rPr>
          <w:rFonts w:ascii="Arial" w:cs="Arial" w:eastAsia="Arial" w:hAnsi="Arial"/>
          <w:sz w:val="19"/>
          <w:szCs w:val="19"/>
          <w:color w:val="auto"/>
        </w:rPr>
      </w:pPr>
      <w:r>
        <w:rPr>
          <w:rFonts w:ascii="Arial" w:cs="Arial" w:eastAsia="Arial" w:hAnsi="Arial"/>
          <w:sz w:val="19"/>
          <w:szCs w:val="19"/>
          <w:color w:val="auto"/>
        </w:rPr>
        <w:t xml:space="preserve">any Incremental Term Facility may participate (A) in any voluntary prepayment of Term Loans as set forth in </w:t>
      </w:r>
      <w:r>
        <w:rPr>
          <w:rFonts w:ascii="Arial" w:cs="Arial" w:eastAsia="Arial" w:hAnsi="Arial"/>
          <w:sz w:val="19"/>
          <w:szCs w:val="19"/>
          <w:u w:val="single" w:color="auto"/>
          <w:color w:val="auto"/>
        </w:rPr>
        <w:t>Section 2.11(a)(i)</w:t>
      </w:r>
      <w:r>
        <w:rPr>
          <w:rFonts w:ascii="Arial" w:cs="Arial" w:eastAsia="Arial" w:hAnsi="Arial"/>
          <w:sz w:val="19"/>
          <w:szCs w:val="19"/>
          <w:color w:val="auto"/>
        </w:rPr>
        <w:t xml:space="preserve"> and (B) in any mandatory prepayment of Term Loans as set forth in </w:t>
      </w:r>
      <w:r>
        <w:rPr>
          <w:rFonts w:ascii="Arial" w:cs="Arial" w:eastAsia="Arial" w:hAnsi="Arial"/>
          <w:sz w:val="19"/>
          <w:szCs w:val="19"/>
          <w:u w:val="single" w:color="auto"/>
          <w:color w:val="auto"/>
        </w:rPr>
        <w:t>Section 2.11(b)(vi)</w:t>
      </w:r>
      <w:r>
        <w:rPr>
          <w:rFonts w:ascii="Arial" w:cs="Arial" w:eastAsia="Arial" w:hAnsi="Arial"/>
          <w:sz w:val="19"/>
          <w:szCs w:val="19"/>
          <w:color w:val="auto"/>
        </w:rPr>
        <w:t>, in each case, to the extent provided in such Sections;</w:t>
      </w:r>
    </w:p>
    <w:p>
      <w:pPr>
        <w:spacing w:after="0" w:line="183" w:lineRule="exact"/>
        <w:rPr>
          <w:rFonts w:ascii="Arial" w:cs="Arial" w:eastAsia="Arial" w:hAnsi="Arial"/>
          <w:sz w:val="19"/>
          <w:szCs w:val="19"/>
          <w:color w:val="auto"/>
        </w:rPr>
      </w:pPr>
    </w:p>
    <w:p>
      <w:pPr>
        <w:jc w:val="both"/>
        <w:ind w:left="840" w:right="60" w:firstLine="751"/>
        <w:spacing w:after="0" w:line="256" w:lineRule="auto"/>
        <w:tabs>
          <w:tab w:leader="none" w:pos="2254" w:val="left"/>
        </w:tabs>
        <w:numPr>
          <w:ilvl w:val="1"/>
          <w:numId w:val="187"/>
        </w:numPr>
        <w:rPr>
          <w:rFonts w:ascii="Arial" w:cs="Arial" w:eastAsia="Arial" w:hAnsi="Arial"/>
          <w:sz w:val="19"/>
          <w:szCs w:val="19"/>
          <w:color w:val="auto"/>
        </w:rPr>
      </w:pPr>
      <w:r>
        <w:rPr>
          <w:rFonts w:ascii="Arial" w:cs="Arial" w:eastAsia="Arial" w:hAnsi="Arial"/>
          <w:sz w:val="19"/>
          <w:szCs w:val="19"/>
          <w:color w:val="auto"/>
        </w:rPr>
        <w:t xml:space="preserve">the effectiveness of any Incremental Facility permitted in reliance on the Fixed Incremental Amount shall be subject to compliance with </w:t>
      </w:r>
      <w:r>
        <w:rPr>
          <w:rFonts w:ascii="Arial" w:cs="Arial" w:eastAsia="Arial" w:hAnsi="Arial"/>
          <w:sz w:val="19"/>
          <w:szCs w:val="19"/>
          <w:u w:val="single" w:color="auto"/>
          <w:color w:val="auto"/>
        </w:rPr>
        <w:t>Section 6.10(a)</w:t>
      </w:r>
      <w:r>
        <w:rPr>
          <w:rFonts w:ascii="Arial" w:cs="Arial" w:eastAsia="Arial" w:hAnsi="Arial"/>
          <w:sz w:val="19"/>
          <w:szCs w:val="19"/>
          <w:color w:val="auto"/>
        </w:rPr>
        <w:t xml:space="preserve"> on a Pro Forma Basis as of the last day of the most recently ended Test Period prior to the incurrence of such Incremental Facility;</w:t>
      </w:r>
    </w:p>
    <w:p>
      <w:pPr>
        <w:spacing w:after="0" w:line="178" w:lineRule="exact"/>
        <w:rPr>
          <w:rFonts w:ascii="Arial" w:cs="Arial" w:eastAsia="Arial" w:hAnsi="Arial"/>
          <w:sz w:val="19"/>
          <w:szCs w:val="19"/>
          <w:color w:val="auto"/>
        </w:rPr>
      </w:pPr>
    </w:p>
    <w:p>
      <w:pPr>
        <w:ind w:left="840" w:right="60" w:firstLine="751"/>
        <w:spacing w:after="0" w:line="261" w:lineRule="auto"/>
        <w:tabs>
          <w:tab w:leader="none" w:pos="2254" w:val="left"/>
        </w:tabs>
        <w:numPr>
          <w:ilvl w:val="1"/>
          <w:numId w:val="187"/>
        </w:numPr>
        <w:rPr>
          <w:rFonts w:ascii="Arial" w:cs="Arial" w:eastAsia="Arial" w:hAnsi="Arial"/>
          <w:sz w:val="19"/>
          <w:szCs w:val="19"/>
          <w:color w:val="auto"/>
        </w:rPr>
      </w:pPr>
      <w:r>
        <w:rPr>
          <w:rFonts w:ascii="Arial" w:cs="Arial" w:eastAsia="Arial" w:hAnsi="Arial"/>
          <w:sz w:val="19"/>
          <w:szCs w:val="19"/>
          <w:color w:val="auto"/>
        </w:rPr>
        <w:t>the proceeds of any Incremental Facility may be used for working capital needs and other general corporate purposes and any other use not prohibited by this Agreement;</w:t>
      </w:r>
    </w:p>
    <w:p>
      <w:pPr>
        <w:spacing w:after="0" w:line="172" w:lineRule="exact"/>
        <w:rPr>
          <w:rFonts w:ascii="Arial" w:cs="Arial" w:eastAsia="Arial" w:hAnsi="Arial"/>
          <w:sz w:val="19"/>
          <w:szCs w:val="19"/>
          <w:color w:val="auto"/>
        </w:rPr>
      </w:pPr>
    </w:p>
    <w:p>
      <w:pPr>
        <w:jc w:val="both"/>
        <w:ind w:left="840" w:firstLine="752"/>
        <w:spacing w:after="0" w:line="274" w:lineRule="auto"/>
        <w:tabs>
          <w:tab w:leader="none" w:pos="2258" w:val="left"/>
        </w:tabs>
        <w:numPr>
          <w:ilvl w:val="1"/>
          <w:numId w:val="187"/>
        </w:numPr>
        <w:rPr>
          <w:rFonts w:ascii="Arial" w:cs="Arial" w:eastAsia="Arial" w:hAnsi="Arial"/>
          <w:sz w:val="17"/>
          <w:szCs w:val="17"/>
          <w:color w:val="auto"/>
        </w:rPr>
      </w:pPr>
      <w:r>
        <w:rPr>
          <w:rFonts w:ascii="Arial" w:cs="Arial" w:eastAsia="Arial" w:hAnsi="Arial"/>
          <w:sz w:val="17"/>
          <w:szCs w:val="17"/>
          <w:color w:val="auto"/>
        </w:rPr>
        <w:t xml:space="preserve">on the date of the Borrowing of any Incremental Term Loans that will be of the same Class as any then-existing Class of Term Loans, and notwithstanding anything to the contrary set forth in </w:t>
      </w:r>
      <w:r>
        <w:rPr>
          <w:rFonts w:ascii="Arial" w:cs="Arial" w:eastAsia="Arial" w:hAnsi="Arial"/>
          <w:sz w:val="17"/>
          <w:szCs w:val="17"/>
          <w:u w:val="single" w:color="auto"/>
          <w:color w:val="auto"/>
        </w:rPr>
        <w:t>Sections 2.08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2.13</w:t>
      </w:r>
      <w:r>
        <w:rPr>
          <w:rFonts w:ascii="Arial" w:cs="Arial" w:eastAsia="Arial" w:hAnsi="Arial"/>
          <w:sz w:val="17"/>
          <w:szCs w:val="17"/>
          <w:color w:val="auto"/>
        </w:rPr>
        <w:t xml:space="preserve"> above, such Incremental Term Loans shall be added to (and constitute a part of, be of the same Type as and, at the election of the Borrower, have the same Interest Period as) each Borrowing of outstanding Term Loans of such Class on a pro rata basis (based on the relative sizes of such Borrowings), so that each Term Lender providing such Incremental Term Loans will participate proportionately in each then-outstanding Borrowing of Term Loans of such Class; it being acknowledged that the application of this </w:t>
      </w:r>
      <w:r>
        <w:rPr>
          <w:rFonts w:ascii="Arial" w:cs="Arial" w:eastAsia="Arial" w:hAnsi="Arial"/>
          <w:sz w:val="17"/>
          <w:szCs w:val="17"/>
          <w:u w:val="single" w:color="auto"/>
          <w:color w:val="auto"/>
        </w:rPr>
        <w:t>clause (a)(xiv)</w:t>
      </w:r>
      <w:r>
        <w:rPr>
          <w:rFonts w:ascii="Arial" w:cs="Arial" w:eastAsia="Arial" w:hAnsi="Arial"/>
          <w:sz w:val="17"/>
          <w:szCs w:val="17"/>
          <w:color w:val="auto"/>
        </w:rPr>
        <w:t xml:space="preserve"> may result in new Incremental Term Loans having an Interest Period (the duration of which may be less than one month) that begin during an Interest Period then applicable to outstanding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w:t>
      </w:r>
      <w:r>
        <w:rPr>
          <w:rFonts w:ascii="Arial" w:cs="Arial" w:eastAsia="Arial" w:hAnsi="Arial"/>
          <w:sz w:val="17"/>
          <w:szCs w:val="17"/>
          <w:color w:val="auto"/>
        </w:rPr>
        <w:t xml:space="preserve"> </w:t>
      </w:r>
      <w:r>
        <w:rPr>
          <w:rFonts w:ascii="Arial" w:cs="Arial" w:eastAsia="Arial" w:hAnsi="Arial"/>
          <w:sz w:val="17"/>
          <w:szCs w:val="17"/>
          <w:u w:val="single" w:color="auto"/>
          <w:color w:val="0000FF"/>
        </w:rPr>
        <w:t>SOFR</w:t>
      </w:r>
      <w:r>
        <w:rPr>
          <w:rFonts w:ascii="Arial" w:cs="Arial" w:eastAsia="Arial" w:hAnsi="Arial"/>
          <w:sz w:val="17"/>
          <w:szCs w:val="17"/>
          <w:color w:val="0000FF"/>
        </w:rPr>
        <w:t xml:space="preserve"> </w:t>
      </w:r>
      <w:r>
        <w:rPr>
          <w:rFonts w:ascii="Arial" w:cs="Arial" w:eastAsia="Arial" w:hAnsi="Arial"/>
          <w:sz w:val="17"/>
          <w:szCs w:val="17"/>
          <w:color w:val="000000"/>
        </w:rPr>
        <w:t>Loans of the relevant Class and which end on the last day of such Interest Period; and</w:t>
      </w:r>
    </w:p>
    <w:p>
      <w:pPr>
        <w:spacing w:after="0" w:line="165" w:lineRule="exact"/>
        <w:rPr>
          <w:rFonts w:ascii="Arial" w:cs="Arial" w:eastAsia="Arial" w:hAnsi="Arial"/>
          <w:sz w:val="17"/>
          <w:szCs w:val="17"/>
          <w:color w:val="auto"/>
        </w:rPr>
      </w:pPr>
    </w:p>
    <w:p>
      <w:pPr>
        <w:jc w:val="both"/>
        <w:ind w:left="840" w:right="60" w:firstLine="751"/>
        <w:spacing w:after="0" w:line="245" w:lineRule="auto"/>
        <w:tabs>
          <w:tab w:leader="none" w:pos="2254" w:val="left"/>
        </w:tabs>
        <w:numPr>
          <w:ilvl w:val="1"/>
          <w:numId w:val="187"/>
        </w:numPr>
        <w:rPr>
          <w:rFonts w:ascii="Arial" w:cs="Arial" w:eastAsia="Arial" w:hAnsi="Arial"/>
          <w:sz w:val="19"/>
          <w:szCs w:val="19"/>
          <w:color w:val="auto"/>
        </w:rPr>
      </w:pPr>
      <w:r>
        <w:rPr>
          <w:rFonts w:ascii="Arial" w:cs="Arial" w:eastAsia="Arial" w:hAnsi="Arial"/>
          <w:sz w:val="19"/>
          <w:szCs w:val="19"/>
          <w:color w:val="auto"/>
        </w:rPr>
        <w:t xml:space="preserve">to the extent that of any Incremental Facility does not 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any then-existing Class of Term Loans or Revolving Loans, as applicable, in right of payment and security or is unsecured, such Incremental Facility will be documented pursuant to separate documentation from this Agreement (it being understood and agreed that any “last out” facility that is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110</w:t>
      </w:r>
      <w:r>
        <w:rPr>
          <w:rFonts w:ascii="Arial" w:cs="Arial" w:eastAsia="Arial" w:hAnsi="Arial"/>
          <w:sz w:val="18"/>
          <w:szCs w:val="18"/>
          <w:u w:val="single" w:color="auto"/>
          <w:color w:val="0000FF"/>
          <w:strike w:val="1"/>
        </w:rPr>
        <w:t>110</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85" w:right="1439" w:bottom="1440" w:gutter="0" w:footer="0" w:header="0"/>
        </w:sectPr>
      </w:pPr>
    </w:p>
    <w:bookmarkStart w:id="178" w:name="page179"/>
    <w:bookmarkEnd w:id="178"/>
    <w:p>
      <w:pPr>
        <w:ind w:left="840" w:right="219"/>
        <w:spacing w:after="0" w:line="261" w:lineRule="auto"/>
        <w:rPr>
          <w:sz w:val="20"/>
          <w:szCs w:val="20"/>
          <w:color w:val="auto"/>
        </w:rPr>
      </w:pPr>
      <w:r>
        <w:rPr>
          <w:rFonts w:ascii="Arial" w:cs="Arial" w:eastAsia="Arial" w:hAnsi="Arial"/>
          <w:sz w:val="19"/>
          <w:szCs w:val="19"/>
          <w:i w:val="1"/>
          <w:iCs w:val="1"/>
          <w:color w:val="auto"/>
        </w:rPr>
        <w:t xml:space="preserve">pari passu </w:t>
      </w:r>
      <w:r>
        <w:rPr>
          <w:rFonts w:ascii="Arial" w:cs="Arial" w:eastAsia="Arial" w:hAnsi="Arial"/>
          <w:sz w:val="19"/>
          <w:szCs w:val="19"/>
          <w:color w:val="auto"/>
        </w:rPr>
        <w:t>with any then-existing Class of Term Loans or Revolving Loans, as applicable, in right of security but which</w:t>
      </w:r>
      <w:r>
        <w:rPr>
          <w:rFonts w:ascii="Arial" w:cs="Arial" w:eastAsia="Arial" w:hAnsi="Arial"/>
          <w:sz w:val="19"/>
          <w:szCs w:val="19"/>
          <w:i w:val="1"/>
          <w:iCs w:val="1"/>
          <w:color w:val="auto"/>
        </w:rPr>
        <w:t xml:space="preserve"> </w:t>
      </w:r>
      <w:r>
        <w:rPr>
          <w:rFonts w:ascii="Arial" w:cs="Arial" w:eastAsia="Arial" w:hAnsi="Arial"/>
          <w:sz w:val="19"/>
          <w:szCs w:val="19"/>
          <w:color w:val="auto"/>
        </w:rPr>
        <w:t>is “last out” with respect to payment priority may be documented hereunder).</w:t>
      </w:r>
    </w:p>
    <w:p>
      <w:pPr>
        <w:spacing w:after="0" w:line="159" w:lineRule="exact"/>
        <w:rPr>
          <w:sz w:val="20"/>
          <w:szCs w:val="20"/>
          <w:color w:val="auto"/>
        </w:rPr>
      </w:pPr>
    </w:p>
    <w:p>
      <w:pPr>
        <w:jc w:val="both"/>
        <w:ind w:left="100" w:right="59" w:firstLine="742"/>
        <w:spacing w:after="0" w:line="242" w:lineRule="auto"/>
        <w:tabs>
          <w:tab w:leader="none" w:pos="152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Incremental Commitments may be provided by any existing Lender, or by any other Eligible Assignee (any such other lender being called an “</w:t>
      </w:r>
      <w:r>
        <w:rPr>
          <w:rFonts w:ascii="Arial" w:cs="Arial" w:eastAsia="Arial" w:hAnsi="Arial"/>
          <w:sz w:val="19"/>
          <w:szCs w:val="19"/>
          <w:u w:val="single" w:color="auto"/>
          <w:color w:val="auto"/>
        </w:rPr>
        <w:t>Incremental Lender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(and, in the case of any Incremental Revolving Facility, the Swingline Lender and any Issuing Bank) shall have a right to consent (such consent not to be unreasonably withheld, conditioned or delayed) to the relevant Incremental Lender’s provision of Incremental Commitments if such consent would be required under </w:t>
      </w:r>
      <w:r>
        <w:rPr>
          <w:rFonts w:ascii="Arial" w:cs="Arial" w:eastAsia="Arial" w:hAnsi="Arial"/>
          <w:sz w:val="19"/>
          <w:szCs w:val="19"/>
          <w:u w:val="single" w:color="auto"/>
          <w:color w:val="auto"/>
        </w:rPr>
        <w:t>Section 9.05(b)</w:t>
      </w:r>
      <w:r>
        <w:rPr>
          <w:rFonts w:ascii="Arial" w:cs="Arial" w:eastAsia="Arial" w:hAnsi="Arial"/>
          <w:sz w:val="19"/>
          <w:szCs w:val="19"/>
          <w:color w:val="auto"/>
        </w:rPr>
        <w:t xml:space="preserve"> for an assignment of Loans to such Incremental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any Incremental Lender that is an Affiliated Lender shall be subject to the provisions of </w:t>
      </w:r>
      <w:r>
        <w:rPr>
          <w:rFonts w:ascii="Arial" w:cs="Arial" w:eastAsia="Arial" w:hAnsi="Arial"/>
          <w:sz w:val="19"/>
          <w:szCs w:val="19"/>
          <w:u w:val="single" w:color="auto"/>
          <w:color w:val="auto"/>
        </w:rPr>
        <w:t>Section 9.05(g)</w:t>
      </w:r>
      <w:r>
        <w:rPr>
          <w:rFonts w:ascii="Arial" w:cs="Arial" w:eastAsia="Arial" w:hAnsi="Arial"/>
          <w:sz w:val="19"/>
          <w:szCs w:val="19"/>
          <w:color w:val="auto"/>
        </w:rPr>
        <w:t xml:space="preserve">, </w:t>
      </w:r>
      <w:r>
        <w:rPr>
          <w:rFonts w:ascii="Arial" w:cs="Arial" w:eastAsia="Arial" w:hAnsi="Arial"/>
          <w:sz w:val="19"/>
          <w:szCs w:val="19"/>
          <w:i w:val="1"/>
          <w:iCs w:val="1"/>
          <w:color w:val="auto"/>
        </w:rPr>
        <w:t>mutatis mutandis</w:t>
      </w:r>
      <w:r>
        <w:rPr>
          <w:rFonts w:ascii="Arial" w:cs="Arial" w:eastAsia="Arial" w:hAnsi="Arial"/>
          <w:sz w:val="19"/>
          <w:szCs w:val="19"/>
          <w:color w:val="auto"/>
        </w:rPr>
        <w:t>, to the same extent as if the relevant Incremental Commitments and related Obligations had been acquired by such Lender by way of assignment.</w:t>
      </w:r>
    </w:p>
    <w:p>
      <w:pPr>
        <w:spacing w:after="0" w:line="195" w:lineRule="exact"/>
        <w:rPr>
          <w:rFonts w:ascii="Arial" w:cs="Arial" w:eastAsia="Arial" w:hAnsi="Arial"/>
          <w:sz w:val="19"/>
          <w:szCs w:val="19"/>
          <w:color w:val="auto"/>
        </w:rPr>
      </w:pPr>
    </w:p>
    <w:p>
      <w:pPr>
        <w:jc w:val="both"/>
        <w:ind w:left="100" w:right="59" w:firstLine="741"/>
        <w:spacing w:after="0" w:line="243" w:lineRule="auto"/>
        <w:tabs>
          <w:tab w:leader="none" w:pos="152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Each Lender or Incremental Lender providing a portion of any Incremental Commitment shall execute and deliver to the Administrative Agent and the Borrower all such documentation (including the relevant Incremental Facility Amendment) as may be reasonably required by the Administrative Agent to evidence and effectuate such Incremental Commitment. On the effective date of the relevant Incremental Commitment, each Incremental Lender shall become a Lender for all purposes in connection with this Agreement.</w:t>
      </w:r>
    </w:p>
    <w:p>
      <w:pPr>
        <w:spacing w:after="0" w:line="189" w:lineRule="exact"/>
        <w:rPr>
          <w:rFonts w:ascii="Arial" w:cs="Arial" w:eastAsia="Arial" w:hAnsi="Arial"/>
          <w:sz w:val="19"/>
          <w:szCs w:val="19"/>
          <w:color w:val="auto"/>
        </w:rPr>
      </w:pPr>
    </w:p>
    <w:p>
      <w:pPr>
        <w:ind w:left="1520" w:hanging="678"/>
        <w:spacing w:after="0"/>
        <w:tabs>
          <w:tab w:leader="none" w:pos="152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As conditions precedent to the effectiveness of any Incremental Facility or the making of any Incremental Loan:</w:t>
      </w:r>
    </w:p>
    <w:p>
      <w:pPr>
        <w:spacing w:after="0" w:line="236" w:lineRule="exact"/>
        <w:rPr>
          <w:rFonts w:ascii="Arial" w:cs="Arial" w:eastAsia="Arial" w:hAnsi="Arial"/>
          <w:sz w:val="17"/>
          <w:szCs w:val="17"/>
          <w:color w:val="auto"/>
        </w:rPr>
      </w:pPr>
    </w:p>
    <w:p>
      <w:pPr>
        <w:jc w:val="both"/>
        <w:ind w:left="840" w:right="59" w:firstLine="751"/>
        <w:spacing w:after="0" w:line="249" w:lineRule="auto"/>
        <w:tabs>
          <w:tab w:leader="none" w:pos="2254" w:val="left"/>
        </w:tabs>
        <w:numPr>
          <w:ilvl w:val="1"/>
          <w:numId w:val="188"/>
        </w:numPr>
        <w:rPr>
          <w:rFonts w:ascii="Arial" w:cs="Arial" w:eastAsia="Arial" w:hAnsi="Arial"/>
          <w:sz w:val="19"/>
          <w:szCs w:val="19"/>
          <w:color w:val="auto"/>
        </w:rPr>
      </w:pPr>
      <w:r>
        <w:rPr>
          <w:rFonts w:ascii="Arial" w:cs="Arial" w:eastAsia="Arial" w:hAnsi="Arial"/>
          <w:sz w:val="19"/>
          <w:szCs w:val="19"/>
          <w:color w:val="auto"/>
        </w:rPr>
        <w:t>upon its request, the Administrative Agent shall be entitled to receive customary written opinions of counsel with respect to the Borrower, as well as such reaffirmation agreements, supplements and/or amendments as it may reasonably require;</w:t>
      </w:r>
    </w:p>
    <w:p>
      <w:pPr>
        <w:spacing w:after="0" w:line="183" w:lineRule="exact"/>
        <w:rPr>
          <w:rFonts w:ascii="Arial" w:cs="Arial" w:eastAsia="Arial" w:hAnsi="Arial"/>
          <w:sz w:val="19"/>
          <w:szCs w:val="19"/>
          <w:color w:val="auto"/>
        </w:rPr>
      </w:pPr>
    </w:p>
    <w:p>
      <w:pPr>
        <w:ind w:left="840" w:right="59" w:firstLine="751"/>
        <w:spacing w:after="0" w:line="320" w:lineRule="auto"/>
        <w:tabs>
          <w:tab w:leader="none" w:pos="2254" w:val="left"/>
        </w:tabs>
        <w:numPr>
          <w:ilvl w:val="1"/>
          <w:numId w:val="188"/>
        </w:numPr>
        <w:rPr>
          <w:rFonts w:ascii="Arial" w:cs="Arial" w:eastAsia="Arial" w:hAnsi="Arial"/>
          <w:sz w:val="17"/>
          <w:szCs w:val="17"/>
          <w:color w:val="auto"/>
        </w:rPr>
      </w:pPr>
      <w:r>
        <w:rPr>
          <w:rFonts w:ascii="Arial" w:cs="Arial" w:eastAsia="Arial" w:hAnsi="Arial"/>
          <w:sz w:val="17"/>
          <w:szCs w:val="17"/>
          <w:color w:val="auto"/>
        </w:rPr>
        <w:t>the Administrative Agent shall be entitled to receive, from each Incremental Lender, an Administrative Questionnaire and such other documents as it may reasonably require from such Incremental Lender;</w:t>
      </w:r>
    </w:p>
    <w:p>
      <w:pPr>
        <w:spacing w:after="0" w:line="140" w:lineRule="exact"/>
        <w:rPr>
          <w:rFonts w:ascii="Arial" w:cs="Arial" w:eastAsia="Arial" w:hAnsi="Arial"/>
          <w:sz w:val="17"/>
          <w:szCs w:val="17"/>
          <w:color w:val="auto"/>
        </w:rPr>
      </w:pPr>
    </w:p>
    <w:p>
      <w:pPr>
        <w:jc w:val="both"/>
        <w:ind w:left="840" w:right="59" w:firstLine="751"/>
        <w:spacing w:after="0" w:line="242" w:lineRule="auto"/>
        <w:tabs>
          <w:tab w:leader="none" w:pos="2254" w:val="left"/>
        </w:tabs>
        <w:numPr>
          <w:ilvl w:val="1"/>
          <w:numId w:val="188"/>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2.22(h)</w:t>
      </w:r>
      <w:r>
        <w:rPr>
          <w:rFonts w:ascii="Arial" w:cs="Arial" w:eastAsia="Arial" w:hAnsi="Arial"/>
          <w:sz w:val="19"/>
          <w:szCs w:val="19"/>
          <w:color w:val="auto"/>
        </w:rPr>
        <w:t xml:space="preserve">, the Administrative Agent shall have received a Borrowing Request as if the relevant Incremental Loans were subject to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or another written request the form of which is reasonably acceptable to the Administrative Agent (it being understood and agreed that the requirement to deliver a Borrowing Request shall not result in the imposition of any condition precedent to the availability of the relevant Incremental Loans (including with respect to the absence of a Default or Event of Default and/or the accuracy of any representation and/or warranty)); and</w:t>
      </w:r>
    </w:p>
    <w:p>
      <w:pPr>
        <w:spacing w:after="0" w:line="190" w:lineRule="exact"/>
        <w:rPr>
          <w:rFonts w:ascii="Arial" w:cs="Arial" w:eastAsia="Arial" w:hAnsi="Arial"/>
          <w:sz w:val="19"/>
          <w:szCs w:val="19"/>
          <w:color w:val="auto"/>
        </w:rPr>
      </w:pPr>
    </w:p>
    <w:p>
      <w:pPr>
        <w:jc w:val="both"/>
        <w:ind w:left="840" w:right="59" w:firstLine="751"/>
        <w:spacing w:after="0" w:line="249" w:lineRule="auto"/>
        <w:tabs>
          <w:tab w:leader="none" w:pos="2254" w:val="left"/>
        </w:tabs>
        <w:numPr>
          <w:ilvl w:val="1"/>
          <w:numId w:val="188"/>
        </w:numPr>
        <w:rPr>
          <w:rFonts w:ascii="Arial" w:cs="Arial" w:eastAsia="Arial" w:hAnsi="Arial"/>
          <w:sz w:val="19"/>
          <w:szCs w:val="19"/>
          <w:color w:val="auto"/>
        </w:rPr>
      </w:pPr>
      <w:r>
        <w:rPr>
          <w:rFonts w:ascii="Arial" w:cs="Arial" w:eastAsia="Arial" w:hAnsi="Arial"/>
          <w:sz w:val="19"/>
          <w:szCs w:val="19"/>
          <w:color w:val="auto"/>
        </w:rPr>
        <w:t>the Administrative Agent shall be entitled to receive a certificate of the Borrower signed by a Responsible Officer thereof certifying and attaching a copy of the resolutions adopted by the governing body of the Borrower approving or consenting to such Incremental Facility or Incremental Loans.</w:t>
      </w:r>
    </w:p>
    <w:p>
      <w:pPr>
        <w:spacing w:after="0" w:line="183" w:lineRule="exact"/>
        <w:rPr>
          <w:rFonts w:ascii="Arial" w:cs="Arial" w:eastAsia="Arial" w:hAnsi="Arial"/>
          <w:sz w:val="19"/>
          <w:szCs w:val="19"/>
          <w:color w:val="auto"/>
        </w:rPr>
      </w:pPr>
    </w:p>
    <w:p>
      <w:pPr>
        <w:jc w:val="both"/>
        <w:ind w:left="100" w:right="19" w:firstLine="742"/>
        <w:spacing w:after="0" w:line="249" w:lineRule="auto"/>
        <w:tabs>
          <w:tab w:leader="none" w:pos="1523" w:val="left"/>
        </w:tabs>
        <w:numPr>
          <w:ilvl w:val="0"/>
          <w:numId w:val="188"/>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or in any other provision of any Loan Document, the conditions to the availability or funding of any Incremental Facility shall be determined by the relevant Incremental Lenders providing such Incremental Facility and the Borrower.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111</w:t>
      </w:r>
      <w:r>
        <w:rPr>
          <w:rFonts w:ascii="Arial" w:cs="Arial" w:eastAsia="Arial" w:hAnsi="Arial"/>
          <w:sz w:val="18"/>
          <w:szCs w:val="18"/>
          <w:u w:val="single" w:color="auto"/>
          <w:color w:val="0000FF"/>
          <w:strike w:val="1"/>
        </w:rPr>
        <w:t>111</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79" w:name="page180"/>
    <w:bookmarkEnd w:id="179"/>
    <w:p>
      <w:pPr>
        <w:jc w:val="both"/>
        <w:ind w:left="100" w:right="59" w:firstLine="741"/>
        <w:spacing w:after="0" w:line="254" w:lineRule="auto"/>
        <w:tabs>
          <w:tab w:leader="none" w:pos="15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Upon the implementation of any Incremental Revolving Facility pursuant to this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(i) each Revolving Lender immediately prior to such increase will automatically and without further act be deemed to have assigned to each relevant Incremental Revolving Facility Lender, and each relevant Incremental Revolving Facility Lender will automatically and without further act be deemed to have assumed a portion of such Revolving Lender’s participations hereunder in outstanding Letters of Credit and Swingline Loans such that, after giving effect to each deemed assignment and assumption of such participations, all of the Revolving Lenders’ (including each Incremental Revolving Facility Lender) (A) participations hereunder in Letters of Credit and (B) participations hereunder in Swingline Loans shall, in each case of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be held on a pro rata basis on the basis of their respective Revolving Credit Commitments (after giving effect to any increase in the Revolving Credit Commitment pursuant to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and (ii) the existing Revolving Lenders of the applicable Class shall assign Revolving Loans to certain other Revolving Lenders of such Class (including the Revolving Lenders providing the relevant Incremental Revolving Facility), and such other Revolving Lenders (including the Revolving Lenders providing the relevant Incremental Revolving Facility) shall purchase such Revolving Loans, in each case to the extent necessary so that all of the Revolving Lenders of such Class participate in each outstanding Borrowing of Revolving Loans pro rata on the basis of their respective Revolving Credit Commitments of such Class (after giving effect to any increase in the Revolving Credit Commitment of such Class pursuant to this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it being understood and agreed that the minimum borrowing, pro rata borrowing and pro rata payment requirements contained elsewhere in this Agreement shall not apply to the transactions effected pursuant to this </w:t>
      </w:r>
      <w:r>
        <w:rPr>
          <w:rFonts w:ascii="Arial" w:cs="Arial" w:eastAsia="Arial" w:hAnsi="Arial"/>
          <w:sz w:val="18"/>
          <w:szCs w:val="18"/>
          <w:u w:val="single" w:color="auto"/>
          <w:color w:val="auto"/>
        </w:rPr>
        <w:t>clause (f)</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jc w:val="both"/>
        <w:ind w:left="100" w:right="59" w:firstLine="741"/>
        <w:spacing w:after="0" w:line="260" w:lineRule="auto"/>
        <w:tabs>
          <w:tab w:leader="none" w:pos="15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On the date of effectiveness of any Incremental Revolving Facility, the Letter of Credit Sublimit and/or the maximum amount of Swingline Loans, as applicable, permitted hereunder shall increase by an amount, if any, agreed upon by the Borrower, the Administrative Agent and the relevant Issuing Bank and/or the Swingline Lender, as applicable; it being understood and agreed that the Borrower and any Lender providing any Incremental Revolving Facility may agree that such Lender will provide a portion of the Letter of Credit Sublimit in excess of its Applicable Percentage thereof.</w:t>
      </w:r>
    </w:p>
    <w:p>
      <w:pPr>
        <w:spacing w:after="0" w:line="174" w:lineRule="exact"/>
        <w:rPr>
          <w:rFonts w:ascii="Arial" w:cs="Arial" w:eastAsia="Arial" w:hAnsi="Arial"/>
          <w:sz w:val="18"/>
          <w:szCs w:val="18"/>
          <w:color w:val="auto"/>
        </w:rPr>
      </w:pPr>
    </w:p>
    <w:p>
      <w:pPr>
        <w:jc w:val="both"/>
        <w:ind w:left="100" w:right="59" w:firstLine="741"/>
        <w:spacing w:after="0" w:line="271" w:lineRule="auto"/>
        <w:tabs>
          <w:tab w:leader="none" w:pos="152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The Lenders hereby irrevocably authorize the Administrative Agent to, and the Administrative Agent shall (without the consent of any Lender (other than any Lender providing the applicable Incremental Facility)), enter into any Incremental Facility Amendment and/or any amendment to any other Loan Document as may be necessary, appropriate or advisable in order to establish any Incremental Facility (including any new Class or sub-Class in respect of Loans or commitments pursuant to this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including (i) technical amendments as may be necessary, appropriate or advisable in the reasonable opinion of the Administrative Agent and the Borrower in connection with the establishment of such new Classes or sub-Classes, in each case on terms consistent with this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and/or (ii) any other amendment contemplated by </w:t>
      </w:r>
      <w:r>
        <w:rPr>
          <w:rFonts w:ascii="Arial" w:cs="Arial" w:eastAsia="Arial" w:hAnsi="Arial"/>
          <w:sz w:val="17"/>
          <w:szCs w:val="17"/>
          <w:u w:val="single" w:color="auto"/>
          <w:color w:val="auto"/>
        </w:rPr>
        <w:t>Section 9.02(d)(ii)</w:t>
      </w:r>
      <w:r>
        <w:rPr>
          <w:rFonts w:ascii="Arial" w:cs="Arial" w:eastAsia="Arial" w:hAnsi="Arial"/>
          <w:sz w:val="17"/>
          <w:szCs w:val="17"/>
          <w:color w:val="auto"/>
        </w:rPr>
        <w:t>. In addition, the Incremental Facility Amendment with respect to any Incremental Term Facility may, without the consent of any Lender (other than any Lender providing such Incremental Term Loans) or the Administrative Agent, include such amendments to this Agreement as may be necessary, appropriate or advisable as reasonably determined by the Administrative Agent and the Borrower to make the applicable Incremental Term Loans “fungible” with the relevant existing Class of Term Loans (including by modifying the amortization schedule and/or extending the time period during which any prepayment premium applies).</w:t>
      </w:r>
    </w:p>
    <w:p>
      <w:pPr>
        <w:spacing w:after="0" w:line="172" w:lineRule="exact"/>
        <w:rPr>
          <w:rFonts w:ascii="Arial" w:cs="Arial" w:eastAsia="Arial" w:hAnsi="Arial"/>
          <w:sz w:val="17"/>
          <w:szCs w:val="17"/>
          <w:color w:val="auto"/>
        </w:rPr>
      </w:pPr>
    </w:p>
    <w:p>
      <w:pPr>
        <w:ind w:left="1600" w:hanging="758"/>
        <w:spacing w:after="0"/>
        <w:tabs>
          <w:tab w:leader="none" w:pos="1600" w:val="left"/>
        </w:tabs>
        <w:numPr>
          <w:ilvl w:val="0"/>
          <w:numId w:val="189"/>
        </w:numPr>
        <w:rPr>
          <w:rFonts w:ascii="Arial" w:cs="Arial" w:eastAsia="Arial" w:hAnsi="Arial"/>
          <w:sz w:val="19"/>
          <w:szCs w:val="19"/>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shall supersede any provision in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9.02</w:t>
      </w:r>
      <w:r>
        <w:rPr>
          <w:rFonts w:ascii="Arial" w:cs="Arial" w:eastAsia="Arial" w:hAnsi="Arial"/>
          <w:sz w:val="19"/>
          <w:szCs w:val="19"/>
          <w:color w:val="auto"/>
        </w:rPr>
        <w:t xml:space="preserve"> to the contrary.</w:t>
      </w:r>
    </w:p>
    <w:p>
      <w:pPr>
        <w:spacing w:after="0" w:line="214"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2.23.  </w:t>
      </w:r>
      <w:r>
        <w:rPr>
          <w:rFonts w:ascii="Arial" w:cs="Arial" w:eastAsia="Arial" w:hAnsi="Arial"/>
          <w:sz w:val="19"/>
          <w:szCs w:val="19"/>
          <w:u w:val="single" w:color="auto"/>
          <w:color w:val="auto"/>
        </w:rPr>
        <w:t>Extensions of Loans and Revolving Credit Commitments</w:t>
      </w:r>
      <w:r>
        <w:rPr>
          <w:rFonts w:ascii="Arial" w:cs="Arial" w:eastAsia="Arial" w:hAnsi="Arial"/>
          <w:sz w:val="19"/>
          <w:szCs w:val="19"/>
          <w:color w:val="auto"/>
        </w:rPr>
        <w:t>.</w:t>
      </w:r>
    </w:p>
    <w:p>
      <w:pPr>
        <w:spacing w:after="0" w:line="214" w:lineRule="exact"/>
        <w:rPr>
          <w:sz w:val="20"/>
          <w:szCs w:val="20"/>
          <w:color w:val="auto"/>
        </w:rPr>
      </w:pPr>
    </w:p>
    <w:p>
      <w:pPr>
        <w:jc w:val="both"/>
        <w:ind w:left="100" w:right="19" w:firstLine="741"/>
        <w:spacing w:after="0" w:line="243" w:lineRule="auto"/>
        <w:tabs>
          <w:tab w:leader="none" w:pos="1522" w:val="left"/>
        </w:tabs>
        <w:numPr>
          <w:ilvl w:val="0"/>
          <w:numId w:val="190"/>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pursuant to one or more offers (each, an “</w:t>
      </w:r>
      <w:r>
        <w:rPr>
          <w:rFonts w:ascii="Arial" w:cs="Arial" w:eastAsia="Arial" w:hAnsi="Arial"/>
          <w:sz w:val="19"/>
          <w:szCs w:val="19"/>
          <w:u w:val="single" w:color="auto"/>
          <w:color w:val="auto"/>
        </w:rPr>
        <w:t>Extension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Offer</w:t>
      </w:r>
      <w:r>
        <w:rPr>
          <w:rFonts w:ascii="Arial" w:cs="Arial" w:eastAsia="Arial" w:hAnsi="Arial"/>
          <w:sz w:val="19"/>
          <w:szCs w:val="19"/>
          <w:color w:val="auto"/>
        </w:rPr>
        <w:t>”) made from time to time by the Borrower to all Lenders holding Loans of any Class or Commitments of any Class, in each case on a pro rata basis (based on the aggregate outstanding principal amount of the respective Loans or Commitments of such Class) and on the same terms to each such Lender, the Borrower is hereby permitted to consummate transactions with any individual Lender who accepts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112</w:t>
      </w:r>
      <w:r>
        <w:rPr>
          <w:rFonts w:ascii="Arial" w:cs="Arial" w:eastAsia="Arial" w:hAnsi="Arial"/>
          <w:sz w:val="18"/>
          <w:szCs w:val="18"/>
          <w:u w:val="single" w:color="auto"/>
          <w:color w:val="0000FF"/>
          <w:strike w:val="1"/>
        </w:rPr>
        <w:t>112</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80" w:name="page181"/>
    <w:bookmarkEnd w:id="180"/>
    <w:p>
      <w:pPr>
        <w:jc w:val="both"/>
        <w:ind w:left="100" w:right="59"/>
        <w:spacing w:after="0" w:line="233" w:lineRule="auto"/>
        <w:rPr>
          <w:sz w:val="20"/>
          <w:szCs w:val="20"/>
          <w:color w:val="auto"/>
        </w:rPr>
      </w:pPr>
      <w:r>
        <w:rPr>
          <w:rFonts w:ascii="Arial" w:cs="Arial" w:eastAsia="Arial" w:hAnsi="Arial"/>
          <w:sz w:val="19"/>
          <w:szCs w:val="19"/>
          <w:color w:val="auto"/>
        </w:rPr>
        <w:t>the terms contained in the relevant Extension Offer to extend the Maturity Date of all or a portion of such Lender’s Loans and/or Commitments of such Class and otherwise modify the terms of all or a portion of such Loans and/or Commitments pursuant to the terms of the relevant Extension Offer (including by increasing the interest rate or fees payable in respect of such Loans and/or Commitments (and related outstandings) and/or modifying the amortization schedule, if any, in respect of such Loans) (each, an “</w:t>
      </w:r>
      <w:r>
        <w:rPr>
          <w:rFonts w:ascii="Arial" w:cs="Arial" w:eastAsia="Arial" w:hAnsi="Arial"/>
          <w:sz w:val="19"/>
          <w:szCs w:val="19"/>
          <w:u w:val="single" w:color="auto"/>
          <w:color w:val="auto"/>
        </w:rPr>
        <w:t>Extension</w:t>
      </w:r>
      <w:r>
        <w:rPr>
          <w:rFonts w:ascii="Arial" w:cs="Arial" w:eastAsia="Arial" w:hAnsi="Arial"/>
          <w:sz w:val="19"/>
          <w:szCs w:val="19"/>
          <w:color w:val="auto"/>
        </w:rPr>
        <w:t>”; it being understood that any Extended Term Loans shall constitute a separate Class of Loans from the Class of Loans from which they were converted and any Extended Revolving Credit Commitments shall constitute a separate Class of Revolving Credit Commitments from the Class of Revolving Credit Commitments from which they were converted), so long as the following terms are satisfied:</w:t>
      </w:r>
    </w:p>
    <w:p>
      <w:pPr>
        <w:spacing w:after="0" w:line="180" w:lineRule="exact"/>
        <w:rPr>
          <w:sz w:val="20"/>
          <w:szCs w:val="20"/>
          <w:color w:val="auto"/>
        </w:rPr>
      </w:pPr>
    </w:p>
    <w:p>
      <w:pPr>
        <w:jc w:val="both"/>
        <w:ind w:left="840" w:right="39" w:firstLine="751"/>
        <w:spacing w:after="0" w:line="267" w:lineRule="auto"/>
        <w:tabs>
          <w:tab w:leader="none" w:pos="2368" w:val="left"/>
        </w:tabs>
        <w:numPr>
          <w:ilvl w:val="1"/>
          <w:numId w:val="191"/>
        </w:numPr>
        <w:rPr>
          <w:rFonts w:ascii="Arial" w:cs="Arial" w:eastAsia="Arial" w:hAnsi="Arial"/>
          <w:sz w:val="17"/>
          <w:szCs w:val="17"/>
          <w:color w:val="auto"/>
        </w:rPr>
      </w:pPr>
      <w:r>
        <w:rPr>
          <w:rFonts w:ascii="Arial" w:cs="Arial" w:eastAsia="Arial" w:hAnsi="Arial"/>
          <w:sz w:val="17"/>
          <w:szCs w:val="17"/>
          <w:color w:val="auto"/>
        </w:rPr>
        <w:t xml:space="preserve">except as to (A) currency, pricing (including any “MFN” or other pricing terms), interest rate margins, rate floors, fees, premiums (including prepayment premiums), funding discounts, maturity and amortization (which shall, subject to immediately succeeding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and to the extent applicable, be determined by the Borrower and any Lender who agrees to an Extension of its Revolving Credit Commitments and set forth in the relevant Extension Offer), (B) terms applicable to such Extended Revolving Credit Commitments or Extended Revolving Loans (each as defined below) that are, taken as a whole, in the good faith determination of the Borrower, more favorable to the lenders or the agent of such Extended Revolving Credit Commitments or Extended Revolving Loans than those contained in the Loan Documents and are then conformed (or added) to the Loan Documents for the benefit of the Revolving Lenders or, as applicable, the Administrative Agent (</w:t>
      </w:r>
      <w:r>
        <w:rPr>
          <w:rFonts w:ascii="Arial" w:cs="Arial" w:eastAsia="Arial" w:hAnsi="Arial"/>
          <w:sz w:val="17"/>
          <w:szCs w:val="17"/>
          <w:i w:val="1"/>
          <w:iCs w:val="1"/>
          <w:color w:val="auto"/>
        </w:rPr>
        <w:t>i.e.</w:t>
      </w:r>
      <w:r>
        <w:rPr>
          <w:rFonts w:ascii="Arial" w:cs="Arial" w:eastAsia="Arial" w:hAnsi="Arial"/>
          <w:sz w:val="17"/>
          <w:szCs w:val="17"/>
          <w:color w:val="auto"/>
        </w:rPr>
        <w:t>, by conforming or adding a term to the then-outstanding Revolving Loans pursuant to the applicable Extension Amendment), (C) terms, taken as a whole, that reflect then current market terms and conditions, taken as a whole, at the time of incurrence or issuance (as determined by the Borrower) and (D) any covenant or other provision applicable only after the Latest Revolving Credit Maturity Date, the Revolving Credit Commitment of any Lender who agrees to an extension with respect to such Commitment (an “</w:t>
      </w:r>
      <w:r>
        <w:rPr>
          <w:rFonts w:ascii="Arial" w:cs="Arial" w:eastAsia="Arial" w:hAnsi="Arial"/>
          <w:sz w:val="17"/>
          <w:szCs w:val="17"/>
          <w:u w:val="single" w:color="auto"/>
          <w:color w:val="auto"/>
        </w:rPr>
        <w:t>Extended Revolving Credit Commitment</w:t>
      </w:r>
      <w:r>
        <w:rPr>
          <w:rFonts w:ascii="Arial" w:cs="Arial" w:eastAsia="Arial" w:hAnsi="Arial"/>
          <w:sz w:val="17"/>
          <w:szCs w:val="17"/>
          <w:color w:val="auto"/>
        </w:rPr>
        <w:t>”; and the Loans thereunder, “</w:t>
      </w:r>
      <w:r>
        <w:rPr>
          <w:rFonts w:ascii="Arial" w:cs="Arial" w:eastAsia="Arial" w:hAnsi="Arial"/>
          <w:sz w:val="17"/>
          <w:szCs w:val="17"/>
          <w:u w:val="single" w:color="auto"/>
          <w:color w:val="auto"/>
        </w:rPr>
        <w:t>Extended Revolving Loans</w:t>
      </w:r>
      <w:r>
        <w:rPr>
          <w:rFonts w:ascii="Arial" w:cs="Arial" w:eastAsia="Arial" w:hAnsi="Arial"/>
          <w:sz w:val="17"/>
          <w:szCs w:val="17"/>
          <w:color w:val="auto"/>
        </w:rPr>
        <w:t xml:space="preserve">”), and the related outstandings, shall constitute a revolving commitment (or related outstandings, as the case may be) with substantially consistent terms (or terms not less favorable to existing Lenders) as the Class of Revolving Credit Commitments subject to the relevant Extension Offer (and related outstandings) provided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more than one Revolving Facility exists after giving effect to any such Extension, (x) the borrowing and repayment of Revolving Loans with respect to any Revolving Facility after the effective date of such Extended Revolving Credit Commitments shall be made on a pro rata basis or a non-pro rata basis with all other Revolving Facilities (it being understood that any Revolving Facility that participates in borrowings on a pro rata basis with other Revolving Facilities shall participate in repayments on a pro rata basis with such Revolving Facilities and that in the event of any Revolving Facility that must participate in borrowings on a less than pro rata basis as compared to other Revolving Facilities, such Revolving Facility shall participate in repayments on a less than pro rata basis as compared to such other Revolving Facilities (in each case, except, in any event, for (1) payments of interest and fees at different rates on the Revolving Facilities (and related outstandings),</w:t>
      </w:r>
    </w:p>
    <w:p>
      <w:pPr>
        <w:spacing w:after="0" w:line="6" w:lineRule="exact"/>
        <w:rPr>
          <w:rFonts w:ascii="Arial" w:cs="Arial" w:eastAsia="Arial" w:hAnsi="Arial"/>
          <w:sz w:val="17"/>
          <w:szCs w:val="17"/>
          <w:color w:val="auto"/>
        </w:rPr>
      </w:pPr>
    </w:p>
    <w:p>
      <w:pPr>
        <w:jc w:val="both"/>
        <w:ind w:left="840" w:right="39" w:firstLine="3"/>
        <w:spacing w:after="0" w:line="270" w:lineRule="auto"/>
        <w:tabs>
          <w:tab w:leader="none" w:pos="112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 xml:space="preserve">repayments required on the Maturity Date of any Revolving Facility and (3) repayments made in connection with a permanent repayment and termination of the Revolving Credit Commitments under any Revolving Facility (subject to </w:t>
      </w:r>
      <w:r>
        <w:rPr>
          <w:rFonts w:ascii="Arial" w:cs="Arial" w:eastAsia="Arial" w:hAnsi="Arial"/>
          <w:sz w:val="17"/>
          <w:szCs w:val="17"/>
          <w:u w:val="single" w:color="auto"/>
          <w:color w:val="auto"/>
        </w:rPr>
        <w:t>clause (z)</w:t>
      </w:r>
      <w:r>
        <w:rPr>
          <w:rFonts w:ascii="Arial" w:cs="Arial" w:eastAsia="Arial" w:hAnsi="Arial"/>
          <w:sz w:val="17"/>
          <w:szCs w:val="17"/>
          <w:color w:val="auto"/>
        </w:rPr>
        <w:t xml:space="preserve"> below))), (y) all Swingline Loans and all Letters of Credit shall be participated on a pro rata basis by all Revolving Lenders and (z) any permanent repayment of Revolving Loans with respect to, and reduction or termination of Revolving Credit Commitments under, any Revolving Facility after the effective date of such Extended Revolving Credit Commitments shall be made on a pro rata basis or a non-pro rata basis with all other Revolving Facilities (it being understood that a Revolving Facility that participates in borrowings on a pro rata basis with other Revolving Facilities shall participate in permanent repayments of Revolving Loans with respect to, and reduction and termination of revolving Credit Commitments under, such Revolving Facility on a pro rata basis with such other Revolving Facilities and that in the event of any Revolving Facility that must participate in borrowings on a less than pro rata basis as compared to other Revolving Facilities, such other Revolving Facility shall participate in permanent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113</w:t>
      </w:r>
      <w:r>
        <w:rPr>
          <w:rFonts w:ascii="Arial" w:cs="Arial" w:eastAsia="Arial" w:hAnsi="Arial"/>
          <w:sz w:val="18"/>
          <w:szCs w:val="18"/>
          <w:u w:val="single" w:color="auto"/>
          <w:color w:val="0000FF"/>
          <w:strike w:val="1"/>
        </w:rPr>
        <w:t>113</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81" w:name="page182"/>
    <w:bookmarkEnd w:id="181"/>
    <w:p>
      <w:pPr>
        <w:jc w:val="both"/>
        <w:ind w:left="840" w:right="19"/>
        <w:spacing w:after="0" w:line="252" w:lineRule="auto"/>
        <w:rPr>
          <w:sz w:val="20"/>
          <w:szCs w:val="20"/>
          <w:color w:val="auto"/>
        </w:rPr>
      </w:pPr>
      <w:r>
        <w:rPr>
          <w:rFonts w:ascii="Arial" w:cs="Arial" w:eastAsia="Arial" w:hAnsi="Arial"/>
          <w:sz w:val="18"/>
          <w:szCs w:val="18"/>
          <w:color w:val="auto"/>
        </w:rPr>
        <w:t xml:space="preserve">repayments of Revolving Loans with respect to, and reduction and termination of Revolving Credit Commitments under, such Revolving Facility on a less than pro rata basis as compared to such other Revolving Facilities;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each case, that notwithstanding the foregoing, to the extent any such Revolving Commitments are terminated in full and refinanced or replaced with a Revolver Replacement Facility or Replacement Debt, such Revolving Commitments may be terminated on a greater than pro rata basis);</w:t>
      </w:r>
    </w:p>
    <w:p>
      <w:pPr>
        <w:spacing w:after="0" w:line="169" w:lineRule="exact"/>
        <w:rPr>
          <w:sz w:val="20"/>
          <w:szCs w:val="20"/>
          <w:color w:val="auto"/>
        </w:rPr>
      </w:pPr>
    </w:p>
    <w:p>
      <w:pPr>
        <w:jc w:val="both"/>
        <w:ind w:left="840" w:right="59" w:firstLine="752"/>
        <w:spacing w:after="0" w:line="271" w:lineRule="auto"/>
        <w:tabs>
          <w:tab w:leader="none" w:pos="2366" w:val="left"/>
        </w:tabs>
        <w:numPr>
          <w:ilvl w:val="1"/>
          <w:numId w:val="193"/>
        </w:numPr>
        <w:rPr>
          <w:rFonts w:ascii="Arial" w:cs="Arial" w:eastAsia="Arial" w:hAnsi="Arial"/>
          <w:sz w:val="17"/>
          <w:szCs w:val="17"/>
          <w:color w:val="auto"/>
        </w:rPr>
      </w:pPr>
      <w:r>
        <w:rPr>
          <w:rFonts w:ascii="Arial" w:cs="Arial" w:eastAsia="Arial" w:hAnsi="Arial"/>
          <w:sz w:val="17"/>
          <w:szCs w:val="17"/>
          <w:color w:val="auto"/>
        </w:rPr>
        <w:t xml:space="preserve">except as to (A) currency, pricing (including any “MFN” or other pricing term), interest rate margins, rate floors, fees, funding discounts, amortization, final maturity date, premiums (including prepayment premiums), required prepayment dates and participation in prepayments (which shall, subject to immediately succeeding </w:t>
      </w:r>
      <w:r>
        <w:rPr>
          <w:rFonts w:ascii="Arial" w:cs="Arial" w:eastAsia="Arial" w:hAnsi="Arial"/>
          <w:sz w:val="17"/>
          <w:szCs w:val="17"/>
          <w:u w:val="single" w:color="auto"/>
          <w:color w:val="auto"/>
        </w:rPr>
        <w:t>clauses (iii)</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jc w:val="both"/>
        <w:ind w:left="840" w:right="59" w:firstLine="3"/>
        <w:spacing w:after="0" w:line="269" w:lineRule="auto"/>
        <w:tabs>
          <w:tab w:leader="none" w:pos="1167" w:val="left"/>
        </w:tabs>
        <w:numPr>
          <w:ilvl w:val="0"/>
          <w:numId w:val="194"/>
        </w:numPr>
        <w:rPr>
          <w:rFonts w:ascii="Arial" w:cs="Arial" w:eastAsia="Arial" w:hAnsi="Arial"/>
          <w:sz w:val="17"/>
          <w:szCs w:val="17"/>
          <w:u w:val="single" w:color="auto"/>
          <w:color w:val="auto"/>
        </w:rPr>
      </w:pPr>
      <w:r>
        <w:rPr>
          <w:rFonts w:ascii="Arial" w:cs="Arial" w:eastAsia="Arial" w:hAnsi="Arial"/>
          <w:sz w:val="17"/>
          <w:szCs w:val="17"/>
          <w:color w:val="auto"/>
        </w:rPr>
        <w:t xml:space="preserve">and </w:t>
      </w:r>
      <w:r>
        <w:rPr>
          <w:rFonts w:ascii="Arial" w:cs="Arial" w:eastAsia="Arial" w:hAnsi="Arial"/>
          <w:sz w:val="17"/>
          <w:szCs w:val="17"/>
          <w:u w:val="single" w:color="auto"/>
          <w:color w:val="auto"/>
        </w:rPr>
        <w:t>(v)</w:t>
      </w:r>
      <w:r>
        <w:rPr>
          <w:rFonts w:ascii="Arial" w:cs="Arial" w:eastAsia="Arial" w:hAnsi="Arial"/>
          <w:sz w:val="17"/>
          <w:szCs w:val="17"/>
          <w:color w:val="auto"/>
        </w:rPr>
        <w:t>, be determined by the Borrower and any Lender who agrees to an Extension of its Term Loans and set forth in the relevant Extension Offer), (B) terms applicable to such Extended Term Loans (as defined below) that are, taken as a whole, in the good faith determination of the Borrower, more favorable to the lenders or the agent of such Extended Term Loans than those contained in the Loan Documents applicable to the relevant Term Loans and are then conformed (or added) to the Loan Documents for the benefit of the Term Lenders in respect of such Term Loans or, as applicable, the Administrative Agent (</w:t>
      </w:r>
      <w:r>
        <w:rPr>
          <w:rFonts w:ascii="Arial" w:cs="Arial" w:eastAsia="Arial" w:hAnsi="Arial"/>
          <w:sz w:val="17"/>
          <w:szCs w:val="17"/>
          <w:i w:val="1"/>
          <w:iCs w:val="1"/>
          <w:color w:val="auto"/>
        </w:rPr>
        <w:t>i.e.</w:t>
      </w:r>
      <w:r>
        <w:rPr>
          <w:rFonts w:ascii="Arial" w:cs="Arial" w:eastAsia="Arial" w:hAnsi="Arial"/>
          <w:sz w:val="17"/>
          <w:szCs w:val="17"/>
          <w:color w:val="auto"/>
        </w:rPr>
        <w:t>, by conforming or adding a term to the then-outstanding Term Loans of the applicable Class pursuant to the applicable Extension Amendment), (C) terms, taken as a whole, that reflect then current market terms and conditions, taken as a whole, at the time of incurrence or issuance (as determined by the Borrower) and (D) any covenant or other provision applicable only to any period after the Latest Term Loan Maturity Date (in each case, as of the date of such Extension), the Term Loans of any Lender extended pursuant to any Extension (any such extended Term Loans, the “</w:t>
      </w:r>
      <w:r>
        <w:rPr>
          <w:rFonts w:ascii="Arial" w:cs="Arial" w:eastAsia="Arial" w:hAnsi="Arial"/>
          <w:sz w:val="17"/>
          <w:szCs w:val="17"/>
          <w:u w:val="single" w:color="auto"/>
          <w:color w:val="auto"/>
        </w:rPr>
        <w:t>Extended Term Loans</w:t>
      </w:r>
      <w:r>
        <w:rPr>
          <w:rFonts w:ascii="Arial" w:cs="Arial" w:eastAsia="Arial" w:hAnsi="Arial"/>
          <w:sz w:val="17"/>
          <w:szCs w:val="17"/>
          <w:color w:val="auto"/>
        </w:rPr>
        <w:t>”) shall have substantially consistent terms (or terms not less favorable to existing Lenders) as the tranche of Term Loans subject to the relevant Extension Offer;</w:t>
      </w:r>
    </w:p>
    <w:p>
      <w:pPr>
        <w:spacing w:after="0" w:line="176" w:lineRule="exact"/>
        <w:rPr>
          <w:rFonts w:ascii="Arial" w:cs="Arial" w:eastAsia="Arial" w:hAnsi="Arial"/>
          <w:sz w:val="17"/>
          <w:szCs w:val="17"/>
          <w:u w:val="single" w:color="auto"/>
          <w:color w:val="auto"/>
        </w:rPr>
      </w:pPr>
    </w:p>
    <w:p>
      <w:pPr>
        <w:jc w:val="both"/>
        <w:ind w:left="840" w:right="59" w:firstLine="751"/>
        <w:spacing w:after="0" w:line="245" w:lineRule="auto"/>
        <w:tabs>
          <w:tab w:leader="none" w:pos="2366" w:val="left"/>
        </w:tabs>
        <w:numPr>
          <w:ilvl w:val="1"/>
          <w:numId w:val="194"/>
        </w:numPr>
        <w:rPr>
          <w:rFonts w:ascii="Arial" w:cs="Arial" w:eastAsia="Arial" w:hAnsi="Arial"/>
          <w:sz w:val="19"/>
          <w:szCs w:val="19"/>
          <w:color w:val="auto"/>
        </w:rPr>
      </w:pPr>
      <w:r>
        <w:rPr>
          <w:rFonts w:ascii="Arial" w:cs="Arial" w:eastAsia="Arial" w:hAnsi="Arial"/>
          <w:sz w:val="19"/>
          <w:szCs w:val="19"/>
          <w:color w:val="auto"/>
        </w:rPr>
        <w:t>(x) the final maturity date of any Extended Term Loans may be no earlier than the then applicable Latest Term Loan Maturity Date at the time of Extension and (y) no Extended Revolving Credit Commitments or Extended Revolving Loans may have a final maturity date earlier than (or require commitment reductions prior to) the Latest Revolving Credit Maturity Date;</w:t>
      </w:r>
    </w:p>
    <w:p>
      <w:pPr>
        <w:spacing w:after="0" w:line="201" w:lineRule="exact"/>
        <w:rPr>
          <w:rFonts w:ascii="Arial" w:cs="Arial" w:eastAsia="Arial" w:hAnsi="Arial"/>
          <w:sz w:val="19"/>
          <w:szCs w:val="19"/>
          <w:color w:val="auto"/>
        </w:rPr>
      </w:pPr>
    </w:p>
    <w:p>
      <w:pPr>
        <w:ind w:left="840" w:right="59" w:firstLine="751"/>
        <w:spacing w:after="0" w:line="261" w:lineRule="auto"/>
        <w:tabs>
          <w:tab w:leader="none" w:pos="2366" w:val="left"/>
        </w:tabs>
        <w:numPr>
          <w:ilvl w:val="1"/>
          <w:numId w:val="194"/>
        </w:numPr>
        <w:rPr>
          <w:rFonts w:ascii="Arial" w:cs="Arial" w:eastAsia="Arial" w:hAnsi="Arial"/>
          <w:sz w:val="19"/>
          <w:szCs w:val="19"/>
          <w:color w:val="auto"/>
        </w:rPr>
      </w:pPr>
      <w:r>
        <w:rPr>
          <w:rFonts w:ascii="Arial" w:cs="Arial" w:eastAsia="Arial" w:hAnsi="Arial"/>
          <w:sz w:val="19"/>
          <w:szCs w:val="19"/>
          <w:color w:val="auto"/>
        </w:rPr>
        <w:t>the Weighted Average Life to Maturity of any Class of Extended Term Loans shall be no shorter than the remaining Weighted Average Life to Maturity of any then-existing Term Loans;</w:t>
      </w:r>
    </w:p>
    <w:p>
      <w:pPr>
        <w:spacing w:after="0" w:line="172" w:lineRule="exact"/>
        <w:rPr>
          <w:rFonts w:ascii="Arial" w:cs="Arial" w:eastAsia="Arial" w:hAnsi="Arial"/>
          <w:sz w:val="19"/>
          <w:szCs w:val="19"/>
          <w:color w:val="auto"/>
        </w:rPr>
      </w:pPr>
    </w:p>
    <w:p>
      <w:pPr>
        <w:ind w:left="840" w:right="59" w:firstLine="751"/>
        <w:spacing w:after="0" w:line="261" w:lineRule="auto"/>
        <w:tabs>
          <w:tab w:leader="none" w:pos="2366" w:val="left"/>
        </w:tabs>
        <w:numPr>
          <w:ilvl w:val="1"/>
          <w:numId w:val="194"/>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clauses (iii)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above, any Extended Term Loans may otherwise have an amortization schedule as determined by the Borrower and the Lenders providing such Extended Term Loans;</w:t>
      </w:r>
    </w:p>
    <w:p>
      <w:pPr>
        <w:spacing w:after="0" w:line="172" w:lineRule="exact"/>
        <w:rPr>
          <w:rFonts w:ascii="Arial" w:cs="Arial" w:eastAsia="Arial" w:hAnsi="Arial"/>
          <w:sz w:val="19"/>
          <w:szCs w:val="19"/>
          <w:color w:val="auto"/>
        </w:rPr>
      </w:pPr>
    </w:p>
    <w:p>
      <w:pPr>
        <w:jc w:val="both"/>
        <w:ind w:left="840" w:right="39" w:firstLine="751"/>
        <w:spacing w:after="0" w:line="249" w:lineRule="auto"/>
        <w:tabs>
          <w:tab w:leader="none" w:pos="2368" w:val="left"/>
        </w:tabs>
        <w:numPr>
          <w:ilvl w:val="1"/>
          <w:numId w:val="194"/>
        </w:numPr>
        <w:rPr>
          <w:rFonts w:ascii="Arial" w:cs="Arial" w:eastAsia="Arial" w:hAnsi="Arial"/>
          <w:sz w:val="19"/>
          <w:szCs w:val="19"/>
          <w:color w:val="auto"/>
        </w:rPr>
      </w:pPr>
      <w:r>
        <w:rPr>
          <w:rFonts w:ascii="Arial" w:cs="Arial" w:eastAsia="Arial" w:hAnsi="Arial"/>
          <w:sz w:val="19"/>
          <w:szCs w:val="19"/>
          <w:color w:val="auto"/>
        </w:rPr>
        <w:t xml:space="preserve">any Class of Extended Term Loans may participate (A) in any voluntary prepayment of Term Loans as set forth in </w:t>
      </w:r>
      <w:r>
        <w:rPr>
          <w:rFonts w:ascii="Arial" w:cs="Arial" w:eastAsia="Arial" w:hAnsi="Arial"/>
          <w:sz w:val="19"/>
          <w:szCs w:val="19"/>
          <w:u w:val="single" w:color="auto"/>
          <w:color w:val="auto"/>
        </w:rPr>
        <w:t>Section 2.11(a)(i)</w:t>
      </w:r>
      <w:r>
        <w:rPr>
          <w:rFonts w:ascii="Arial" w:cs="Arial" w:eastAsia="Arial" w:hAnsi="Arial"/>
          <w:sz w:val="19"/>
          <w:szCs w:val="19"/>
          <w:color w:val="auto"/>
        </w:rPr>
        <w:t xml:space="preserve"> and (B) in any mandatory prepayment of Term Loans as set forth in </w:t>
      </w:r>
      <w:r>
        <w:rPr>
          <w:rFonts w:ascii="Arial" w:cs="Arial" w:eastAsia="Arial" w:hAnsi="Arial"/>
          <w:sz w:val="19"/>
          <w:szCs w:val="19"/>
          <w:u w:val="single" w:color="auto"/>
          <w:color w:val="auto"/>
        </w:rPr>
        <w:t>Section 2.11(b)(vi)</w:t>
      </w:r>
      <w:r>
        <w:rPr>
          <w:rFonts w:ascii="Arial" w:cs="Arial" w:eastAsia="Arial" w:hAnsi="Arial"/>
          <w:sz w:val="19"/>
          <w:szCs w:val="19"/>
          <w:color w:val="auto"/>
        </w:rPr>
        <w:t>, in each case, to the extent provided in such Sections;</w:t>
      </w:r>
    </w:p>
    <w:p>
      <w:pPr>
        <w:spacing w:after="0" w:line="183" w:lineRule="exact"/>
        <w:rPr>
          <w:rFonts w:ascii="Arial" w:cs="Arial" w:eastAsia="Arial" w:hAnsi="Arial"/>
          <w:sz w:val="19"/>
          <w:szCs w:val="19"/>
          <w:color w:val="auto"/>
        </w:rPr>
      </w:pPr>
    </w:p>
    <w:p>
      <w:pPr>
        <w:jc w:val="both"/>
        <w:ind w:left="840" w:right="19" w:firstLine="751"/>
        <w:spacing w:after="0" w:line="261" w:lineRule="auto"/>
        <w:tabs>
          <w:tab w:leader="none" w:pos="2369"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if the aggregate principal amount of Loans or Commitments, as the case may be, in respect of which Lenders have accepted the relevant Extension Offer exceed the maximum aggregate principal amount of Loans or Commitments, as the case may be, offered to be extended by the Borrower pursuant to such Extension Offer, then the Loans or Commitments, as the case may be, of such Lenders shall be extended ratably up to such maximum amount based on the respective principal amounts (but not to exceed the applicable Lender’s actual holdings of record) with respect to which such Lenders have accepted such Extension Offer;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114</w:t>
      </w:r>
      <w:r>
        <w:rPr>
          <w:rFonts w:ascii="Arial" w:cs="Arial" w:eastAsia="Arial" w:hAnsi="Arial"/>
          <w:sz w:val="18"/>
          <w:szCs w:val="18"/>
          <w:u w:val="single" w:color="auto"/>
          <w:color w:val="0000FF"/>
          <w:strike w:val="1"/>
        </w:rPr>
        <w:t>114</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82" w:name="page183"/>
    <w:bookmarkEnd w:id="182"/>
    <w:p>
      <w:pPr>
        <w:ind w:left="2360" w:hanging="769"/>
        <w:spacing w:after="0"/>
        <w:tabs>
          <w:tab w:leader="none" w:pos="236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unless the Administrative Agent otherwise agrees, any Extension must be in a minimum amount of</w:t>
      </w:r>
    </w:p>
    <w:p>
      <w:pPr>
        <w:spacing w:after="0" w:line="36" w:lineRule="exact"/>
        <w:rPr>
          <w:rFonts w:ascii="Arial" w:cs="Arial" w:eastAsia="Arial" w:hAnsi="Arial"/>
          <w:sz w:val="17"/>
          <w:szCs w:val="17"/>
          <w:color w:val="auto"/>
        </w:rPr>
      </w:pPr>
    </w:p>
    <w:p>
      <w:pPr>
        <w:ind w:left="840"/>
        <w:spacing w:after="0"/>
        <w:rPr>
          <w:rFonts w:ascii="Arial" w:cs="Arial" w:eastAsia="Arial" w:hAnsi="Arial"/>
          <w:sz w:val="17"/>
          <w:szCs w:val="17"/>
          <w:color w:val="auto"/>
        </w:rPr>
      </w:pPr>
      <w:r>
        <w:rPr>
          <w:rFonts w:ascii="Arial" w:cs="Arial" w:eastAsia="Arial" w:hAnsi="Arial"/>
          <w:sz w:val="19"/>
          <w:szCs w:val="19"/>
          <w:color w:val="auto"/>
        </w:rPr>
        <w:t>$5,000,000;</w:t>
      </w:r>
    </w:p>
    <w:p>
      <w:pPr>
        <w:spacing w:after="0" w:line="211" w:lineRule="exact"/>
        <w:rPr>
          <w:rFonts w:ascii="Arial" w:cs="Arial" w:eastAsia="Arial" w:hAnsi="Arial"/>
          <w:sz w:val="17"/>
          <w:szCs w:val="17"/>
          <w:color w:val="auto"/>
        </w:rPr>
      </w:pPr>
    </w:p>
    <w:p>
      <w:pPr>
        <w:ind w:left="2360" w:hanging="769"/>
        <w:spacing w:after="0"/>
        <w:tabs>
          <w:tab w:leader="none" w:pos="2360" w:val="left"/>
        </w:tabs>
        <w:numPr>
          <w:ilvl w:val="1"/>
          <w:numId w:val="195"/>
        </w:numPr>
        <w:rPr>
          <w:rFonts w:ascii="Arial" w:cs="Arial" w:eastAsia="Arial" w:hAnsi="Arial"/>
          <w:sz w:val="19"/>
          <w:szCs w:val="19"/>
          <w:color w:val="auto"/>
        </w:rPr>
      </w:pPr>
      <w:r>
        <w:rPr>
          <w:rFonts w:ascii="Arial" w:cs="Arial" w:eastAsia="Arial" w:hAnsi="Arial"/>
          <w:sz w:val="19"/>
          <w:szCs w:val="19"/>
          <w:color w:val="auto"/>
        </w:rPr>
        <w:t>any applicable Minimum Extension Condition must be satisfied or waived by the Borrower;</w:t>
      </w:r>
    </w:p>
    <w:p>
      <w:pPr>
        <w:spacing w:after="0" w:line="213" w:lineRule="exact"/>
        <w:rPr>
          <w:rFonts w:ascii="Arial" w:cs="Arial" w:eastAsia="Arial" w:hAnsi="Arial"/>
          <w:sz w:val="19"/>
          <w:szCs w:val="19"/>
          <w:color w:val="auto"/>
        </w:rPr>
      </w:pPr>
    </w:p>
    <w:p>
      <w:pPr>
        <w:ind w:left="2360" w:hanging="769"/>
        <w:spacing w:after="0"/>
        <w:tabs>
          <w:tab w:leader="none" w:pos="2360" w:val="left"/>
        </w:tabs>
        <w:numPr>
          <w:ilvl w:val="1"/>
          <w:numId w:val="195"/>
        </w:numPr>
        <w:rPr>
          <w:rFonts w:ascii="Arial" w:cs="Arial" w:eastAsia="Arial" w:hAnsi="Arial"/>
          <w:sz w:val="19"/>
          <w:szCs w:val="19"/>
          <w:color w:val="auto"/>
        </w:rPr>
      </w:pPr>
      <w:r>
        <w:rPr>
          <w:rFonts w:ascii="Arial" w:cs="Arial" w:eastAsia="Arial" w:hAnsi="Arial"/>
          <w:sz w:val="19"/>
          <w:szCs w:val="19"/>
          <w:color w:val="auto"/>
        </w:rPr>
        <w:t>any documentation in respect of any Extension shall be consistent with the foregoing; and</w:t>
      </w:r>
    </w:p>
    <w:p>
      <w:pPr>
        <w:spacing w:after="0" w:line="213" w:lineRule="exact"/>
        <w:rPr>
          <w:rFonts w:ascii="Arial" w:cs="Arial" w:eastAsia="Arial" w:hAnsi="Arial"/>
          <w:sz w:val="19"/>
          <w:szCs w:val="19"/>
          <w:color w:val="auto"/>
        </w:rPr>
      </w:pPr>
    </w:p>
    <w:p>
      <w:pPr>
        <w:jc w:val="both"/>
        <w:ind w:left="840" w:right="59" w:firstLine="751"/>
        <w:spacing w:after="0" w:line="278" w:lineRule="auto"/>
        <w:tabs>
          <w:tab w:leader="none" w:pos="2366" w:val="left"/>
        </w:tabs>
        <w:numPr>
          <w:ilvl w:val="1"/>
          <w:numId w:val="195"/>
        </w:numPr>
        <w:rPr>
          <w:rFonts w:ascii="Arial" w:cs="Arial" w:eastAsia="Arial" w:hAnsi="Arial"/>
          <w:sz w:val="17"/>
          <w:szCs w:val="17"/>
          <w:color w:val="auto"/>
        </w:rPr>
      </w:pPr>
      <w:r>
        <w:rPr>
          <w:rFonts w:ascii="Arial" w:cs="Arial" w:eastAsia="Arial" w:hAnsi="Arial"/>
          <w:sz w:val="17"/>
          <w:szCs w:val="17"/>
          <w:color w:val="auto"/>
        </w:rPr>
        <w:t>no Extension of any Revolving Facility shall be effective as to the obligations of the Swingline Lender to make any Swingline Loan or any Issuing Bank with respect to Letters of Credit without the consent of the Swingline Lender or such Issuing Bank (such consents not to be unreasonably withheld or delayed) (and, in the absence of such consent, all references herein to Latest Revolving Credit Maturity Date shall be determined, when used in reference to the Swingline Lender or such Issuing Bank, as applicable, without giving effect to such Extension).</w:t>
      </w:r>
    </w:p>
    <w:p>
      <w:pPr>
        <w:spacing w:after="0" w:line="163" w:lineRule="exact"/>
        <w:rPr>
          <w:rFonts w:ascii="Arial" w:cs="Arial" w:eastAsia="Arial" w:hAnsi="Arial"/>
          <w:sz w:val="17"/>
          <w:szCs w:val="17"/>
          <w:color w:val="auto"/>
        </w:rPr>
      </w:pPr>
    </w:p>
    <w:p>
      <w:pPr>
        <w:jc w:val="both"/>
        <w:ind w:left="100" w:right="39" w:firstLine="741"/>
        <w:spacing w:after="0" w:line="271" w:lineRule="auto"/>
        <w:tabs>
          <w:tab w:leader="none" w:pos="1521"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(i) No Extension consummated in reliance on this </w:t>
      </w:r>
      <w:r>
        <w:rPr>
          <w:rFonts w:ascii="Arial" w:cs="Arial" w:eastAsia="Arial" w:hAnsi="Arial"/>
          <w:sz w:val="17"/>
          <w:szCs w:val="17"/>
          <w:u w:val="single" w:color="auto"/>
          <w:color w:val="auto"/>
        </w:rPr>
        <w:t>Section 2.23</w:t>
      </w:r>
      <w:r>
        <w:rPr>
          <w:rFonts w:ascii="Arial" w:cs="Arial" w:eastAsia="Arial" w:hAnsi="Arial"/>
          <w:sz w:val="17"/>
          <w:szCs w:val="17"/>
          <w:color w:val="auto"/>
        </w:rPr>
        <w:t xml:space="preserve"> shall constitute a voluntary or mandatory prepayment for purposes of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(ii) the scheduled amortization payments (insofar as such schedule affects payments due to Lenders participating in the relevant Class) set forth in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shall be adjusted to give effect to any Extension of any Class of Loans and/or Commitments and (iii) except as set forth in </w:t>
      </w:r>
      <w:r>
        <w:rPr>
          <w:rFonts w:ascii="Arial" w:cs="Arial" w:eastAsia="Arial" w:hAnsi="Arial"/>
          <w:sz w:val="17"/>
          <w:szCs w:val="17"/>
          <w:u w:val="single" w:color="auto"/>
          <w:color w:val="auto"/>
        </w:rPr>
        <w:t>clause (a)(viii)</w:t>
      </w:r>
      <w:r>
        <w:rPr>
          <w:rFonts w:ascii="Arial" w:cs="Arial" w:eastAsia="Arial" w:hAnsi="Arial"/>
          <w:sz w:val="17"/>
          <w:szCs w:val="17"/>
          <w:color w:val="auto"/>
        </w:rPr>
        <w:t xml:space="preserve"> above, no Extension Offer is required to be in any minimum amount or any minimum increment;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may at its election specify as a condition (a “</w:t>
      </w:r>
      <w:r>
        <w:rPr>
          <w:rFonts w:ascii="Arial" w:cs="Arial" w:eastAsia="Arial" w:hAnsi="Arial"/>
          <w:sz w:val="17"/>
          <w:szCs w:val="17"/>
          <w:u w:val="single" w:color="auto"/>
          <w:color w:val="auto"/>
        </w:rPr>
        <w:t>Minimum</w:t>
      </w:r>
      <w:r>
        <w:rPr>
          <w:rFonts w:ascii="Arial" w:cs="Arial" w:eastAsia="Arial" w:hAnsi="Arial"/>
          <w:sz w:val="17"/>
          <w:szCs w:val="17"/>
          <w:color w:val="auto"/>
        </w:rPr>
        <w:t xml:space="preserve"> </w:t>
      </w:r>
      <w:r>
        <w:rPr>
          <w:rFonts w:ascii="Arial" w:cs="Arial" w:eastAsia="Arial" w:hAnsi="Arial"/>
          <w:sz w:val="17"/>
          <w:szCs w:val="17"/>
          <w:u w:val="single" w:color="auto"/>
          <w:color w:val="auto"/>
        </w:rPr>
        <w:t>Extension Condition</w:t>
      </w:r>
      <w:r>
        <w:rPr>
          <w:rFonts w:ascii="Arial" w:cs="Arial" w:eastAsia="Arial" w:hAnsi="Arial"/>
          <w:sz w:val="17"/>
          <w:szCs w:val="17"/>
          <w:color w:val="auto"/>
        </w:rPr>
        <w:t xml:space="preserve">”) to the consummation of any Extension that a minimum amount (to be specified in the relevant Extension Offer in the Borrower’s sole discretion) of Loans or Commitments (as applicable) of any or all applicable tranches be tendered; it being understood that the Borrower may, in its sole discretion, waive any such Minimum Extension Condition. The Administrative Agent and the Lenders hereby consent to the transactions contemplated by this </w:t>
      </w:r>
      <w:r>
        <w:rPr>
          <w:rFonts w:ascii="Arial" w:cs="Arial" w:eastAsia="Arial" w:hAnsi="Arial"/>
          <w:sz w:val="17"/>
          <w:szCs w:val="17"/>
          <w:u w:val="single" w:color="auto"/>
          <w:color w:val="auto"/>
        </w:rPr>
        <w:t>Section 2.23</w:t>
      </w:r>
      <w:r>
        <w:rPr>
          <w:rFonts w:ascii="Arial" w:cs="Arial" w:eastAsia="Arial" w:hAnsi="Arial"/>
          <w:sz w:val="17"/>
          <w:szCs w:val="17"/>
          <w:color w:val="auto"/>
        </w:rPr>
        <w:t xml:space="preserve"> (including, for the avoidance of doubt, the payment of any interest, fees or premium in respect of any Extended Term Loans and/or Extended Revolving Credit Commitments on such terms as may be set forth in the relevant Extension Offer) and hereby waive the requirements of any provision of this Agreement (including </w:t>
      </w:r>
      <w:r>
        <w:rPr>
          <w:rFonts w:ascii="Arial" w:cs="Arial" w:eastAsia="Arial" w:hAnsi="Arial"/>
          <w:sz w:val="17"/>
          <w:szCs w:val="17"/>
          <w:u w:val="single" w:color="auto"/>
          <w:color w:val="auto"/>
        </w:rPr>
        <w:t>Sections 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2.18</w:t>
      </w:r>
      <w:r>
        <w:rPr>
          <w:rFonts w:ascii="Arial" w:cs="Arial" w:eastAsia="Arial" w:hAnsi="Arial"/>
          <w:sz w:val="17"/>
          <w:szCs w:val="17"/>
          <w:color w:val="auto"/>
        </w:rPr>
        <w:t>) or any other Loan Document that may otherwise prohibit any such Extension or any other transaction contemplated by this Section.</w:t>
      </w:r>
    </w:p>
    <w:p>
      <w:pPr>
        <w:spacing w:after="0" w:line="168" w:lineRule="exact"/>
        <w:rPr>
          <w:rFonts w:ascii="Arial" w:cs="Arial" w:eastAsia="Arial" w:hAnsi="Arial"/>
          <w:sz w:val="17"/>
          <w:szCs w:val="17"/>
          <w:color w:val="auto"/>
        </w:rPr>
      </w:pPr>
    </w:p>
    <w:p>
      <w:pPr>
        <w:jc w:val="both"/>
        <w:ind w:left="100" w:right="59" w:firstLine="741"/>
        <w:spacing w:after="0" w:line="273" w:lineRule="auto"/>
        <w:tabs>
          <w:tab w:leader="none" w:pos="1519"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Subject to any consent required under </w:t>
      </w:r>
      <w:r>
        <w:rPr>
          <w:rFonts w:ascii="Arial" w:cs="Arial" w:eastAsia="Arial" w:hAnsi="Arial"/>
          <w:sz w:val="17"/>
          <w:szCs w:val="17"/>
          <w:u w:val="single" w:color="auto"/>
          <w:color w:val="auto"/>
        </w:rPr>
        <w:t>Section 2.23(a)(xi)</w:t>
      </w:r>
      <w:r>
        <w:rPr>
          <w:rFonts w:ascii="Arial" w:cs="Arial" w:eastAsia="Arial" w:hAnsi="Arial"/>
          <w:sz w:val="17"/>
          <w:szCs w:val="17"/>
          <w:color w:val="auto"/>
        </w:rPr>
        <w:t xml:space="preserve">, no consent of any Lender or the Administrative Agent shall be required to effectuate any Extension, other than the consent of each Lender agreeing to such Extension with respect to one or more of its Loans and/or Commitments of any Class (or a portion thereof). All Extended Term Loans and Extended Revolving Credit Commitments and all obligations in respect thereof shall constitute Secured Obligations under this Agreement and the other Loan Documents that are secured by the Collateral and guaranteed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all other applicable Secured Obligations under this Agreement and the other Loan Documents. The Lenders hereby irrevocably authorize the Administrative Agent to enter into any Extension Amendment and any amendment to any of the other Loan Documents with the Loan Parties as may be necessary in order to establish new Classes or sub-Classes in respect of Loans or Commitments so extended and such technical amendments as may be necessary or appropriate in the reasonable opinion of the Administrative Agent and the Borrower in connection with the establishment of such new Classes or sub-Classes, in each case on terms consistent with this </w:t>
      </w:r>
      <w:r>
        <w:rPr>
          <w:rFonts w:ascii="Arial" w:cs="Arial" w:eastAsia="Arial" w:hAnsi="Arial"/>
          <w:sz w:val="17"/>
          <w:szCs w:val="17"/>
          <w:u w:val="single" w:color="auto"/>
          <w:color w:val="auto"/>
        </w:rPr>
        <w:t>Section 2.23</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left="100" w:right="59" w:firstLine="741"/>
        <w:spacing w:after="0" w:line="260" w:lineRule="auto"/>
        <w:tabs>
          <w:tab w:leader="none" w:pos="15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In connection with any Extension, the Borrower shall provide the Administrative Agent at least five Business Days’ (or such shorter period as may be agreed by the Administrative Agent) prior written notice thereof, and shall agree to such procedures (including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w:t>
      </w:r>
      <w:r>
        <w:rPr>
          <w:rFonts w:ascii="Arial" w:cs="Arial" w:eastAsia="Arial" w:hAnsi="Arial"/>
          <w:sz w:val="18"/>
          <w:szCs w:val="18"/>
          <w:u w:val="single" w:color="auto"/>
          <w:color w:val="auto"/>
        </w:rPr>
        <w:t>Section 2.23</w:t>
      </w:r>
      <w:r>
        <w:rPr>
          <w:rFonts w:ascii="Arial" w:cs="Arial" w:eastAsia="Arial" w:hAnsi="Arial"/>
          <w:sz w:val="18"/>
          <w:szCs w:val="18"/>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115</w:t>
      </w:r>
      <w:r>
        <w:rPr>
          <w:rFonts w:ascii="Arial" w:cs="Arial" w:eastAsia="Arial" w:hAnsi="Arial"/>
          <w:sz w:val="18"/>
          <w:szCs w:val="18"/>
          <w:u w:val="single" w:color="auto"/>
          <w:color w:val="0000FF"/>
          <w:strike w:val="1"/>
        </w:rPr>
        <w:t>115</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83" w:name="page184"/>
    <w:bookmarkEnd w:id="183"/>
    <w:p>
      <w:pPr>
        <w:ind w:left="4420"/>
        <w:spacing w:after="0"/>
        <w:rPr>
          <w:sz w:val="20"/>
          <w:szCs w:val="20"/>
          <w:color w:val="auto"/>
        </w:rPr>
      </w:pPr>
      <w:r>
        <w:rPr>
          <w:rFonts w:ascii="Arial" w:cs="Arial" w:eastAsia="Arial" w:hAnsi="Arial"/>
          <w:sz w:val="19"/>
          <w:szCs w:val="19"/>
          <w:color w:val="auto"/>
        </w:rPr>
        <w:t>ARTICLE 3 REPRESENTATIONS</w:t>
      </w:r>
    </w:p>
    <w:p>
      <w:pPr>
        <w:spacing w:after="0" w:line="200" w:lineRule="exact"/>
        <w:rPr>
          <w:sz w:val="20"/>
          <w:szCs w:val="20"/>
          <w:color w:val="auto"/>
        </w:rPr>
      </w:pPr>
    </w:p>
    <w:p>
      <w:pPr>
        <w:ind w:left="2940"/>
        <w:spacing w:after="0"/>
        <w:rPr>
          <w:sz w:val="20"/>
          <w:szCs w:val="20"/>
          <w:color w:val="auto"/>
        </w:rPr>
      </w:pPr>
      <w:r>
        <w:rPr>
          <w:rFonts w:ascii="Arial" w:cs="Arial" w:eastAsia="Arial" w:hAnsi="Arial"/>
          <w:sz w:val="19"/>
          <w:szCs w:val="19"/>
          <w:color w:val="auto"/>
        </w:rPr>
        <w:t>AND WARRANTIES</w:t>
      </w:r>
    </w:p>
    <w:p>
      <w:pPr>
        <w:spacing w:after="0" w:line="106" w:lineRule="exact"/>
        <w:rPr>
          <w:sz w:val="20"/>
          <w:szCs w:val="20"/>
          <w:color w:val="auto"/>
        </w:rPr>
      </w:pPr>
    </w:p>
    <w:p>
      <w:pPr>
        <w:jc w:val="both"/>
        <w:ind w:left="100" w:right="59" w:firstLine="749"/>
        <w:spacing w:after="0" w:line="246" w:lineRule="auto"/>
        <w:rPr>
          <w:sz w:val="20"/>
          <w:szCs w:val="20"/>
          <w:color w:val="auto"/>
        </w:rPr>
      </w:pPr>
      <w:r>
        <w:rPr>
          <w:rFonts w:ascii="Arial" w:cs="Arial" w:eastAsia="Arial" w:hAnsi="Arial"/>
          <w:sz w:val="19"/>
          <w:szCs w:val="19"/>
          <w:color w:val="auto"/>
        </w:rPr>
        <w:t xml:space="preserve">On the dates and to the extent required pursuant to </w:t>
      </w:r>
      <w:r>
        <w:rPr>
          <w:rFonts w:ascii="Arial" w:cs="Arial" w:eastAsia="Arial" w:hAnsi="Arial"/>
          <w:sz w:val="19"/>
          <w:szCs w:val="19"/>
          <w:u w:val="single" w:color="auto"/>
          <w:color w:val="auto"/>
        </w:rPr>
        <w:t>Sections 4.01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4.02</w:t>
      </w:r>
      <w:r>
        <w:rPr>
          <w:rFonts w:ascii="Arial" w:cs="Arial" w:eastAsia="Arial" w:hAnsi="Arial"/>
          <w:sz w:val="19"/>
          <w:szCs w:val="19"/>
          <w:color w:val="auto"/>
        </w:rPr>
        <w:t>, as applicable, the Borrower hereby represents and warrants to the Lenders, the Issuing Banks and the Administrative Agent that:</w:t>
      </w:r>
    </w:p>
    <w:p>
      <w:pPr>
        <w:spacing w:after="0" w:line="173" w:lineRule="exact"/>
        <w:rPr>
          <w:sz w:val="20"/>
          <w:szCs w:val="20"/>
          <w:color w:val="auto"/>
        </w:rPr>
      </w:pPr>
    </w:p>
    <w:p>
      <w:pPr>
        <w:jc w:val="both"/>
        <w:ind w:left="100" w:right="59" w:firstLine="749"/>
        <w:spacing w:after="0" w:line="244"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Powers</w:t>
      </w:r>
      <w:r>
        <w:rPr>
          <w:rFonts w:ascii="Arial" w:cs="Arial" w:eastAsia="Arial" w:hAnsi="Arial"/>
          <w:sz w:val="18"/>
          <w:szCs w:val="18"/>
          <w:color w:val="auto"/>
        </w:rPr>
        <w:t xml:space="preserve">. Holdings, the Borrower and each of its Restricted Subsidiaries (a) is (i) duly organized or incorporated (as applicable) and validly existing and (ii) in good standing (to the extent such concept exists in the relevant jurisdiction) under the Requirements of Law of its jurisdiction of organization, (b) has all requisite organizational power and authority to own its assets and to carry on its business as now conducted and (c) is qualified to do business in, and is in good standing (to the extent such concept exists in the relevant jurisdiction) in, every jurisdiction where the ownership, lease or operation of its properties or conduct of its business requires such qualification, except, in each case referred to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clause (a)(i)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 (b)</w:t>
      </w:r>
      <w:r>
        <w:rPr>
          <w:rFonts w:ascii="Arial" w:cs="Arial" w:eastAsia="Arial" w:hAnsi="Arial"/>
          <w:sz w:val="18"/>
          <w:szCs w:val="18"/>
          <w:color w:val="auto"/>
        </w:rPr>
        <w:t>, in each case, with respect to the Borrower) where the failure to do so, individually or in the aggregate, would not reasonably be expected to result in a Material Adverse Effect.</w:t>
      </w:r>
    </w:p>
    <w:p>
      <w:pPr>
        <w:spacing w:after="0" w:line="193" w:lineRule="exact"/>
        <w:rPr>
          <w:sz w:val="20"/>
          <w:szCs w:val="20"/>
          <w:color w:val="auto"/>
        </w:rPr>
      </w:pPr>
    </w:p>
    <w:p>
      <w:pPr>
        <w:jc w:val="both"/>
        <w:ind w:left="100" w:right="59" w:firstLine="749"/>
        <w:spacing w:after="0" w:line="248"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The execution, delivery and performance by each Loan Party of each Loan Document to which such Loan Party is a party (a) are within such Loan Party’s corporate or other organizational power and (b) have been duly authorized by all necessary corporate or other organizational action of such Loan Party. Each Loan Document to which any Loan Party is a party has been duly executed and delivered by such Loan Party and is a legal, valid and binding obligation of such Loan Party, enforceable in accordance with its terms, subject to the Legal Reservations.</w:t>
      </w:r>
    </w:p>
    <w:p>
      <w:pPr>
        <w:spacing w:after="0" w:line="173" w:lineRule="exact"/>
        <w:rPr>
          <w:sz w:val="20"/>
          <w:szCs w:val="20"/>
          <w:color w:val="auto"/>
        </w:rPr>
      </w:pPr>
    </w:p>
    <w:p>
      <w:pPr>
        <w:jc w:val="both"/>
        <w:ind w:left="100" w:right="59" w:firstLine="749"/>
        <w:spacing w:after="0" w:line="230"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Governmental Approvals; No Conflicts</w:t>
      </w:r>
      <w:r>
        <w:rPr>
          <w:rFonts w:ascii="Arial" w:cs="Arial" w:eastAsia="Arial" w:hAnsi="Arial"/>
          <w:sz w:val="19"/>
          <w:szCs w:val="19"/>
          <w:color w:val="auto"/>
        </w:rPr>
        <w:t>. The execution and delivery of each Loan Document by each Loan Party party thereto and the performance by such Loan Party of its obligations thereunder (a) do not require any consent or approval of, registration or filing with, or any other action by, any Governmental Authority, except (i) such as have been obtained or made and are in full force and effect,</w:t>
      </w:r>
    </w:p>
    <w:p>
      <w:pPr>
        <w:spacing w:after="0" w:line="2" w:lineRule="exact"/>
        <w:rPr>
          <w:sz w:val="20"/>
          <w:szCs w:val="20"/>
          <w:color w:val="auto"/>
        </w:rPr>
      </w:pPr>
    </w:p>
    <w:p>
      <w:pPr>
        <w:jc w:val="both"/>
        <w:ind w:left="100" w:right="59" w:hanging="7"/>
        <w:spacing w:after="0" w:line="257" w:lineRule="auto"/>
        <w:tabs>
          <w:tab w:leader="none" w:pos="39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in connection with the Perfection Requirements and (iii) such consents, approvals, registrations, filings, or other actions the failure to obtain or make which would not be reasonably expected to have a Material Adverse Effect, (b) will not violate any (i) of such Loan Party’s Organizational Documents or (ii) Requirement of Law applicable to such Loan Party which violation, in the case of this </w:t>
      </w:r>
      <w:r>
        <w:rPr>
          <w:rFonts w:ascii="Arial" w:cs="Arial" w:eastAsia="Arial" w:hAnsi="Arial"/>
          <w:sz w:val="18"/>
          <w:szCs w:val="18"/>
          <w:u w:val="single" w:color="auto"/>
          <w:color w:val="auto"/>
        </w:rPr>
        <w:t>clause (b)(ii)</w:t>
      </w:r>
      <w:r>
        <w:rPr>
          <w:rFonts w:ascii="Arial" w:cs="Arial" w:eastAsia="Arial" w:hAnsi="Arial"/>
          <w:sz w:val="18"/>
          <w:szCs w:val="18"/>
          <w:color w:val="auto"/>
        </w:rPr>
        <w:t xml:space="preserve">, would reasonably be expected to have a Material Adverse Effect and (c) will not violate or result in a default under any material Contractual Obligation to which such Loan Party is a party which violation, in the case of this </w:t>
      </w:r>
      <w:r>
        <w:rPr>
          <w:rFonts w:ascii="Arial" w:cs="Arial" w:eastAsia="Arial" w:hAnsi="Arial"/>
          <w:sz w:val="18"/>
          <w:szCs w:val="18"/>
          <w:u w:val="single" w:color="auto"/>
          <w:color w:val="auto"/>
        </w:rPr>
        <w:t>clause (c)</w:t>
      </w:r>
      <w:r>
        <w:rPr>
          <w:rFonts w:ascii="Arial" w:cs="Arial" w:eastAsia="Arial" w:hAnsi="Arial"/>
          <w:sz w:val="18"/>
          <w:szCs w:val="18"/>
          <w:color w:val="auto"/>
        </w:rPr>
        <w:t>, would reasonably be expected to result in a Material Adverse Effect.</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3.04.  </w:t>
      </w:r>
      <w:r>
        <w:rPr>
          <w:rFonts w:ascii="Arial" w:cs="Arial" w:eastAsia="Arial" w:hAnsi="Arial"/>
          <w:sz w:val="19"/>
          <w:szCs w:val="19"/>
          <w:u w:val="single" w:color="auto"/>
          <w:color w:val="auto"/>
        </w:rPr>
        <w:t>Financial Condition; No Material Adverse Effect</w:t>
      </w:r>
      <w:r>
        <w:rPr>
          <w:rFonts w:ascii="Arial" w:cs="Arial" w:eastAsia="Arial" w:hAnsi="Arial"/>
          <w:sz w:val="19"/>
          <w:szCs w:val="19"/>
          <w:color w:val="auto"/>
        </w:rPr>
        <w:t>.</w:t>
      </w:r>
    </w:p>
    <w:p>
      <w:pPr>
        <w:spacing w:after="0" w:line="200" w:lineRule="exact"/>
        <w:rPr>
          <w:sz w:val="20"/>
          <w:szCs w:val="20"/>
          <w:color w:val="auto"/>
        </w:rPr>
      </w:pPr>
    </w:p>
    <w:p>
      <w:pPr>
        <w:jc w:val="both"/>
        <w:ind w:left="100" w:right="59" w:firstLine="741"/>
        <w:spacing w:after="0" w:line="283" w:lineRule="auto"/>
        <w:tabs>
          <w:tab w:leader="none" w:pos="152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The financial statements most recently provided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as applicable, present fairly, in all material respects, the financial position and results of operations and cash flows of the Borrower on a consolidated basis as of such dates and for such periods in accordance with GAAP, (i) except as otherwise expressly noted herein, (ii) subject, in the case of quarterly financial statements, to the absence of footnotes and normal year-end adjustments and (iii) if applicable, except as may be necessary to reflect any differing entities and/or organizational structure prior to giving effect to the Transactions.</w:t>
      </w:r>
    </w:p>
    <w:p>
      <w:pPr>
        <w:spacing w:after="0" w:line="157" w:lineRule="exact"/>
        <w:rPr>
          <w:rFonts w:ascii="Arial" w:cs="Arial" w:eastAsia="Arial" w:hAnsi="Arial"/>
          <w:sz w:val="17"/>
          <w:szCs w:val="17"/>
          <w:color w:val="auto"/>
        </w:rPr>
      </w:pPr>
    </w:p>
    <w:p>
      <w:pPr>
        <w:ind w:left="100" w:right="79" w:firstLine="742"/>
        <w:spacing w:after="0" w:line="261" w:lineRule="auto"/>
        <w:tabs>
          <w:tab w:leader="none" w:pos="152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Since the Closing Date, there have been no events, developments or circumstances that have had, or would reasonably be expected to have, individually or in the aggregate, a Material Adverse Effect that is continuing.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116</w:t>
      </w:r>
      <w:r>
        <w:rPr>
          <w:rFonts w:ascii="Arial" w:cs="Arial" w:eastAsia="Arial" w:hAnsi="Arial"/>
          <w:sz w:val="18"/>
          <w:szCs w:val="18"/>
          <w:u w:val="single" w:color="auto"/>
          <w:color w:val="0000FF"/>
          <w:strike w:val="1"/>
        </w:rPr>
        <w:t>116</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279" w:right="1440" w:bottom="1440" w:gutter="0" w:footer="0" w:header="0"/>
        </w:sectPr>
      </w:pPr>
    </w:p>
    <w:bookmarkStart w:id="184" w:name="page185"/>
    <w:bookmarkEnd w:id="184"/>
    <w:p>
      <w:pPr>
        <w:ind w:left="840"/>
        <w:spacing w:after="0"/>
        <w:rPr>
          <w:sz w:val="20"/>
          <w:szCs w:val="20"/>
          <w:color w:val="auto"/>
        </w:rPr>
      </w:pPr>
      <w:r>
        <w:rPr>
          <w:rFonts w:ascii="Arial" w:cs="Arial" w:eastAsia="Arial" w:hAnsi="Arial"/>
          <w:sz w:val="19"/>
          <w:szCs w:val="19"/>
          <w:color w:val="auto"/>
        </w:rPr>
        <w:t xml:space="preserve">Section 3.05.  </w:t>
      </w:r>
      <w:r>
        <w:rPr>
          <w:rFonts w:ascii="Arial" w:cs="Arial" w:eastAsia="Arial" w:hAnsi="Arial"/>
          <w:sz w:val="19"/>
          <w:szCs w:val="19"/>
          <w:u w:val="single" w:color="auto"/>
          <w:color w:val="auto"/>
        </w:rPr>
        <w:t>Properties</w:t>
      </w:r>
      <w:r>
        <w:rPr>
          <w:rFonts w:ascii="Arial" w:cs="Arial" w:eastAsia="Arial" w:hAnsi="Arial"/>
          <w:sz w:val="19"/>
          <w:szCs w:val="19"/>
          <w:color w:val="auto"/>
        </w:rPr>
        <w:t>.</w:t>
      </w:r>
    </w:p>
    <w:p>
      <w:pPr>
        <w:spacing w:after="0" w:line="214" w:lineRule="exact"/>
        <w:rPr>
          <w:sz w:val="20"/>
          <w:szCs w:val="20"/>
          <w:color w:val="auto"/>
        </w:rPr>
      </w:pPr>
    </w:p>
    <w:p>
      <w:pPr>
        <w:ind w:left="1600" w:hanging="758"/>
        <w:spacing w:after="0"/>
        <w:tabs>
          <w:tab w:leader="none" w:pos="160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[Reserved].</w:t>
      </w:r>
    </w:p>
    <w:p>
      <w:pPr>
        <w:spacing w:after="0" w:line="213" w:lineRule="exact"/>
        <w:rPr>
          <w:rFonts w:ascii="Arial" w:cs="Arial" w:eastAsia="Arial" w:hAnsi="Arial"/>
          <w:sz w:val="19"/>
          <w:szCs w:val="19"/>
          <w:color w:val="auto"/>
        </w:rPr>
      </w:pPr>
    </w:p>
    <w:p>
      <w:pPr>
        <w:jc w:val="both"/>
        <w:ind w:left="100" w:right="59" w:firstLine="741"/>
        <w:spacing w:after="0" w:line="242" w:lineRule="auto"/>
        <w:tabs>
          <w:tab w:leader="none" w:pos="1519" w:val="left"/>
        </w:tabs>
        <w:numPr>
          <w:ilvl w:val="0"/>
          <w:numId w:val="199"/>
        </w:numPr>
        <w:rPr>
          <w:rFonts w:ascii="Arial" w:cs="Arial" w:eastAsia="Arial" w:hAnsi="Arial"/>
          <w:sz w:val="19"/>
          <w:szCs w:val="19"/>
          <w:color w:val="auto"/>
        </w:rPr>
      </w:pPr>
      <w:r>
        <w:rPr>
          <w:rFonts w:ascii="Arial" w:cs="Arial" w:eastAsia="Arial" w:hAnsi="Arial"/>
          <w:sz w:val="19"/>
          <w:szCs w:val="19"/>
          <w:color w:val="auto"/>
        </w:rPr>
        <w:t>The Borrower and each of its Restricted Subsidiaries have good and valid fee simple title to or rights to purchase, or valid leasehold interests in, or easements or other limited property interests in, all of their respective Real Estate Assets and have good and valid title to their personal property and assets, including the Collateral, in each case, except (i) for defects in title that do not materially interfere with their ability to conduct their business as currently conducted or to utilize such properties and assets for their intended purposes, (ii) for any Permitted Lien, or (iii) where the failure to have such title would not reasonably be expected to have a Material Adverse Effect.</w:t>
      </w:r>
    </w:p>
    <w:p>
      <w:pPr>
        <w:spacing w:after="0" w:line="190" w:lineRule="exact"/>
        <w:rPr>
          <w:rFonts w:ascii="Arial" w:cs="Arial" w:eastAsia="Arial" w:hAnsi="Arial"/>
          <w:sz w:val="19"/>
          <w:szCs w:val="19"/>
          <w:color w:val="auto"/>
        </w:rPr>
      </w:pPr>
    </w:p>
    <w:p>
      <w:pPr>
        <w:jc w:val="both"/>
        <w:ind w:left="100" w:right="59" w:firstLine="742"/>
        <w:spacing w:after="0" w:line="261" w:lineRule="auto"/>
        <w:tabs>
          <w:tab w:leader="none" w:pos="15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Borrower and its Restricted Subsidiaries own or otherwise have a license or right to use all rights in Patents, Trademarks, Copyrights and other rights in works of authorship (including all Copyrights embodied in software) and all other intellectual property rights (“</w:t>
      </w:r>
      <w:r>
        <w:rPr>
          <w:rFonts w:ascii="Arial" w:cs="Arial" w:eastAsia="Arial" w:hAnsi="Arial"/>
          <w:sz w:val="18"/>
          <w:szCs w:val="18"/>
          <w:u w:val="single" w:color="auto"/>
          <w:color w:val="auto"/>
        </w:rPr>
        <w:t>IP Rights</w:t>
      </w:r>
      <w:r>
        <w:rPr>
          <w:rFonts w:ascii="Arial" w:cs="Arial" w:eastAsia="Arial" w:hAnsi="Arial"/>
          <w:sz w:val="18"/>
          <w:szCs w:val="18"/>
          <w:color w:val="auto"/>
        </w:rPr>
        <w:t>”) that are reasonably necessary to conduct their respective businesses as presently conducted without, to the knowledge of the Borrower, any infringement or misappropriation of the IP Rights of third parties, except to the extent the failure to own or license or have rights to use would not, or where such infringement or misappropriation would not reasonably be expected to have, individually or in the aggregate, a Material Adverse Effect.</w:t>
      </w:r>
    </w:p>
    <w:p>
      <w:pPr>
        <w:spacing w:after="0" w:line="175"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3.06.  </w:t>
      </w:r>
      <w:r>
        <w:rPr>
          <w:rFonts w:ascii="Arial" w:cs="Arial" w:eastAsia="Arial" w:hAnsi="Arial"/>
          <w:sz w:val="19"/>
          <w:szCs w:val="19"/>
          <w:u w:val="single" w:color="auto"/>
          <w:color w:val="auto"/>
        </w:rPr>
        <w:t>Litigation and Environmental Matters</w:t>
      </w:r>
      <w:r>
        <w:rPr>
          <w:rFonts w:ascii="Arial" w:cs="Arial" w:eastAsia="Arial" w:hAnsi="Arial"/>
          <w:sz w:val="19"/>
          <w:szCs w:val="19"/>
          <w:color w:val="auto"/>
        </w:rPr>
        <w:t>.</w:t>
      </w:r>
    </w:p>
    <w:p>
      <w:pPr>
        <w:spacing w:after="0" w:line="200" w:lineRule="exact"/>
        <w:rPr>
          <w:sz w:val="20"/>
          <w:szCs w:val="20"/>
          <w:color w:val="auto"/>
        </w:rPr>
      </w:pPr>
    </w:p>
    <w:p>
      <w:pPr>
        <w:jc w:val="both"/>
        <w:ind w:left="100" w:right="59" w:firstLine="741"/>
        <w:spacing w:after="0" w:line="269" w:lineRule="auto"/>
        <w:tabs>
          <w:tab w:leader="none" w:pos="1519"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There are no actions, suits or proceedings by or before any arbitrator or Governmental Authority pending against or, to the knowledge of the Borrower, threatened in writing against or affecting the Borrower or any of its Restricted Subsidiaries which would reasonably be expected, individually or in the aggregate, to result in a Material Adverse Effect.</w:t>
      </w:r>
    </w:p>
    <w:p>
      <w:pPr>
        <w:spacing w:after="0" w:line="168" w:lineRule="exact"/>
        <w:rPr>
          <w:rFonts w:ascii="Arial" w:cs="Arial" w:eastAsia="Arial" w:hAnsi="Arial"/>
          <w:sz w:val="18"/>
          <w:szCs w:val="18"/>
          <w:color w:val="auto"/>
        </w:rPr>
      </w:pPr>
    </w:p>
    <w:p>
      <w:pPr>
        <w:jc w:val="both"/>
        <w:ind w:left="100" w:right="39" w:firstLine="741"/>
        <w:spacing w:after="0" w:line="245" w:lineRule="auto"/>
        <w:tabs>
          <w:tab w:leader="none" w:pos="1520" w:val="left"/>
        </w:tabs>
        <w:numPr>
          <w:ilvl w:val="0"/>
          <w:numId w:val="200"/>
        </w:numPr>
        <w:rPr>
          <w:rFonts w:ascii="Arial" w:cs="Arial" w:eastAsia="Arial" w:hAnsi="Arial"/>
          <w:sz w:val="19"/>
          <w:szCs w:val="19"/>
          <w:color w:val="auto"/>
        </w:rPr>
      </w:pPr>
      <w:r>
        <w:rPr>
          <w:rFonts w:ascii="Arial" w:cs="Arial" w:eastAsia="Arial" w:hAnsi="Arial"/>
          <w:sz w:val="19"/>
          <w:szCs w:val="19"/>
          <w:color w:val="auto"/>
        </w:rPr>
        <w:t>Except for any matters that, individually or in the aggregate, would not reasonably be expected to result in a Material Adverse Effect, (i) neither the Borrower nor any of its Restricted Subsidiaries is subject to, or has received notice of, any Environmental Claim or Environmental Liability or knows of any basis for any Environmental Liability or Environmental Claim of the Borrower or any of its Restricted Subsidiaries and (ii) neither the Borrower nor any of its Restricted Subsidiaries has failed to comply with any Environmental Law or to obtain, maintain or comply with any Governmental Authorization, permit, license or other approval required under any Environmental Law.</w:t>
      </w:r>
    </w:p>
    <w:p>
      <w:pPr>
        <w:spacing w:after="0" w:line="187" w:lineRule="exact"/>
        <w:rPr>
          <w:rFonts w:ascii="Arial" w:cs="Arial" w:eastAsia="Arial" w:hAnsi="Arial"/>
          <w:sz w:val="19"/>
          <w:szCs w:val="19"/>
          <w:color w:val="auto"/>
        </w:rPr>
      </w:pPr>
    </w:p>
    <w:p>
      <w:pPr>
        <w:jc w:val="both"/>
        <w:ind w:left="100" w:right="59" w:firstLine="741"/>
        <w:spacing w:after="0" w:line="249" w:lineRule="auto"/>
        <w:tabs>
          <w:tab w:leader="none" w:pos="1520" w:val="left"/>
        </w:tabs>
        <w:numPr>
          <w:ilvl w:val="0"/>
          <w:numId w:val="200"/>
        </w:numPr>
        <w:rPr>
          <w:rFonts w:ascii="Arial" w:cs="Arial" w:eastAsia="Arial" w:hAnsi="Arial"/>
          <w:sz w:val="19"/>
          <w:szCs w:val="19"/>
          <w:color w:val="auto"/>
        </w:rPr>
      </w:pPr>
      <w:r>
        <w:rPr>
          <w:rFonts w:ascii="Arial" w:cs="Arial" w:eastAsia="Arial" w:hAnsi="Arial"/>
          <w:sz w:val="19"/>
          <w:szCs w:val="19"/>
          <w:color w:val="auto"/>
        </w:rPr>
        <w:t>Neither Holdings, the Borrower nor any of its Restricted Subsidiaries has treated, stored, transported or Released any Hazardous Materials on, at, under or from any currently or formerly owned, leased or operated real estate or facility in a manner that would reasonably be expected to have a Material Adverse Effect.</w:t>
      </w:r>
    </w:p>
    <w:p>
      <w:pPr>
        <w:spacing w:after="0" w:line="184"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 xml:space="preserve">Section 3.07. </w:t>
      </w:r>
      <w:r>
        <w:rPr>
          <w:rFonts w:ascii="Arial" w:cs="Arial" w:eastAsia="Arial" w:hAnsi="Arial"/>
          <w:sz w:val="19"/>
          <w:szCs w:val="19"/>
          <w:u w:val="single" w:color="auto"/>
          <w:color w:val="auto"/>
        </w:rPr>
        <w:t>Compliance with Laws</w:t>
      </w:r>
      <w:r>
        <w:rPr>
          <w:rFonts w:ascii="Arial" w:cs="Arial" w:eastAsia="Arial" w:hAnsi="Arial"/>
          <w:sz w:val="19"/>
          <w:szCs w:val="19"/>
          <w:color w:val="auto"/>
        </w:rPr>
        <w:t xml:space="preserve">. Each of Holdings, the Borrower and each of its Restricted Subsidiaries is in compliance with all Requirements of Law applicable to it or its property, except, in each case where the failure to do so, individually or in the aggregate, would not reasonably be expected to result in a Material Adverse Effect; it being understood and agreed that this </w:t>
      </w:r>
      <w:r>
        <w:rPr>
          <w:rFonts w:ascii="Arial" w:cs="Arial" w:eastAsia="Arial" w:hAnsi="Arial"/>
          <w:sz w:val="19"/>
          <w:szCs w:val="19"/>
          <w:u w:val="single" w:color="auto"/>
          <w:color w:val="auto"/>
        </w:rPr>
        <w:t>Section 3.07</w:t>
      </w:r>
      <w:r>
        <w:rPr>
          <w:rFonts w:ascii="Arial" w:cs="Arial" w:eastAsia="Arial" w:hAnsi="Arial"/>
          <w:sz w:val="19"/>
          <w:szCs w:val="19"/>
          <w:color w:val="auto"/>
        </w:rPr>
        <w:t xml:space="preserve"> shall not apply to the Requirements of Law covered by </w:t>
      </w:r>
      <w:r>
        <w:rPr>
          <w:rFonts w:ascii="Arial" w:cs="Arial" w:eastAsia="Arial" w:hAnsi="Arial"/>
          <w:sz w:val="19"/>
          <w:szCs w:val="19"/>
          <w:u w:val="single" w:color="auto"/>
          <w:color w:val="auto"/>
        </w:rPr>
        <w:t>Section 3.17</w:t>
      </w:r>
      <w:r>
        <w:rPr>
          <w:rFonts w:ascii="Arial" w:cs="Arial" w:eastAsia="Arial" w:hAnsi="Arial"/>
          <w:sz w:val="19"/>
          <w:szCs w:val="19"/>
          <w:color w:val="auto"/>
        </w:rPr>
        <w:t>.</w:t>
      </w:r>
    </w:p>
    <w:p>
      <w:pPr>
        <w:spacing w:after="0" w:line="180" w:lineRule="exact"/>
        <w:rPr>
          <w:sz w:val="20"/>
          <w:szCs w:val="20"/>
          <w:color w:val="auto"/>
        </w:rPr>
      </w:pPr>
    </w:p>
    <w:p>
      <w:pPr>
        <w:ind w:left="100" w:right="79" w:firstLine="749"/>
        <w:spacing w:after="0" w:line="261" w:lineRule="auto"/>
        <w:rPr>
          <w:sz w:val="20"/>
          <w:szCs w:val="20"/>
          <w:color w:val="auto"/>
        </w:rPr>
      </w:pPr>
      <w:r>
        <w:rPr>
          <w:rFonts w:ascii="Arial" w:cs="Arial" w:eastAsia="Arial" w:hAnsi="Arial"/>
          <w:sz w:val="19"/>
          <w:szCs w:val="19"/>
          <w:color w:val="auto"/>
        </w:rPr>
        <w:t xml:space="preserve">Section 3.08. </w:t>
      </w:r>
      <w:r>
        <w:rPr>
          <w:rFonts w:ascii="Arial" w:cs="Arial" w:eastAsia="Arial" w:hAnsi="Arial"/>
          <w:sz w:val="19"/>
          <w:szCs w:val="19"/>
          <w:u w:val="single" w:color="auto"/>
          <w:color w:val="auto"/>
        </w:rPr>
        <w:t>Investment Company Status</w:t>
      </w:r>
      <w:r>
        <w:rPr>
          <w:rFonts w:ascii="Arial" w:cs="Arial" w:eastAsia="Arial" w:hAnsi="Arial"/>
          <w:sz w:val="19"/>
          <w:szCs w:val="19"/>
          <w:color w:val="auto"/>
        </w:rPr>
        <w:t>. No Loan Party is an “investment company” as defined in, or is required to be registered under, the Investment Company Act of 1940.</w:t>
      </w:r>
    </w:p>
    <w:p>
      <w:pPr>
        <w:spacing w:after="0" w:line="159"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 xml:space="preserve">Section 3.09. </w:t>
      </w:r>
      <w:r>
        <w:rPr>
          <w:rFonts w:ascii="Arial" w:cs="Arial" w:eastAsia="Arial" w:hAnsi="Arial"/>
          <w:sz w:val="19"/>
          <w:szCs w:val="19"/>
          <w:u w:val="single" w:color="auto"/>
          <w:color w:val="auto"/>
        </w:rPr>
        <w:t>Taxes</w:t>
      </w:r>
      <w:r>
        <w:rPr>
          <w:rFonts w:ascii="Arial" w:cs="Arial" w:eastAsia="Arial" w:hAnsi="Arial"/>
          <w:sz w:val="19"/>
          <w:szCs w:val="19"/>
          <w:color w:val="auto"/>
        </w:rPr>
        <w:t>. Each of Holdings, the Borrower and each of its Restricted Subsidiaries has timely filed or caused to be filed all Tax returns and reports required to have been filed by or with respect to it and has paid or caused to be paid all Taxes required to have been paid by it that are due and payable (including in its capacity as a withholding agent), except (a) Taxes that are not required to be paid in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117</w:t>
      </w:r>
      <w:r>
        <w:rPr>
          <w:rFonts w:ascii="Arial" w:cs="Arial" w:eastAsia="Arial" w:hAnsi="Arial"/>
          <w:sz w:val="18"/>
          <w:szCs w:val="18"/>
          <w:u w:val="single" w:color="auto"/>
          <w:color w:val="0000FF"/>
          <w:strike w:val="1"/>
        </w:rPr>
        <w:t>117</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85" w:name="page186"/>
    <w:bookmarkEnd w:id="185"/>
    <w:p>
      <w:pPr>
        <w:jc w:val="both"/>
        <w:ind w:left="100" w:right="59"/>
        <w:spacing w:after="0" w:line="233" w:lineRule="auto"/>
        <w:rPr>
          <w:sz w:val="20"/>
          <w:szCs w:val="20"/>
          <w:color w:val="auto"/>
        </w:rPr>
      </w:pPr>
      <w:r>
        <w:rPr>
          <w:rFonts w:ascii="Arial" w:cs="Arial" w:eastAsia="Arial" w:hAnsi="Arial"/>
          <w:sz w:val="19"/>
          <w:szCs w:val="19"/>
          <w:color w:val="auto"/>
        </w:rPr>
        <w:t xml:space="preserve">accordance with </w:t>
      </w:r>
      <w:r>
        <w:rPr>
          <w:rFonts w:ascii="Arial" w:cs="Arial" w:eastAsia="Arial" w:hAnsi="Arial"/>
          <w:sz w:val="19"/>
          <w:szCs w:val="19"/>
          <w:u w:val="single" w:color="auto"/>
          <w:color w:val="auto"/>
        </w:rPr>
        <w:t>Section 5.03</w:t>
      </w:r>
      <w:r>
        <w:rPr>
          <w:rFonts w:ascii="Arial" w:cs="Arial" w:eastAsia="Arial" w:hAnsi="Arial"/>
          <w:sz w:val="19"/>
          <w:szCs w:val="19"/>
          <w:color w:val="auto"/>
        </w:rPr>
        <w:t>, (b) Taxes (or any requirement to file Tax returns with respect thereto) that are being contested in good faith by appropriate proceedings and for which Holdings, the Borrower or such Restricted Subsidiary, as applicable, has set aside on its books adequate reserves in accordance with GAAP or</w:t>
      </w:r>
    </w:p>
    <w:p>
      <w:pPr>
        <w:spacing w:after="0" w:line="1" w:lineRule="exact"/>
        <w:rPr>
          <w:sz w:val="20"/>
          <w:szCs w:val="20"/>
          <w:color w:val="auto"/>
        </w:rPr>
      </w:pPr>
    </w:p>
    <w:p>
      <w:pPr>
        <w:ind w:left="100" w:right="59" w:hanging="7"/>
        <w:spacing w:after="0" w:line="243" w:lineRule="auto"/>
        <w:tabs>
          <w:tab w:leader="none" w:pos="369" w:val="left"/>
        </w:tabs>
        <w:numPr>
          <w:ilvl w:val="0"/>
          <w:numId w:val="201"/>
        </w:numPr>
        <w:rPr>
          <w:rFonts w:ascii="Arial" w:cs="Arial" w:eastAsia="Arial" w:hAnsi="Arial"/>
          <w:sz w:val="19"/>
          <w:szCs w:val="19"/>
          <w:color w:val="auto"/>
        </w:rPr>
      </w:pPr>
      <w:r>
        <w:rPr>
          <w:rFonts w:ascii="Arial" w:cs="Arial" w:eastAsia="Arial" w:hAnsi="Arial"/>
          <w:sz w:val="19"/>
          <w:szCs w:val="19"/>
          <w:color w:val="auto"/>
        </w:rPr>
        <w:t>to the extent that the failure to do so, individually or in the aggregate, would not reasonably be expected to result in a Material Adverse Effect.</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ERISA</w:t>
      </w:r>
      <w:r>
        <w:rPr>
          <w:rFonts w:ascii="Arial" w:cs="Arial" w:eastAsia="Arial" w:hAnsi="Arial"/>
          <w:sz w:val="19"/>
          <w:szCs w:val="19"/>
          <w:color w:val="auto"/>
        </w:rPr>
        <w:t>.</w:t>
      </w:r>
    </w:p>
    <w:p>
      <w:pPr>
        <w:spacing w:after="0" w:line="214" w:lineRule="exact"/>
        <w:rPr>
          <w:sz w:val="20"/>
          <w:szCs w:val="20"/>
          <w:color w:val="auto"/>
        </w:rPr>
      </w:pPr>
    </w:p>
    <w:p>
      <w:pPr>
        <w:jc w:val="both"/>
        <w:ind w:left="100" w:right="39" w:firstLine="741"/>
        <w:spacing w:after="0" w:line="249" w:lineRule="auto"/>
        <w:tabs>
          <w:tab w:leader="none" w:pos="1570" w:val="left"/>
        </w:tabs>
        <w:numPr>
          <w:ilvl w:val="0"/>
          <w:numId w:val="202"/>
        </w:numPr>
        <w:rPr>
          <w:rFonts w:ascii="Arial" w:cs="Arial" w:eastAsia="Arial" w:hAnsi="Arial"/>
          <w:sz w:val="19"/>
          <w:szCs w:val="19"/>
          <w:color w:val="auto"/>
        </w:rPr>
      </w:pPr>
      <w:r>
        <w:rPr>
          <w:rFonts w:ascii="Arial" w:cs="Arial" w:eastAsia="Arial" w:hAnsi="Arial"/>
          <w:sz w:val="19"/>
          <w:szCs w:val="19"/>
          <w:color w:val="auto"/>
        </w:rPr>
        <w:t>Each Plan is in compliance in form and operation with its terms and with ERISA and the Code and all other applicable Requirements of Law, except where any failure to comply would not reasonably be expected to result in a Material Adverse Effect.</w:t>
      </w:r>
    </w:p>
    <w:p>
      <w:pPr>
        <w:spacing w:after="0" w:line="183" w:lineRule="exact"/>
        <w:rPr>
          <w:rFonts w:ascii="Arial" w:cs="Arial" w:eastAsia="Arial" w:hAnsi="Arial"/>
          <w:sz w:val="19"/>
          <w:szCs w:val="19"/>
          <w:color w:val="auto"/>
        </w:rPr>
      </w:pPr>
    </w:p>
    <w:p>
      <w:pPr>
        <w:jc w:val="both"/>
        <w:ind w:left="100" w:right="59" w:firstLine="741"/>
        <w:spacing w:after="0" w:line="249" w:lineRule="auto"/>
        <w:tabs>
          <w:tab w:leader="none" w:pos="1568" w:val="left"/>
        </w:tabs>
        <w:numPr>
          <w:ilvl w:val="0"/>
          <w:numId w:val="202"/>
        </w:numPr>
        <w:rPr>
          <w:rFonts w:ascii="Arial" w:cs="Arial" w:eastAsia="Arial" w:hAnsi="Arial"/>
          <w:sz w:val="19"/>
          <w:szCs w:val="19"/>
          <w:color w:val="auto"/>
        </w:rPr>
      </w:pPr>
      <w:r>
        <w:rPr>
          <w:rFonts w:ascii="Arial" w:cs="Arial" w:eastAsia="Arial" w:hAnsi="Arial"/>
          <w:sz w:val="19"/>
          <w:szCs w:val="19"/>
          <w:color w:val="auto"/>
        </w:rPr>
        <w:t>In the five-year period prior to the date on which this representation is made or deemed made, no ERISA Event has occurred and is continuing that, when taken together with all other such ERISA Events for which liability is reasonably expected to occur, would reasonably be expected to result in a Material Adverse Effect.</w:t>
      </w:r>
    </w:p>
    <w:p>
      <w:pPr>
        <w:spacing w:after="0" w:line="184" w:lineRule="exact"/>
        <w:rPr>
          <w:sz w:val="20"/>
          <w:szCs w:val="20"/>
          <w:color w:val="auto"/>
        </w:rPr>
      </w:pPr>
    </w:p>
    <w:p>
      <w:pPr>
        <w:ind w:left="840"/>
        <w:spacing w:after="0"/>
        <w:tabs>
          <w:tab w:leader="none" w:pos="1960" w:val="left"/>
        </w:tabs>
        <w:rPr>
          <w:sz w:val="20"/>
          <w:szCs w:val="20"/>
          <w:color w:val="auto"/>
        </w:rPr>
      </w:pPr>
      <w:r>
        <w:rPr>
          <w:rFonts w:ascii="Arial" w:cs="Arial" w:eastAsia="Arial" w:hAnsi="Arial"/>
          <w:sz w:val="19"/>
          <w:szCs w:val="19"/>
          <w:color w:val="auto"/>
        </w:rPr>
        <w:t>Section 3.11.</w:t>
      </w:r>
      <w:r>
        <w:rPr>
          <w:sz w:val="20"/>
          <w:szCs w:val="20"/>
          <w:color w:val="auto"/>
        </w:rPr>
        <w:tab/>
      </w:r>
      <w:r>
        <w:rPr>
          <w:rFonts w:ascii="Arial" w:cs="Arial" w:eastAsia="Arial" w:hAnsi="Arial"/>
          <w:sz w:val="17"/>
          <w:szCs w:val="17"/>
          <w:u w:val="single" w:color="auto"/>
          <w:color w:val="auto"/>
        </w:rPr>
        <w:t>Disclosure</w:t>
      </w:r>
      <w:r>
        <w:rPr>
          <w:rFonts w:ascii="Arial" w:cs="Arial" w:eastAsia="Arial" w:hAnsi="Arial"/>
          <w:sz w:val="17"/>
          <w:szCs w:val="17"/>
          <w:color w:val="auto"/>
        </w:rPr>
        <w:t>.</w:t>
      </w:r>
    </w:p>
    <w:p>
      <w:pPr>
        <w:spacing w:after="0" w:line="214" w:lineRule="exact"/>
        <w:rPr>
          <w:sz w:val="20"/>
          <w:szCs w:val="20"/>
          <w:color w:val="auto"/>
        </w:rPr>
      </w:pPr>
    </w:p>
    <w:p>
      <w:pPr>
        <w:jc w:val="both"/>
        <w:ind w:left="100" w:right="59" w:firstLine="741"/>
        <w:spacing w:after="0" w:line="271" w:lineRule="auto"/>
        <w:tabs>
          <w:tab w:leader="none" w:pos="152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As of the Closing Date, with respect to information relating to the Borrower and its subsidiaries, to the knowledge of the Borrower, all written information (other than the Projections, forecasts, financial estimates, other forward-looking information and/or projected information, information of a general economic or industry-specific nature and/or any third party report and/or memorandum (but not the written information (other than Projections, forecasts, financial estimates, other forward looking information and/or projected information and/or general economic or industry-specific information) on which such third party report and/or memorandum was based, if such written information was provided to any Initial Lender, any Arranger or the Administrative Agent)) concerning Holdings, the Borrower and its subsidiaries that was prepared by or on behalf of Holdings, the Borrower or its subsidiaries or their respective representatives and made available to any Initial Lender, any Arranger or the Administrative Agent in connection with the Transactions on or before the Closing Date (collectively, the “</w:t>
      </w:r>
      <w:r>
        <w:rPr>
          <w:rFonts w:ascii="Arial" w:cs="Arial" w:eastAsia="Arial" w:hAnsi="Arial"/>
          <w:sz w:val="17"/>
          <w:szCs w:val="17"/>
          <w:u w:val="single" w:color="auto"/>
          <w:color w:val="auto"/>
        </w:rPr>
        <w:t>Information</w:t>
      </w:r>
      <w:r>
        <w:rPr>
          <w:rFonts w:ascii="Arial" w:cs="Arial" w:eastAsia="Arial" w:hAnsi="Arial"/>
          <w:sz w:val="17"/>
          <w:szCs w:val="17"/>
          <w:color w:val="auto"/>
        </w:rPr>
        <w:t>”), when taken as a whole, did not, when furnished, contain any untrue statement of a material fact or omit to state a material fact necessary in order to make the statements contained therein not materially misleading in light of the circumstances under which such statements were made (after giving effect to all supplements and updates thereto from time to time).</w:t>
      </w:r>
    </w:p>
    <w:p>
      <w:pPr>
        <w:spacing w:after="0" w:line="172" w:lineRule="exact"/>
        <w:rPr>
          <w:rFonts w:ascii="Arial" w:cs="Arial" w:eastAsia="Arial" w:hAnsi="Arial"/>
          <w:sz w:val="17"/>
          <w:szCs w:val="17"/>
          <w:color w:val="auto"/>
        </w:rPr>
      </w:pPr>
    </w:p>
    <w:p>
      <w:pPr>
        <w:jc w:val="both"/>
        <w:ind w:left="100" w:right="19" w:firstLine="742"/>
        <w:spacing w:after="0" w:line="243" w:lineRule="auto"/>
        <w:tabs>
          <w:tab w:leader="none" w:pos="1523" w:val="left"/>
        </w:tabs>
        <w:numPr>
          <w:ilvl w:val="0"/>
          <w:numId w:val="203"/>
        </w:numPr>
        <w:rPr>
          <w:rFonts w:ascii="Arial" w:cs="Arial" w:eastAsia="Arial" w:hAnsi="Arial"/>
          <w:sz w:val="19"/>
          <w:szCs w:val="19"/>
          <w:color w:val="auto"/>
        </w:rPr>
      </w:pPr>
      <w:r>
        <w:rPr>
          <w:rFonts w:ascii="Arial" w:cs="Arial" w:eastAsia="Arial" w:hAnsi="Arial"/>
          <w:sz w:val="19"/>
          <w:szCs w:val="19"/>
          <w:color w:val="auto"/>
        </w:rPr>
        <w:t>As of the Closing Date, the Projections have been prepared in good faith based upon assumptions believed by the Borrower to be reasonable at the time furnished (it being recognized that such Projections are not to be viewed as facts and are subject to significant uncertainties and contingencies many of which are beyond the Borrower's control, that no assurance can be given that any particular financial projections will be realized, that actual results may differ from projected results and that such differences may be material).</w:t>
      </w:r>
    </w:p>
    <w:p>
      <w:pPr>
        <w:spacing w:after="0" w:line="190" w:lineRule="exact"/>
        <w:rPr>
          <w:sz w:val="20"/>
          <w:szCs w:val="20"/>
          <w:color w:val="auto"/>
        </w:rPr>
      </w:pPr>
    </w:p>
    <w:p>
      <w:pPr>
        <w:jc w:val="both"/>
        <w:ind w:left="100" w:right="19" w:firstLine="749"/>
        <w:spacing w:after="0" w:line="244"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Solvency</w:t>
      </w:r>
      <w:r>
        <w:rPr>
          <w:rFonts w:ascii="Arial" w:cs="Arial" w:eastAsia="Arial" w:hAnsi="Arial"/>
          <w:sz w:val="18"/>
          <w:szCs w:val="18"/>
          <w:color w:val="auto"/>
        </w:rPr>
        <w:t xml:space="preserve">. As of the Closing Date, after giving effect to the Transactions and the incurrence of the Indebtedness and obligations being incurred in connection with this Agreement on the Closing Date, (i) the sum of the debt (including contingent liabilities) of the Borrower and its Restricted Subsidiaries, taken as a whole, does not exceed the fair value of the assets of the Borrower and its Restricted Subsidiaries, taken as a whole, (ii) the capital of the Borrower and its Restricted Subsidiaries, taken as a whole, is not unreasonably small in relation to the business of the Borrower and its Restricted Subsidiaries, taken as a whole, contemplated as of the Closing Date; and (iii) the Borrower and its Restricted Subsidiaries, taken as a whole, do not intend to incur, or believe that they will incur, debts (including current obligations and contingent liabilities) beyond their ability to pay such debts as they mature in accordance with their terms. For purposes of this </w:t>
      </w:r>
      <w:r>
        <w:rPr>
          <w:rFonts w:ascii="Arial" w:cs="Arial" w:eastAsia="Arial" w:hAnsi="Arial"/>
          <w:sz w:val="18"/>
          <w:szCs w:val="18"/>
          <w:u w:val="single" w:color="auto"/>
          <w:color w:val="auto"/>
        </w:rPr>
        <w:t>Section 3.12</w:t>
      </w:r>
      <w:r>
        <w:rPr>
          <w:rFonts w:ascii="Arial" w:cs="Arial" w:eastAsia="Arial" w:hAnsi="Arial"/>
          <w:sz w:val="18"/>
          <w:szCs w:val="18"/>
          <w:color w:val="auto"/>
        </w:rPr>
        <w:t>, (A) it is assumed that the Indebtedness and other obligations under the Credit Facilities will come due at their respective maturities and (B) the amount of any contingent liability at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118</w:t>
      </w:r>
      <w:r>
        <w:rPr>
          <w:rFonts w:ascii="Arial" w:cs="Arial" w:eastAsia="Arial" w:hAnsi="Arial"/>
          <w:sz w:val="18"/>
          <w:szCs w:val="18"/>
          <w:u w:val="single" w:color="auto"/>
          <w:color w:val="0000FF"/>
          <w:strike w:val="1"/>
        </w:rPr>
        <w:t>118</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86" w:name="page187"/>
    <w:bookmarkEnd w:id="186"/>
    <w:p>
      <w:pPr>
        <w:ind w:left="100" w:right="379"/>
        <w:spacing w:after="0" w:line="261" w:lineRule="auto"/>
        <w:rPr>
          <w:sz w:val="20"/>
          <w:szCs w:val="20"/>
          <w:color w:val="auto"/>
        </w:rPr>
      </w:pPr>
      <w:r>
        <w:rPr>
          <w:rFonts w:ascii="Arial" w:cs="Arial" w:eastAsia="Arial" w:hAnsi="Arial"/>
          <w:sz w:val="19"/>
          <w:szCs w:val="19"/>
          <w:color w:val="auto"/>
        </w:rPr>
        <w:t>any time shall be computed as the amount that, in light of all of the facts and circumstances existing at such time, represents the amount that can reasonably be expected to become an actual or matured liability.</w:t>
      </w:r>
    </w:p>
    <w:p>
      <w:pPr>
        <w:spacing w:after="0" w:line="159" w:lineRule="exact"/>
        <w:rPr>
          <w:sz w:val="20"/>
          <w:szCs w:val="20"/>
          <w:color w:val="auto"/>
        </w:rPr>
      </w:pPr>
    </w:p>
    <w:p>
      <w:pPr>
        <w:jc w:val="both"/>
        <w:ind w:left="100" w:right="59" w:firstLine="749"/>
        <w:spacing w:after="0" w:line="284" w:lineRule="auto"/>
        <w:rPr>
          <w:sz w:val="20"/>
          <w:szCs w:val="20"/>
          <w:color w:val="auto"/>
        </w:rPr>
      </w:pPr>
      <w:r>
        <w:rPr>
          <w:rFonts w:ascii="Arial" w:cs="Arial" w:eastAsia="Arial" w:hAnsi="Arial"/>
          <w:sz w:val="17"/>
          <w:szCs w:val="17"/>
          <w:color w:val="auto"/>
        </w:rPr>
        <w:t xml:space="preserve">Section 3.13. </w:t>
      </w:r>
      <w:r>
        <w:rPr>
          <w:rFonts w:ascii="Arial" w:cs="Arial" w:eastAsia="Arial" w:hAnsi="Arial"/>
          <w:sz w:val="17"/>
          <w:szCs w:val="17"/>
          <w:u w:val="single" w:color="auto"/>
          <w:color w:val="auto"/>
        </w:rPr>
        <w:t>Subsidiaries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3.13</w:t>
      </w:r>
      <w:r>
        <w:rPr>
          <w:rFonts w:ascii="Arial" w:cs="Arial" w:eastAsia="Arial" w:hAnsi="Arial"/>
          <w:sz w:val="17"/>
          <w:szCs w:val="17"/>
          <w:color w:val="auto"/>
        </w:rPr>
        <w:t xml:space="preserve"> sets forth, in each case as of the Closing Date, (a) a correct and complete list of the name of Holdings, the Borrower, each subsidiary of the Borrower and the ownership interest therein held by Holdings, the Borrower or its applicable subsidiary, and (b) the type of entity of Holdings, the Borrower and each of its subsidiaries.</w:t>
      </w:r>
    </w:p>
    <w:p>
      <w:pPr>
        <w:spacing w:after="0" w:line="143" w:lineRule="exact"/>
        <w:rPr>
          <w:sz w:val="20"/>
          <w:szCs w:val="20"/>
          <w:color w:val="auto"/>
        </w:rPr>
      </w:pPr>
    </w:p>
    <w:p>
      <w:pPr>
        <w:jc w:val="both"/>
        <w:ind w:left="100" w:right="59" w:firstLine="749"/>
        <w:spacing w:after="0" w:line="261" w:lineRule="auto"/>
        <w:rPr>
          <w:sz w:val="20"/>
          <w:szCs w:val="20"/>
          <w:color w:val="auto"/>
        </w:rPr>
      </w:pPr>
      <w:r>
        <w:rPr>
          <w:rFonts w:ascii="Arial" w:cs="Arial" w:eastAsia="Arial" w:hAnsi="Arial"/>
          <w:sz w:val="17"/>
          <w:szCs w:val="17"/>
          <w:color w:val="auto"/>
        </w:rPr>
        <w:t xml:space="preserve">Section 3.14. </w:t>
      </w:r>
      <w:r>
        <w:rPr>
          <w:rFonts w:ascii="Arial" w:cs="Arial" w:eastAsia="Arial" w:hAnsi="Arial"/>
          <w:sz w:val="17"/>
          <w:szCs w:val="17"/>
          <w:u w:val="single" w:color="auto"/>
          <w:color w:val="auto"/>
        </w:rPr>
        <w:t>Security Interest in Collateral</w:t>
      </w:r>
      <w:r>
        <w:rPr>
          <w:rFonts w:ascii="Arial" w:cs="Arial" w:eastAsia="Arial" w:hAnsi="Arial"/>
          <w:sz w:val="17"/>
          <w:szCs w:val="17"/>
          <w:color w:val="auto"/>
        </w:rPr>
        <w:t xml:space="preserve">. Subject to the terms of the final paragraph of </w:t>
      </w:r>
      <w:r>
        <w:rPr>
          <w:rFonts w:ascii="Arial" w:cs="Arial" w:eastAsia="Arial" w:hAnsi="Arial"/>
          <w:sz w:val="17"/>
          <w:szCs w:val="17"/>
          <w:u w:val="single" w:color="auto"/>
          <w:color w:val="auto"/>
        </w:rPr>
        <w:t>Section 4.01</w:t>
      </w:r>
      <w:r>
        <w:rPr>
          <w:rFonts w:ascii="Arial" w:cs="Arial" w:eastAsia="Arial" w:hAnsi="Arial"/>
          <w:sz w:val="17"/>
          <w:szCs w:val="17"/>
          <w:color w:val="auto"/>
        </w:rPr>
        <w:t>, the Legal Reservations, the Perfection Requirements and the provisions, limitations and/or exceptions set forth in this Agreement and/or any other Loan Document, the Collateral Documents create legal, valid and enforceable Liens on all of the Collateral in favor of the Administrative Agent, for the benefit of itself and the other Secured Parties, and upon the satisfaction of the applicable Perfection Requirements and/or any other perfection action required under the terms of any Loan Document, such Liens constitute perfected Liens (with the priority that such Liens are expressed to have under the relevant Collateral Documents, unless otherwise permitted hereunder or under any Collateral Document) on the Collateral (to the extent such Liens are then required to be perfected under the terms of the Loan Documents) securing the Secured Obligations, in each case as and to the extent set forth therein.</w:t>
      </w:r>
    </w:p>
    <w:p>
      <w:pPr>
        <w:spacing w:after="0" w:line="162" w:lineRule="exact"/>
        <w:rPr>
          <w:sz w:val="20"/>
          <w:szCs w:val="20"/>
          <w:color w:val="auto"/>
        </w:rPr>
      </w:pPr>
    </w:p>
    <w:p>
      <w:pPr>
        <w:jc w:val="both"/>
        <w:ind w:left="100" w:right="39" w:firstLine="749"/>
        <w:spacing w:after="0" w:line="244" w:lineRule="auto"/>
        <w:rPr>
          <w:sz w:val="20"/>
          <w:szCs w:val="20"/>
          <w:color w:val="auto"/>
        </w:rPr>
      </w:pPr>
      <w:r>
        <w:rPr>
          <w:rFonts w:ascii="Arial" w:cs="Arial" w:eastAsia="Arial" w:hAnsi="Arial"/>
          <w:sz w:val="18"/>
          <w:szCs w:val="18"/>
          <w:color w:val="auto"/>
        </w:rPr>
        <w:t xml:space="preserve">For the avoidance of doubt, notwithstanding anything herein or in any other Loan Document to the contrary, neither the Borrower nor any other Loan Party makes any representation or warranty as to (A) the effect of perfection or non-perfection, the priority or the enforceability of any pledge of or security interest in the Capital Stock held by any Loan Party in any Person organized under the laws of any jurisdiction other than the jurisdiction in which such Loan Party is organized, or as to the rights and remedies of the Administrative Agent or any Lender with respect thereto, under the Requirements of Law of any jurisdiction other than the jurisdiction in which such Loan Party is organized, (B) the enforcement of any security interest, or right or remedy with respect to any Collateral that may be limited or restricted by, or require any consent, authorization approval or license under, any Requirement of Law or (C) on the Closing Date and until required pursuant to </w:t>
      </w:r>
      <w:r>
        <w:rPr>
          <w:rFonts w:ascii="Arial" w:cs="Arial" w:eastAsia="Arial" w:hAnsi="Arial"/>
          <w:sz w:val="18"/>
          <w:szCs w:val="18"/>
          <w:u w:val="single" w:color="auto"/>
          <w:color w:val="auto"/>
        </w:rPr>
        <w:t>Section 5.12</w:t>
      </w:r>
      <w:r>
        <w:rPr>
          <w:rFonts w:ascii="Arial" w:cs="Arial" w:eastAsia="Arial" w:hAnsi="Arial"/>
          <w:sz w:val="18"/>
          <w:szCs w:val="18"/>
          <w:color w:val="auto"/>
        </w:rPr>
        <w:t>, the pledge or creation of any security interest, or the effects of perfection or non-perfection, the priority or enforceability of any pledge or security interest to the extent the same is not required on the Closing Date.</w:t>
      </w:r>
    </w:p>
    <w:p>
      <w:pPr>
        <w:spacing w:after="0" w:line="177" w:lineRule="exact"/>
        <w:rPr>
          <w:sz w:val="20"/>
          <w:szCs w:val="20"/>
          <w:color w:val="auto"/>
        </w:rPr>
      </w:pPr>
    </w:p>
    <w:p>
      <w:pPr>
        <w:jc w:val="both"/>
        <w:ind w:left="100" w:right="19" w:firstLine="749"/>
        <w:spacing w:after="0" w:line="270" w:lineRule="auto"/>
        <w:rPr>
          <w:sz w:val="20"/>
          <w:szCs w:val="20"/>
          <w:color w:val="auto"/>
        </w:rPr>
      </w:pPr>
      <w:r>
        <w:rPr>
          <w:rFonts w:ascii="Arial" w:cs="Arial" w:eastAsia="Arial" w:hAnsi="Arial"/>
          <w:sz w:val="17"/>
          <w:szCs w:val="17"/>
          <w:color w:val="auto"/>
        </w:rPr>
        <w:t xml:space="preserve">Section 3.15. </w:t>
      </w:r>
      <w:r>
        <w:rPr>
          <w:rFonts w:ascii="Arial" w:cs="Arial" w:eastAsia="Arial" w:hAnsi="Arial"/>
          <w:sz w:val="17"/>
          <w:szCs w:val="17"/>
          <w:u w:val="single" w:color="auto"/>
          <w:color w:val="auto"/>
        </w:rPr>
        <w:t>Labor Disputes</w:t>
      </w:r>
      <w:r>
        <w:rPr>
          <w:rFonts w:ascii="Arial" w:cs="Arial" w:eastAsia="Arial" w:hAnsi="Arial"/>
          <w:sz w:val="17"/>
          <w:szCs w:val="17"/>
          <w:color w:val="auto"/>
        </w:rPr>
        <w:t>. Except as individually or in the aggregate would not reasonably be expected to have a Material Adverse Effect, (a) there are no strikes, lockouts or slowdowns against Holdings, the Borrower or any of its Restricted Subsidiaries pending or, to the knowledge of Holdings, the Borrower or any of its Restricted Subsidiaries, threatened and (b) the hours worked by and payments made to employees of Holdings, the Borrower and its Restricted Subsidiaries have not been in violation of the Fair Labor Standards Act or any other applicable Requirement of Law dealing with such matters.</w:t>
      </w:r>
    </w:p>
    <w:p>
      <w:pPr>
        <w:spacing w:after="0" w:line="156"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 xml:space="preserve">Section 3.16. </w:t>
      </w:r>
      <w:r>
        <w:rPr>
          <w:rFonts w:ascii="Arial" w:cs="Arial" w:eastAsia="Arial" w:hAnsi="Arial"/>
          <w:sz w:val="19"/>
          <w:szCs w:val="19"/>
          <w:u w:val="single" w:color="auto"/>
          <w:color w:val="auto"/>
        </w:rPr>
        <w:t>Federal Reserve Regulations</w:t>
      </w:r>
      <w:r>
        <w:rPr>
          <w:rFonts w:ascii="Arial" w:cs="Arial" w:eastAsia="Arial" w:hAnsi="Arial"/>
          <w:sz w:val="19"/>
          <w:szCs w:val="19"/>
          <w:color w:val="auto"/>
        </w:rPr>
        <w:t>. No part of the proceeds of any Loan or any Letter of Credit have been used, whether directly or indirectly, and whether immediately or incidentally or ultimately, for any purpose that results in a violation of the provisions of Regulation U.</w:t>
      </w:r>
    </w:p>
    <w:p>
      <w:pPr>
        <w:spacing w:after="0" w:line="192"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3.17.  </w:t>
      </w:r>
      <w:r>
        <w:rPr>
          <w:rFonts w:ascii="Arial" w:cs="Arial" w:eastAsia="Arial" w:hAnsi="Arial"/>
          <w:sz w:val="19"/>
          <w:szCs w:val="19"/>
          <w:u w:val="single" w:color="auto"/>
          <w:color w:val="auto"/>
        </w:rPr>
        <w:t>Sanctions; PATRIOT ACT and FCPA</w:t>
      </w:r>
      <w:r>
        <w:rPr>
          <w:rFonts w:ascii="Arial" w:cs="Arial" w:eastAsia="Arial" w:hAnsi="Arial"/>
          <w:sz w:val="19"/>
          <w:szCs w:val="19"/>
          <w:color w:val="auto"/>
        </w:rPr>
        <w:t>.</w:t>
      </w:r>
    </w:p>
    <w:p>
      <w:pPr>
        <w:spacing w:after="0" w:line="200" w:lineRule="exact"/>
        <w:rPr>
          <w:sz w:val="20"/>
          <w:szCs w:val="20"/>
          <w:color w:val="auto"/>
        </w:rPr>
      </w:pPr>
    </w:p>
    <w:p>
      <w:pPr>
        <w:jc w:val="both"/>
        <w:ind w:left="100" w:right="39" w:firstLine="742"/>
        <w:spacing w:after="0" w:line="278" w:lineRule="auto"/>
        <w:tabs>
          <w:tab w:leader="none" w:pos="1521" w:val="left"/>
        </w:tabs>
        <w:numPr>
          <w:ilvl w:val="0"/>
          <w:numId w:val="204"/>
        </w:numPr>
        <w:rPr>
          <w:rFonts w:ascii="Arial" w:cs="Arial" w:eastAsia="Arial" w:hAnsi="Arial"/>
          <w:sz w:val="17"/>
          <w:szCs w:val="17"/>
          <w:color w:val="auto"/>
        </w:rPr>
      </w:pPr>
      <w:r>
        <w:rPr>
          <w:rFonts w:ascii="Arial" w:cs="Arial" w:eastAsia="Arial" w:hAnsi="Arial"/>
          <w:sz w:val="17"/>
          <w:szCs w:val="17"/>
          <w:color w:val="auto"/>
        </w:rPr>
        <w:t>(i) None of Holdings, the Borrower nor any of its Restricted Subsidiaries nor, to the knowledge of the Borrower, any director, officer or employee of any of the foregoing is a Sanctioned Person; and (ii) the Borrower will not directly or, to its knowledge, indirectly, use the proceeds of the Loans or Letters of Credit or otherwise make available such proceeds to any Person for the purpose of financing the activities of any Person that is the subject or target of any applicable Sanctions, except to the extent licensed or otherwise approved by OFAC or in compliance with applicable exemption, licenses or other approvals.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119</w:t>
      </w:r>
      <w:r>
        <w:rPr>
          <w:rFonts w:ascii="Arial" w:cs="Arial" w:eastAsia="Arial" w:hAnsi="Arial"/>
          <w:sz w:val="18"/>
          <w:szCs w:val="18"/>
          <w:u w:val="single" w:color="auto"/>
          <w:color w:val="0000FF"/>
          <w:strike w:val="1"/>
        </w:rPr>
        <w:t>119</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87" w:name="page188"/>
    <w:bookmarkEnd w:id="187"/>
    <w:p>
      <w:pPr>
        <w:ind w:left="1520" w:hanging="679"/>
        <w:spacing w:after="0"/>
        <w:tabs>
          <w:tab w:leader="none" w:pos="152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To the extent applicable, each Loan Party is in compliance, in all material respects, with the USA PATRIOT Act.</w:t>
      </w:r>
    </w:p>
    <w:p>
      <w:pPr>
        <w:spacing w:after="0" w:line="236" w:lineRule="exact"/>
        <w:rPr>
          <w:rFonts w:ascii="Arial" w:cs="Arial" w:eastAsia="Arial" w:hAnsi="Arial"/>
          <w:sz w:val="17"/>
          <w:szCs w:val="17"/>
          <w:color w:val="auto"/>
        </w:rPr>
      </w:pPr>
    </w:p>
    <w:p>
      <w:pPr>
        <w:jc w:val="both"/>
        <w:ind w:left="100" w:right="59" w:firstLine="742"/>
        <w:spacing w:after="0" w:line="255" w:lineRule="auto"/>
        <w:tabs>
          <w:tab w:leader="none" w:pos="15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 Neither Holdings, the Borrower nor any of its Restricted Subsidiaries nor, to the knowledge of the Borrower, any director, officer, or employee of Holdings, the Borrower or any Restricted Subsidiary, nor, to the knowledge of the Borrower, any agent (solely to the extent acting in its capacity as an agent for Holdings, the Borrower or any of its subsidiaries), has taken any action, directly or, to its knowledge, indirectly, that would result in a material violation by any such Person of the U.S. Foreign Corrupt Practices Act of 1977, as amended (the “</w:t>
      </w:r>
      <w:r>
        <w:rPr>
          <w:rFonts w:ascii="Arial" w:cs="Arial" w:eastAsia="Arial" w:hAnsi="Arial"/>
          <w:sz w:val="18"/>
          <w:szCs w:val="18"/>
          <w:u w:val="single" w:color="auto"/>
          <w:color w:val="auto"/>
        </w:rPr>
        <w:t>FCPA</w:t>
      </w:r>
      <w:r>
        <w:rPr>
          <w:rFonts w:ascii="Arial" w:cs="Arial" w:eastAsia="Arial" w:hAnsi="Arial"/>
          <w:sz w:val="18"/>
          <w:szCs w:val="18"/>
          <w:color w:val="auto"/>
        </w:rPr>
        <w:t>”), including, without limitation, making any offer, payment, promise to pay or authorization or approval of the payment of any money, or other property, gift, promise to give or authorization of the giving of anything of value, directly or indirectly, to any “foreign official” (as such term is defined in the FCPA) or any foreign political party or official thereof or any candidate for foreign political office, in each case in contravention of the FCPA; and (ii) the Borrower will not directly or, to its knowledge, indirectly, used the proceeds of the Loans or Letters of Credit or otherwise make available such proceeds to any governmental official or employee, political party, official of a political party, candidate for public office or anyone else acting in an official capacity, in order to obtain, retain or direct business or obtain any improper advantage in violation of the FCPA.</w:t>
      </w:r>
    </w:p>
    <w:p>
      <w:pPr>
        <w:spacing w:after="0" w:line="182" w:lineRule="exact"/>
        <w:rPr>
          <w:sz w:val="20"/>
          <w:szCs w:val="20"/>
          <w:color w:val="auto"/>
        </w:rPr>
      </w:pPr>
    </w:p>
    <w:p>
      <w:pPr>
        <w:jc w:val="both"/>
        <w:ind w:left="100" w:right="59" w:firstLine="749"/>
        <w:spacing w:after="0" w:line="266" w:lineRule="auto"/>
        <w:rPr>
          <w:sz w:val="20"/>
          <w:szCs w:val="20"/>
          <w:color w:val="auto"/>
        </w:rPr>
      </w:pPr>
      <w:r>
        <w:rPr>
          <w:rFonts w:ascii="Arial" w:cs="Arial" w:eastAsia="Arial" w:hAnsi="Arial"/>
          <w:sz w:val="17"/>
          <w:szCs w:val="17"/>
          <w:color w:val="auto"/>
        </w:rPr>
        <w:t xml:space="preserve">The representations and warranties set forth in </w:t>
      </w:r>
      <w:r>
        <w:rPr>
          <w:rFonts w:ascii="Arial" w:cs="Arial" w:eastAsia="Arial" w:hAnsi="Arial"/>
          <w:sz w:val="17"/>
          <w:szCs w:val="17"/>
          <w:u w:val="single" w:color="auto"/>
          <w:color w:val="auto"/>
        </w:rPr>
        <w:t>Section 3.17</w:t>
      </w:r>
      <w:r>
        <w:rPr>
          <w:rFonts w:ascii="Arial" w:cs="Arial" w:eastAsia="Arial" w:hAnsi="Arial"/>
          <w:sz w:val="17"/>
          <w:szCs w:val="17"/>
          <w:color w:val="auto"/>
        </w:rPr>
        <w:t xml:space="preserve"> above made by or on behalf of any Foreign Subsidiary are subject to and limited by any Requirement of Law applicable to such Foreign Subsidiary; it being understood and agreed that to the extent that any Foreign Subsidiary is unable to make any such representation or warranty set forth in </w:t>
      </w:r>
      <w:r>
        <w:rPr>
          <w:rFonts w:ascii="Arial" w:cs="Arial" w:eastAsia="Arial" w:hAnsi="Arial"/>
          <w:sz w:val="17"/>
          <w:szCs w:val="17"/>
          <w:u w:val="single" w:color="auto"/>
          <w:color w:val="auto"/>
        </w:rPr>
        <w:t>Section 3.17</w:t>
      </w:r>
      <w:r>
        <w:rPr>
          <w:rFonts w:ascii="Arial" w:cs="Arial" w:eastAsia="Arial" w:hAnsi="Arial"/>
          <w:sz w:val="17"/>
          <w:szCs w:val="17"/>
          <w:color w:val="auto"/>
        </w:rPr>
        <w:t xml:space="preserve"> as a result of the application of this sentence, such Foreign Subsidiary shall be deemed to have represented and warranted that it is in compliance, in all material respects, with any equivalent Requirement of Law relating to sanctions, anti-terrorism, anti-corruption or anti-money laundering that is applicable to such Foreign Subsidiary in its relevant local jurisdiction of organization.</w:t>
      </w:r>
    </w:p>
    <w:p>
      <w:pPr>
        <w:spacing w:after="0" w:line="158" w:lineRule="exact"/>
        <w:rPr>
          <w:sz w:val="20"/>
          <w:szCs w:val="20"/>
          <w:color w:val="auto"/>
        </w:rPr>
      </w:pPr>
    </w:p>
    <w:p>
      <w:pPr>
        <w:jc w:val="both"/>
        <w:ind w:left="100" w:right="59" w:firstLine="749"/>
        <w:spacing w:after="0" w:line="241" w:lineRule="auto"/>
        <w:rPr>
          <w:sz w:val="20"/>
          <w:szCs w:val="20"/>
          <w:color w:val="auto"/>
        </w:rPr>
      </w:pPr>
      <w:r>
        <w:rPr>
          <w:rFonts w:ascii="Arial" w:cs="Arial" w:eastAsia="Arial" w:hAnsi="Arial"/>
          <w:sz w:val="19"/>
          <w:szCs w:val="19"/>
          <w:color w:val="auto"/>
        </w:rPr>
        <w:t xml:space="preserve">Section 3.18. </w:t>
      </w:r>
      <w:r>
        <w:rPr>
          <w:rFonts w:ascii="Arial" w:cs="Arial" w:eastAsia="Arial" w:hAnsi="Arial"/>
          <w:sz w:val="19"/>
          <w:szCs w:val="19"/>
          <w:u w:val="single" w:color="auto"/>
          <w:color w:val="auto"/>
        </w:rPr>
        <w:t>Data Privacy</w:t>
      </w:r>
      <w:r>
        <w:rPr>
          <w:rFonts w:ascii="Arial" w:cs="Arial" w:eastAsia="Arial" w:hAnsi="Arial"/>
          <w:sz w:val="19"/>
          <w:szCs w:val="19"/>
          <w:color w:val="auto"/>
        </w:rPr>
        <w:t>. The Borrower and Restricted Subsidiaries are in compliance with the Data Protection Laws, except, in each case where the failure to do so, individually or in the aggregate, would not reasonably be expected to result in a Material Adverse Effect.</w:t>
      </w:r>
    </w:p>
    <w:p>
      <w:pPr>
        <w:spacing w:after="0" w:line="273" w:lineRule="exact"/>
        <w:rPr>
          <w:sz w:val="20"/>
          <w:szCs w:val="20"/>
          <w:color w:val="auto"/>
        </w:rPr>
      </w:pPr>
    </w:p>
    <w:p>
      <w:pPr>
        <w:ind w:left="4600"/>
        <w:spacing w:after="0"/>
        <w:rPr>
          <w:sz w:val="20"/>
          <w:szCs w:val="20"/>
          <w:color w:val="auto"/>
        </w:rPr>
      </w:pPr>
      <w:r>
        <w:rPr>
          <w:rFonts w:ascii="Arial" w:cs="Arial" w:eastAsia="Arial" w:hAnsi="Arial"/>
          <w:sz w:val="19"/>
          <w:szCs w:val="19"/>
          <w:color w:val="auto"/>
        </w:rPr>
        <w:t>ARTICLE 4</w:t>
      </w:r>
    </w:p>
    <w:p>
      <w:pPr>
        <w:spacing w:after="0" w:line="200"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CONDITIONS</w:t>
      </w:r>
    </w:p>
    <w:p>
      <w:pPr>
        <w:spacing w:after="0" w:line="92" w:lineRule="exact"/>
        <w:rPr>
          <w:sz w:val="20"/>
          <w:szCs w:val="20"/>
          <w:color w:val="auto"/>
        </w:rPr>
      </w:pPr>
    </w:p>
    <w:p>
      <w:pPr>
        <w:jc w:val="both"/>
        <w:ind w:left="100" w:right="39" w:firstLine="749"/>
        <w:spacing w:after="0" w:line="241"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u w:val="single" w:color="auto"/>
          <w:color w:val="auto"/>
        </w:rPr>
        <w:t>Closing Date</w:t>
      </w:r>
      <w:r>
        <w:rPr>
          <w:rFonts w:ascii="Arial" w:cs="Arial" w:eastAsia="Arial" w:hAnsi="Arial"/>
          <w:sz w:val="19"/>
          <w:szCs w:val="19"/>
          <w:color w:val="auto"/>
        </w:rPr>
        <w:t xml:space="preserve">. The obligations of (i) each Lender to make Loans and (ii) any Issuing Bank to issue Letters of Credit, in each case, on the Closing Date, shall not become effective until the date on which each of the following conditions is satisfied (or waived in accordance with </w:t>
      </w:r>
      <w:r>
        <w:rPr>
          <w:rFonts w:ascii="Arial" w:cs="Arial" w:eastAsia="Arial" w:hAnsi="Arial"/>
          <w:sz w:val="19"/>
          <w:szCs w:val="19"/>
          <w:u w:val="single" w:color="auto"/>
          <w:color w:val="auto"/>
        </w:rPr>
        <w:t>Section 9.02</w:t>
      </w:r>
      <w:r>
        <w:rPr>
          <w:rFonts w:ascii="Arial" w:cs="Arial" w:eastAsia="Arial" w:hAnsi="Arial"/>
          <w:sz w:val="19"/>
          <w:szCs w:val="19"/>
          <w:color w:val="auto"/>
        </w:rPr>
        <w:t>):</w:t>
      </w:r>
    </w:p>
    <w:p>
      <w:pPr>
        <w:spacing w:after="0" w:line="179" w:lineRule="exact"/>
        <w:rPr>
          <w:sz w:val="20"/>
          <w:szCs w:val="20"/>
          <w:color w:val="auto"/>
        </w:rPr>
      </w:pPr>
    </w:p>
    <w:p>
      <w:pPr>
        <w:jc w:val="both"/>
        <w:ind w:left="100" w:right="59" w:firstLine="742"/>
        <w:spacing w:after="0" w:line="283" w:lineRule="auto"/>
        <w:tabs>
          <w:tab w:leader="none" w:pos="1520"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Credit Agreement and Loan Documents</w:t>
      </w:r>
      <w:r>
        <w:rPr>
          <w:rFonts w:ascii="Arial" w:cs="Arial" w:eastAsia="Arial" w:hAnsi="Arial"/>
          <w:sz w:val="17"/>
          <w:szCs w:val="17"/>
          <w:color w:val="auto"/>
        </w:rPr>
        <w:t xml:space="preserve">. The Administrative Agent (or its counsel) shall have received from the Borrower and each Loan Party, to the extent party thereto, (i) a counterpart signed by the Borrower or such Loan Party (or written evidence reasonably satisfactory to the Administrative Agent (which may include a copy transmitted by facsimile or other electronic method) that such party has signed a counterpart) of (A) this Agreement and (B) each Promissory Note requested by a Lender at least three Business Days prior to the Closing Date and (ii) a Borrowing Request as required by </w:t>
      </w:r>
      <w:r>
        <w:rPr>
          <w:rFonts w:ascii="Arial" w:cs="Arial" w:eastAsia="Arial" w:hAnsi="Arial"/>
          <w:sz w:val="17"/>
          <w:szCs w:val="17"/>
          <w:u w:val="single" w:color="auto"/>
          <w:color w:val="auto"/>
        </w:rPr>
        <w:t>Section 2.03</w:t>
      </w:r>
      <w:r>
        <w:rPr>
          <w:rFonts w:ascii="Arial" w:cs="Arial" w:eastAsia="Arial" w:hAnsi="Arial"/>
          <w:sz w:val="17"/>
          <w:szCs w:val="17"/>
          <w:color w:val="auto"/>
        </w:rPr>
        <w:t>.</w:t>
      </w:r>
    </w:p>
    <w:p>
      <w:pPr>
        <w:spacing w:after="0" w:line="157" w:lineRule="exact"/>
        <w:rPr>
          <w:rFonts w:ascii="Arial" w:cs="Arial" w:eastAsia="Arial" w:hAnsi="Arial"/>
          <w:sz w:val="17"/>
          <w:szCs w:val="17"/>
          <w:color w:val="auto"/>
        </w:rPr>
      </w:pPr>
    </w:p>
    <w:p>
      <w:pPr>
        <w:jc w:val="both"/>
        <w:ind w:left="100" w:right="59" w:firstLine="741"/>
        <w:spacing w:after="0" w:line="245" w:lineRule="auto"/>
        <w:tabs>
          <w:tab w:leader="none" w:pos="1520" w:val="left"/>
        </w:tabs>
        <w:numPr>
          <w:ilvl w:val="0"/>
          <w:numId w:val="206"/>
        </w:numPr>
        <w:rPr>
          <w:rFonts w:ascii="Arial" w:cs="Arial" w:eastAsia="Arial" w:hAnsi="Arial"/>
          <w:sz w:val="19"/>
          <w:szCs w:val="19"/>
          <w:color w:val="auto"/>
        </w:rPr>
      </w:pPr>
      <w:r>
        <w:rPr>
          <w:rFonts w:ascii="Arial" w:cs="Arial" w:eastAsia="Arial" w:hAnsi="Arial"/>
          <w:sz w:val="19"/>
          <w:szCs w:val="19"/>
          <w:u w:val="single" w:color="auto"/>
          <w:color w:val="auto"/>
        </w:rPr>
        <w:t>Legal Opinions</w:t>
      </w:r>
      <w:r>
        <w:rPr>
          <w:rFonts w:ascii="Arial" w:cs="Arial" w:eastAsia="Arial" w:hAnsi="Arial"/>
          <w:sz w:val="19"/>
          <w:szCs w:val="19"/>
          <w:color w:val="auto"/>
        </w:rPr>
        <w:t>. The Administrative Agent (or its counsel) shall have received, on behalf of itself, the Lenders and each Issuing Bank on the Closing Date, a customary written opinion of Weil, Gotshal &amp; Manges LLP, in its capacity as special counsel for Holdings and the Loan Parties, dated the Closing Date and addressed to the Administrative Agent, the Lenders and each Issuing Bank.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120</w:t>
      </w:r>
      <w:r>
        <w:rPr>
          <w:rFonts w:ascii="Arial" w:cs="Arial" w:eastAsia="Arial" w:hAnsi="Arial"/>
          <w:sz w:val="18"/>
          <w:szCs w:val="18"/>
          <w:u w:val="single" w:color="auto"/>
          <w:color w:val="0000FF"/>
          <w:strike w:val="1"/>
        </w:rPr>
        <w:t>120</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88" w:name="page189"/>
    <w:bookmarkEnd w:id="188"/>
    <w:p>
      <w:pPr>
        <w:ind w:left="1600" w:hanging="758"/>
        <w:spacing w:after="0"/>
        <w:tabs>
          <w:tab w:leader="none" w:pos="1600" w:val="left"/>
        </w:tabs>
        <w:numPr>
          <w:ilvl w:val="0"/>
          <w:numId w:val="207"/>
        </w:numPr>
        <w:rPr>
          <w:rFonts w:ascii="Arial" w:cs="Arial" w:eastAsia="Arial" w:hAnsi="Arial"/>
          <w:sz w:val="19"/>
          <w:szCs w:val="19"/>
          <w:color w:val="auto"/>
        </w:rPr>
      </w:pPr>
      <w:r>
        <w:rPr>
          <w:rFonts w:ascii="Arial" w:cs="Arial" w:eastAsia="Arial" w:hAnsi="Arial"/>
          <w:sz w:val="19"/>
          <w:szCs w:val="19"/>
          <w:u w:val="single" w:color="auto"/>
          <w:color w:val="auto"/>
        </w:rPr>
        <w:t>Financial Statements</w:t>
      </w:r>
      <w:r>
        <w:rPr>
          <w:rFonts w:ascii="Arial" w:cs="Arial" w:eastAsia="Arial" w:hAnsi="Arial"/>
          <w:sz w:val="19"/>
          <w:szCs w:val="19"/>
          <w:color w:val="auto"/>
        </w:rPr>
        <w:t>. The Administrative Agent shall have received:</w:t>
      </w:r>
    </w:p>
    <w:p>
      <w:pPr>
        <w:spacing w:after="0" w:line="213" w:lineRule="exact"/>
        <w:rPr>
          <w:rFonts w:ascii="Arial" w:cs="Arial" w:eastAsia="Arial" w:hAnsi="Arial"/>
          <w:sz w:val="19"/>
          <w:szCs w:val="19"/>
          <w:color w:val="auto"/>
        </w:rPr>
      </w:pPr>
    </w:p>
    <w:p>
      <w:pPr>
        <w:jc w:val="both"/>
        <w:ind w:left="840" w:right="59" w:firstLine="751"/>
        <w:spacing w:after="0" w:line="256" w:lineRule="auto"/>
        <w:tabs>
          <w:tab w:leader="none" w:pos="2254" w:val="left"/>
        </w:tabs>
        <w:numPr>
          <w:ilvl w:val="1"/>
          <w:numId w:val="207"/>
        </w:numPr>
        <w:rPr>
          <w:rFonts w:ascii="Arial" w:cs="Arial" w:eastAsia="Arial" w:hAnsi="Arial"/>
          <w:sz w:val="19"/>
          <w:szCs w:val="19"/>
          <w:color w:val="auto"/>
        </w:rPr>
      </w:pPr>
      <w:r>
        <w:rPr>
          <w:rFonts w:ascii="Arial" w:cs="Arial" w:eastAsia="Arial" w:hAnsi="Arial"/>
          <w:sz w:val="19"/>
          <w:szCs w:val="19"/>
          <w:color w:val="auto"/>
        </w:rPr>
        <w:t>the audited consolidated balance sheet of the Borrower for the Fiscal Year ended on December 31, 2020 and the audited consolidated statements of income and cash flows of the Borrower for the Fiscal Year then ended; and</w:t>
      </w:r>
    </w:p>
    <w:p>
      <w:pPr>
        <w:spacing w:after="0" w:line="178" w:lineRule="exact"/>
        <w:rPr>
          <w:rFonts w:ascii="Arial" w:cs="Arial" w:eastAsia="Arial" w:hAnsi="Arial"/>
          <w:sz w:val="19"/>
          <w:szCs w:val="19"/>
          <w:color w:val="auto"/>
        </w:rPr>
      </w:pPr>
    </w:p>
    <w:p>
      <w:pPr>
        <w:ind w:left="840" w:right="59" w:firstLine="751"/>
        <w:spacing w:after="0" w:line="261" w:lineRule="auto"/>
        <w:tabs>
          <w:tab w:leader="none" w:pos="2254" w:val="left"/>
        </w:tabs>
        <w:numPr>
          <w:ilvl w:val="1"/>
          <w:numId w:val="207"/>
        </w:numPr>
        <w:rPr>
          <w:rFonts w:ascii="Arial" w:cs="Arial" w:eastAsia="Arial" w:hAnsi="Arial"/>
          <w:sz w:val="19"/>
          <w:szCs w:val="19"/>
          <w:color w:val="auto"/>
        </w:rPr>
      </w:pPr>
      <w:r>
        <w:rPr>
          <w:rFonts w:ascii="Arial" w:cs="Arial" w:eastAsia="Arial" w:hAnsi="Arial"/>
          <w:sz w:val="19"/>
          <w:szCs w:val="19"/>
          <w:color w:val="auto"/>
        </w:rPr>
        <w:t>the unaudited consolidated balance sheet and the unaudited consolidated statements of income and cash flows of the Borrower for the Fiscal Quarters ended on March 31, 2021 and June 30, 2021.</w:t>
      </w:r>
    </w:p>
    <w:p>
      <w:pPr>
        <w:spacing w:after="0" w:line="172" w:lineRule="exact"/>
        <w:rPr>
          <w:rFonts w:ascii="Arial" w:cs="Arial" w:eastAsia="Arial" w:hAnsi="Arial"/>
          <w:sz w:val="19"/>
          <w:szCs w:val="19"/>
          <w:color w:val="auto"/>
        </w:rPr>
      </w:pPr>
    </w:p>
    <w:p>
      <w:pPr>
        <w:ind w:left="100" w:right="59" w:firstLine="741"/>
        <w:spacing w:after="0" w:line="261" w:lineRule="auto"/>
        <w:tabs>
          <w:tab w:leader="none" w:pos="1519" w:val="left"/>
        </w:tabs>
        <w:numPr>
          <w:ilvl w:val="0"/>
          <w:numId w:val="207"/>
        </w:numPr>
        <w:rPr>
          <w:rFonts w:ascii="Arial" w:cs="Arial" w:eastAsia="Arial" w:hAnsi="Arial"/>
          <w:sz w:val="19"/>
          <w:szCs w:val="19"/>
          <w:color w:val="auto"/>
        </w:rPr>
      </w:pPr>
      <w:r>
        <w:rPr>
          <w:rFonts w:ascii="Arial" w:cs="Arial" w:eastAsia="Arial" w:hAnsi="Arial"/>
          <w:sz w:val="19"/>
          <w:szCs w:val="19"/>
          <w:u w:val="single" w:color="auto"/>
          <w:color w:val="auto"/>
        </w:rPr>
        <w:t>Secretary’s Certificate and Good Standing Certificates of Loan Parties</w:t>
      </w:r>
      <w:r>
        <w:rPr>
          <w:rFonts w:ascii="Arial" w:cs="Arial" w:eastAsia="Arial" w:hAnsi="Arial"/>
          <w:sz w:val="19"/>
          <w:szCs w:val="19"/>
          <w:color w:val="auto"/>
        </w:rPr>
        <w:t>. The Administrative Agent (or its counsel) shall have received:</w:t>
      </w:r>
    </w:p>
    <w:p>
      <w:pPr>
        <w:spacing w:after="0" w:line="172" w:lineRule="exact"/>
        <w:rPr>
          <w:rFonts w:ascii="Arial" w:cs="Arial" w:eastAsia="Arial" w:hAnsi="Arial"/>
          <w:sz w:val="19"/>
          <w:szCs w:val="19"/>
          <w:color w:val="auto"/>
        </w:rPr>
      </w:pPr>
    </w:p>
    <w:p>
      <w:pPr>
        <w:ind w:left="840" w:right="59" w:firstLine="751"/>
        <w:spacing w:after="0" w:line="261" w:lineRule="auto"/>
        <w:tabs>
          <w:tab w:leader="none" w:pos="2254" w:val="left"/>
        </w:tabs>
        <w:numPr>
          <w:ilvl w:val="1"/>
          <w:numId w:val="207"/>
        </w:numPr>
        <w:rPr>
          <w:rFonts w:ascii="Arial" w:cs="Arial" w:eastAsia="Arial" w:hAnsi="Arial"/>
          <w:sz w:val="19"/>
          <w:szCs w:val="19"/>
          <w:color w:val="auto"/>
        </w:rPr>
      </w:pPr>
      <w:r>
        <w:rPr>
          <w:rFonts w:ascii="Arial" w:cs="Arial" w:eastAsia="Arial" w:hAnsi="Arial"/>
          <w:sz w:val="19"/>
          <w:szCs w:val="19"/>
          <w:color w:val="auto"/>
        </w:rPr>
        <w:t>a certificate of each Loan Party on the Closing Date, dated the Closing Date and executed by a Responsible Officer, which shall:</w:t>
      </w:r>
    </w:p>
    <w:p>
      <w:pPr>
        <w:spacing w:after="0" w:line="172" w:lineRule="exact"/>
        <w:rPr>
          <w:rFonts w:ascii="Arial" w:cs="Arial" w:eastAsia="Arial" w:hAnsi="Arial"/>
          <w:sz w:val="19"/>
          <w:szCs w:val="19"/>
          <w:color w:val="auto"/>
        </w:rPr>
      </w:pPr>
    </w:p>
    <w:p>
      <w:pPr>
        <w:jc w:val="both"/>
        <w:ind w:left="1600" w:right="59" w:firstLine="741"/>
        <w:spacing w:after="0" w:line="261" w:lineRule="auto"/>
        <w:tabs>
          <w:tab w:leader="none" w:pos="3008" w:val="left"/>
        </w:tabs>
        <w:numPr>
          <w:ilvl w:val="2"/>
          <w:numId w:val="207"/>
        </w:numPr>
        <w:rPr>
          <w:rFonts w:ascii="Arial" w:cs="Arial" w:eastAsia="Arial" w:hAnsi="Arial"/>
          <w:sz w:val="18"/>
          <w:szCs w:val="18"/>
          <w:color w:val="auto"/>
        </w:rPr>
      </w:pPr>
      <w:r>
        <w:rPr>
          <w:rFonts w:ascii="Arial" w:cs="Arial" w:eastAsia="Arial" w:hAnsi="Arial"/>
          <w:sz w:val="18"/>
          <w:szCs w:val="18"/>
          <w:color w:val="auto"/>
        </w:rPr>
        <w:t>certify that attached thereto is a true and complete copy of the resolutions, written consents or extracts of minutes of a meeting, as applicable, of its board of directors, board of managers, supervisory board, shareholders, members or other governing body (as the case may be and in each case, to the extent required) authorizing the execution, delivery and performance of the Loan Documents to which it is a party and, in the case of the Borrower, the borrowings hereunder, and that such resolutions or written consents have not been modified, rescinded or amended and are in full force and effect,</w:t>
      </w:r>
    </w:p>
    <w:p>
      <w:pPr>
        <w:spacing w:after="0" w:line="174" w:lineRule="exact"/>
        <w:rPr>
          <w:rFonts w:ascii="Arial" w:cs="Arial" w:eastAsia="Arial" w:hAnsi="Arial"/>
          <w:sz w:val="18"/>
          <w:szCs w:val="18"/>
          <w:color w:val="auto"/>
        </w:rPr>
      </w:pPr>
    </w:p>
    <w:p>
      <w:pPr>
        <w:jc w:val="both"/>
        <w:ind w:left="1600" w:right="19" w:firstLine="741"/>
        <w:spacing w:after="0" w:line="249" w:lineRule="auto"/>
        <w:tabs>
          <w:tab w:leader="none" w:pos="3011" w:val="left"/>
        </w:tabs>
        <w:numPr>
          <w:ilvl w:val="2"/>
          <w:numId w:val="207"/>
        </w:numPr>
        <w:rPr>
          <w:rFonts w:ascii="Arial" w:cs="Arial" w:eastAsia="Arial" w:hAnsi="Arial"/>
          <w:sz w:val="19"/>
          <w:szCs w:val="19"/>
          <w:color w:val="auto"/>
        </w:rPr>
      </w:pPr>
      <w:r>
        <w:rPr>
          <w:rFonts w:ascii="Arial" w:cs="Arial" w:eastAsia="Arial" w:hAnsi="Arial"/>
          <w:sz w:val="19"/>
          <w:szCs w:val="19"/>
          <w:color w:val="auto"/>
        </w:rPr>
        <w:t>identify by name and title and bear the signatures of the Responsible Officer or authorized signatory of such Loan Party on the Closing Date that is authorized to sign the Loan Documents to which it is a party on the Closing Date, as applicable, and</w:t>
      </w:r>
    </w:p>
    <w:p>
      <w:pPr>
        <w:spacing w:after="0" w:line="183" w:lineRule="exact"/>
        <w:rPr>
          <w:rFonts w:ascii="Arial" w:cs="Arial" w:eastAsia="Arial" w:hAnsi="Arial"/>
          <w:sz w:val="19"/>
          <w:szCs w:val="19"/>
          <w:color w:val="auto"/>
        </w:rPr>
      </w:pPr>
    </w:p>
    <w:p>
      <w:pPr>
        <w:jc w:val="both"/>
        <w:ind w:left="1600" w:right="59" w:firstLine="741"/>
        <w:spacing w:after="0" w:line="241" w:lineRule="auto"/>
        <w:tabs>
          <w:tab w:leader="none" w:pos="3008" w:val="left"/>
        </w:tabs>
        <w:numPr>
          <w:ilvl w:val="2"/>
          <w:numId w:val="207"/>
        </w:numPr>
        <w:rPr>
          <w:rFonts w:ascii="Arial" w:cs="Arial" w:eastAsia="Arial" w:hAnsi="Arial"/>
          <w:sz w:val="19"/>
          <w:szCs w:val="19"/>
          <w:color w:val="auto"/>
        </w:rPr>
      </w:pPr>
      <w:r>
        <w:rPr>
          <w:rFonts w:ascii="Arial" w:cs="Arial" w:eastAsia="Arial" w:hAnsi="Arial"/>
          <w:sz w:val="19"/>
          <w:szCs w:val="19"/>
          <w:color w:val="auto"/>
        </w:rPr>
        <w:t>certify (I) that attached thereto is a true and complete copy of the certificate or articles of incorporation or organization (or memorandum of association, articles of association or other equivalent thereof) of each Loan Party on the Closing Date (certified by the relevant authority of the jurisdiction of organization of such Loan Party) and a true and correct copy of its by-laws or operating, management, partnership or similar agreement (to the extent applicable) and (II) that such documents or agreements have not been amended (except as otherwise attached to such certificate and certified therein as being the only amendments thereto as of such date), and</w:t>
      </w:r>
    </w:p>
    <w:p>
      <w:pPr>
        <w:spacing w:after="0" w:line="205" w:lineRule="exact"/>
        <w:rPr>
          <w:rFonts w:ascii="Arial" w:cs="Arial" w:eastAsia="Arial" w:hAnsi="Arial"/>
          <w:sz w:val="19"/>
          <w:szCs w:val="19"/>
          <w:color w:val="auto"/>
        </w:rPr>
      </w:pPr>
    </w:p>
    <w:p>
      <w:pPr>
        <w:jc w:val="both"/>
        <w:ind w:left="840" w:right="59" w:firstLine="752"/>
        <w:spacing w:after="0" w:line="249" w:lineRule="auto"/>
        <w:tabs>
          <w:tab w:leader="none" w:pos="2254" w:val="left"/>
        </w:tabs>
        <w:numPr>
          <w:ilvl w:val="1"/>
          <w:numId w:val="207"/>
        </w:numPr>
        <w:rPr>
          <w:rFonts w:ascii="Arial" w:cs="Arial" w:eastAsia="Arial" w:hAnsi="Arial"/>
          <w:sz w:val="19"/>
          <w:szCs w:val="19"/>
          <w:color w:val="auto"/>
        </w:rPr>
      </w:pPr>
      <w:r>
        <w:rPr>
          <w:rFonts w:ascii="Arial" w:cs="Arial" w:eastAsia="Arial" w:hAnsi="Arial"/>
          <w:sz w:val="19"/>
          <w:szCs w:val="19"/>
          <w:color w:val="auto"/>
        </w:rPr>
        <w:t>a good standing certificate (or equivalent), dated as of a recent date for each such Loan Party from the relevant office of its jurisdiction of organization (to the extent available in the jurisdiction of organization of such Loan Party).</w:t>
      </w:r>
    </w:p>
    <w:p>
      <w:pPr>
        <w:spacing w:after="0" w:line="183" w:lineRule="exact"/>
        <w:rPr>
          <w:rFonts w:ascii="Arial" w:cs="Arial" w:eastAsia="Arial" w:hAnsi="Arial"/>
          <w:sz w:val="19"/>
          <w:szCs w:val="19"/>
          <w:color w:val="auto"/>
        </w:rPr>
      </w:pPr>
    </w:p>
    <w:p>
      <w:pPr>
        <w:jc w:val="both"/>
        <w:ind w:left="100" w:right="59" w:firstLine="741"/>
        <w:spacing w:after="0" w:line="242" w:lineRule="auto"/>
        <w:tabs>
          <w:tab w:leader="none" w:pos="1519" w:val="left"/>
        </w:tabs>
        <w:numPr>
          <w:ilvl w:val="0"/>
          <w:numId w:val="207"/>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The representations and warranties of the Loan Parties set forth in this Agreement and the other Loan Documents shall be true and correct in all material respects on and as of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that (i) to the extent that any representation and warranty specifically refers to a given date or period, it shall be true and correct in all material respects as of such date or for such period and (ii) to the extent that any representation and warranty is qualified by or subject to a “material adverse effect”, “material adverse change” or similar term or qualification, the same shall be true and correct in all respects.</w:t>
      </w:r>
    </w:p>
    <w:p>
      <w:pPr>
        <w:spacing w:after="0" w:line="190" w:lineRule="exact"/>
        <w:rPr>
          <w:rFonts w:ascii="Arial" w:cs="Arial" w:eastAsia="Arial" w:hAnsi="Arial"/>
          <w:sz w:val="19"/>
          <w:szCs w:val="19"/>
          <w:color w:val="auto"/>
        </w:rPr>
      </w:pPr>
    </w:p>
    <w:p>
      <w:pPr>
        <w:jc w:val="both"/>
        <w:ind w:left="100" w:right="19" w:firstLine="742"/>
        <w:spacing w:after="0" w:line="250" w:lineRule="auto"/>
        <w:tabs>
          <w:tab w:leader="none" w:pos="1522" w:val="left"/>
        </w:tabs>
        <w:numPr>
          <w:ilvl w:val="0"/>
          <w:numId w:val="207"/>
        </w:numPr>
        <w:rPr>
          <w:rFonts w:ascii="Arial" w:cs="Arial" w:eastAsia="Arial" w:hAnsi="Arial"/>
          <w:sz w:val="19"/>
          <w:szCs w:val="19"/>
          <w:color w:val="auto"/>
        </w:rPr>
      </w:pPr>
      <w:r>
        <w:rPr>
          <w:rFonts w:ascii="Arial" w:cs="Arial" w:eastAsia="Arial" w:hAnsi="Arial"/>
          <w:sz w:val="19"/>
          <w:szCs w:val="19"/>
          <w:u w:val="single" w:color="auto"/>
          <w:color w:val="auto"/>
        </w:rPr>
        <w:t>Fees</w:t>
      </w:r>
      <w:r>
        <w:rPr>
          <w:rFonts w:ascii="Arial" w:cs="Arial" w:eastAsia="Arial" w:hAnsi="Arial"/>
          <w:sz w:val="19"/>
          <w:szCs w:val="19"/>
          <w:color w:val="auto"/>
        </w:rPr>
        <w:t>. Prior to or substantially concurrently with the funding of the Initial Term Loans hereunder, the Administrative Agent shall have received (i) all fees required to be paid by the Borrower on the Closing Date pursuant to the Engagement Letter and/or Fee Letter and (ii) all expenses required to be paid by the Borrower for which invoices have been presented at least three Business Days prior to the Closing Date or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121</w:t>
      </w:r>
      <w:r>
        <w:rPr>
          <w:rFonts w:ascii="Arial" w:cs="Arial" w:eastAsia="Arial" w:hAnsi="Arial"/>
          <w:sz w:val="18"/>
          <w:szCs w:val="18"/>
          <w:u w:val="single" w:color="auto"/>
          <w:color w:val="0000FF"/>
          <w:strike w:val="1"/>
        </w:rPr>
        <w:t>121</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89" w:name="page190"/>
    <w:bookmarkEnd w:id="189"/>
    <w:p>
      <w:pPr>
        <w:ind w:left="100" w:right="59"/>
        <w:spacing w:after="0" w:line="289" w:lineRule="auto"/>
        <w:rPr>
          <w:sz w:val="20"/>
          <w:szCs w:val="20"/>
          <w:color w:val="auto"/>
        </w:rPr>
      </w:pPr>
      <w:r>
        <w:rPr>
          <w:rFonts w:ascii="Arial" w:cs="Arial" w:eastAsia="Arial" w:hAnsi="Arial"/>
          <w:sz w:val="18"/>
          <w:szCs w:val="18"/>
          <w:color w:val="auto"/>
        </w:rPr>
        <w:t>such later date to which the Borrower may agree (including the reasonable fees and expenses of legal counsel required to be paid), in each case on or before the Closing Date, which amounts may be offset against the proceeds of the Loans.</w:t>
      </w:r>
    </w:p>
    <w:p>
      <w:pPr>
        <w:spacing w:after="0" w:line="136" w:lineRule="exact"/>
        <w:rPr>
          <w:sz w:val="20"/>
          <w:szCs w:val="20"/>
          <w:color w:val="auto"/>
        </w:rPr>
      </w:pPr>
    </w:p>
    <w:p>
      <w:pPr>
        <w:jc w:val="both"/>
        <w:ind w:left="100" w:right="59" w:firstLine="742"/>
        <w:spacing w:after="0" w:line="283" w:lineRule="auto"/>
        <w:tabs>
          <w:tab w:leader="none" w:pos="1520"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Closing Date Refinancing</w:t>
      </w:r>
      <w:r>
        <w:rPr>
          <w:rFonts w:ascii="Arial" w:cs="Arial" w:eastAsia="Arial" w:hAnsi="Arial"/>
          <w:sz w:val="17"/>
          <w:szCs w:val="17"/>
          <w:color w:val="auto"/>
        </w:rPr>
        <w:t>. Substantially concurrently with the initial funding of the Loans hereunder, including by use of the proceeds thereof, the Closing Date Refinancing shall be consummated and the Administrative Agent shall have received a customary payoff letter providing for the release of liens securing the obligations under the Existing Credit Agreement (to the extent required by the definition of “Closing Date Refinancing”) upon the consummation of the Closing Date Refinancing.</w:t>
      </w:r>
    </w:p>
    <w:p>
      <w:pPr>
        <w:spacing w:after="0" w:line="158" w:lineRule="exact"/>
        <w:rPr>
          <w:rFonts w:ascii="Arial" w:cs="Arial" w:eastAsia="Arial" w:hAnsi="Arial"/>
          <w:sz w:val="17"/>
          <w:szCs w:val="17"/>
          <w:color w:val="auto"/>
        </w:rPr>
      </w:pPr>
    </w:p>
    <w:p>
      <w:pPr>
        <w:ind w:left="100" w:right="59" w:firstLine="742"/>
        <w:spacing w:after="0" w:line="261" w:lineRule="auto"/>
        <w:tabs>
          <w:tab w:leader="none" w:pos="1520" w:val="left"/>
        </w:tabs>
        <w:numPr>
          <w:ilvl w:val="0"/>
          <w:numId w:val="208"/>
        </w:numPr>
        <w:rPr>
          <w:rFonts w:ascii="Arial" w:cs="Arial" w:eastAsia="Arial" w:hAnsi="Arial"/>
          <w:sz w:val="19"/>
          <w:szCs w:val="19"/>
          <w:color w:val="auto"/>
        </w:rPr>
      </w:pPr>
      <w:r>
        <w:rPr>
          <w:rFonts w:ascii="Arial" w:cs="Arial" w:eastAsia="Arial" w:hAnsi="Arial"/>
          <w:sz w:val="19"/>
          <w:szCs w:val="19"/>
          <w:u w:val="single" w:color="auto"/>
          <w:color w:val="auto"/>
        </w:rPr>
        <w:t>No Default or Event of Default</w:t>
      </w:r>
      <w:r>
        <w:rPr>
          <w:rFonts w:ascii="Arial" w:cs="Arial" w:eastAsia="Arial" w:hAnsi="Arial"/>
          <w:sz w:val="19"/>
          <w:szCs w:val="19"/>
          <w:color w:val="auto"/>
        </w:rPr>
        <w:t>. At the time of and immediately after giving effect to the making of the Loans to be made on the Closing Date, no Default or Event of Default has occurred and is continuing.</w:t>
      </w:r>
    </w:p>
    <w:p>
      <w:pPr>
        <w:spacing w:after="0" w:line="172" w:lineRule="exact"/>
        <w:rPr>
          <w:rFonts w:ascii="Arial" w:cs="Arial" w:eastAsia="Arial" w:hAnsi="Arial"/>
          <w:sz w:val="19"/>
          <w:szCs w:val="19"/>
          <w:color w:val="auto"/>
        </w:rPr>
      </w:pPr>
    </w:p>
    <w:p>
      <w:pPr>
        <w:jc w:val="both"/>
        <w:ind w:left="100" w:right="59" w:firstLine="741"/>
        <w:spacing w:after="0" w:line="336" w:lineRule="auto"/>
        <w:tabs>
          <w:tab w:leader="none" w:pos="1520"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Solvency</w:t>
      </w:r>
      <w:r>
        <w:rPr>
          <w:rFonts w:ascii="Arial" w:cs="Arial" w:eastAsia="Arial" w:hAnsi="Arial"/>
          <w:sz w:val="17"/>
          <w:szCs w:val="17"/>
          <w:color w:val="auto"/>
        </w:rPr>
        <w:t xml:space="preserve">. The Administrative Agent (or its counsel) shall have received a certificate in substantially the form of </w:t>
      </w:r>
      <w:r>
        <w:rPr>
          <w:rFonts w:ascii="Arial" w:cs="Arial" w:eastAsia="Arial" w:hAnsi="Arial"/>
          <w:sz w:val="17"/>
          <w:szCs w:val="17"/>
          <w:u w:val="single" w:color="auto"/>
          <w:color w:val="auto"/>
        </w:rPr>
        <w:t>Exhibit P</w:t>
      </w:r>
      <w:r>
        <w:rPr>
          <w:rFonts w:ascii="Arial" w:cs="Arial" w:eastAsia="Arial" w:hAnsi="Arial"/>
          <w:sz w:val="17"/>
          <w:szCs w:val="17"/>
          <w:color w:val="auto"/>
        </w:rPr>
        <w:t xml:space="preserve"> from a Responsible Officer of the Borrower dated as of the Closing Date and certifying as to the matters set forth therein.</w:t>
      </w:r>
    </w:p>
    <w:p>
      <w:pPr>
        <w:spacing w:after="0" w:line="114" w:lineRule="exact"/>
        <w:rPr>
          <w:rFonts w:ascii="Arial" w:cs="Arial" w:eastAsia="Arial" w:hAnsi="Arial"/>
          <w:sz w:val="17"/>
          <w:szCs w:val="17"/>
          <w:color w:val="auto"/>
        </w:rPr>
      </w:pPr>
    </w:p>
    <w:p>
      <w:pPr>
        <w:jc w:val="both"/>
        <w:ind w:left="100" w:right="59" w:firstLine="741"/>
        <w:spacing w:after="0" w:line="249" w:lineRule="auto"/>
        <w:tabs>
          <w:tab w:leader="none" w:pos="1520" w:val="left"/>
        </w:tabs>
        <w:numPr>
          <w:ilvl w:val="0"/>
          <w:numId w:val="208"/>
        </w:numPr>
        <w:rPr>
          <w:rFonts w:ascii="Arial" w:cs="Arial" w:eastAsia="Arial" w:hAnsi="Arial"/>
          <w:sz w:val="19"/>
          <w:szCs w:val="19"/>
          <w:color w:val="auto"/>
        </w:rPr>
      </w:pPr>
      <w:r>
        <w:rPr>
          <w:rFonts w:ascii="Arial" w:cs="Arial" w:eastAsia="Arial" w:hAnsi="Arial"/>
          <w:sz w:val="19"/>
          <w:szCs w:val="19"/>
          <w:u w:val="single" w:color="auto"/>
          <w:color w:val="auto"/>
        </w:rPr>
        <w:t>Perfection Certificate</w:t>
      </w:r>
      <w:r>
        <w:rPr>
          <w:rFonts w:ascii="Arial" w:cs="Arial" w:eastAsia="Arial" w:hAnsi="Arial"/>
          <w:sz w:val="19"/>
          <w:szCs w:val="19"/>
          <w:color w:val="auto"/>
        </w:rPr>
        <w:t>. The Administrative Agent (or its counsel) shall have received a completed Perfection Certificate dated the Closing Date and signed by a Responsible Officer of the Borrower, together with all attachments contemplated thereby.</w:t>
      </w:r>
    </w:p>
    <w:p>
      <w:pPr>
        <w:spacing w:after="0" w:line="183" w:lineRule="exact"/>
        <w:rPr>
          <w:rFonts w:ascii="Arial" w:cs="Arial" w:eastAsia="Arial" w:hAnsi="Arial"/>
          <w:sz w:val="19"/>
          <w:szCs w:val="19"/>
          <w:color w:val="auto"/>
        </w:rPr>
      </w:pPr>
    </w:p>
    <w:p>
      <w:pPr>
        <w:jc w:val="both"/>
        <w:ind w:left="100" w:right="59" w:firstLine="742"/>
        <w:spacing w:after="0" w:line="249" w:lineRule="auto"/>
        <w:tabs>
          <w:tab w:leader="none" w:pos="1520" w:val="left"/>
        </w:tabs>
        <w:numPr>
          <w:ilvl w:val="0"/>
          <w:numId w:val="208"/>
        </w:numPr>
        <w:rPr>
          <w:rFonts w:ascii="Arial" w:cs="Arial" w:eastAsia="Arial" w:hAnsi="Arial"/>
          <w:sz w:val="19"/>
          <w:szCs w:val="19"/>
          <w:color w:val="auto"/>
        </w:rPr>
      </w:pPr>
      <w:r>
        <w:rPr>
          <w:rFonts w:ascii="Arial" w:cs="Arial" w:eastAsia="Arial" w:hAnsi="Arial"/>
          <w:sz w:val="19"/>
          <w:szCs w:val="19"/>
          <w:u w:val="single" w:color="auto"/>
          <w:color w:val="auto"/>
        </w:rPr>
        <w:t>Filings Registrations and Recordings</w:t>
      </w:r>
      <w:r>
        <w:rPr>
          <w:rFonts w:ascii="Arial" w:cs="Arial" w:eastAsia="Arial" w:hAnsi="Arial"/>
          <w:sz w:val="19"/>
          <w:szCs w:val="19"/>
          <w:color w:val="auto"/>
        </w:rPr>
        <w:t xml:space="preserve">. Subject to the final paragraph of this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and except as may otherwise be agreed by the Administrative Agent, the requirements set forth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the definition of “Collateral and Guarantee Requirement” shall be satisfied.</w:t>
      </w:r>
    </w:p>
    <w:p>
      <w:pPr>
        <w:spacing w:after="0" w:line="183" w:lineRule="exact"/>
        <w:rPr>
          <w:rFonts w:ascii="Arial" w:cs="Arial" w:eastAsia="Arial" w:hAnsi="Arial"/>
          <w:sz w:val="19"/>
          <w:szCs w:val="19"/>
          <w:color w:val="auto"/>
        </w:rPr>
      </w:pPr>
    </w:p>
    <w:p>
      <w:pPr>
        <w:ind w:left="1520" w:hanging="679"/>
        <w:spacing w:after="0"/>
        <w:tabs>
          <w:tab w:leader="none" w:pos="152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IPO</w:t>
      </w:r>
      <w:r>
        <w:rPr>
          <w:rFonts w:ascii="Arial" w:cs="Arial" w:eastAsia="Arial" w:hAnsi="Arial"/>
          <w:sz w:val="18"/>
          <w:szCs w:val="18"/>
          <w:color w:val="auto"/>
        </w:rPr>
        <w:t>. Prior to, or substantially concurrently with, the initial funding of the Loans hereunder, the IPO shall be</w:t>
      </w:r>
    </w:p>
    <w:p>
      <w:pPr>
        <w:spacing w:after="0" w:line="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9"/>
          <w:szCs w:val="19"/>
          <w:color w:val="auto"/>
        </w:rPr>
        <w:t>consummated.</w:t>
      </w:r>
    </w:p>
    <w:p>
      <w:pPr>
        <w:spacing w:after="0" w:line="197" w:lineRule="exact"/>
        <w:rPr>
          <w:rFonts w:ascii="Arial" w:cs="Arial" w:eastAsia="Arial" w:hAnsi="Arial"/>
          <w:sz w:val="18"/>
          <w:szCs w:val="18"/>
          <w:color w:val="auto"/>
        </w:rPr>
      </w:pPr>
    </w:p>
    <w:p>
      <w:pPr>
        <w:ind w:left="1520" w:hanging="679"/>
        <w:spacing w:after="0"/>
        <w:tabs>
          <w:tab w:leader="none" w:pos="152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Since December 31, 2020, there shall not have occurred a Material Adverse Effect.</w:t>
      </w:r>
    </w:p>
    <w:p>
      <w:pPr>
        <w:spacing w:after="0" w:line="225" w:lineRule="exact"/>
        <w:rPr>
          <w:rFonts w:ascii="Arial" w:cs="Arial" w:eastAsia="Arial" w:hAnsi="Arial"/>
          <w:sz w:val="18"/>
          <w:szCs w:val="18"/>
          <w:color w:val="auto"/>
        </w:rPr>
      </w:pPr>
    </w:p>
    <w:p>
      <w:pPr>
        <w:jc w:val="both"/>
        <w:ind w:left="100" w:right="59" w:firstLine="741"/>
        <w:spacing w:after="0" w:line="246" w:lineRule="auto"/>
        <w:tabs>
          <w:tab w:leader="none" w:pos="1520" w:val="left"/>
        </w:tabs>
        <w:numPr>
          <w:ilvl w:val="0"/>
          <w:numId w:val="208"/>
        </w:numPr>
        <w:rPr>
          <w:rFonts w:ascii="Arial" w:cs="Arial" w:eastAsia="Arial" w:hAnsi="Arial"/>
          <w:sz w:val="19"/>
          <w:szCs w:val="19"/>
          <w:color w:val="auto"/>
        </w:rPr>
      </w:pPr>
      <w:r>
        <w:rPr>
          <w:rFonts w:ascii="Arial" w:cs="Arial" w:eastAsia="Arial" w:hAnsi="Arial"/>
          <w:sz w:val="19"/>
          <w:szCs w:val="19"/>
          <w:u w:val="single" w:color="auto"/>
          <w:color w:val="auto"/>
        </w:rPr>
        <w:t>USA PATRIOT Act</w:t>
      </w:r>
      <w:r>
        <w:rPr>
          <w:rFonts w:ascii="Arial" w:cs="Arial" w:eastAsia="Arial" w:hAnsi="Arial"/>
          <w:sz w:val="19"/>
          <w:szCs w:val="19"/>
          <w:color w:val="auto"/>
        </w:rPr>
        <w:t>. No later than three Business Days in advance of the Closing Date, the Administrative Agent shall have received all documentation and other information reasonably requested with respect to any Loan Party in writing by any Initial Lender at least 10 Business Days in advance of the Closing Date, which documentation or other information is required by regulatory authorities under applicable “know your customer” and anti-money laundering rules and regulations, including the USA PATRIOT Act.</w:t>
      </w:r>
    </w:p>
    <w:p>
      <w:pPr>
        <w:spacing w:after="0" w:line="189" w:lineRule="exact"/>
        <w:rPr>
          <w:rFonts w:ascii="Arial" w:cs="Arial" w:eastAsia="Arial" w:hAnsi="Arial"/>
          <w:sz w:val="19"/>
          <w:szCs w:val="19"/>
          <w:color w:val="auto"/>
        </w:rPr>
      </w:pPr>
    </w:p>
    <w:p>
      <w:pPr>
        <w:jc w:val="both"/>
        <w:ind w:left="100" w:right="19" w:firstLine="741"/>
        <w:spacing w:after="0" w:line="245" w:lineRule="auto"/>
        <w:tabs>
          <w:tab w:leader="none" w:pos="1522" w:val="left"/>
        </w:tabs>
        <w:numPr>
          <w:ilvl w:val="0"/>
          <w:numId w:val="208"/>
        </w:numPr>
        <w:rPr>
          <w:rFonts w:ascii="Arial" w:cs="Arial" w:eastAsia="Arial" w:hAnsi="Arial"/>
          <w:sz w:val="19"/>
          <w:szCs w:val="19"/>
          <w:color w:val="auto"/>
        </w:rPr>
      </w:pPr>
      <w:r>
        <w:rPr>
          <w:rFonts w:ascii="Arial" w:cs="Arial" w:eastAsia="Arial" w:hAnsi="Arial"/>
          <w:sz w:val="19"/>
          <w:szCs w:val="19"/>
          <w:u w:val="single" w:color="auto"/>
          <w:color w:val="auto"/>
        </w:rPr>
        <w:t>Beneficial Ownership Certification</w:t>
      </w:r>
      <w:r>
        <w:rPr>
          <w:rFonts w:ascii="Arial" w:cs="Arial" w:eastAsia="Arial" w:hAnsi="Arial"/>
          <w:sz w:val="19"/>
          <w:szCs w:val="19"/>
          <w:color w:val="auto"/>
        </w:rPr>
        <w:t>. To the extent the Borrower qualifies as a “legal entity customer” under the Beneficial Ownership Regulation, no later than three Business Days in advance of the Closing Date, the Administrative Agent shall have received a Beneficial Ownership Certification in relation to the Borrower to the extent reasonably requested by it at least 10 Business Days in advance of the Closing Date.</w:t>
      </w:r>
    </w:p>
    <w:p>
      <w:pPr>
        <w:spacing w:after="0" w:line="187" w:lineRule="exact"/>
        <w:rPr>
          <w:rFonts w:ascii="Arial" w:cs="Arial" w:eastAsia="Arial" w:hAnsi="Arial"/>
          <w:sz w:val="19"/>
          <w:szCs w:val="19"/>
          <w:color w:val="auto"/>
        </w:rPr>
      </w:pPr>
    </w:p>
    <w:p>
      <w:pPr>
        <w:ind w:left="100" w:right="59" w:firstLine="741"/>
        <w:spacing w:after="0" w:line="261" w:lineRule="auto"/>
        <w:tabs>
          <w:tab w:leader="none" w:pos="1519" w:val="left"/>
        </w:tabs>
        <w:numPr>
          <w:ilvl w:val="0"/>
          <w:numId w:val="208"/>
        </w:numPr>
        <w:rPr>
          <w:rFonts w:ascii="Arial" w:cs="Arial" w:eastAsia="Arial" w:hAnsi="Arial"/>
          <w:sz w:val="19"/>
          <w:szCs w:val="19"/>
          <w:color w:val="auto"/>
        </w:rPr>
      </w:pPr>
      <w:r>
        <w:rPr>
          <w:rFonts w:ascii="Arial" w:cs="Arial" w:eastAsia="Arial" w:hAnsi="Arial"/>
          <w:sz w:val="19"/>
          <w:szCs w:val="19"/>
          <w:u w:val="single" w:color="auto"/>
          <w:color w:val="auto"/>
        </w:rPr>
        <w:t>Officer’s Certificate</w:t>
      </w:r>
      <w:r>
        <w:rPr>
          <w:rFonts w:ascii="Arial" w:cs="Arial" w:eastAsia="Arial" w:hAnsi="Arial"/>
          <w:sz w:val="19"/>
          <w:szCs w:val="19"/>
          <w:color w:val="auto"/>
        </w:rPr>
        <w:t xml:space="preserve">. The Administrative Agent shall have received a certificate from a Responsible Officer of the Borrower certifying the satisfaction of the conditions precedent set forth in </w:t>
      </w:r>
      <w:r>
        <w:rPr>
          <w:rFonts w:ascii="Arial" w:cs="Arial" w:eastAsia="Arial" w:hAnsi="Arial"/>
          <w:sz w:val="19"/>
          <w:szCs w:val="19"/>
          <w:u w:val="single" w:color="auto"/>
          <w:color w:val="auto"/>
        </w:rPr>
        <w:t>Sections 4.01(e)</w:t>
      </w:r>
      <w:r>
        <w:rPr>
          <w:rFonts w:ascii="Arial" w:cs="Arial" w:eastAsia="Arial" w:hAnsi="Arial"/>
          <w:sz w:val="19"/>
          <w:szCs w:val="19"/>
          <w:color w:val="auto"/>
        </w:rPr>
        <w:t xml:space="preserv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(m)</w:t>
      </w:r>
      <w:r>
        <w:rPr>
          <w:rFonts w:ascii="Arial" w:cs="Arial" w:eastAsia="Arial" w:hAnsi="Arial"/>
          <w:sz w:val="19"/>
          <w:szCs w:val="19"/>
          <w:color w:val="auto"/>
        </w:rPr>
        <w:t>.</w:t>
      </w:r>
    </w:p>
    <w:p>
      <w:pPr>
        <w:spacing w:after="0" w:line="173"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 xml:space="preserve">For purposes of determining whether the conditions specified in this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have been satisfied on the Closing Date, by funding the Loans hereunder or issuing a Letter of Credit on the Closing Date, the Administrative Agent, each Lender and each Issuing Bank, as applicable, shall be deemed to have consented to, approved or accepted, or to be satisfied with, each document or other matter required hereunder to be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122</w:t>
      </w:r>
      <w:r>
        <w:rPr>
          <w:rFonts w:ascii="Arial" w:cs="Arial" w:eastAsia="Arial" w:hAnsi="Arial"/>
          <w:sz w:val="18"/>
          <w:szCs w:val="18"/>
          <w:u w:val="single" w:color="auto"/>
          <w:color w:val="0000FF"/>
          <w:strike w:val="1"/>
        </w:rPr>
        <w:t>122</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90" w:name="page191"/>
    <w:bookmarkEnd w:id="190"/>
    <w:p>
      <w:pPr>
        <w:ind w:left="100" w:right="359"/>
        <w:spacing w:after="0" w:line="261" w:lineRule="auto"/>
        <w:rPr>
          <w:sz w:val="20"/>
          <w:szCs w:val="20"/>
          <w:color w:val="auto"/>
        </w:rPr>
      </w:pPr>
      <w:r>
        <w:rPr>
          <w:rFonts w:ascii="Arial" w:cs="Arial" w:eastAsia="Arial" w:hAnsi="Arial"/>
          <w:sz w:val="19"/>
          <w:szCs w:val="19"/>
          <w:color w:val="auto"/>
        </w:rPr>
        <w:t>consented to or approved by or acceptable or satisfactory to the Administrative Agent, such Lender or such Issuing Bank, as the case may be.</w:t>
      </w:r>
    </w:p>
    <w:p>
      <w:pPr>
        <w:spacing w:after="0" w:line="159" w:lineRule="exact"/>
        <w:rPr>
          <w:sz w:val="20"/>
          <w:szCs w:val="20"/>
          <w:color w:val="auto"/>
        </w:rPr>
      </w:pPr>
    </w:p>
    <w:p>
      <w:pPr>
        <w:jc w:val="both"/>
        <w:ind w:left="100" w:right="59" w:firstLine="749"/>
        <w:spacing w:after="0" w:line="248" w:lineRule="auto"/>
        <w:rPr>
          <w:sz w:val="20"/>
          <w:szCs w:val="20"/>
          <w:color w:val="auto"/>
        </w:rPr>
      </w:pPr>
      <w:r>
        <w:rPr>
          <w:rFonts w:ascii="Arial" w:cs="Arial" w:eastAsia="Arial" w:hAnsi="Arial"/>
          <w:sz w:val="18"/>
          <w:szCs w:val="18"/>
          <w:color w:val="auto"/>
        </w:rPr>
        <w:t xml:space="preserve">Notwithstanding the foregoing, to the extent that the Lien on any Collateral is not or cannot be created or perfected on the Closing Date (other than, to the extent required herein or in the other Loan Documents, the creation and perfection of a Lien on Collateral that is of the type that may be perfected by the filing of a Form UCC-1 financing statement under the UCC), then the creation and/or perfection of such Lien shall not constitute a condition precedent to the availability or initial funding of the Credit Facilities on the Closing Date, but may instead be delivered or perfected within the time period set forth in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(or such later date as the Administrative Agent may reasonably agree).</w:t>
      </w:r>
    </w:p>
    <w:p>
      <w:pPr>
        <w:spacing w:after="0" w:line="175" w:lineRule="exact"/>
        <w:rPr>
          <w:sz w:val="20"/>
          <w:szCs w:val="20"/>
          <w:color w:val="auto"/>
        </w:rPr>
      </w:pPr>
    </w:p>
    <w:p>
      <w:pPr>
        <w:jc w:val="both"/>
        <w:ind w:left="100" w:right="59" w:firstLine="749"/>
        <w:spacing w:after="0" w:line="246"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u w:val="single" w:color="auto"/>
          <w:color w:val="auto"/>
        </w:rPr>
        <w:t>Each Credit Extension</w:t>
      </w:r>
      <w:r>
        <w:rPr>
          <w:rFonts w:ascii="Arial" w:cs="Arial" w:eastAsia="Arial" w:hAnsi="Arial"/>
          <w:sz w:val="19"/>
          <w:szCs w:val="19"/>
          <w:color w:val="auto"/>
        </w:rPr>
        <w:t>. After the Closing Date, the obligation of each Revolving Lender and each Issuing Bank to make any Credit Extension is subject to the satisfaction of the following conditions:</w:t>
      </w:r>
    </w:p>
    <w:p>
      <w:pPr>
        <w:spacing w:after="0" w:line="173" w:lineRule="exact"/>
        <w:rPr>
          <w:sz w:val="20"/>
          <w:szCs w:val="20"/>
          <w:color w:val="auto"/>
        </w:rPr>
      </w:pPr>
    </w:p>
    <w:p>
      <w:pPr>
        <w:jc w:val="both"/>
        <w:ind w:left="100" w:right="59" w:firstLine="741"/>
        <w:spacing w:after="0" w:line="268" w:lineRule="auto"/>
        <w:tabs>
          <w:tab w:leader="none" w:pos="15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(i) In the case of any Borrowing, the Administrative Agent shall have received a Borrowing Request as required by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(ii) in the case of the issuance of any Letter of Credit, the applicable Issuing Bank and the Administrative Agent shall have received a Letter of Credit Request or (iii) in the case of any Borrowing of Swingline Loans, the Swingline Lender and the Administrative Agent shall have received Borrowing Request as required by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jc w:val="both"/>
        <w:ind w:left="100" w:right="59" w:firstLine="741"/>
        <w:spacing w:after="0" w:line="256" w:lineRule="auto"/>
        <w:tabs>
          <w:tab w:leader="none" w:pos="15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Loan Parties set forth in this Agreement and the other Loan Documents shall be true and correct in all material respects on and as of the date of any such Credit Extension with the same effect as though such representations and warranties had been made on and as of the date of such Credit Extension;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any representation and warranty specifically refers to a given date or period, it shall be true and correct in all material respects as of such date or for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representation and warranty that is qualified as to “materiality,” “Material Adverse Effect” or similar language shall be true and correct (after giving effect to any qualification therein) in all respects on such respective dates or for such periods.</w:t>
      </w:r>
    </w:p>
    <w:p>
      <w:pPr>
        <w:spacing w:after="0" w:line="182" w:lineRule="exact"/>
        <w:rPr>
          <w:rFonts w:ascii="Arial" w:cs="Arial" w:eastAsia="Arial" w:hAnsi="Arial"/>
          <w:sz w:val="18"/>
          <w:szCs w:val="18"/>
          <w:color w:val="auto"/>
        </w:rPr>
      </w:pPr>
    </w:p>
    <w:p>
      <w:pPr>
        <w:ind w:left="100" w:right="59" w:firstLine="741"/>
        <w:spacing w:after="0" w:line="261" w:lineRule="auto"/>
        <w:tabs>
          <w:tab w:leader="none" w:pos="1520" w:val="left"/>
        </w:tabs>
        <w:numPr>
          <w:ilvl w:val="0"/>
          <w:numId w:val="209"/>
        </w:numPr>
        <w:rPr>
          <w:rFonts w:ascii="Arial" w:cs="Arial" w:eastAsia="Arial" w:hAnsi="Arial"/>
          <w:sz w:val="19"/>
          <w:szCs w:val="19"/>
          <w:color w:val="auto"/>
        </w:rPr>
      </w:pPr>
      <w:r>
        <w:rPr>
          <w:rFonts w:ascii="Arial" w:cs="Arial" w:eastAsia="Arial" w:hAnsi="Arial"/>
          <w:sz w:val="19"/>
          <w:szCs w:val="19"/>
          <w:color w:val="auto"/>
        </w:rPr>
        <w:t>At the time of and immediately after giving effect to the applicable Credit Extension, no Default or Event of Default has occurred and is continuing.</w:t>
      </w:r>
    </w:p>
    <w:p>
      <w:pPr>
        <w:spacing w:after="0" w:line="173" w:lineRule="exact"/>
        <w:rPr>
          <w:sz w:val="20"/>
          <w:szCs w:val="20"/>
          <w:color w:val="auto"/>
        </w:rPr>
      </w:pPr>
    </w:p>
    <w:p>
      <w:pPr>
        <w:jc w:val="both"/>
        <w:ind w:left="100" w:right="59" w:firstLine="749"/>
        <w:spacing w:after="0" w:line="234" w:lineRule="auto"/>
        <w:rPr>
          <w:sz w:val="20"/>
          <w:szCs w:val="20"/>
          <w:color w:val="auto"/>
        </w:rPr>
      </w:pPr>
      <w:r>
        <w:rPr>
          <w:rFonts w:ascii="Arial" w:cs="Arial" w:eastAsia="Arial" w:hAnsi="Arial"/>
          <w:sz w:val="19"/>
          <w:szCs w:val="19"/>
          <w:color w:val="auto"/>
        </w:rPr>
        <w:t xml:space="preserve">Each Credit Extension after the Closing Date shall be deemed to constitute a representation and warranty by the Borrower on the date thereof as to the matters specified in </w:t>
      </w:r>
      <w:r>
        <w:rPr>
          <w:rFonts w:ascii="Arial" w:cs="Arial" w:eastAsia="Arial" w:hAnsi="Arial"/>
          <w:sz w:val="19"/>
          <w:szCs w:val="19"/>
          <w:u w:val="single" w:color="auto"/>
          <w:color w:val="auto"/>
        </w:rPr>
        <w:t>paragraphs (b)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for the avoidance of doubt, the conditions set forth in this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shall not apply to (A) any Incremental Loan and/or (B) any Credit Extension under any Refinancing Amendment and/or Extension Amendment, unless, in each case, the lenders in respect thereof have required satisfaction of the same in the applicable Incremental Facility Amendment, Refinancing Amendment or Extension Amendment, as applicable.</w:t>
      </w:r>
    </w:p>
    <w:p>
      <w:pPr>
        <w:spacing w:after="0" w:line="274"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ARTICLE 5 AFFIRMATIVE</w:t>
      </w:r>
    </w:p>
    <w:p>
      <w:pPr>
        <w:spacing w:after="0" w:line="200" w:lineRule="exact"/>
        <w:rPr>
          <w:sz w:val="20"/>
          <w:szCs w:val="20"/>
          <w:color w:val="auto"/>
        </w:rPr>
      </w:pPr>
    </w:p>
    <w:p>
      <w:pPr>
        <w:ind w:left="3540"/>
        <w:spacing w:after="0"/>
        <w:rPr>
          <w:sz w:val="20"/>
          <w:szCs w:val="20"/>
          <w:color w:val="auto"/>
        </w:rPr>
      </w:pPr>
      <w:r>
        <w:rPr>
          <w:rFonts w:ascii="Arial" w:cs="Arial" w:eastAsia="Arial" w:hAnsi="Arial"/>
          <w:sz w:val="19"/>
          <w:szCs w:val="19"/>
          <w:color w:val="auto"/>
        </w:rPr>
        <w:t>COVENANTS</w:t>
      </w:r>
    </w:p>
    <w:p>
      <w:pPr>
        <w:spacing w:after="0" w:line="106" w:lineRule="exact"/>
        <w:rPr>
          <w:sz w:val="20"/>
          <w:szCs w:val="20"/>
          <w:color w:val="auto"/>
        </w:rPr>
      </w:pPr>
    </w:p>
    <w:p>
      <w:pPr>
        <w:jc w:val="both"/>
        <w:ind w:left="100" w:right="59" w:firstLine="749"/>
        <w:spacing w:after="0" w:line="245" w:lineRule="auto"/>
        <w:rPr>
          <w:sz w:val="20"/>
          <w:szCs w:val="20"/>
          <w:color w:val="auto"/>
        </w:rPr>
      </w:pPr>
      <w:r>
        <w:rPr>
          <w:rFonts w:ascii="Arial" w:cs="Arial" w:eastAsia="Arial" w:hAnsi="Arial"/>
          <w:sz w:val="18"/>
          <w:szCs w:val="18"/>
          <w:color w:val="auto"/>
        </w:rPr>
        <w:t xml:space="preserve">From the Closing Date until the date on which all Revolving Credit Commitments have expired or terminated and the principal of and interest on each Loan and all fees, expenses and other amounts payable under any Loan Document (other than (i) contingent indemnification obligations for which no claim or demand has been made and (ii) for the avoidance of doubt, obligations and liabilities under Banking Services Obligations and Secured Hedging Obligations) have been paid in full in the manner prescribed by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and all Letters of Credit have expired or have been terminated (or have been made subject to Letter of Credit Support) and all LC Disbursements have been reimbursed (such date, the “</w:t>
      </w:r>
      <w:r>
        <w:rPr>
          <w:rFonts w:ascii="Arial" w:cs="Arial" w:eastAsia="Arial" w:hAnsi="Arial"/>
          <w:sz w:val="18"/>
          <w:szCs w:val="18"/>
          <w:u w:val="single" w:color="auto"/>
          <w:color w:val="auto"/>
        </w:rPr>
        <w:t>Termination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123</w:t>
      </w:r>
      <w:r>
        <w:rPr>
          <w:rFonts w:ascii="Arial" w:cs="Arial" w:eastAsia="Arial" w:hAnsi="Arial"/>
          <w:sz w:val="18"/>
          <w:szCs w:val="18"/>
          <w:u w:val="single" w:color="auto"/>
          <w:color w:val="0000FF"/>
          <w:strike w:val="1"/>
        </w:rPr>
        <w:t>123</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91" w:name="page192"/>
    <w:bookmarkEnd w:id="191"/>
    <w:p>
      <w:pPr>
        <w:ind w:left="100" w:right="279"/>
        <w:spacing w:after="0" w:line="261" w:lineRule="auto"/>
        <w:rPr>
          <w:sz w:val="20"/>
          <w:szCs w:val="20"/>
          <w:color w:val="auto"/>
        </w:rPr>
      </w:pPr>
      <w:r>
        <w:rPr>
          <w:rFonts w:ascii="Arial" w:cs="Arial" w:eastAsia="Arial" w:hAnsi="Arial"/>
          <w:sz w:val="19"/>
          <w:szCs w:val="19"/>
          <w:u w:val="single" w:color="auto"/>
          <w:color w:val="auto"/>
        </w:rPr>
        <w:t>Date</w:t>
      </w:r>
      <w:r>
        <w:rPr>
          <w:rFonts w:ascii="Arial" w:cs="Arial" w:eastAsia="Arial" w:hAnsi="Arial"/>
          <w:sz w:val="19"/>
          <w:szCs w:val="19"/>
          <w:color w:val="auto"/>
        </w:rPr>
        <w:t>”), Holdings (solely to the extent applicable to it) and the Borrower hereby covenant and agree with the Lenders, the Issuing Banks and the Administrative Agent that:</w:t>
      </w:r>
    </w:p>
    <w:p>
      <w:pPr>
        <w:spacing w:after="0" w:line="159" w:lineRule="exact"/>
        <w:rPr>
          <w:sz w:val="20"/>
          <w:szCs w:val="20"/>
          <w:color w:val="auto"/>
        </w:rPr>
      </w:pPr>
    </w:p>
    <w:p>
      <w:pPr>
        <w:ind w:left="100" w:right="339" w:firstLine="749"/>
        <w:spacing w:after="0" w:line="246" w:lineRule="auto"/>
        <w:rPr>
          <w:sz w:val="20"/>
          <w:szCs w:val="20"/>
          <w:color w:val="auto"/>
        </w:rPr>
      </w:pPr>
      <w:r>
        <w:rPr>
          <w:rFonts w:ascii="Arial" w:cs="Arial" w:eastAsia="Arial" w:hAnsi="Arial"/>
          <w:sz w:val="19"/>
          <w:szCs w:val="19"/>
          <w:color w:val="auto"/>
        </w:rPr>
        <w:t xml:space="preserve">Section 5.01. </w:t>
      </w:r>
      <w:r>
        <w:rPr>
          <w:rFonts w:ascii="Arial" w:cs="Arial" w:eastAsia="Arial" w:hAnsi="Arial"/>
          <w:sz w:val="19"/>
          <w:szCs w:val="19"/>
          <w:u w:val="single" w:color="auto"/>
          <w:color w:val="auto"/>
        </w:rPr>
        <w:t>Financial Statements and Other Reports</w:t>
      </w:r>
      <w:r>
        <w:rPr>
          <w:rFonts w:ascii="Arial" w:cs="Arial" w:eastAsia="Arial" w:hAnsi="Arial"/>
          <w:sz w:val="19"/>
          <w:szCs w:val="19"/>
          <w:color w:val="auto"/>
        </w:rPr>
        <w:t xml:space="preserve">. The Borrower will deliver to the Administrative Agent for delivery by the Administrative Agent, subject to </w:t>
      </w:r>
      <w:r>
        <w:rPr>
          <w:rFonts w:ascii="Arial" w:cs="Arial" w:eastAsia="Arial" w:hAnsi="Arial"/>
          <w:sz w:val="19"/>
          <w:szCs w:val="19"/>
          <w:u w:val="single" w:color="auto"/>
          <w:color w:val="auto"/>
        </w:rPr>
        <w:t>Section 9.05(f)</w:t>
      </w:r>
      <w:r>
        <w:rPr>
          <w:rFonts w:ascii="Arial" w:cs="Arial" w:eastAsia="Arial" w:hAnsi="Arial"/>
          <w:sz w:val="19"/>
          <w:szCs w:val="19"/>
          <w:color w:val="auto"/>
        </w:rPr>
        <w:t>, to each Lender:</w:t>
      </w:r>
    </w:p>
    <w:p>
      <w:pPr>
        <w:spacing w:after="0" w:line="187" w:lineRule="exact"/>
        <w:rPr>
          <w:sz w:val="20"/>
          <w:szCs w:val="20"/>
          <w:color w:val="auto"/>
        </w:rPr>
      </w:pPr>
    </w:p>
    <w:p>
      <w:pPr>
        <w:jc w:val="both"/>
        <w:ind w:left="100" w:right="19" w:firstLine="742"/>
        <w:spacing w:after="0" w:line="274" w:lineRule="auto"/>
        <w:tabs>
          <w:tab w:leader="none" w:pos="1522" w:val="left"/>
        </w:tabs>
        <w:numPr>
          <w:ilvl w:val="1"/>
          <w:numId w:val="210"/>
        </w:numPr>
        <w:rPr>
          <w:rFonts w:ascii="Arial" w:cs="Arial" w:eastAsia="Arial" w:hAnsi="Arial"/>
          <w:sz w:val="17"/>
          <w:szCs w:val="17"/>
          <w:color w:val="auto"/>
        </w:rPr>
      </w:pPr>
      <w:r>
        <w:rPr>
          <w:rFonts w:ascii="Arial" w:cs="Arial" w:eastAsia="Arial" w:hAnsi="Arial"/>
          <w:sz w:val="17"/>
          <w:szCs w:val="17"/>
          <w:u w:val="single" w:color="auto"/>
          <w:color w:val="auto"/>
        </w:rPr>
        <w:t>Quarterly Financial Statements</w:t>
      </w:r>
      <w:r>
        <w:rPr>
          <w:rFonts w:ascii="Arial" w:cs="Arial" w:eastAsia="Arial" w:hAnsi="Arial"/>
          <w:sz w:val="17"/>
          <w:szCs w:val="17"/>
          <w:color w:val="auto"/>
        </w:rPr>
        <w:t xml:space="preserve">. Within 45 days after the end of each of the first three Fiscal Quarters of each Fiscal Year, commencing with the Fiscal Quarter ending on September 30, 2021, the consolidated balance sheet of the Borrower as at the end of such Fiscal Quarter and the related consolidated statements of income or operations and cash flows of the Borrower for such Fiscal Quarter and for the period from the beginning of the then current Fiscal Year to the end of such Fiscal Quarter, and setting forth, in reasonable detail, in comparative form the corresponding figures for the corresponding periods of the previous Fiscal Year, all in reasonable detail; </w:t>
      </w:r>
      <w:r>
        <w:rPr>
          <w:rFonts w:ascii="Arial" w:cs="Arial" w:eastAsia="Arial" w:hAnsi="Arial"/>
          <w:sz w:val="17"/>
          <w:szCs w:val="17"/>
          <w:u w:val="single" w:color="auto"/>
          <w:color w:val="auto"/>
        </w:rPr>
        <w:t>provided</w:t>
      </w:r>
      <w:r>
        <w:rPr>
          <w:rFonts w:ascii="Arial" w:cs="Arial" w:eastAsia="Arial" w:hAnsi="Arial"/>
          <w:sz w:val="17"/>
          <w:szCs w:val="17"/>
          <w:color w:val="auto"/>
        </w:rPr>
        <w:t>, that any comparison against the corresponding figures from the corresponding period in any prior Fiscal Year may reflect the financial results of any applicable predecessor entity;</w:t>
      </w:r>
    </w:p>
    <w:p>
      <w:pPr>
        <w:spacing w:after="0" w:line="165" w:lineRule="exact"/>
        <w:rPr>
          <w:rFonts w:ascii="Arial" w:cs="Arial" w:eastAsia="Arial" w:hAnsi="Arial"/>
          <w:sz w:val="17"/>
          <w:szCs w:val="17"/>
          <w:color w:val="auto"/>
        </w:rPr>
      </w:pPr>
    </w:p>
    <w:p>
      <w:pPr>
        <w:jc w:val="both"/>
        <w:ind w:left="100" w:right="59" w:firstLine="741"/>
        <w:spacing w:after="0" w:line="271" w:lineRule="auto"/>
        <w:tabs>
          <w:tab w:leader="none" w:pos="1520" w:val="left"/>
        </w:tabs>
        <w:numPr>
          <w:ilvl w:val="1"/>
          <w:numId w:val="210"/>
        </w:numPr>
        <w:rPr>
          <w:rFonts w:ascii="Arial" w:cs="Arial" w:eastAsia="Arial" w:hAnsi="Arial"/>
          <w:sz w:val="17"/>
          <w:szCs w:val="17"/>
          <w:color w:val="auto"/>
        </w:rPr>
      </w:pPr>
      <w:r>
        <w:rPr>
          <w:rFonts w:ascii="Arial" w:cs="Arial" w:eastAsia="Arial" w:hAnsi="Arial"/>
          <w:sz w:val="17"/>
          <w:szCs w:val="17"/>
          <w:u w:val="single" w:color="auto"/>
          <w:color w:val="auto"/>
        </w:rPr>
        <w:t>Annual Financial Statements</w:t>
      </w:r>
      <w:r>
        <w:rPr>
          <w:rFonts w:ascii="Arial" w:cs="Arial" w:eastAsia="Arial" w:hAnsi="Arial"/>
          <w:sz w:val="17"/>
          <w:szCs w:val="17"/>
          <w:color w:val="auto"/>
        </w:rPr>
        <w:t>. Within 90 days after the end of each Fiscal Year ending after the Closing Date, (i) the consolidated balance sheet of the Borrower as at the end of such Fiscal Year and the related consolidated statements of income or operations and cash flows of the Borrower for such Fiscal Year and setting forth, in reasonable detail, in comparative form the corresponding figures for the previous Fiscal Year (it being understood and agreed that no such comparison shall be required if (A) the relevant independent certified public accountant is not willing to provide the same or (B) the corresponding figures from the previous Fiscal Year are not available) and (ii) with respect to such consolidated financial statements, a report thereon of an independent certified public accountant of recognized national standing (which report shall not be subject to (A) a “going concern” qualification (but not a “going concern” explanatory paragraph or like statement) (except as resulting from, in the good faith determination of the Borrower, (1) the impending maturity of any Indebtedness, (2) the breach or anticipated breach of any financial covenant and/or (3) the activities, operations, financial results, assets or liabilities of any Unrestricted Subsidiary) or (B) a qualification as to the scope of the relevant audit), and shall state that such consolidated financial statements fairly present, in all material respects, the consolidated financial position of the Borrower as at the dates indicated and its results of operations and cash flows for the periods indicated in conformity with GAAP;</w:t>
      </w:r>
    </w:p>
    <w:p>
      <w:pPr>
        <w:spacing w:after="0" w:line="168" w:lineRule="exact"/>
        <w:rPr>
          <w:rFonts w:ascii="Arial" w:cs="Arial" w:eastAsia="Arial" w:hAnsi="Arial"/>
          <w:sz w:val="17"/>
          <w:szCs w:val="17"/>
          <w:color w:val="auto"/>
        </w:rPr>
      </w:pPr>
    </w:p>
    <w:p>
      <w:pPr>
        <w:ind w:left="1520" w:hanging="679"/>
        <w:spacing w:after="0"/>
        <w:tabs>
          <w:tab w:leader="none" w:pos="1520" w:val="left"/>
        </w:tabs>
        <w:numPr>
          <w:ilvl w:val="1"/>
          <w:numId w:val="210"/>
        </w:numPr>
        <w:rPr>
          <w:rFonts w:ascii="Arial" w:cs="Arial" w:eastAsia="Arial" w:hAnsi="Arial"/>
          <w:sz w:val="17"/>
          <w:szCs w:val="17"/>
          <w:color w:val="auto"/>
        </w:rPr>
      </w:pPr>
      <w:r>
        <w:rPr>
          <w:rFonts w:ascii="Arial" w:cs="Arial" w:eastAsia="Arial" w:hAnsi="Arial"/>
          <w:sz w:val="17"/>
          <w:szCs w:val="17"/>
          <w:u w:val="single" w:color="auto"/>
          <w:color w:val="auto"/>
        </w:rPr>
        <w:t>Compliance Certificate</w:t>
      </w:r>
      <w:r>
        <w:rPr>
          <w:rFonts w:ascii="Arial" w:cs="Arial" w:eastAsia="Arial" w:hAnsi="Arial"/>
          <w:sz w:val="17"/>
          <w:szCs w:val="17"/>
          <w:color w:val="auto"/>
        </w:rPr>
        <w:t xml:space="preserve">. Together with each delivery of financial statements pursuant to </w:t>
      </w:r>
      <w:r>
        <w:rPr>
          <w:rFonts w:ascii="Arial" w:cs="Arial" w:eastAsia="Arial" w:hAnsi="Arial"/>
          <w:sz w:val="17"/>
          <w:szCs w:val="17"/>
          <w:u w:val="single" w:color="auto"/>
          <w:color w:val="auto"/>
        </w:rPr>
        <w:t>Sections 5.01(a)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w:t>
      </w:r>
    </w:p>
    <w:p>
      <w:pPr>
        <w:spacing w:after="0" w:line="36" w:lineRule="exact"/>
        <w:rPr>
          <w:rFonts w:ascii="Arial" w:cs="Arial" w:eastAsia="Arial" w:hAnsi="Arial"/>
          <w:sz w:val="17"/>
          <w:szCs w:val="17"/>
          <w:color w:val="auto"/>
        </w:rPr>
      </w:pPr>
    </w:p>
    <w:p>
      <w:pPr>
        <w:jc w:val="both"/>
        <w:ind w:left="100" w:right="59" w:hanging="7"/>
        <w:spacing w:after="0" w:line="242" w:lineRule="auto"/>
        <w:tabs>
          <w:tab w:leader="none" w:pos="335" w:val="left"/>
        </w:tabs>
        <w:numPr>
          <w:ilvl w:val="0"/>
          <w:numId w:val="211"/>
        </w:numPr>
        <w:rPr>
          <w:rFonts w:ascii="Arial" w:cs="Arial" w:eastAsia="Arial" w:hAnsi="Arial"/>
          <w:sz w:val="19"/>
          <w:szCs w:val="19"/>
          <w:color w:val="auto"/>
        </w:rPr>
      </w:pPr>
      <w:r>
        <w:rPr>
          <w:rFonts w:ascii="Arial" w:cs="Arial" w:eastAsia="Arial" w:hAnsi="Arial"/>
          <w:sz w:val="19"/>
          <w:szCs w:val="19"/>
          <w:color w:val="auto"/>
        </w:rPr>
        <w:t xml:space="preserve">a duly executed and completed Compliance Certificate and (ii) (A) a summary of the pro forma adjustments (if any) necessary to eliminate the accounts of Unrestricted Subsidiaries (if any) from such financial statements and (B) a list identifying each Unrestricted Subsidiary as of the last day of the Fiscal Quarter covered by such Compliance Certificate or confirmation that there is no change in such information since the later of the Closing Date and the date of the last such list delivered pursuant to this </w:t>
      </w:r>
      <w:r>
        <w:rPr>
          <w:rFonts w:ascii="Arial" w:cs="Arial" w:eastAsia="Arial" w:hAnsi="Arial"/>
          <w:sz w:val="19"/>
          <w:szCs w:val="19"/>
          <w:u w:val="single" w:color="auto"/>
          <w:color w:val="auto"/>
        </w:rPr>
        <w:t>clause</w:t>
      </w:r>
      <w:r>
        <w:rPr>
          <w:rFonts w:ascii="Arial" w:cs="Arial" w:eastAsia="Arial" w:hAnsi="Arial"/>
          <w:sz w:val="19"/>
          <w:szCs w:val="19"/>
          <w:color w:val="auto"/>
        </w:rPr>
        <w:t xml:space="preserve"> </w:t>
      </w:r>
      <w:r>
        <w:rPr>
          <w:rFonts w:ascii="Arial" w:cs="Arial" w:eastAsia="Arial" w:hAnsi="Arial"/>
          <w:sz w:val="19"/>
          <w:szCs w:val="19"/>
          <w:u w:val="single" w:color="auto"/>
          <w:color w:val="auto"/>
        </w:rPr>
        <w:t>(ii)(B)</w:t>
      </w:r>
      <w:r>
        <w:rPr>
          <w:rFonts w:ascii="Arial" w:cs="Arial" w:eastAsia="Arial" w:hAnsi="Arial"/>
          <w:sz w:val="19"/>
          <w:szCs w:val="19"/>
          <w:color w:val="auto"/>
        </w:rPr>
        <w:t>;</w:t>
      </w:r>
    </w:p>
    <w:p>
      <w:pPr>
        <w:spacing w:after="0" w:line="191" w:lineRule="exact"/>
        <w:rPr>
          <w:rFonts w:ascii="Arial" w:cs="Arial" w:eastAsia="Arial" w:hAnsi="Arial"/>
          <w:sz w:val="19"/>
          <w:szCs w:val="19"/>
          <w:color w:val="auto"/>
        </w:rPr>
      </w:pPr>
    </w:p>
    <w:p>
      <w:pPr>
        <w:ind w:left="1600" w:hanging="758"/>
        <w:spacing w:after="0"/>
        <w:tabs>
          <w:tab w:leader="none" w:pos="1600" w:val="left"/>
        </w:tabs>
        <w:numPr>
          <w:ilvl w:val="1"/>
          <w:numId w:val="21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jc w:val="both"/>
        <w:ind w:left="100" w:right="19" w:firstLine="741"/>
        <w:spacing w:after="0" w:line="260" w:lineRule="auto"/>
        <w:tabs>
          <w:tab w:leader="none" w:pos="1523" w:val="left"/>
        </w:tabs>
        <w:numPr>
          <w:ilvl w:val="1"/>
          <w:numId w:val="211"/>
        </w:numPr>
        <w:rPr>
          <w:rFonts w:ascii="Arial" w:cs="Arial" w:eastAsia="Arial" w:hAnsi="Arial"/>
          <w:sz w:val="18"/>
          <w:szCs w:val="18"/>
          <w:color w:val="auto"/>
        </w:rPr>
      </w:pPr>
      <w:r>
        <w:rPr>
          <w:rFonts w:ascii="Arial" w:cs="Arial" w:eastAsia="Arial" w:hAnsi="Arial"/>
          <w:sz w:val="18"/>
          <w:szCs w:val="18"/>
          <w:u w:val="single" w:color="auto"/>
          <w:color w:val="auto"/>
        </w:rPr>
        <w:t>Notice of Default; Notice of Material Adverse Effect</w:t>
      </w:r>
      <w:r>
        <w:rPr>
          <w:rFonts w:ascii="Arial" w:cs="Arial" w:eastAsia="Arial" w:hAnsi="Arial"/>
          <w:sz w:val="18"/>
          <w:szCs w:val="18"/>
          <w:color w:val="auto"/>
        </w:rPr>
        <w:t>. Promptly upon any Responsible Officer of the Borrower obtaining knowledge of (i) any Default or Event of Default or (ii) the occurrence of any event or change that has caused or evidences or would reasonably be expected to cause or evidence, either individually or in the aggregate, a Material Adverse Effect, a reasonably-detailed written notice specifying the nature and period of existence of such condition, event or change and what action the Borrower has taken, is taking and proposes to take with respect thereto;</w:t>
      </w:r>
    </w:p>
    <w:p>
      <w:pPr>
        <w:spacing w:after="0" w:line="174" w:lineRule="exact"/>
        <w:rPr>
          <w:rFonts w:ascii="Arial" w:cs="Arial" w:eastAsia="Arial" w:hAnsi="Arial"/>
          <w:sz w:val="18"/>
          <w:szCs w:val="18"/>
          <w:color w:val="auto"/>
        </w:rPr>
      </w:pPr>
    </w:p>
    <w:p>
      <w:pPr>
        <w:jc w:val="both"/>
        <w:ind w:left="100" w:right="19" w:firstLine="741"/>
        <w:spacing w:after="0" w:line="249" w:lineRule="auto"/>
        <w:tabs>
          <w:tab w:leader="none" w:pos="1523" w:val="left"/>
        </w:tabs>
        <w:numPr>
          <w:ilvl w:val="1"/>
          <w:numId w:val="211"/>
        </w:numPr>
        <w:rPr>
          <w:rFonts w:ascii="Arial" w:cs="Arial" w:eastAsia="Arial" w:hAnsi="Arial"/>
          <w:sz w:val="19"/>
          <w:szCs w:val="19"/>
          <w:color w:val="auto"/>
        </w:rPr>
      </w:pPr>
      <w:r>
        <w:rPr>
          <w:rFonts w:ascii="Arial" w:cs="Arial" w:eastAsia="Arial" w:hAnsi="Arial"/>
          <w:sz w:val="19"/>
          <w:szCs w:val="19"/>
          <w:u w:val="single" w:color="auto"/>
          <w:color w:val="auto"/>
        </w:rPr>
        <w:t>Notice of Litigation</w:t>
      </w:r>
      <w:r>
        <w:rPr>
          <w:rFonts w:ascii="Arial" w:cs="Arial" w:eastAsia="Arial" w:hAnsi="Arial"/>
          <w:sz w:val="19"/>
          <w:szCs w:val="19"/>
          <w:color w:val="auto"/>
        </w:rPr>
        <w:t>. Promptly upon any Responsible Officer of the Borrower obtaining knowledge of (i) the institution of, or threat of, any Adverse Proceeding not previously disclosed in writing by the Borrower to the Administrative Agent, or (ii) any material development in any Adverse Proceeding that, in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124</w:t>
      </w:r>
      <w:r>
        <w:rPr>
          <w:rFonts w:ascii="Arial" w:cs="Arial" w:eastAsia="Arial" w:hAnsi="Arial"/>
          <w:sz w:val="18"/>
          <w:szCs w:val="18"/>
          <w:u w:val="single" w:color="auto"/>
          <w:color w:val="0000FF"/>
          <w:strike w:val="1"/>
        </w:rPr>
        <w:t>124</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92" w:name="page193"/>
    <w:bookmarkEnd w:id="192"/>
    <w:p>
      <w:pPr>
        <w:jc w:val="both"/>
        <w:ind w:left="100" w:right="59"/>
        <w:spacing w:after="0" w:line="241" w:lineRule="auto"/>
        <w:rPr>
          <w:sz w:val="20"/>
          <w:szCs w:val="20"/>
          <w:color w:val="auto"/>
        </w:rPr>
      </w:pPr>
      <w:r>
        <w:rPr>
          <w:rFonts w:ascii="Arial" w:cs="Arial" w:eastAsia="Arial" w:hAnsi="Arial"/>
          <w:sz w:val="19"/>
          <w:szCs w:val="19"/>
          <w:color w:val="auto"/>
        </w:rPr>
        <w:t xml:space="preserve">the case of either of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would reasonably be expected to have a Material Adverse Effect, written notice thereof from the Borrower together with such other non-privileged information as may be reasonably available to the Loan Parties to enable the Lenders to evaluate such matters;</w:t>
      </w:r>
    </w:p>
    <w:p>
      <w:pPr>
        <w:spacing w:after="0" w:line="179" w:lineRule="exact"/>
        <w:rPr>
          <w:sz w:val="20"/>
          <w:szCs w:val="20"/>
          <w:color w:val="auto"/>
        </w:rPr>
      </w:pPr>
    </w:p>
    <w:p>
      <w:pPr>
        <w:jc w:val="both"/>
        <w:ind w:left="100" w:right="59" w:firstLine="741"/>
        <w:spacing w:after="0" w:line="249" w:lineRule="auto"/>
        <w:tabs>
          <w:tab w:leader="none" w:pos="1520" w:val="left"/>
        </w:tabs>
        <w:numPr>
          <w:ilvl w:val="0"/>
          <w:numId w:val="212"/>
        </w:numPr>
        <w:rPr>
          <w:rFonts w:ascii="Arial" w:cs="Arial" w:eastAsia="Arial" w:hAnsi="Arial"/>
          <w:sz w:val="19"/>
          <w:szCs w:val="19"/>
          <w:color w:val="auto"/>
        </w:rPr>
      </w:pPr>
      <w:r>
        <w:rPr>
          <w:rFonts w:ascii="Arial" w:cs="Arial" w:eastAsia="Arial" w:hAnsi="Arial"/>
          <w:sz w:val="19"/>
          <w:szCs w:val="19"/>
          <w:u w:val="single" w:color="auto"/>
          <w:color w:val="auto"/>
        </w:rPr>
        <w:t>ERISA</w:t>
      </w:r>
      <w:r>
        <w:rPr>
          <w:rFonts w:ascii="Arial" w:cs="Arial" w:eastAsia="Arial" w:hAnsi="Arial"/>
          <w:sz w:val="19"/>
          <w:szCs w:val="19"/>
          <w:color w:val="auto"/>
        </w:rPr>
        <w:t>. Promptly upon any Responsible Officer of the Borrower becoming aware of the occurrence of any ERISA Event that would reasonably be expected to have a Material Adverse Effect, a written notice specifying the nature thereof from the Borrower;</w:t>
      </w:r>
    </w:p>
    <w:p>
      <w:pPr>
        <w:spacing w:after="0" w:line="183" w:lineRule="exact"/>
        <w:rPr>
          <w:rFonts w:ascii="Arial" w:cs="Arial" w:eastAsia="Arial" w:hAnsi="Arial"/>
          <w:sz w:val="19"/>
          <w:szCs w:val="19"/>
          <w:color w:val="auto"/>
        </w:rPr>
      </w:pPr>
    </w:p>
    <w:p>
      <w:pPr>
        <w:ind w:left="1600" w:hanging="758"/>
        <w:spacing w:after="0"/>
        <w:tabs>
          <w:tab w:leader="none" w:pos="1600" w:val="left"/>
        </w:tabs>
        <w:numPr>
          <w:ilvl w:val="0"/>
          <w:numId w:val="2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27" w:lineRule="exact"/>
        <w:rPr>
          <w:rFonts w:ascii="Arial" w:cs="Arial" w:eastAsia="Arial" w:hAnsi="Arial"/>
          <w:sz w:val="19"/>
          <w:szCs w:val="19"/>
          <w:color w:val="auto"/>
        </w:rPr>
      </w:pPr>
    </w:p>
    <w:p>
      <w:pPr>
        <w:jc w:val="both"/>
        <w:ind w:left="100" w:right="59" w:firstLine="742"/>
        <w:spacing w:after="0" w:line="254" w:lineRule="auto"/>
        <w:tabs>
          <w:tab w:leader="none" w:pos="1520"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Information Regarding Collateral</w:t>
      </w:r>
      <w:r>
        <w:rPr>
          <w:rFonts w:ascii="Arial" w:cs="Arial" w:eastAsia="Arial" w:hAnsi="Arial"/>
          <w:sz w:val="18"/>
          <w:szCs w:val="18"/>
          <w:color w:val="auto"/>
        </w:rPr>
        <w:t>. Within 90 days of the relevant change (or such later date to which the Administrative Agent may agree in its reasonable discretion), written notice (i) with respect to Holdings, the Borrower or any other Loan Party that is a Domestic Subsidiary, of any change in (A) such Loan Party’s legal name, (B) such Loan Party’s type of organization, (C) such Loan Party’s jurisdiction of organization or (D) such Loan Party’s organizational identification number, in each case, to the extent such information is necessary to enable the Administrative Agent to perfect or maintain the perfection and priority of its security interest in the Collateral of the relevant Loan Party, together with a certified copy of the applicable Organizational Document reflecting the relevant change, and (ii) with respect to any Loan Party that is a Discretionary Guarantor, such types of changes affecting the perfection or priority of the Administrative Agent’s security interest in the applicable Collateral of such Discretionary Guarantor as the Borrower and the Administrative Agent have agreed in connection with such Loan Party becoming a Discretionary Guarantor; and</w:t>
      </w:r>
    </w:p>
    <w:p>
      <w:pPr>
        <w:spacing w:after="0" w:line="185" w:lineRule="exact"/>
        <w:rPr>
          <w:rFonts w:ascii="Arial" w:cs="Arial" w:eastAsia="Arial" w:hAnsi="Arial"/>
          <w:sz w:val="18"/>
          <w:szCs w:val="18"/>
          <w:color w:val="auto"/>
        </w:rPr>
      </w:pPr>
    </w:p>
    <w:p>
      <w:pPr>
        <w:jc w:val="both"/>
        <w:ind w:left="100" w:right="59" w:firstLine="741"/>
        <w:spacing w:after="0" w:line="242" w:lineRule="auto"/>
        <w:tabs>
          <w:tab w:leader="none" w:pos="1520" w:val="left"/>
        </w:tabs>
        <w:numPr>
          <w:ilvl w:val="0"/>
          <w:numId w:val="212"/>
        </w:numPr>
        <w:rPr>
          <w:rFonts w:ascii="Arial" w:cs="Arial" w:eastAsia="Arial" w:hAnsi="Arial"/>
          <w:sz w:val="19"/>
          <w:szCs w:val="19"/>
          <w:color w:val="auto"/>
        </w:rPr>
      </w:pPr>
      <w:r>
        <w:rPr>
          <w:rFonts w:ascii="Arial" w:cs="Arial" w:eastAsia="Arial" w:hAnsi="Arial"/>
          <w:sz w:val="19"/>
          <w:szCs w:val="19"/>
          <w:u w:val="single" w:color="auto"/>
          <w:color w:val="auto"/>
        </w:rPr>
        <w:t>Certain Reports.</w:t>
      </w:r>
      <w:r>
        <w:rPr>
          <w:rFonts w:ascii="Arial" w:cs="Arial" w:eastAsia="Arial" w:hAnsi="Arial"/>
          <w:sz w:val="19"/>
          <w:szCs w:val="19"/>
          <w:color w:val="auto"/>
        </w:rPr>
        <w:t xml:space="preserve"> Promptly upon their becoming available and without duplication of any obligation with respect to any such information that is otherwise required to be delivered under the provisions of any Loan Document, copies of (i) all financial statements, reports, notices and proxy statements sent or made available generally by the Borrower, Holdings or its applicable Parent Company to all of its security holders acting in such capacity and (ii) all regular and periodic reports and all registration statements (other than on Form S-8 or a similar form) and prospectuses, if any, publicly filed by the Borrower, Holdings or its applicable Parent Company with any securities exchange or with the SEC or any analogous Governmental Authority or private regulatory authority with jurisdiction over matters relating to securities, in each case other than any prospectus relating to any equity plan; and</w:t>
      </w:r>
    </w:p>
    <w:p>
      <w:pPr>
        <w:spacing w:after="0" w:line="195" w:lineRule="exact"/>
        <w:rPr>
          <w:rFonts w:ascii="Arial" w:cs="Arial" w:eastAsia="Arial" w:hAnsi="Arial"/>
          <w:sz w:val="19"/>
          <w:szCs w:val="19"/>
          <w:color w:val="auto"/>
        </w:rPr>
      </w:pPr>
    </w:p>
    <w:p>
      <w:pPr>
        <w:jc w:val="both"/>
        <w:ind w:left="100" w:right="59" w:firstLine="741"/>
        <w:spacing w:after="0" w:line="249" w:lineRule="auto"/>
        <w:tabs>
          <w:tab w:leader="none" w:pos="1520" w:val="left"/>
        </w:tabs>
        <w:numPr>
          <w:ilvl w:val="0"/>
          <w:numId w:val="212"/>
        </w:numPr>
        <w:rPr>
          <w:rFonts w:ascii="Arial" w:cs="Arial" w:eastAsia="Arial" w:hAnsi="Arial"/>
          <w:sz w:val="19"/>
          <w:szCs w:val="19"/>
          <w:color w:val="auto"/>
        </w:rPr>
      </w:pPr>
      <w:r>
        <w:rPr>
          <w:rFonts w:ascii="Arial" w:cs="Arial" w:eastAsia="Arial" w:hAnsi="Arial"/>
          <w:sz w:val="19"/>
          <w:szCs w:val="19"/>
          <w:u w:val="single" w:color="auto"/>
          <w:color w:val="auto"/>
        </w:rPr>
        <w:t>Other Information</w:t>
      </w:r>
      <w:r>
        <w:rPr>
          <w:rFonts w:ascii="Arial" w:cs="Arial" w:eastAsia="Arial" w:hAnsi="Arial"/>
          <w:sz w:val="19"/>
          <w:szCs w:val="19"/>
          <w:color w:val="auto"/>
        </w:rPr>
        <w:t>. Such customary additional information (financial or otherwise) that is readily available to the Borrower as the Administrative Agent may reasonably request from time to time regarding the financial condition or business of the Borrower and its Restricted Subsidiaries.</w:t>
      </w:r>
    </w:p>
    <w:p>
      <w:pPr>
        <w:spacing w:after="0" w:line="184" w:lineRule="exact"/>
        <w:rPr>
          <w:sz w:val="20"/>
          <w:szCs w:val="20"/>
          <w:color w:val="auto"/>
        </w:rPr>
      </w:pPr>
    </w:p>
    <w:p>
      <w:pPr>
        <w:jc w:val="both"/>
        <w:ind w:left="100" w:right="59" w:firstLine="749"/>
        <w:spacing w:after="0" w:line="266" w:lineRule="auto"/>
        <w:rPr>
          <w:sz w:val="20"/>
          <w:szCs w:val="20"/>
          <w:color w:val="auto"/>
        </w:rPr>
      </w:pPr>
      <w:r>
        <w:rPr>
          <w:rFonts w:ascii="Arial" w:cs="Arial" w:eastAsia="Arial" w:hAnsi="Arial"/>
          <w:sz w:val="17"/>
          <w:szCs w:val="17"/>
          <w:color w:val="auto"/>
        </w:rPr>
        <w:t xml:space="preserve">Documents required to be delivered pursuant to this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may be delivered electronically and if so delivered, shall be deemed to have been delivered on the earliest to occur of the date (i) on which the Borrower (or a representative thereof)</w:t>
      </w:r>
    </w:p>
    <w:p>
      <w:pPr>
        <w:spacing w:after="0" w:line="1" w:lineRule="exact"/>
        <w:rPr>
          <w:sz w:val="20"/>
          <w:szCs w:val="20"/>
          <w:color w:val="auto"/>
        </w:rPr>
      </w:pPr>
    </w:p>
    <w:p>
      <w:pPr>
        <w:ind w:left="100" w:right="59" w:hanging="7"/>
        <w:spacing w:after="0" w:line="229" w:lineRule="auto"/>
        <w:tabs>
          <w:tab w:leader="none" w:pos="439" w:val="left"/>
        </w:tabs>
        <w:numPr>
          <w:ilvl w:val="0"/>
          <w:numId w:val="213"/>
        </w:numPr>
        <w:rPr>
          <w:rFonts w:ascii="Arial" w:cs="Arial" w:eastAsia="Arial" w:hAnsi="Arial"/>
          <w:sz w:val="19"/>
          <w:szCs w:val="19"/>
          <w:color w:val="auto"/>
        </w:rPr>
      </w:pPr>
      <w:r>
        <w:rPr>
          <w:rFonts w:ascii="Arial" w:cs="Arial" w:eastAsia="Arial" w:hAnsi="Arial"/>
          <w:sz w:val="19"/>
          <w:szCs w:val="19"/>
          <w:color w:val="auto"/>
        </w:rPr>
        <w:t xml:space="preserve">posts such documents or (B) provides a link thereto, in each case, at the website address listed on </w:t>
      </w:r>
      <w:r>
        <w:rPr>
          <w:rFonts w:ascii="Arial" w:cs="Arial" w:eastAsia="Arial" w:hAnsi="Arial"/>
          <w:sz w:val="19"/>
          <w:szCs w:val="19"/>
          <w:u w:val="single" w:color="auto"/>
          <w:color w:val="auto"/>
        </w:rPr>
        <w:t>Schedule 5.01</w:t>
      </w:r>
      <w:r>
        <w:rPr>
          <w:rFonts w:ascii="Arial" w:cs="Arial" w:eastAsia="Arial" w:hAnsi="Arial"/>
          <w:sz w:val="19"/>
          <w:szCs w:val="19"/>
          <w:color w:val="auto"/>
        </w:rPr>
        <w:t xml:space="preserve"> (which </w:t>
      </w:r>
      <w:r>
        <w:rPr>
          <w:rFonts w:ascii="Arial" w:cs="Arial" w:eastAsia="Arial" w:hAnsi="Arial"/>
          <w:sz w:val="19"/>
          <w:szCs w:val="19"/>
          <w:u w:val="single" w:color="auto"/>
          <w:color w:val="auto"/>
        </w:rPr>
        <w:t>Schedule 5.01</w:t>
      </w:r>
      <w:r>
        <w:rPr>
          <w:rFonts w:ascii="Arial" w:cs="Arial" w:eastAsia="Arial" w:hAnsi="Arial"/>
          <w:sz w:val="19"/>
          <w:szCs w:val="19"/>
          <w:color w:val="auto"/>
        </w:rPr>
        <w:t xml:space="preserve"> may be updated from time to time), (ii)</w:t>
      </w:r>
    </w:p>
    <w:p>
      <w:pPr>
        <w:spacing w:after="0" w:line="1" w:lineRule="exact"/>
        <w:rPr>
          <w:rFonts w:ascii="Arial" w:cs="Arial" w:eastAsia="Arial" w:hAnsi="Arial"/>
          <w:sz w:val="19"/>
          <w:szCs w:val="19"/>
          <w:color w:val="auto"/>
        </w:rPr>
      </w:pPr>
    </w:p>
    <w:p>
      <w:pPr>
        <w:jc w:val="both"/>
        <w:ind w:left="100" w:right="19" w:hanging="7"/>
        <w:spacing w:after="0" w:line="257" w:lineRule="auto"/>
        <w:tabs>
          <w:tab w:leader="none" w:pos="416" w:val="left"/>
        </w:tabs>
        <w:numPr>
          <w:ilvl w:val="0"/>
          <w:numId w:val="214"/>
        </w:numPr>
        <w:rPr>
          <w:rFonts w:ascii="Arial" w:cs="Arial" w:eastAsia="Arial" w:hAnsi="Arial"/>
          <w:sz w:val="17"/>
          <w:szCs w:val="17"/>
          <w:color w:val="auto"/>
        </w:rPr>
      </w:pPr>
      <w:r>
        <w:rPr>
          <w:rFonts w:ascii="Arial" w:cs="Arial" w:eastAsia="Arial" w:hAnsi="Arial"/>
          <w:sz w:val="17"/>
          <w:szCs w:val="17"/>
          <w:color w:val="auto"/>
        </w:rPr>
        <w:t>on which such documents are delivered by the Borrower to the Administrative Agent for posting on behalf of the Borrower on IntraLinks/SyndTrak or another relevant website (the “</w:t>
      </w:r>
      <w:r>
        <w:rPr>
          <w:rFonts w:ascii="Arial" w:cs="Arial" w:eastAsia="Arial" w:hAnsi="Arial"/>
          <w:sz w:val="17"/>
          <w:szCs w:val="17"/>
          <w:u w:val="single" w:color="auto"/>
          <w:color w:val="auto"/>
        </w:rPr>
        <w:t>Platform</w:t>
      </w:r>
      <w:r>
        <w:rPr>
          <w:rFonts w:ascii="Arial" w:cs="Arial" w:eastAsia="Arial" w:hAnsi="Arial"/>
          <w:sz w:val="17"/>
          <w:szCs w:val="17"/>
          <w:color w:val="auto"/>
        </w:rPr>
        <w:t xml:space="preserve">”), if any, to which each Lender and the Administrative Agent have access (whether a commercial, third-party website or whether sponsored by the Administrative Agent) or (B) on which the relevant documents are electronically mailed or otherwise transmitted to the Administrative Agent in a manner to which the Administrative Agent may reasonably agree or (iii) in respect of the items required to be delivered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(j)</w:t>
      </w:r>
      <w:r>
        <w:rPr>
          <w:rFonts w:ascii="Arial" w:cs="Arial" w:eastAsia="Arial" w:hAnsi="Arial"/>
          <w:sz w:val="17"/>
          <w:szCs w:val="17"/>
          <w:color w:val="auto"/>
        </w:rPr>
        <w:t>, on which such items have been made available on the SEC website or the website of the relevant analogous governmental or private regulatory authority or securities exchange (including, for the avoidance of doubt, by way of “EDGAR”).</w:t>
      </w:r>
    </w:p>
    <w:p>
      <w:pPr>
        <w:spacing w:after="0" w:line="179" w:lineRule="exact"/>
        <w:rPr>
          <w:sz w:val="20"/>
          <w:szCs w:val="20"/>
          <w:color w:val="auto"/>
        </w:rPr>
      </w:pPr>
    </w:p>
    <w:p>
      <w:pPr>
        <w:ind w:left="100" w:right="79" w:firstLine="749"/>
        <w:spacing w:after="0" w:line="246" w:lineRule="auto"/>
        <w:rPr>
          <w:sz w:val="20"/>
          <w:szCs w:val="20"/>
          <w:color w:val="auto"/>
        </w:rPr>
      </w:pPr>
      <w:r>
        <w:rPr>
          <w:rFonts w:ascii="Arial" w:cs="Arial" w:eastAsia="Arial" w:hAnsi="Arial"/>
          <w:sz w:val="19"/>
          <w:szCs w:val="19"/>
          <w:color w:val="auto"/>
        </w:rPr>
        <w:t xml:space="preserve">Notwithstanding the foregoing, the obligations in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may instead be satisfied with respect to any relevant information of the Borrower by furnishing (i) the applicable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125</w:t>
      </w:r>
      <w:r>
        <w:rPr>
          <w:rFonts w:ascii="Arial" w:cs="Arial" w:eastAsia="Arial" w:hAnsi="Arial"/>
          <w:sz w:val="18"/>
          <w:szCs w:val="18"/>
          <w:u w:val="single" w:color="auto"/>
          <w:color w:val="0000FF"/>
          <w:strike w:val="1"/>
        </w:rPr>
        <w:t>125</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93" w:name="page194"/>
    <w:bookmarkEnd w:id="193"/>
    <w:p>
      <w:pPr>
        <w:ind w:left="100"/>
        <w:spacing w:after="0"/>
        <w:rPr>
          <w:sz w:val="20"/>
          <w:szCs w:val="20"/>
          <w:color w:val="auto"/>
        </w:rPr>
      </w:pPr>
      <w:r>
        <w:rPr>
          <w:rFonts w:ascii="Arial" w:cs="Arial" w:eastAsia="Arial" w:hAnsi="Arial"/>
          <w:sz w:val="17"/>
          <w:szCs w:val="17"/>
          <w:color w:val="auto"/>
        </w:rPr>
        <w:t xml:space="preserve">or other information required by such clauses of Holdings (or any other Parent Company) or (ii) in the case of </w:t>
      </w:r>
      <w:r>
        <w:rPr>
          <w:rFonts w:ascii="Arial" w:cs="Arial" w:eastAsia="Arial" w:hAnsi="Arial"/>
          <w:sz w:val="17"/>
          <w:szCs w:val="17"/>
          <w:u w:val="single" w:color="auto"/>
          <w:color w:val="auto"/>
        </w:rPr>
        <w:t>Sections 5.01(a)</w:t>
      </w:r>
      <w:r>
        <w:rPr>
          <w:rFonts w:ascii="Arial" w:cs="Arial" w:eastAsia="Arial" w:hAnsi="Arial"/>
          <w:sz w:val="17"/>
          <w:szCs w:val="17"/>
          <w:color w:val="auto"/>
        </w:rPr>
        <w:t xml:space="preserve"> and</w:t>
      </w:r>
    </w:p>
    <w:p>
      <w:pPr>
        <w:spacing w:after="0" w:line="37" w:lineRule="exact"/>
        <w:rPr>
          <w:sz w:val="20"/>
          <w:szCs w:val="20"/>
          <w:color w:val="auto"/>
        </w:rPr>
      </w:pPr>
    </w:p>
    <w:p>
      <w:pPr>
        <w:jc w:val="both"/>
        <w:ind w:left="100" w:right="19"/>
        <w:spacing w:after="0" w:line="255" w:lineRule="auto"/>
        <w:rPr>
          <w:sz w:val="20"/>
          <w:szCs w:val="20"/>
          <w:color w:val="auto"/>
        </w:rPr>
      </w:pPr>
      <w:r>
        <w:rPr>
          <w:rFonts w:ascii="Arial" w:cs="Arial" w:eastAsia="Arial" w:hAnsi="Arial"/>
          <w:sz w:val="17"/>
          <w:szCs w:val="17"/>
          <w:u w:val="single" w:color="auto"/>
          <w:color w:val="auto"/>
        </w:rPr>
        <w:t>(b)</w:t>
      </w:r>
      <w:r>
        <w:rPr>
          <w:rFonts w:ascii="Arial" w:cs="Arial" w:eastAsia="Arial" w:hAnsi="Arial"/>
          <w:sz w:val="17"/>
          <w:szCs w:val="17"/>
          <w:color w:val="auto"/>
        </w:rPr>
        <w:t xml:space="preserve">, the Borrower’s or Holdings’ (or any other Parent Company thereof), as applicable, Form 10-K or 10-Q, as applicable, filed with the SEC or any securities exchange, in each case, within the time periods specified in such paragraphs and without any requirement to provide notice of such filing to the Administrative Agent or any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each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 to the extent (x) such financial statements relate to any Parent Company and (y) either (1) such Parent Company (or any other Parent Company that is a subsidiary of such Parent Company) has any material third party Indebtedness and/or material operations (as determined by the Borrower in good faith and other than any operations that are attributable solely to such Parent Company’s ownership of the Borrower and its subsidiaries) or (2) there are material differences (in the good faith determination of the Borrower) between the financial statements of such Parent Company and its consolidated subsidiaries, on the one hand, and the Borrower and its consolidated subsidiaries, on the other hand, such financial statements or Form 10-K or Form 10-Q, as applicable, shall be accompanied by unaudited consolidating information that summarizes in reasonable detail the differences between the information relating to such Parent Company and its consolidated subsidiaries, on the one hand, and the information relating to the Borrower and its consolidated subsidiaries on a consolidated stand-alone basis, on the other hand (other than any such difference relating to shareholders’ equity), and (B) to the extent such financial statements are in lieu of statements required to be provided under </w:t>
      </w:r>
      <w:r>
        <w:rPr>
          <w:rFonts w:ascii="Arial" w:cs="Arial" w:eastAsia="Arial" w:hAnsi="Arial"/>
          <w:sz w:val="17"/>
          <w:szCs w:val="17"/>
          <w:u w:val="single" w:color="auto"/>
          <w:color w:val="auto"/>
        </w:rPr>
        <w:t>Section 5.01(b)</w:t>
      </w:r>
      <w:r>
        <w:rPr>
          <w:rFonts w:ascii="Arial" w:cs="Arial" w:eastAsia="Arial" w:hAnsi="Arial"/>
          <w:sz w:val="17"/>
          <w:szCs w:val="17"/>
          <w:color w:val="auto"/>
        </w:rPr>
        <w:t xml:space="preserve">, such statements shall be accompanied by a report and opinion with respect to the financial statements of the applicable Parent Company of an independent registered public accounting firm of nationally recognized standing, which report and opinion shall satisfy the applicable requirements set forth in </w:t>
      </w:r>
      <w:r>
        <w:rPr>
          <w:rFonts w:ascii="Arial" w:cs="Arial" w:eastAsia="Arial" w:hAnsi="Arial"/>
          <w:sz w:val="17"/>
          <w:szCs w:val="17"/>
          <w:u w:val="single" w:color="auto"/>
          <w:color w:val="auto"/>
        </w:rPr>
        <w:t>Section 5.01(b)</w:t>
      </w:r>
      <w:r>
        <w:rPr>
          <w:rFonts w:ascii="Arial" w:cs="Arial" w:eastAsia="Arial" w:hAnsi="Arial"/>
          <w:sz w:val="17"/>
          <w:szCs w:val="17"/>
          <w:color w:val="auto"/>
        </w:rPr>
        <w:t>.</w:t>
      </w:r>
    </w:p>
    <w:p>
      <w:pPr>
        <w:spacing w:after="0" w:line="184" w:lineRule="exact"/>
        <w:rPr>
          <w:sz w:val="20"/>
          <w:szCs w:val="20"/>
          <w:color w:val="auto"/>
        </w:rPr>
      </w:pPr>
    </w:p>
    <w:p>
      <w:pPr>
        <w:jc w:val="both"/>
        <w:ind w:left="100" w:right="59" w:firstLine="749"/>
        <w:spacing w:after="0" w:line="236" w:lineRule="auto"/>
        <w:rPr>
          <w:sz w:val="20"/>
          <w:szCs w:val="20"/>
          <w:color w:val="auto"/>
        </w:rPr>
      </w:pPr>
      <w:r>
        <w:rPr>
          <w:rFonts w:ascii="Arial" w:cs="Arial" w:eastAsia="Arial" w:hAnsi="Arial"/>
          <w:sz w:val="19"/>
          <w:szCs w:val="19"/>
          <w:color w:val="auto"/>
        </w:rPr>
        <w:t xml:space="preserve">No financial statement required to be delivered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shall be required to include any acquisition accounting adjustment relating to the Transactions or any Permitted Acquisition or other Investment to the extent it is not practicable to include any such adjustment in such financial statement.</w:t>
      </w:r>
    </w:p>
    <w:p>
      <w:pPr>
        <w:spacing w:after="0" w:line="179" w:lineRule="exact"/>
        <w:rPr>
          <w:sz w:val="20"/>
          <w:szCs w:val="20"/>
          <w:color w:val="auto"/>
        </w:rPr>
      </w:pPr>
    </w:p>
    <w:p>
      <w:pPr>
        <w:jc w:val="both"/>
        <w:ind w:left="100" w:right="19" w:firstLine="749"/>
        <w:spacing w:after="0" w:line="261"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Existence</w:t>
      </w:r>
      <w:r>
        <w:rPr>
          <w:rFonts w:ascii="Arial" w:cs="Arial" w:eastAsia="Arial" w:hAnsi="Arial"/>
          <w:sz w:val="17"/>
          <w:szCs w:val="17"/>
          <w:color w:val="auto"/>
        </w:rPr>
        <w:t xml:space="preserve">. Except as otherwise permitted under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6.09</w:t>
      </w:r>
      <w:r>
        <w:rPr>
          <w:rFonts w:ascii="Arial" w:cs="Arial" w:eastAsia="Arial" w:hAnsi="Arial"/>
          <w:sz w:val="17"/>
          <w:szCs w:val="17"/>
          <w:color w:val="auto"/>
        </w:rPr>
        <w:t xml:space="preserve">, Holdings and the Borrower will, and the Borrower will cause each of its Restricted Subsidiaries to, at all times preserve and keep in full force and effect its existence and all rights, franchises, licenses and permits material to its business, except, other than with respect to the preservation of the existence of the Borrower, to the extent that the failure to do so could not reasonably be expected to result in a Material Adverse Effect; </w:t>
      </w:r>
      <w:r>
        <w:rPr>
          <w:rFonts w:ascii="Arial" w:cs="Arial" w:eastAsia="Arial" w:hAnsi="Arial"/>
          <w:sz w:val="17"/>
          <w:szCs w:val="17"/>
          <w:u w:val="single" w:color="auto"/>
          <w:color w:val="auto"/>
        </w:rPr>
        <w:t>provided</w:t>
      </w:r>
      <w:r>
        <w:rPr>
          <w:rFonts w:ascii="Arial" w:cs="Arial" w:eastAsia="Arial" w:hAnsi="Arial"/>
          <w:sz w:val="17"/>
          <w:szCs w:val="17"/>
          <w:color w:val="auto"/>
        </w:rPr>
        <w:t>, that neither Holdings, the Borrower nor any of the Borrower’s Restricted Subsidiaries shall be required to preserve any such existence (other than with respect to the preservation of existence of Holdings and the Borrower), right, franchise, license or permit if a Responsible Officer of such Person or such Person’s board of directors (or similar governing body) determines that the preservation thereof is no longer desirable in the conduct of the business of such Person, and that the loss thereof is not disadvantageous in any material respect to such Person or to the Lenders (taken as a whole).</w:t>
      </w:r>
    </w:p>
    <w:p>
      <w:pPr>
        <w:spacing w:after="0" w:line="166" w:lineRule="exact"/>
        <w:rPr>
          <w:sz w:val="20"/>
          <w:szCs w:val="20"/>
          <w:color w:val="auto"/>
        </w:rPr>
      </w:pPr>
    </w:p>
    <w:p>
      <w:pPr>
        <w:jc w:val="both"/>
        <w:ind w:left="100" w:right="19" w:firstLine="749"/>
        <w:spacing w:after="0" w:line="244"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Payment of Taxes</w:t>
      </w:r>
      <w:r>
        <w:rPr>
          <w:rFonts w:ascii="Arial" w:cs="Arial" w:eastAsia="Arial" w:hAnsi="Arial"/>
          <w:sz w:val="18"/>
          <w:szCs w:val="18"/>
          <w:color w:val="auto"/>
        </w:rPr>
        <w:t xml:space="preserve">. Holdings and the Borrower will, and the Borrower will cause each of its Restricted Subsidiaries to, pay all Taxes imposed upon it or any of its properties or assets or in respect of any of its income or businesses or franchises before any penalty or fine accrues thereon;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Tax need be paid if (a) it is not more than 60 days overdue, (b) it is being contested in good faith by appropriate proceedings, so long as (i) adequate reserves or other appropriate provisions, as are required in conformity with GAAP, have been made therefor and (ii) in the case of a Tax which has resulted or may result in the creation of a Lien on any of the Collateral, such contest proceedings conclusively operate to stay the sale of any portion of the Collateral to satisfy such Tax and/or (c) failure to pay or discharge the same could not reasonably be expected, individually or in the aggregate, to result in a Material Adverse Effect.</w:t>
      </w:r>
    </w:p>
    <w:p>
      <w:pPr>
        <w:spacing w:after="0" w:line="193" w:lineRule="exact"/>
        <w:rPr>
          <w:sz w:val="20"/>
          <w:szCs w:val="20"/>
          <w:color w:val="auto"/>
        </w:rPr>
      </w:pPr>
    </w:p>
    <w:p>
      <w:pPr>
        <w:jc w:val="both"/>
        <w:ind w:left="100" w:right="19" w:firstLine="749"/>
        <w:spacing w:after="0" w:line="233"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Maintenance of Properties</w:t>
      </w:r>
      <w:r>
        <w:rPr>
          <w:rFonts w:ascii="Arial" w:cs="Arial" w:eastAsia="Arial" w:hAnsi="Arial"/>
          <w:sz w:val="19"/>
          <w:szCs w:val="19"/>
          <w:color w:val="auto"/>
        </w:rPr>
        <w:t>. Holdings and the Borrower will, and will cause each of its Restricted Subsidiaries to, maintain or cause to be maintained in good repair, working order and condition, ordinary wear and tear and casualty and condemnation excepted, all property reasonably necessary to the normal conduct of business of the Borrower and its Restricted Subsidiaries and from time to time will make or cause to be made all needed and appropriate repairs, renewals and replacements thereof, in each case except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126</w:t>
      </w:r>
      <w:r>
        <w:rPr>
          <w:rFonts w:ascii="Arial" w:cs="Arial" w:eastAsia="Arial" w:hAnsi="Arial"/>
          <w:sz w:val="18"/>
          <w:szCs w:val="18"/>
          <w:u w:val="single" w:color="auto"/>
          <w:color w:val="0000FF"/>
          <w:strike w:val="1"/>
        </w:rPr>
        <w:t>126</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94" w:name="page195"/>
    <w:bookmarkEnd w:id="194"/>
    <w:p>
      <w:pPr>
        <w:ind w:left="100" w:right="679"/>
        <w:spacing w:after="0" w:line="261" w:lineRule="auto"/>
        <w:rPr>
          <w:sz w:val="20"/>
          <w:szCs w:val="20"/>
          <w:color w:val="auto"/>
        </w:rPr>
      </w:pPr>
      <w:r>
        <w:rPr>
          <w:rFonts w:ascii="Arial" w:cs="Arial" w:eastAsia="Arial" w:hAnsi="Arial"/>
          <w:sz w:val="19"/>
          <w:szCs w:val="19"/>
          <w:color w:val="auto"/>
        </w:rPr>
        <w:t>as expressly permitted by this Agreement or where the failure to maintain such properties or make such repairs, renewals or replacements could not reasonably be expected to have a Material Adverse Effect.</w:t>
      </w:r>
    </w:p>
    <w:p>
      <w:pPr>
        <w:spacing w:after="0" w:line="159" w:lineRule="exact"/>
        <w:rPr>
          <w:sz w:val="20"/>
          <w:szCs w:val="20"/>
          <w:color w:val="auto"/>
        </w:rPr>
      </w:pPr>
    </w:p>
    <w:p>
      <w:pPr>
        <w:jc w:val="both"/>
        <w:ind w:left="100" w:right="59" w:firstLine="749"/>
        <w:spacing w:after="0" w:line="257"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(a) Except where the failure to do so would not reasonably be expected to have a Material Adverse Effect, the Borrower will maintain or cause to be maintained, with financially sound and reputable insurers, such insurance coverage with respect to liability, loss or damage in respect of the assets, properties and businesses of the Borrower and its Restricted Subsidiaries as may customarily be carried or maintained under similar circumstances by Persons of established reputation engaged in similar businesses, in each case in such amounts (giving effect to self-insurance), with such deductibles, covering such risks and otherwise on such terms and conditions as shall be customary for such Persons. Each such policy of insurance shall, subject to </w:t>
      </w:r>
      <w:r>
        <w:rPr>
          <w:rFonts w:ascii="Arial" w:cs="Arial" w:eastAsia="Arial" w:hAnsi="Arial"/>
          <w:sz w:val="17"/>
          <w:szCs w:val="17"/>
          <w:u w:val="single" w:color="auto"/>
          <w:color w:val="auto"/>
        </w:rPr>
        <w:t>Section 5.15</w:t>
      </w:r>
      <w:r>
        <w:rPr>
          <w:rFonts w:ascii="Arial" w:cs="Arial" w:eastAsia="Arial" w:hAnsi="Arial"/>
          <w:sz w:val="17"/>
          <w:szCs w:val="17"/>
          <w:color w:val="auto"/>
        </w:rPr>
        <w:t xml:space="preserve">, (i) name the Administrative Agent on behalf of the Secured Parties as an additional insured thereunder as its interests may appear and (ii) to the extent available from the relevant insurance carrier, in the case of each casualty insurance policy (excluding any business interruption insurance policy) (A) contain a lender loss payable clause or endorsement that names the Administrative Agent, on behalf of the Secured Parties as the lender loss payee thereunder and (B) provide for at least 30 days’ prior written notice to the Administrative Agent of any modification or cancellation of such policy (or 10 days’ prior written notice in the case of the failure to pay any premium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unless an Event of Default exists, (A) the Administrative Agent agrees that the Borrower and/or its applicable Restricted Subsidiary shall have the sole right to adjust or settle any claims under such insurance, and (B) all proceeds from a casualty event shall be paid to the Borrower.</w:t>
      </w:r>
    </w:p>
    <w:p>
      <w:pPr>
        <w:spacing w:after="0" w:line="175" w:lineRule="exact"/>
        <w:rPr>
          <w:sz w:val="20"/>
          <w:szCs w:val="20"/>
          <w:color w:val="auto"/>
        </w:rPr>
      </w:pPr>
    </w:p>
    <w:p>
      <w:pPr>
        <w:jc w:val="both"/>
        <w:ind w:left="100" w:right="39" w:firstLine="749"/>
        <w:spacing w:after="0" w:line="256"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Inspections</w:t>
      </w:r>
      <w:r>
        <w:rPr>
          <w:rFonts w:ascii="Arial" w:cs="Arial" w:eastAsia="Arial" w:hAnsi="Arial"/>
          <w:sz w:val="17"/>
          <w:szCs w:val="17"/>
          <w:color w:val="auto"/>
        </w:rPr>
        <w:t>. The Borrower will, and the Borrower will cause each of its Restricted Subsidiaries to, permit any authorized representative designated by the Administrative Agent to visit and inspect any of the properties of the Borrower and any of its Restricted Subsidiaries at which the principal financial records and executive officers of the applicable Person are located, to inspect, copy and take extracts from its and their respective financial and accounting records, and to discuss its and their respective affairs, finances and accounts with its and their Responsible Officers and independent public accountants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(or any of its subsidiaries) may, if it so chooses, be present at or participate in any such discussion), all upon reasonable notice and at reasonable times during normal business hours; </w:t>
      </w:r>
      <w:r>
        <w:rPr>
          <w:rFonts w:ascii="Arial" w:cs="Arial" w:eastAsia="Arial" w:hAnsi="Arial"/>
          <w:sz w:val="17"/>
          <w:szCs w:val="17"/>
          <w:u w:val="single" w:color="auto"/>
          <w:color w:val="auto"/>
        </w:rPr>
        <w:t>provided</w:t>
      </w:r>
      <w:r>
        <w:rPr>
          <w:rFonts w:ascii="Arial" w:cs="Arial" w:eastAsia="Arial" w:hAnsi="Arial"/>
          <w:sz w:val="17"/>
          <w:szCs w:val="17"/>
          <w:color w:val="auto"/>
        </w:rPr>
        <w:t>, that</w:t>
      </w:r>
    </w:p>
    <w:p>
      <w:pPr>
        <w:spacing w:after="0" w:line="1" w:lineRule="exact"/>
        <w:rPr>
          <w:sz w:val="20"/>
          <w:szCs w:val="20"/>
          <w:color w:val="auto"/>
        </w:rPr>
      </w:pPr>
    </w:p>
    <w:p>
      <w:pPr>
        <w:jc w:val="both"/>
        <w:ind w:left="100" w:right="59" w:hanging="7"/>
        <w:spacing w:after="0" w:line="241" w:lineRule="auto"/>
        <w:tabs>
          <w:tab w:leader="none" w:pos="368" w:val="left"/>
        </w:tabs>
        <w:numPr>
          <w:ilvl w:val="0"/>
          <w:numId w:val="215"/>
        </w:numPr>
        <w:rPr>
          <w:rFonts w:ascii="Arial" w:cs="Arial" w:eastAsia="Arial" w:hAnsi="Arial"/>
          <w:sz w:val="19"/>
          <w:szCs w:val="19"/>
          <w:color w:val="auto"/>
        </w:rPr>
      </w:pPr>
      <w:r>
        <w:rPr>
          <w:rFonts w:ascii="Arial" w:cs="Arial" w:eastAsia="Arial" w:hAnsi="Arial"/>
          <w:sz w:val="19"/>
          <w:szCs w:val="19"/>
          <w:color w:val="auto"/>
        </w:rPr>
        <w:t xml:space="preserve">only the Administrative Agent on behalf of the Lenders may exercise the rights of the Administrative Agent and the Lenders under this </w:t>
      </w:r>
      <w:r>
        <w:rPr>
          <w:rFonts w:ascii="Arial" w:cs="Arial" w:eastAsia="Arial" w:hAnsi="Arial"/>
          <w:sz w:val="19"/>
          <w:szCs w:val="19"/>
          <w:u w:val="single" w:color="auto"/>
          <w:color w:val="auto"/>
        </w:rPr>
        <w:t>Section 5.06</w:t>
      </w:r>
      <w:r>
        <w:rPr>
          <w:rFonts w:ascii="Arial" w:cs="Arial" w:eastAsia="Arial" w:hAnsi="Arial"/>
          <w:sz w:val="19"/>
          <w:szCs w:val="19"/>
          <w:color w:val="auto"/>
        </w:rPr>
        <w:t xml:space="preserve">, (b) except as expressly set forth in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below during the continuance of an Event of Default under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the Administrative Agent shall not exercise such rights more often than one time during any calendar year and (c) when an Event of Default under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exists, the Administrative Agent (or any of its representatives or independent contractors) may do any of the foregoing at the expense of the Borrower at any time during normal business hours and upon reasonable advance notice.</w:t>
      </w:r>
    </w:p>
    <w:p>
      <w:pPr>
        <w:spacing w:after="0" w:line="193" w:lineRule="exact"/>
        <w:rPr>
          <w:sz w:val="20"/>
          <w:szCs w:val="20"/>
          <w:color w:val="auto"/>
        </w:rPr>
      </w:pPr>
    </w:p>
    <w:p>
      <w:pPr>
        <w:jc w:val="both"/>
        <w:ind w:left="100" w:right="59" w:firstLine="749"/>
        <w:spacing w:after="0" w:line="252"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Maintenance of Books and Records</w:t>
      </w:r>
      <w:r>
        <w:rPr>
          <w:rFonts w:ascii="Arial" w:cs="Arial" w:eastAsia="Arial" w:hAnsi="Arial"/>
          <w:sz w:val="18"/>
          <w:szCs w:val="18"/>
          <w:color w:val="auto"/>
        </w:rPr>
        <w:t>. The Borrower will, and will cause its Restricted Subsidiaries to, maintain proper books of record and account containing entries of all material financial transactions and matters involving the assets and business of the Borrower and its Restricted Subsidiaries that are full, true and correct in all material respects and permit the preparation of consolidated financial statements in accordance with GAAP.</w:t>
      </w:r>
    </w:p>
    <w:p>
      <w:pPr>
        <w:spacing w:after="0" w:line="170" w:lineRule="exact"/>
        <w:rPr>
          <w:sz w:val="20"/>
          <w:szCs w:val="20"/>
          <w:color w:val="auto"/>
        </w:rPr>
      </w:pPr>
    </w:p>
    <w:p>
      <w:pPr>
        <w:jc w:val="both"/>
        <w:ind w:left="100" w:right="39" w:firstLine="749"/>
        <w:spacing w:after="0" w:line="244"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xml:space="preserve">. The Borrower will comply, and the Borrower will cause each of its Restricted Subsidiaries to comply, with all applicable Requirements of Law (including applicable ERISA and all Environmental Laws, any Sanctions, the USA PATRIOT Act and the FCPA), except to the extent the failure of Holdings, the Borrower or the relevant Restricted Subsidiary to comply could not reasonably be expected to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requirements set forth in this </w:t>
      </w:r>
      <w:r>
        <w:rPr>
          <w:rFonts w:ascii="Arial" w:cs="Arial" w:eastAsia="Arial" w:hAnsi="Arial"/>
          <w:sz w:val="18"/>
          <w:szCs w:val="18"/>
          <w:u w:val="single" w:color="auto"/>
          <w:color w:val="auto"/>
        </w:rPr>
        <w:t>Section 5.08</w:t>
      </w:r>
      <w:r>
        <w:rPr>
          <w:rFonts w:ascii="Arial" w:cs="Arial" w:eastAsia="Arial" w:hAnsi="Arial"/>
          <w:sz w:val="18"/>
          <w:szCs w:val="18"/>
          <w:color w:val="auto"/>
        </w:rPr>
        <w:t>, as they pertain to compliance by any Foreign Subsidiary with any Sanctions, the USA PATRIOT ACT and the FCPA, are subject to and limited by any Requirement of Law applicable to such Foreign Subsidiary in its relevant local jurisdiction and shall not apply to such Foreign Subsidiary to the extent the same conflict with relevant local Requirements of Law applicable to such Foreign Subsidiary.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127</w:t>
      </w:r>
      <w:r>
        <w:rPr>
          <w:rFonts w:ascii="Arial" w:cs="Arial" w:eastAsia="Arial" w:hAnsi="Arial"/>
          <w:sz w:val="18"/>
          <w:szCs w:val="18"/>
          <w:u w:val="single" w:color="auto"/>
          <w:color w:val="0000FF"/>
          <w:strike w:val="1"/>
        </w:rPr>
        <w:t>127</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95" w:name="page196"/>
    <w:bookmarkEnd w:id="195"/>
    <w:p>
      <w:pPr>
        <w:ind w:left="840"/>
        <w:spacing w:after="0"/>
        <w:rPr>
          <w:sz w:val="20"/>
          <w:szCs w:val="20"/>
          <w:color w:val="auto"/>
        </w:rPr>
      </w:pPr>
      <w:r>
        <w:rPr>
          <w:rFonts w:ascii="Arial" w:cs="Arial" w:eastAsia="Arial" w:hAnsi="Arial"/>
          <w:sz w:val="19"/>
          <w:szCs w:val="19"/>
          <w:color w:val="auto"/>
        </w:rPr>
        <w:t xml:space="preserve">Section 5.09.  </w:t>
      </w:r>
      <w:r>
        <w:rPr>
          <w:rFonts w:ascii="Arial" w:cs="Arial" w:eastAsia="Arial" w:hAnsi="Arial"/>
          <w:sz w:val="19"/>
          <w:szCs w:val="19"/>
          <w:u w:val="single" w:color="auto"/>
          <w:color w:val="auto"/>
        </w:rPr>
        <w:t>Environmental</w:t>
      </w:r>
      <w:r>
        <w:rPr>
          <w:rFonts w:ascii="Arial" w:cs="Arial" w:eastAsia="Arial" w:hAnsi="Arial"/>
          <w:sz w:val="19"/>
          <w:szCs w:val="19"/>
          <w:color w:val="auto"/>
        </w:rPr>
        <w:t>.</w:t>
      </w:r>
    </w:p>
    <w:p>
      <w:pPr>
        <w:spacing w:after="0" w:line="214" w:lineRule="exact"/>
        <w:rPr>
          <w:sz w:val="20"/>
          <w:szCs w:val="20"/>
          <w:color w:val="auto"/>
        </w:rPr>
      </w:pPr>
    </w:p>
    <w:p>
      <w:pPr>
        <w:jc w:val="both"/>
        <w:ind w:left="100" w:firstLine="741"/>
        <w:spacing w:after="0" w:line="273" w:lineRule="auto"/>
        <w:tabs>
          <w:tab w:leader="none" w:pos="1572"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t>Environmental Disclosure</w:t>
      </w:r>
      <w:r>
        <w:rPr>
          <w:rFonts w:ascii="Arial" w:cs="Arial" w:eastAsia="Arial" w:hAnsi="Arial"/>
          <w:sz w:val="17"/>
          <w:szCs w:val="17"/>
          <w:color w:val="auto"/>
        </w:rPr>
        <w:t xml:space="preserve">. The Borrower will deliver to the Administrative Agent as soon as practicable following the sending or receipt thereof by the Borrower or any of its Restricted Subsidiaries, a copy of any and all written communications with respect to (A) any Environmental Claim that, individually or in the aggregate, would reasonably be expected to give rise to a Material Adverse Effect, (B) any Release required to be reported by the Borrower or any of its Restricted Subsidiaries to any federal, state or local governmental or regulatory agency or other Governmental Authority that would reasonably be expected to have a Material Adverse Effect, (C) any request made to the Borrower or any of its Restricted Subsidiaries for information from any governmental agency that suggests such agency is investigating whether the Borrower or any of its Restricted Subsidiaries may be potentially responsible for any Hazardous Materials Activity which would reasonably be expected to have a Material Adverse Effect and (D) such other documents and information as from time to time may be reasonably requested by the Administrative Agent in relation to any matters disclosed pursuant to this </w:t>
      </w:r>
      <w:r>
        <w:rPr>
          <w:rFonts w:ascii="Arial" w:cs="Arial" w:eastAsia="Arial" w:hAnsi="Arial"/>
          <w:sz w:val="17"/>
          <w:szCs w:val="17"/>
          <w:u w:val="single" w:color="auto"/>
          <w:color w:val="auto"/>
        </w:rPr>
        <w:t>Section 5.09(a)</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left="100" w:right="40" w:firstLine="742"/>
        <w:spacing w:after="0" w:line="256" w:lineRule="auto"/>
        <w:tabs>
          <w:tab w:leader="none" w:pos="1569"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Hazardous Materials Activities, Etc</w:t>
      </w:r>
      <w:r>
        <w:rPr>
          <w:rFonts w:ascii="Arial" w:cs="Arial" w:eastAsia="Arial" w:hAnsi="Arial"/>
          <w:sz w:val="18"/>
          <w:szCs w:val="18"/>
          <w:color w:val="auto"/>
        </w:rPr>
        <w:t>. The Borrower shall promptly take, and shall cause each of its Restricted Subsidiaries promptly to take, any and all actions necessary to (i) cure any violation of applicable Environmental Laws by the Borrower or its Restricted Subsidiaries, and address with appropriate corrective or remedial action any Release or threatened Release of Hazardous Materials at or from any Facility, in each case, that would reasonably be expected to have a Material Adverse Effect and (ii) make an appropriate response to any Environmental Claim against the Borrower or any of its Restricted Subsidiaries and discharge any obligations it may have to any Person thereunder, in each case, where failure to do so would reasonably be expected to have, individually or in the aggregate, a Material Adverse Effect.</w:t>
      </w:r>
    </w:p>
    <w:p>
      <w:pPr>
        <w:spacing w:after="0" w:line="183" w:lineRule="exact"/>
        <w:rPr>
          <w:sz w:val="20"/>
          <w:szCs w:val="20"/>
          <w:color w:val="auto"/>
        </w:rPr>
      </w:pPr>
    </w:p>
    <w:p>
      <w:pPr>
        <w:jc w:val="both"/>
        <w:ind w:left="100" w:right="60" w:firstLine="749"/>
        <w:spacing w:after="0" w:line="256"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Designation of Subsidiaries</w:t>
      </w:r>
      <w:r>
        <w:rPr>
          <w:rFonts w:ascii="Arial" w:cs="Arial" w:eastAsia="Arial" w:hAnsi="Arial"/>
          <w:sz w:val="17"/>
          <w:szCs w:val="17"/>
          <w:color w:val="auto"/>
        </w:rPr>
        <w:t xml:space="preserve">. The Borrower may at any time after the Closing Date designate (or re-designate) any subsidiary as an Unrestricted Subsidiary or any Unrestricted Subsidiary as a Restricted Subsidiary; provided, that (a) immediately after giving effect to such designation (or re-designation), no Event of Default exists (including after giving effect to the reclassification of any Investment in, Indebtedness of and/or Lien on the assets of, the applicable Restricted Subsidiary or Unrestricted Subsidiary), (b) immediately after giving effect to such designation (or re-designation), the Borrower is in compliance with </w:t>
      </w:r>
      <w:r>
        <w:rPr>
          <w:rFonts w:ascii="Arial" w:cs="Arial" w:eastAsia="Arial" w:hAnsi="Arial"/>
          <w:sz w:val="17"/>
          <w:szCs w:val="17"/>
          <w:u w:val="single" w:color="auto"/>
          <w:color w:val="auto"/>
        </w:rPr>
        <w:t>Section 6.10(a)</w:t>
      </w:r>
      <w:r>
        <w:rPr>
          <w:rFonts w:ascii="Arial" w:cs="Arial" w:eastAsia="Arial" w:hAnsi="Arial"/>
          <w:sz w:val="17"/>
          <w:szCs w:val="17"/>
          <w:color w:val="auto"/>
        </w:rPr>
        <w:t xml:space="preserve"> on a Pro Forma Basis as of the last day of the most recently ended Test Period, (c) no Restricted Subsidiary may be designated as an Unrestricted Subsidiary if such Restricted Subsidiary owns any Material Intellectual Property as of the date of such designation and (d) as of the date of the designation thereof, no Unrestricted Subsidiary shall own any Capital Stock in any Restricted Subsidiary of the Borrower (unless such Restricted Subsidiary is also designated as an Unrestricted Subsidiary). The designation of any subsidiary as an Unrestricted Subsidiary shall constitute an Investment by the Borrower (or its applicable Restricted Subsidiary) therein at the date of designation in an amount equal to the portion of the fair market value of the net assets of such subsidiary attributable to the Borrower’s (or its applicable Restricted Subsidiary’s) equity interest therein as estimated by the Borrower in good faith (and such designation shall only be permitted to the extent such Investment is permitted under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6.06</w:t>
      </w:r>
      <w:r>
        <w:rPr>
          <w:rFonts w:ascii="Arial" w:cs="Arial" w:eastAsia="Arial" w:hAnsi="Arial"/>
          <w:sz w:val="17"/>
          <w:szCs w:val="17"/>
          <w:color w:val="auto"/>
        </w:rPr>
        <w:t>). The designation of any Unrestricted Subsidiary as a Restricted Subsidiary shall constitute the making, incurrence or granting, as applicable, at the time of designation of any then-existing Investment, Indebtedness or Lien of such subsidiary, as applicable; provided, that upon any re-designation of any Unrestricted Subsidiary as a Restricted Subsidiary, the Borrower (or its applicable Restricted Subsidiary) shall be deemed to continue to have an Investment in the resulting Restricted Subsidiary in an amount (if positive) equal to (a) the Borrower’s (or its applicable Restricted Subsidiary’s) “Investment” in such Restricted Subsidiary at the time of such re-designation, less (b) the portion of the fair market value of the net assets of such Restricted Subsidiary attributable to the Borrower’s (or its applicable Restricted Subsidiary’s) equity therein at the time of such re-designation as estimated by the Borrower in good faith.</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128</w:t>
      </w:r>
      <w:r>
        <w:rPr>
          <w:rFonts w:ascii="Arial" w:cs="Arial" w:eastAsia="Arial" w:hAnsi="Arial"/>
          <w:sz w:val="18"/>
          <w:szCs w:val="18"/>
          <w:u w:val="single" w:color="auto"/>
          <w:color w:val="0000FF"/>
          <w:strike w:val="1"/>
        </w:rPr>
        <w:t>128</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85" w:right="1439" w:bottom="1440" w:gutter="0" w:footer="0" w:header="0"/>
        </w:sectPr>
      </w:pPr>
    </w:p>
    <w:bookmarkStart w:id="196" w:name="page197"/>
    <w:bookmarkEnd w:id="196"/>
    <w:p>
      <w:pPr>
        <w:ind w:left="840"/>
        <w:spacing w:after="0"/>
        <w:tabs>
          <w:tab w:leader="none" w:pos="1960" w:val="left"/>
        </w:tabs>
        <w:rPr>
          <w:sz w:val="20"/>
          <w:szCs w:val="20"/>
          <w:color w:val="auto"/>
        </w:rPr>
      </w:pPr>
      <w:r>
        <w:rPr>
          <w:rFonts w:ascii="Arial" w:cs="Arial" w:eastAsia="Arial" w:hAnsi="Arial"/>
          <w:sz w:val="19"/>
          <w:szCs w:val="19"/>
          <w:color w:val="auto"/>
        </w:rPr>
        <w:t>Section 5.11.</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w:t>
      </w:r>
    </w:p>
    <w:p>
      <w:pPr>
        <w:spacing w:after="0" w:line="214" w:lineRule="exact"/>
        <w:rPr>
          <w:sz w:val="20"/>
          <w:szCs w:val="20"/>
          <w:color w:val="auto"/>
        </w:rPr>
      </w:pPr>
    </w:p>
    <w:p>
      <w:pPr>
        <w:jc w:val="both"/>
        <w:ind w:left="100" w:right="59" w:firstLine="741"/>
        <w:spacing w:after="0" w:line="243" w:lineRule="auto"/>
        <w:tabs>
          <w:tab w:leader="none" w:pos="1520" w:val="left"/>
        </w:tabs>
        <w:numPr>
          <w:ilvl w:val="1"/>
          <w:numId w:val="217"/>
        </w:numPr>
        <w:rPr>
          <w:rFonts w:ascii="Arial" w:cs="Arial" w:eastAsia="Arial" w:hAnsi="Arial"/>
          <w:sz w:val="19"/>
          <w:szCs w:val="19"/>
          <w:color w:val="auto"/>
        </w:rPr>
      </w:pPr>
      <w:r>
        <w:rPr>
          <w:rFonts w:ascii="Arial" w:cs="Arial" w:eastAsia="Arial" w:hAnsi="Arial"/>
          <w:sz w:val="19"/>
          <w:szCs w:val="19"/>
          <w:color w:val="auto"/>
        </w:rPr>
        <w:t>The Borrower shall use the proceeds of the Revolving Loans (i) on the Closing Date, (A) to finance (or to replenish balance sheet cash used to finance) all or a portion of the Transactions (including the payment of Transaction Costs and other costs and expenses), (B) to finance other general corporate purposes,</w:t>
      </w:r>
    </w:p>
    <w:p>
      <w:pPr>
        <w:jc w:val="both"/>
        <w:ind w:left="100" w:right="59" w:hanging="7"/>
        <w:spacing w:after="0" w:line="232" w:lineRule="auto"/>
        <w:tabs>
          <w:tab w:leader="none" w:pos="435" w:val="left"/>
        </w:tabs>
        <w:numPr>
          <w:ilvl w:val="0"/>
          <w:numId w:val="218"/>
        </w:numPr>
        <w:rPr>
          <w:rFonts w:ascii="Arial" w:cs="Arial" w:eastAsia="Arial" w:hAnsi="Arial"/>
          <w:sz w:val="19"/>
          <w:szCs w:val="19"/>
          <w:color w:val="auto"/>
        </w:rPr>
      </w:pPr>
      <w:r>
        <w:rPr>
          <w:rFonts w:ascii="Arial" w:cs="Arial" w:eastAsia="Arial" w:hAnsi="Arial"/>
          <w:sz w:val="19"/>
          <w:szCs w:val="19"/>
          <w:color w:val="auto"/>
        </w:rPr>
        <w:t>to finance working capital needs and (D) to cash collateralize letters of credit issued on behalf of the Borrower and its subsidiaries under the Existing Credit Agreement, and (ii) after the Closing Date, to finance working capital needs and other general corporate purposes of the Borrower and its subsidiaries and any other purpose not prohibited by the terms of the Loan Documents.</w:t>
      </w:r>
    </w:p>
    <w:p>
      <w:pPr>
        <w:spacing w:after="0" w:line="178" w:lineRule="exact"/>
        <w:rPr>
          <w:rFonts w:ascii="Arial" w:cs="Arial" w:eastAsia="Arial" w:hAnsi="Arial"/>
          <w:sz w:val="19"/>
          <w:szCs w:val="19"/>
          <w:color w:val="auto"/>
        </w:rPr>
      </w:pPr>
    </w:p>
    <w:p>
      <w:pPr>
        <w:jc w:val="both"/>
        <w:ind w:left="100" w:right="59" w:firstLine="741"/>
        <w:spacing w:after="0" w:line="249" w:lineRule="auto"/>
        <w:tabs>
          <w:tab w:leader="none" w:pos="1520" w:val="left"/>
        </w:tabs>
        <w:numPr>
          <w:ilvl w:val="1"/>
          <w:numId w:val="218"/>
        </w:numPr>
        <w:rPr>
          <w:rFonts w:ascii="Arial" w:cs="Arial" w:eastAsia="Arial" w:hAnsi="Arial"/>
          <w:sz w:val="19"/>
          <w:szCs w:val="19"/>
          <w:color w:val="auto"/>
        </w:rPr>
      </w:pPr>
      <w:r>
        <w:rPr>
          <w:rFonts w:ascii="Arial" w:cs="Arial" w:eastAsia="Arial" w:hAnsi="Arial"/>
          <w:sz w:val="19"/>
          <w:szCs w:val="19"/>
          <w:color w:val="auto"/>
        </w:rPr>
        <w:t>The Borrower shall use the proceeds of the Swingline Loans made after the Closing Date to finance the working capital needs and other general corporate purposes of the Borrower and its subsidiaries and for any other purpose not prohibited by the terms of the Loan Documents.</w:t>
      </w:r>
    </w:p>
    <w:p>
      <w:pPr>
        <w:spacing w:after="0" w:line="183" w:lineRule="exact"/>
        <w:rPr>
          <w:rFonts w:ascii="Arial" w:cs="Arial" w:eastAsia="Arial" w:hAnsi="Arial"/>
          <w:sz w:val="19"/>
          <w:szCs w:val="19"/>
          <w:color w:val="auto"/>
        </w:rPr>
      </w:pPr>
    </w:p>
    <w:p>
      <w:pPr>
        <w:jc w:val="both"/>
        <w:ind w:left="100" w:right="59" w:firstLine="741"/>
        <w:spacing w:after="0" w:line="256" w:lineRule="auto"/>
        <w:tabs>
          <w:tab w:leader="none" w:pos="1520" w:val="left"/>
        </w:tabs>
        <w:numPr>
          <w:ilvl w:val="1"/>
          <w:numId w:val="218"/>
        </w:numPr>
        <w:rPr>
          <w:rFonts w:ascii="Arial" w:cs="Arial" w:eastAsia="Arial" w:hAnsi="Arial"/>
          <w:sz w:val="19"/>
          <w:szCs w:val="19"/>
          <w:color w:val="auto"/>
        </w:rPr>
      </w:pPr>
      <w:r>
        <w:rPr>
          <w:rFonts w:ascii="Arial" w:cs="Arial" w:eastAsia="Arial" w:hAnsi="Arial"/>
          <w:sz w:val="19"/>
          <w:szCs w:val="19"/>
          <w:color w:val="auto"/>
        </w:rPr>
        <w:t>The Borrower shall use the proceeds of the Initial Term Loans made on the Closing Date solely to (i) finance all or a portion of the Transactions (and the payment of Transaction Costs) and (ii) to the extent of any remaining proceeds, for general corporate purposes of the Borrower and its subsidiaries.</w:t>
      </w:r>
    </w:p>
    <w:p>
      <w:pPr>
        <w:spacing w:after="0" w:line="178" w:lineRule="exact"/>
        <w:rPr>
          <w:rFonts w:ascii="Arial" w:cs="Arial" w:eastAsia="Arial" w:hAnsi="Arial"/>
          <w:sz w:val="19"/>
          <w:szCs w:val="19"/>
          <w:color w:val="auto"/>
        </w:rPr>
      </w:pPr>
    </w:p>
    <w:p>
      <w:pPr>
        <w:jc w:val="both"/>
        <w:ind w:left="100" w:right="19" w:firstLine="742"/>
        <w:spacing w:after="0" w:line="243" w:lineRule="auto"/>
        <w:tabs>
          <w:tab w:leader="none" w:pos="1522" w:val="left"/>
        </w:tabs>
        <w:numPr>
          <w:ilvl w:val="1"/>
          <w:numId w:val="218"/>
        </w:numPr>
        <w:rPr>
          <w:rFonts w:ascii="Arial" w:cs="Arial" w:eastAsia="Arial" w:hAnsi="Arial"/>
          <w:sz w:val="19"/>
          <w:szCs w:val="19"/>
          <w:color w:val="auto"/>
        </w:rPr>
      </w:pPr>
      <w:r>
        <w:rPr>
          <w:rFonts w:ascii="Arial" w:cs="Arial" w:eastAsia="Arial" w:hAnsi="Arial"/>
          <w:sz w:val="19"/>
          <w:szCs w:val="19"/>
          <w:color w:val="auto"/>
        </w:rPr>
        <w:t>Letters of Credit may be issued (i) on the Closing Date in the ordinary course of business and to replace or provide credit support for any letter of credit, bank guarantee and/or surety, customs, performance or similar bond of the Borrower and its subsidiaries or any of their Affiliates and/or to replace cash collateral posted by any of the foregoing Persons and (ii) after the Closing Date, for general corporate purposes of the Borrower and its subsidiaries and any other purpose not prohibited by the terms of the Loan Documents.</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5.12.  </w:t>
      </w:r>
      <w:r>
        <w:rPr>
          <w:rFonts w:ascii="Arial" w:cs="Arial" w:eastAsia="Arial" w:hAnsi="Arial"/>
          <w:sz w:val="19"/>
          <w:szCs w:val="19"/>
          <w:u w:val="single" w:color="auto"/>
          <w:color w:val="auto"/>
        </w:rPr>
        <w:t>Covenant to Guarantee Obligations and Provide Security</w:t>
      </w:r>
      <w:r>
        <w:rPr>
          <w:rFonts w:ascii="Arial" w:cs="Arial" w:eastAsia="Arial" w:hAnsi="Arial"/>
          <w:sz w:val="19"/>
          <w:szCs w:val="19"/>
          <w:color w:val="auto"/>
        </w:rPr>
        <w:t>.</w:t>
      </w:r>
    </w:p>
    <w:p>
      <w:pPr>
        <w:spacing w:after="0" w:line="200" w:lineRule="exact"/>
        <w:rPr>
          <w:sz w:val="20"/>
          <w:szCs w:val="20"/>
          <w:color w:val="auto"/>
        </w:rPr>
      </w:pPr>
    </w:p>
    <w:p>
      <w:pPr>
        <w:jc w:val="both"/>
        <w:ind w:left="100" w:right="59" w:firstLine="741"/>
        <w:spacing w:after="0" w:line="272" w:lineRule="auto"/>
        <w:tabs>
          <w:tab w:leader="none" w:pos="152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 xml:space="preserve">Upon (i) the formation or acquisition after the Closing Date of any Restricted Subsidiary, (ii) the designation of any Unrestricted Subsidiary as a Restricted Subsidiary or (iii) any Restricted Subsidiary that was an Excluded Subsidiary ceasing to be an Excluded Subsidiary, on or before the date on which a Compliance Certificate is required to be delivered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5.01(c)</w:t>
      </w:r>
      <w:r>
        <w:rPr>
          <w:rFonts w:ascii="Arial" w:cs="Arial" w:eastAsia="Arial" w:hAnsi="Arial"/>
          <w:sz w:val="17"/>
          <w:szCs w:val="17"/>
          <w:color w:val="auto"/>
        </w:rPr>
        <w:t xml:space="preserve">, for the Fiscal Quarter in which the relevant formation, acquisition, designation or cessation occurred (or such longer period as the Administrative Agent may reasonably agree), the Borrower shall (A) cause such Restricted Subsidiary (other than any Excluded Subsidiary) to comply with the requirements set forth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definition of “Collateral and Guarantee Requirement” and (B) upon the reasonable request of the Administrative Agent, which request may not be made unless the Consolidated Total Assets of the relevant Restricted Subsidiary constitutes more than 10% of the Consolidated Total Assets of the Borrower and its Restricted Subsidiaries, taken as a whole, cause the relevant Restricted Subsidiary (other than any Excluded Subsidiary) to deliver to the Administrative Agent a signed copy of a customary opinion of counsel for such Restricted Subsidiary, addressed to the Administrative Agent, the Issuing Banks and the Lenders.</w:t>
      </w:r>
    </w:p>
    <w:p>
      <w:pPr>
        <w:spacing w:after="0" w:line="168" w:lineRule="exact"/>
        <w:rPr>
          <w:rFonts w:ascii="Arial" w:cs="Arial" w:eastAsia="Arial" w:hAnsi="Arial"/>
          <w:sz w:val="17"/>
          <w:szCs w:val="17"/>
          <w:color w:val="auto"/>
        </w:rPr>
      </w:pPr>
    </w:p>
    <w:p>
      <w:pPr>
        <w:ind w:left="1600" w:hanging="758"/>
        <w:spacing w:after="0"/>
        <w:tabs>
          <w:tab w:leader="none" w:pos="1600" w:val="left"/>
        </w:tabs>
        <w:numPr>
          <w:ilvl w:val="0"/>
          <w:numId w:val="219"/>
        </w:numPr>
        <w:rPr>
          <w:rFonts w:ascii="Arial" w:cs="Arial" w:eastAsia="Arial" w:hAnsi="Arial"/>
          <w:sz w:val="19"/>
          <w:szCs w:val="19"/>
          <w:color w:val="auto"/>
        </w:rPr>
      </w:pPr>
      <w:r>
        <w:rPr>
          <w:rFonts w:ascii="Arial" w:cs="Arial" w:eastAsia="Arial" w:hAnsi="Arial"/>
          <w:sz w:val="19"/>
          <w:szCs w:val="19"/>
          <w:color w:val="auto"/>
        </w:rPr>
        <w:t>[Reserved].</w:t>
      </w:r>
    </w:p>
    <w:p>
      <w:pPr>
        <w:spacing w:after="0" w:line="213" w:lineRule="exact"/>
        <w:rPr>
          <w:rFonts w:ascii="Arial" w:cs="Arial" w:eastAsia="Arial" w:hAnsi="Arial"/>
          <w:sz w:val="19"/>
          <w:szCs w:val="19"/>
          <w:color w:val="auto"/>
        </w:rPr>
      </w:pPr>
    </w:p>
    <w:p>
      <w:pPr>
        <w:jc w:val="both"/>
        <w:ind w:left="100" w:right="59" w:firstLine="741"/>
        <w:spacing w:after="0" w:line="257" w:lineRule="auto"/>
        <w:tabs>
          <w:tab w:leader="none" w:pos="15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the Borrower may, in its sole discretion, elect to cause any Restricted Subsidiary and/or Parent Company (any such Person, a “</w:t>
      </w:r>
      <w:r>
        <w:rPr>
          <w:rFonts w:ascii="Arial" w:cs="Arial" w:eastAsia="Arial" w:hAnsi="Arial"/>
          <w:sz w:val="18"/>
          <w:szCs w:val="18"/>
          <w:u w:val="single" w:color="auto"/>
          <w:color w:val="auto"/>
        </w:rPr>
        <w:t>Discretionary Guarantor</w:t>
      </w:r>
      <w:r>
        <w:rPr>
          <w:rFonts w:ascii="Arial" w:cs="Arial" w:eastAsia="Arial" w:hAnsi="Arial"/>
          <w:sz w:val="18"/>
          <w:szCs w:val="18"/>
          <w:color w:val="auto"/>
        </w:rPr>
        <w:t xml:space="preserve">”) that is not otherwise required to be a Subsidiary Guarantor to provide a Loan Guaranty by causing such Person to execute a Joinder Agreement, and any such Person shall constitute a Loan Party and a Guarantor for all purposes hereunder; it being understood and agreed that such Person shall grant a security interest in such categories of assets pursuant to such documentation as the Borrower and the Administrative Agent may reasonably agree;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 the case of any Discretionary Guarantor that is a Foreign Subsidiary, the jurisdiction of such person is reasonably satisfactory to the Administrative Agent and (ii) the Administrative Agent shall have received at least two Business Days prior to such person becoming a Guarantor, all documentation and other information in respect of such person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129</w:t>
      </w:r>
      <w:r>
        <w:rPr>
          <w:rFonts w:ascii="Arial" w:cs="Arial" w:eastAsia="Arial" w:hAnsi="Arial"/>
          <w:sz w:val="18"/>
          <w:szCs w:val="18"/>
          <w:u w:val="single" w:color="auto"/>
          <w:color w:val="0000FF"/>
          <w:strike w:val="1"/>
        </w:rPr>
        <w:t>129</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97" w:name="page198"/>
    <w:bookmarkEnd w:id="197"/>
    <w:p>
      <w:pPr>
        <w:ind w:left="100"/>
        <w:spacing w:after="0"/>
        <w:rPr>
          <w:sz w:val="20"/>
          <w:szCs w:val="20"/>
          <w:color w:val="auto"/>
        </w:rPr>
      </w:pPr>
      <w:r>
        <w:rPr>
          <w:rFonts w:ascii="Arial" w:cs="Arial" w:eastAsia="Arial" w:hAnsi="Arial"/>
          <w:sz w:val="17"/>
          <w:szCs w:val="17"/>
          <w:color w:val="auto"/>
        </w:rPr>
        <w:t>required under applicable “know your customer” and anti-money laundering rules and regulations (including the USA Patriot Act).</w:t>
      </w:r>
    </w:p>
    <w:p>
      <w:pPr>
        <w:spacing w:after="0" w:line="237" w:lineRule="exact"/>
        <w:rPr>
          <w:sz w:val="20"/>
          <w:szCs w:val="20"/>
          <w:color w:val="auto"/>
        </w:rPr>
      </w:pPr>
    </w:p>
    <w:p>
      <w:pPr>
        <w:ind w:left="1520" w:hanging="679"/>
        <w:spacing w:after="0"/>
        <w:tabs>
          <w:tab w:leader="none" w:pos="152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Notwithstanding anything to the contrary herein or in any other Loan Document, it is understood and agreed</w:t>
      </w:r>
    </w:p>
    <w:p>
      <w:pPr>
        <w:spacing w:after="0" w:line="37" w:lineRule="exact"/>
        <w:rPr>
          <w:sz w:val="20"/>
          <w:szCs w:val="20"/>
          <w:color w:val="auto"/>
        </w:rPr>
      </w:pPr>
    </w:p>
    <w:p>
      <w:pPr>
        <w:ind w:left="100"/>
        <w:spacing w:after="0"/>
        <w:rPr>
          <w:sz w:val="20"/>
          <w:szCs w:val="20"/>
          <w:color w:val="auto"/>
        </w:rPr>
      </w:pPr>
      <w:r>
        <w:rPr>
          <w:rFonts w:ascii="Arial" w:cs="Arial" w:eastAsia="Arial" w:hAnsi="Arial"/>
          <w:sz w:val="19"/>
          <w:szCs w:val="19"/>
          <w:color w:val="auto"/>
        </w:rPr>
        <w:t>that:</w:t>
      </w:r>
    </w:p>
    <w:p>
      <w:pPr>
        <w:spacing w:after="0" w:line="198" w:lineRule="exact"/>
        <w:rPr>
          <w:sz w:val="20"/>
          <w:szCs w:val="20"/>
          <w:color w:val="auto"/>
        </w:rPr>
      </w:pPr>
    </w:p>
    <w:p>
      <w:pPr>
        <w:jc w:val="both"/>
        <w:ind w:left="840" w:right="39" w:firstLine="751"/>
        <w:spacing w:after="0" w:line="245" w:lineRule="auto"/>
        <w:tabs>
          <w:tab w:leader="none" w:pos="2366" w:val="left"/>
        </w:tabs>
        <w:numPr>
          <w:ilvl w:val="1"/>
          <w:numId w:val="221"/>
        </w:numPr>
        <w:rPr>
          <w:rFonts w:ascii="Arial" w:cs="Arial" w:eastAsia="Arial" w:hAnsi="Arial"/>
          <w:sz w:val="19"/>
          <w:szCs w:val="19"/>
          <w:color w:val="auto"/>
        </w:rPr>
      </w:pPr>
      <w:r>
        <w:rPr>
          <w:rFonts w:ascii="Arial" w:cs="Arial" w:eastAsia="Arial" w:hAnsi="Arial"/>
          <w:sz w:val="19"/>
          <w:szCs w:val="19"/>
          <w:color w:val="auto"/>
        </w:rPr>
        <w:t>the Administrative Agent may grant extensions of time (including after the expiration of any relevant period, which may apply retroactively) for the creation and perfection of security interests in, or obtaining of legal opinions or other deliverables with respect to, particular assets or the provision of any Loan Guaranty by any Restricted Subsidiary, and each Lender hereby consents to any such extension of time;</w:t>
      </w:r>
    </w:p>
    <w:p>
      <w:pPr>
        <w:spacing w:after="0" w:line="187" w:lineRule="exact"/>
        <w:rPr>
          <w:rFonts w:ascii="Arial" w:cs="Arial" w:eastAsia="Arial" w:hAnsi="Arial"/>
          <w:sz w:val="19"/>
          <w:szCs w:val="19"/>
          <w:color w:val="auto"/>
        </w:rPr>
      </w:pPr>
    </w:p>
    <w:p>
      <w:pPr>
        <w:jc w:val="both"/>
        <w:ind w:left="840" w:right="59" w:firstLine="751"/>
        <w:spacing w:after="0" w:line="249" w:lineRule="auto"/>
        <w:tabs>
          <w:tab w:leader="none" w:pos="2366" w:val="left"/>
        </w:tabs>
        <w:numPr>
          <w:ilvl w:val="1"/>
          <w:numId w:val="221"/>
        </w:numPr>
        <w:rPr>
          <w:rFonts w:ascii="Arial" w:cs="Arial" w:eastAsia="Arial" w:hAnsi="Arial"/>
          <w:sz w:val="19"/>
          <w:szCs w:val="19"/>
          <w:color w:val="auto"/>
        </w:rPr>
      </w:pPr>
      <w:r>
        <w:rPr>
          <w:rFonts w:ascii="Arial" w:cs="Arial" w:eastAsia="Arial" w:hAnsi="Arial"/>
          <w:sz w:val="19"/>
          <w:szCs w:val="19"/>
          <w:color w:val="auto"/>
        </w:rPr>
        <w:t>any Lien required to be granted from time to time pursuant to the definition of “Collateral and Guarantee Requirement” and/or any action requested in connection therewith shall be subject to the exceptions and limitations set forth in this Agreement and the Collateral Documents;</w:t>
      </w:r>
    </w:p>
    <w:p>
      <w:pPr>
        <w:spacing w:after="0" w:line="183" w:lineRule="exact"/>
        <w:rPr>
          <w:rFonts w:ascii="Arial" w:cs="Arial" w:eastAsia="Arial" w:hAnsi="Arial"/>
          <w:sz w:val="19"/>
          <w:szCs w:val="19"/>
          <w:color w:val="auto"/>
        </w:rPr>
      </w:pPr>
    </w:p>
    <w:p>
      <w:pPr>
        <w:jc w:val="both"/>
        <w:ind w:left="840" w:right="59" w:firstLine="751"/>
        <w:spacing w:after="0" w:line="264" w:lineRule="auto"/>
        <w:tabs>
          <w:tab w:leader="none" w:pos="2366" w:val="left"/>
        </w:tabs>
        <w:numPr>
          <w:ilvl w:val="1"/>
          <w:numId w:val="221"/>
        </w:numPr>
        <w:rPr>
          <w:rFonts w:ascii="Arial" w:cs="Arial" w:eastAsia="Arial" w:hAnsi="Arial"/>
          <w:sz w:val="18"/>
          <w:szCs w:val="18"/>
          <w:color w:val="auto"/>
        </w:rPr>
      </w:pPr>
      <w:r>
        <w:rPr>
          <w:rFonts w:ascii="Arial" w:cs="Arial" w:eastAsia="Arial" w:hAnsi="Arial"/>
          <w:sz w:val="18"/>
          <w:szCs w:val="18"/>
          <w:color w:val="auto"/>
        </w:rPr>
        <w:t>perfection by control shall not be required with respect to assets requiring perfection through control agreements or other control arrangements, including Deposit Accounts, securities accounts and commodities accounts (other than control of (A) pledged Capital Stock of the Borrower or any material first tier Restricted Subsidiary that is a Wholly-Owned Subsidiary and/or (B) any Material Debt Instrument owing from any Person that is not a Loan Party, in each case, to the extent the same otherwise constitute Collateral);</w:t>
      </w:r>
    </w:p>
    <w:p>
      <w:pPr>
        <w:spacing w:after="0" w:line="171" w:lineRule="exact"/>
        <w:rPr>
          <w:rFonts w:ascii="Arial" w:cs="Arial" w:eastAsia="Arial" w:hAnsi="Arial"/>
          <w:sz w:val="18"/>
          <w:szCs w:val="18"/>
          <w:color w:val="auto"/>
        </w:rPr>
      </w:pPr>
    </w:p>
    <w:p>
      <w:pPr>
        <w:ind w:left="840" w:right="59" w:firstLine="751"/>
        <w:spacing w:after="0" w:line="261" w:lineRule="auto"/>
        <w:tabs>
          <w:tab w:leader="none" w:pos="2366" w:val="left"/>
        </w:tabs>
        <w:numPr>
          <w:ilvl w:val="1"/>
          <w:numId w:val="221"/>
        </w:numPr>
        <w:rPr>
          <w:rFonts w:ascii="Arial" w:cs="Arial" w:eastAsia="Arial" w:hAnsi="Arial"/>
          <w:sz w:val="19"/>
          <w:szCs w:val="19"/>
          <w:color w:val="auto"/>
        </w:rPr>
      </w:pPr>
      <w:r>
        <w:rPr>
          <w:rFonts w:ascii="Arial" w:cs="Arial" w:eastAsia="Arial" w:hAnsi="Arial"/>
          <w:sz w:val="19"/>
          <w:szCs w:val="19"/>
          <w:color w:val="auto"/>
        </w:rPr>
        <w:t>no Loan Party shall be required to seek any landlord lien waiver, bailee letter, estoppel, warehouseman waiver or other collateral access or similar letter or agreement;</w:t>
      </w:r>
    </w:p>
    <w:p>
      <w:pPr>
        <w:spacing w:after="0" w:line="172" w:lineRule="exact"/>
        <w:rPr>
          <w:rFonts w:ascii="Arial" w:cs="Arial" w:eastAsia="Arial" w:hAnsi="Arial"/>
          <w:sz w:val="19"/>
          <w:szCs w:val="19"/>
          <w:color w:val="auto"/>
        </w:rPr>
      </w:pPr>
    </w:p>
    <w:p>
      <w:pPr>
        <w:jc w:val="both"/>
        <w:ind w:left="840" w:right="59" w:firstLine="751"/>
        <w:spacing w:after="0" w:line="242" w:lineRule="auto"/>
        <w:tabs>
          <w:tab w:leader="none" w:pos="2366" w:val="left"/>
        </w:tabs>
        <w:numPr>
          <w:ilvl w:val="1"/>
          <w:numId w:val="221"/>
        </w:numPr>
        <w:rPr>
          <w:rFonts w:ascii="Arial" w:cs="Arial" w:eastAsia="Arial" w:hAnsi="Arial"/>
          <w:sz w:val="19"/>
          <w:szCs w:val="19"/>
          <w:color w:val="auto"/>
        </w:rPr>
      </w:pPr>
      <w:r>
        <w:rPr>
          <w:rFonts w:ascii="Arial" w:cs="Arial" w:eastAsia="Arial" w:hAnsi="Arial"/>
          <w:sz w:val="19"/>
          <w:szCs w:val="19"/>
          <w:color w:val="auto"/>
        </w:rPr>
        <w:t>no Loan Party (other than any Discretionary Guarantor that is organized under the laws of a jurisdiction outside of the US) will be required to (A) take any action to grant or perfect a security interest in any asset located outside of the US or (B) execute any security agreement, pledge agreement, mortgage, deed, charge or other collateral document governed by the laws of any jurisdiction other than the US, any state thereof or the District of Columbia; it being understood and agreed that no Loan Party (including any Discretionary Guarantor) will be required to take any action to perfect a security interest in the Collateral in any jurisdiction other than the jurisdiction in which such Loan Party is organized (other than with respect to the required pledge of the Capital Stock of any Discretionary Guarantor that is not organized under the laws of the United States or any state thereof, the jurisdiction of organization of such Discretionary Guarantor);</w:t>
      </w:r>
    </w:p>
    <w:p>
      <w:pPr>
        <w:spacing w:after="0" w:line="190" w:lineRule="exact"/>
        <w:rPr>
          <w:rFonts w:ascii="Arial" w:cs="Arial" w:eastAsia="Arial" w:hAnsi="Arial"/>
          <w:sz w:val="19"/>
          <w:szCs w:val="19"/>
          <w:color w:val="auto"/>
        </w:rPr>
      </w:pPr>
    </w:p>
    <w:p>
      <w:pPr>
        <w:ind w:left="840" w:right="59" w:firstLine="751"/>
        <w:spacing w:after="0" w:line="261" w:lineRule="auto"/>
        <w:tabs>
          <w:tab w:leader="none" w:pos="2366" w:val="left"/>
        </w:tabs>
        <w:numPr>
          <w:ilvl w:val="1"/>
          <w:numId w:val="221"/>
        </w:numPr>
        <w:rPr>
          <w:rFonts w:ascii="Arial" w:cs="Arial" w:eastAsia="Arial" w:hAnsi="Arial"/>
          <w:sz w:val="19"/>
          <w:szCs w:val="19"/>
          <w:color w:val="auto"/>
        </w:rPr>
      </w:pPr>
      <w:r>
        <w:rPr>
          <w:rFonts w:ascii="Arial" w:cs="Arial" w:eastAsia="Arial" w:hAnsi="Arial"/>
          <w:sz w:val="19"/>
          <w:szCs w:val="19"/>
          <w:color w:val="auto"/>
        </w:rPr>
        <w:t>in no event will (A) the Collateral include any Excluded Asset or (B) any Excluded Subsidiary be required to become a Subsidiary Guarantor;</w:t>
      </w:r>
    </w:p>
    <w:p>
      <w:pPr>
        <w:spacing w:after="0" w:line="172" w:lineRule="exact"/>
        <w:rPr>
          <w:rFonts w:ascii="Arial" w:cs="Arial" w:eastAsia="Arial" w:hAnsi="Arial"/>
          <w:sz w:val="19"/>
          <w:szCs w:val="19"/>
          <w:color w:val="auto"/>
        </w:rPr>
      </w:pPr>
    </w:p>
    <w:p>
      <w:pPr>
        <w:ind w:left="2360" w:hanging="769"/>
        <w:spacing w:after="0"/>
        <w:tabs>
          <w:tab w:leader="none" w:pos="236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 xml:space="preserve">without limiting </w:t>
      </w:r>
      <w:r>
        <w:rPr>
          <w:rFonts w:ascii="Arial" w:cs="Arial" w:eastAsia="Arial" w:hAnsi="Arial"/>
          <w:sz w:val="18"/>
          <w:szCs w:val="18"/>
          <w:u w:val="single" w:color="auto"/>
          <w:color w:val="auto"/>
        </w:rPr>
        <w:t>clause (xiv)</w:t>
      </w:r>
      <w:r>
        <w:rPr>
          <w:rFonts w:ascii="Arial" w:cs="Arial" w:eastAsia="Arial" w:hAnsi="Arial"/>
          <w:sz w:val="18"/>
          <w:szCs w:val="18"/>
          <w:color w:val="auto"/>
        </w:rPr>
        <w:t xml:space="preserve"> below, no action shall be required to perfect any Lien with respect to</w:t>
      </w:r>
    </w:p>
    <w:p>
      <w:pPr>
        <w:spacing w:after="0" w:line="25" w:lineRule="exact"/>
        <w:rPr>
          <w:rFonts w:ascii="Arial" w:cs="Arial" w:eastAsia="Arial" w:hAnsi="Arial"/>
          <w:sz w:val="18"/>
          <w:szCs w:val="18"/>
          <w:color w:val="auto"/>
        </w:rPr>
      </w:pPr>
    </w:p>
    <w:p>
      <w:pPr>
        <w:jc w:val="both"/>
        <w:ind w:left="840" w:right="59" w:firstLine="3"/>
        <w:spacing w:after="0" w:line="255" w:lineRule="auto"/>
        <w:tabs>
          <w:tab w:leader="none" w:pos="115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vehicle or other asset subject to a certificate of title, (B) any Letter-of-Credit Right, (C) the Capital Stock of any Immaterial Subsidiary (other than any Immaterial Subsidiary that is a Loan Party), (D) the Capital Stock of any Person that is not a subsidiary, which Person, if a subsidiary, would constitute an Immaterial Subsidiary and/or (E) any aircraft, in each case, except to the extent that a security interest therein can be perfected by filing a Form UCC-1 (or similar) financing statement under the UCC (without the requirement to list a “VIN” or similar number);</w:t>
      </w:r>
    </w:p>
    <w:p>
      <w:pPr>
        <w:spacing w:after="0" w:line="180" w:lineRule="exact"/>
        <w:rPr>
          <w:rFonts w:ascii="Arial" w:cs="Arial" w:eastAsia="Arial" w:hAnsi="Arial"/>
          <w:sz w:val="18"/>
          <w:szCs w:val="18"/>
          <w:color w:val="auto"/>
        </w:rPr>
      </w:pPr>
    </w:p>
    <w:p>
      <w:pPr>
        <w:jc w:val="both"/>
        <w:ind w:left="840" w:right="59" w:firstLine="751"/>
        <w:spacing w:after="0" w:line="246" w:lineRule="auto"/>
        <w:tabs>
          <w:tab w:leader="none" w:pos="2366" w:val="left"/>
        </w:tabs>
        <w:numPr>
          <w:ilvl w:val="1"/>
          <w:numId w:val="222"/>
        </w:numPr>
        <w:rPr>
          <w:rFonts w:ascii="Arial" w:cs="Arial" w:eastAsia="Arial" w:hAnsi="Arial"/>
          <w:sz w:val="19"/>
          <w:szCs w:val="19"/>
          <w:color w:val="auto"/>
        </w:rPr>
      </w:pPr>
      <w:r>
        <w:rPr>
          <w:rFonts w:ascii="Arial" w:cs="Arial" w:eastAsia="Arial" w:hAnsi="Arial"/>
          <w:sz w:val="19"/>
          <w:szCs w:val="19"/>
          <w:color w:val="auto"/>
        </w:rPr>
        <w:t>no action shall be required to perfect a Lien in any asset in respect of which the perfection of a security interest therein would (A) be prohibited by enforceable anti-assignment provisions set forth in any contract that is permitted or otherwise not prohibited by the terms of this Agreement and is binding on such asset at the time of its acquisition and not incurred in contemplation thereof (other than in the case of Capital Leases, purchase money and similar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130</w:t>
      </w:r>
      <w:r>
        <w:rPr>
          <w:rFonts w:ascii="Arial" w:cs="Arial" w:eastAsia="Arial" w:hAnsi="Arial"/>
          <w:sz w:val="18"/>
          <w:szCs w:val="18"/>
          <w:u w:val="single" w:color="auto"/>
          <w:color w:val="0000FF"/>
          <w:strike w:val="1"/>
        </w:rPr>
        <w:t>130</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98" w:name="page199"/>
    <w:bookmarkEnd w:id="198"/>
    <w:p>
      <w:pPr>
        <w:jc w:val="both"/>
        <w:ind w:left="840" w:right="59"/>
        <w:spacing w:after="0" w:line="260" w:lineRule="auto"/>
        <w:rPr>
          <w:sz w:val="20"/>
          <w:szCs w:val="20"/>
          <w:color w:val="auto"/>
        </w:rPr>
      </w:pPr>
      <w:r>
        <w:rPr>
          <w:rFonts w:ascii="Arial" w:cs="Arial" w:eastAsia="Arial" w:hAnsi="Arial"/>
          <w:sz w:val="17"/>
          <w:szCs w:val="17"/>
          <w:color w:val="auto"/>
        </w:rPr>
        <w:t>financings), (B) violate the terms of any contract relating to such asset that is permitted or otherwise not prohibited by the terms of this Agreement and is binding on such asset at the time of its acquisition and not incurred in contemplation thereof (other than in the case of Capital Leases, purchase money and similar financings), in each case, after giving effect to the applicable anti-assignment provisions of the UCC or other applicable Requirement of Law or (C) trigger termination of any contract relating to such asset that is permitted or otherwise not prohibited by the terms of this Agreement and is binding on such asset at the time of its acquisition and not incurred in contemplation thereof (other than in the case of Capital Leases, purchase money and similar financings) pursuant to any “change of control” or similar provision; it being understood that the Collateral shall include any proceeds and/or receivables arising out of any contract described in this clause to the extent the assignment of such proceeds or receivables is expressly deemed effective under the UCC or other applicable Requirement of Law notwithstanding the relevant prohibition, violation or termination right;</w:t>
      </w:r>
    </w:p>
    <w:p>
      <w:pPr>
        <w:spacing w:after="0" w:line="164" w:lineRule="exact"/>
        <w:rPr>
          <w:sz w:val="20"/>
          <w:szCs w:val="20"/>
          <w:color w:val="auto"/>
        </w:rPr>
      </w:pPr>
    </w:p>
    <w:p>
      <w:pPr>
        <w:jc w:val="both"/>
        <w:ind w:left="840" w:right="59" w:firstLine="751"/>
        <w:spacing w:after="0" w:line="250" w:lineRule="auto"/>
        <w:tabs>
          <w:tab w:leader="none" w:pos="2366" w:val="left"/>
        </w:tabs>
        <w:numPr>
          <w:ilvl w:val="0"/>
          <w:numId w:val="223"/>
        </w:numPr>
        <w:rPr>
          <w:rFonts w:ascii="Arial" w:cs="Arial" w:eastAsia="Arial" w:hAnsi="Arial"/>
          <w:sz w:val="19"/>
          <w:szCs w:val="19"/>
          <w:color w:val="auto"/>
        </w:rPr>
      </w:pPr>
      <w:r>
        <w:rPr>
          <w:rFonts w:ascii="Arial" w:cs="Arial" w:eastAsia="Arial" w:hAnsi="Arial"/>
          <w:sz w:val="19"/>
          <w:szCs w:val="19"/>
          <w:color w:val="auto"/>
        </w:rPr>
        <w:t>(A) no Loan Party shall be required to perfect a Lien in any asset to the extent the perfection of a security interest in such asset would be prohibited under any applicable Requirement of Law and (B) it is understood and agreed, for the avoidance of doubt, that no Loan Party shall be required to comply with the Federal Assignment of Claims Act or any similar statute;</w:t>
      </w:r>
    </w:p>
    <w:p>
      <w:pPr>
        <w:spacing w:after="0" w:line="183" w:lineRule="exact"/>
        <w:rPr>
          <w:rFonts w:ascii="Arial" w:cs="Arial" w:eastAsia="Arial" w:hAnsi="Arial"/>
          <w:sz w:val="19"/>
          <w:szCs w:val="19"/>
          <w:color w:val="auto"/>
        </w:rPr>
      </w:pPr>
    </w:p>
    <w:p>
      <w:pPr>
        <w:jc w:val="both"/>
        <w:ind w:left="840" w:right="39" w:firstLine="751"/>
        <w:spacing w:after="0" w:line="276" w:lineRule="auto"/>
        <w:tabs>
          <w:tab w:leader="none" w:pos="2366" w:val="left"/>
        </w:tabs>
        <w:numPr>
          <w:ilvl w:val="0"/>
          <w:numId w:val="223"/>
        </w:numPr>
        <w:rPr>
          <w:rFonts w:ascii="Arial" w:cs="Arial" w:eastAsia="Arial" w:hAnsi="Arial"/>
          <w:sz w:val="17"/>
          <w:szCs w:val="17"/>
          <w:color w:val="auto"/>
        </w:rPr>
      </w:pPr>
      <w:r>
        <w:rPr>
          <w:rFonts w:ascii="Arial" w:cs="Arial" w:eastAsia="Arial" w:hAnsi="Arial"/>
          <w:sz w:val="17"/>
          <w:szCs w:val="17"/>
          <w:color w:val="auto"/>
        </w:rPr>
        <w:t xml:space="preserve">any Joinder Agreement, any Collateral Document and/or any other Loan Document executed by any Restricted Subsidiary that is required to become (or otherwise becomes) a Loan Party pursuant to </w:t>
      </w:r>
      <w:r>
        <w:rPr>
          <w:rFonts w:ascii="Arial" w:cs="Arial" w:eastAsia="Arial" w:hAnsi="Arial"/>
          <w:sz w:val="17"/>
          <w:szCs w:val="17"/>
          <w:u w:val="single" w:color="auto"/>
          <w:color w:val="auto"/>
        </w:rPr>
        <w:t>Section 5.12(a)</w:t>
      </w:r>
      <w:r>
        <w:rPr>
          <w:rFonts w:ascii="Arial" w:cs="Arial" w:eastAsia="Arial" w:hAnsi="Arial"/>
          <w:sz w:val="17"/>
          <w:szCs w:val="17"/>
          <w:color w:val="auto"/>
        </w:rPr>
        <w:t xml:space="preserve"> above (including any Joinder Agreement) may, with the consent of the Administrative Agent (not to be unreasonably withheld or delayed), include such schedules (or updates to schedules) as may be necessary to qualify any representation or warranty set forth in any Loan Document to the extent necessary to ensure that such representation or warranty is true and correct to the extent required thereby or by the terms of any other Loan Document;</w:t>
      </w:r>
    </w:p>
    <w:p>
      <w:pPr>
        <w:spacing w:after="0" w:line="163" w:lineRule="exact"/>
        <w:rPr>
          <w:rFonts w:ascii="Arial" w:cs="Arial" w:eastAsia="Arial" w:hAnsi="Arial"/>
          <w:sz w:val="17"/>
          <w:szCs w:val="17"/>
          <w:color w:val="auto"/>
        </w:rPr>
      </w:pPr>
    </w:p>
    <w:p>
      <w:pPr>
        <w:jc w:val="both"/>
        <w:ind w:left="840" w:right="39" w:firstLine="752"/>
        <w:spacing w:after="0" w:line="250" w:lineRule="auto"/>
        <w:tabs>
          <w:tab w:leader="none" w:pos="2368" w:val="left"/>
        </w:tabs>
        <w:numPr>
          <w:ilvl w:val="0"/>
          <w:numId w:val="223"/>
        </w:numPr>
        <w:rPr>
          <w:rFonts w:ascii="Arial" w:cs="Arial" w:eastAsia="Arial" w:hAnsi="Arial"/>
          <w:sz w:val="19"/>
          <w:szCs w:val="19"/>
          <w:color w:val="auto"/>
        </w:rPr>
      </w:pPr>
      <w:r>
        <w:rPr>
          <w:rFonts w:ascii="Arial" w:cs="Arial" w:eastAsia="Arial" w:hAnsi="Arial"/>
          <w:sz w:val="19"/>
          <w:szCs w:val="19"/>
          <w:color w:val="auto"/>
        </w:rPr>
        <w:t>the Lenders and the Administrative Agent acknowledge and agree that the Collateral that may be provided by any Loan Party may be limited to minimize stamp duty, notarization, registration or other applicable fees, taxes and duties where the benefit to the Secured Parties of increasing the secured amount is disproportionate to the cost of such fees, taxes and duties;</w:t>
      </w:r>
    </w:p>
    <w:p>
      <w:pPr>
        <w:spacing w:after="0" w:line="183" w:lineRule="exact"/>
        <w:rPr>
          <w:rFonts w:ascii="Arial" w:cs="Arial" w:eastAsia="Arial" w:hAnsi="Arial"/>
          <w:sz w:val="19"/>
          <w:szCs w:val="19"/>
          <w:color w:val="auto"/>
        </w:rPr>
      </w:pPr>
    </w:p>
    <w:p>
      <w:pPr>
        <w:ind w:left="2340" w:hanging="748"/>
        <w:spacing w:after="0"/>
        <w:tabs>
          <w:tab w:leader="none" w:pos="2340" w:val="left"/>
        </w:tabs>
        <w:numPr>
          <w:ilvl w:val="0"/>
          <w:numId w:val="223"/>
        </w:numPr>
        <w:rPr>
          <w:rFonts w:ascii="Arial" w:cs="Arial" w:eastAsia="Arial" w:hAnsi="Arial"/>
          <w:sz w:val="19"/>
          <w:szCs w:val="19"/>
          <w:color w:val="auto"/>
        </w:rPr>
      </w:pPr>
      <w:r>
        <w:rPr>
          <w:rFonts w:ascii="Arial" w:cs="Arial" w:eastAsia="Arial" w:hAnsi="Arial"/>
          <w:sz w:val="19"/>
          <w:szCs w:val="19"/>
          <w:color w:val="auto"/>
        </w:rPr>
        <w:t>[Reserved];</w:t>
      </w:r>
    </w:p>
    <w:p>
      <w:pPr>
        <w:spacing w:after="0" w:line="213" w:lineRule="exact"/>
        <w:rPr>
          <w:rFonts w:ascii="Arial" w:cs="Arial" w:eastAsia="Arial" w:hAnsi="Arial"/>
          <w:sz w:val="19"/>
          <w:szCs w:val="19"/>
          <w:color w:val="auto"/>
        </w:rPr>
      </w:pPr>
    </w:p>
    <w:p>
      <w:pPr>
        <w:jc w:val="both"/>
        <w:ind w:left="840" w:right="59" w:firstLine="751"/>
        <w:spacing w:after="0" w:line="263" w:lineRule="auto"/>
        <w:tabs>
          <w:tab w:leader="none" w:pos="236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Administrative Agent shall not require the taking of a Lien on, or require the perfection of any Lien granted in, any asset as to which the cost of obtaining or perfecting such Lien (including any mortgage, stamp, intangibles or other tax or expenses relating to such Lien) is excessive in relation to the benefit to the Lenders of the security afforded thereby as reasonably determined in writing by the Borrower and the Administrative Agent;</w:t>
      </w:r>
    </w:p>
    <w:p>
      <w:pPr>
        <w:spacing w:after="0" w:line="172" w:lineRule="exact"/>
        <w:rPr>
          <w:rFonts w:ascii="Arial" w:cs="Arial" w:eastAsia="Arial" w:hAnsi="Arial"/>
          <w:sz w:val="18"/>
          <w:szCs w:val="18"/>
          <w:color w:val="auto"/>
        </w:rPr>
      </w:pPr>
    </w:p>
    <w:p>
      <w:pPr>
        <w:jc w:val="both"/>
        <w:ind w:left="840" w:right="39" w:firstLine="752"/>
        <w:spacing w:after="0" w:line="257" w:lineRule="auto"/>
        <w:tabs>
          <w:tab w:leader="none" w:pos="236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except with respect to any Discretionary Guarantor that is organized under the laws of a jurisdiction outside the US, no Loan Party shall be required, and the Administrative Agent shall not be authorized, to perfect any security interest by means other than (A) filings pursuant to the Uniform Commercial Code in the office of the secretary of state (or similar central filing office) of any Loan Party’s jurisdiction of organization, (B) filings with the US federal government offices with respect to IP Rights as expressly required by the Security Agreement, or (C) delivery to the Administrative Agent, for its possession (subject to the terms of any applicable Intercreditor Agreement), of any Collateral consisting of pledged Capital Stock held by any Loan Party in the Borrower or any Restricted Subsidiary that is a Wholly-Owned Subsidiary and/or any Material Debt Instrument issued to the Borrower or another Loan Party, in each case, to the extent required by the Security Agreement; and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131</w:t>
      </w:r>
      <w:r>
        <w:rPr>
          <w:rFonts w:ascii="Arial" w:cs="Arial" w:eastAsia="Arial" w:hAnsi="Arial"/>
          <w:sz w:val="18"/>
          <w:szCs w:val="18"/>
          <w:u w:val="single" w:color="auto"/>
          <w:color w:val="0000FF"/>
          <w:strike w:val="1"/>
        </w:rPr>
        <w:t>131</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199" w:name="page200"/>
    <w:bookmarkEnd w:id="199"/>
    <w:p>
      <w:pPr>
        <w:jc w:val="both"/>
        <w:ind w:left="840" w:right="59" w:firstLine="751"/>
        <w:spacing w:after="0" w:line="277" w:lineRule="auto"/>
        <w:tabs>
          <w:tab w:leader="none" w:pos="2366" w:val="left"/>
        </w:tabs>
        <w:numPr>
          <w:ilvl w:val="1"/>
          <w:numId w:val="224"/>
        </w:numPr>
        <w:rPr>
          <w:rFonts w:ascii="Arial" w:cs="Arial" w:eastAsia="Arial" w:hAnsi="Arial"/>
          <w:sz w:val="17"/>
          <w:szCs w:val="17"/>
          <w:color w:val="auto"/>
        </w:rPr>
      </w:pPr>
      <w:r>
        <w:rPr>
          <w:rFonts w:ascii="Arial" w:cs="Arial" w:eastAsia="Arial" w:hAnsi="Arial"/>
          <w:sz w:val="17"/>
          <w:szCs w:val="17"/>
          <w:color w:val="auto"/>
        </w:rPr>
        <w:t>(A) no Collateral Document executed and delivered after the Closing Date will impose any commercial obligation on any Loan Party or contain any representation, warranty or undertaking that is not required for the creation and/or perfection of a security interest in the relevant asset and (B) to the extent the subject matter of any representation, warranty or undertaking in any Collateral Document executed and delivered after the Closing Date is the same as any representation, warranty or covenant in the Credit Agreement, such representation, warranty or covenant shall be no more burdensome to the applicable Loan Party than the corresponding provision of this Agreement unless the relevant additional requirement is necessary for the creation and/or perfection of a security interest in the relevant asset.</w:t>
      </w:r>
    </w:p>
    <w:p>
      <w:pPr>
        <w:spacing w:after="0" w:line="162" w:lineRule="exact"/>
        <w:rPr>
          <w:rFonts w:ascii="Arial" w:cs="Arial" w:eastAsia="Arial" w:hAnsi="Arial"/>
          <w:sz w:val="17"/>
          <w:szCs w:val="17"/>
          <w:color w:val="auto"/>
        </w:rPr>
      </w:pPr>
    </w:p>
    <w:p>
      <w:pPr>
        <w:jc w:val="both"/>
        <w:ind w:left="100" w:right="59" w:firstLine="741"/>
        <w:spacing w:after="0" w:line="269" w:lineRule="auto"/>
        <w:tabs>
          <w:tab w:leader="none" w:pos="151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It is understood and agreed for the avoidance of doubt that the Borrower may elect to join any Domestic Subsidiary that is not required to be or become a Subsidiary Guarantor solely because such Restricted Subsidiary is an Immaterial Subsidiary without (i) the consent of the Administrative Agent or (ii) delivery of an opinion of counsel.</w:t>
      </w:r>
    </w:p>
    <w:p>
      <w:pPr>
        <w:spacing w:after="0" w:line="168"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5.13.  </w:t>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00" w:lineRule="exact"/>
        <w:rPr>
          <w:sz w:val="20"/>
          <w:szCs w:val="20"/>
          <w:color w:val="auto"/>
        </w:rPr>
      </w:pPr>
    </w:p>
    <w:p>
      <w:pPr>
        <w:ind w:left="100" w:right="39" w:firstLine="749"/>
        <w:spacing w:after="0" w:line="261" w:lineRule="auto"/>
        <w:rPr>
          <w:sz w:val="20"/>
          <w:szCs w:val="20"/>
          <w:color w:val="auto"/>
        </w:rPr>
      </w:pPr>
      <w:r>
        <w:rPr>
          <w:rFonts w:ascii="Arial" w:cs="Arial" w:eastAsia="Arial" w:hAnsi="Arial"/>
          <w:sz w:val="19"/>
          <w:szCs w:val="19"/>
          <w:color w:val="auto"/>
        </w:rPr>
        <w:t xml:space="preserve">Section 5.14. </w:t>
      </w:r>
      <w:r>
        <w:rPr>
          <w:rFonts w:ascii="Arial" w:cs="Arial" w:eastAsia="Arial" w:hAnsi="Arial"/>
          <w:sz w:val="19"/>
          <w:szCs w:val="19"/>
          <w:u w:val="single" w:color="auto"/>
          <w:color w:val="auto"/>
        </w:rPr>
        <w:t>Further Assurances</w:t>
      </w:r>
      <w:r>
        <w:rPr>
          <w:rFonts w:ascii="Arial" w:cs="Arial" w:eastAsia="Arial" w:hAnsi="Arial"/>
          <w:sz w:val="19"/>
          <w:szCs w:val="19"/>
          <w:color w:val="auto"/>
        </w:rPr>
        <w:t xml:space="preserve">. Promptly upon request of the Administrative Agent and subject to the limitations described in </w:t>
      </w:r>
      <w:r>
        <w:rPr>
          <w:rFonts w:ascii="Arial" w:cs="Arial" w:eastAsia="Arial" w:hAnsi="Arial"/>
          <w:sz w:val="19"/>
          <w:szCs w:val="19"/>
          <w:u w:val="single" w:color="auto"/>
          <w:color w:val="auto"/>
        </w:rPr>
        <w:t>Section 5.12</w:t>
      </w:r>
      <w:r>
        <w:rPr>
          <w:rFonts w:ascii="Arial" w:cs="Arial" w:eastAsia="Arial" w:hAnsi="Arial"/>
          <w:sz w:val="19"/>
          <w:szCs w:val="19"/>
          <w:color w:val="auto"/>
        </w:rPr>
        <w:t>:</w:t>
      </w:r>
    </w:p>
    <w:p>
      <w:pPr>
        <w:spacing w:after="0" w:line="159" w:lineRule="exact"/>
        <w:rPr>
          <w:sz w:val="20"/>
          <w:szCs w:val="20"/>
          <w:color w:val="auto"/>
        </w:rPr>
      </w:pPr>
    </w:p>
    <w:p>
      <w:pPr>
        <w:jc w:val="both"/>
        <w:ind w:left="100" w:right="59" w:firstLine="742"/>
        <w:spacing w:after="0" w:line="278" w:lineRule="auto"/>
        <w:tabs>
          <w:tab w:leader="none" w:pos="152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the Borrower will, and will cause each other Loan Party to, execute any and all further documents, financing statements, agreements, instruments, notices and acknowledgments and take all such further actions (including the filing and recordation of financing statements and/or amendments thereto and other documents), that may be required under any applicable Requirement of Law and which the Administrative Agent may reasonably request to ensure the creation, perfection and priority of the Liens created or intended to be created under the Collateral Documents, all at the expense of the relevant Loan Parties; and</w:t>
      </w:r>
    </w:p>
    <w:p>
      <w:pPr>
        <w:spacing w:after="0" w:line="177" w:lineRule="exact"/>
        <w:rPr>
          <w:rFonts w:ascii="Arial" w:cs="Arial" w:eastAsia="Arial" w:hAnsi="Arial"/>
          <w:sz w:val="17"/>
          <w:szCs w:val="17"/>
          <w:color w:val="auto"/>
        </w:rPr>
      </w:pPr>
    </w:p>
    <w:p>
      <w:pPr>
        <w:jc w:val="both"/>
        <w:ind w:left="100" w:right="59" w:firstLine="741"/>
        <w:spacing w:after="0" w:line="242" w:lineRule="auto"/>
        <w:tabs>
          <w:tab w:leader="none" w:pos="1520" w:val="left"/>
        </w:tabs>
        <w:numPr>
          <w:ilvl w:val="0"/>
          <w:numId w:val="226"/>
        </w:numPr>
        <w:rPr>
          <w:rFonts w:ascii="Arial" w:cs="Arial" w:eastAsia="Arial" w:hAnsi="Arial"/>
          <w:sz w:val="19"/>
          <w:szCs w:val="19"/>
          <w:color w:val="auto"/>
        </w:rPr>
      </w:pPr>
      <w:r>
        <w:rPr>
          <w:rFonts w:ascii="Arial" w:cs="Arial" w:eastAsia="Arial" w:hAnsi="Arial"/>
          <w:sz w:val="19"/>
          <w:szCs w:val="19"/>
          <w:color w:val="auto"/>
        </w:rPr>
        <w:t>the Borrower will, and will cause each other applicable Loan Party to, (i) correct any material defect or error that may be discovered in the execution, acknowledgment, filing or recordation of any Collateral Document or other document or instrument relating to any Collateral and (ii) do, execute, acknowledge, deliver, record, re-record, file, re-file, register and re-register any and all such further acts (including notices to third parties), deeds, assurances and other instruments as the Administrative Agent may reasonably request from time to time in order to ensure the creation, perfection and priority of the Liens created or intended to be created under the Collateral Documents.</w:t>
      </w:r>
    </w:p>
    <w:p>
      <w:pPr>
        <w:spacing w:after="0" w:line="190" w:lineRule="exact"/>
        <w:rPr>
          <w:sz w:val="20"/>
          <w:szCs w:val="20"/>
          <w:color w:val="auto"/>
        </w:rPr>
      </w:pPr>
    </w:p>
    <w:p>
      <w:pPr>
        <w:jc w:val="both"/>
        <w:ind w:left="100" w:right="59" w:firstLine="749"/>
        <w:spacing w:after="0" w:line="273"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Post-Closing Covenant</w:t>
      </w:r>
      <w:r>
        <w:rPr>
          <w:rFonts w:ascii="Arial" w:cs="Arial" w:eastAsia="Arial" w:hAnsi="Arial"/>
          <w:sz w:val="18"/>
          <w:szCs w:val="18"/>
          <w:color w:val="auto"/>
        </w:rPr>
        <w:t xml:space="preserve">. Take the actions required by </w:t>
      </w:r>
      <w:r>
        <w:rPr>
          <w:rFonts w:ascii="Arial" w:cs="Arial" w:eastAsia="Arial" w:hAnsi="Arial"/>
          <w:sz w:val="18"/>
          <w:szCs w:val="18"/>
          <w:u w:val="single" w:color="auto"/>
          <w:color w:val="auto"/>
        </w:rPr>
        <w:t>Schedule 5.15</w:t>
      </w:r>
      <w:r>
        <w:rPr>
          <w:rFonts w:ascii="Arial" w:cs="Arial" w:eastAsia="Arial" w:hAnsi="Arial"/>
          <w:sz w:val="18"/>
          <w:szCs w:val="18"/>
          <w:color w:val="auto"/>
        </w:rPr>
        <w:t xml:space="preserve"> in each case within the time periods specified therein (or, in each case, such longer period to which the Administrative Agent may reasonably agree).</w:t>
      </w:r>
    </w:p>
    <w:p>
      <w:pPr>
        <w:spacing w:after="0" w:line="164" w:lineRule="exact"/>
        <w:rPr>
          <w:sz w:val="20"/>
          <w:szCs w:val="20"/>
          <w:color w:val="auto"/>
        </w:rPr>
      </w:pPr>
    </w:p>
    <w:p>
      <w:pPr>
        <w:jc w:val="both"/>
        <w:ind w:left="100" w:right="39" w:firstLine="749"/>
        <w:spacing w:after="0" w:line="261" w:lineRule="auto"/>
        <w:rPr>
          <w:sz w:val="20"/>
          <w:szCs w:val="20"/>
          <w:color w:val="auto"/>
        </w:rPr>
      </w:pPr>
      <w:r>
        <w:rPr>
          <w:rFonts w:ascii="Arial" w:cs="Arial" w:eastAsia="Arial" w:hAnsi="Arial"/>
          <w:sz w:val="17"/>
          <w:szCs w:val="17"/>
          <w:color w:val="auto"/>
        </w:rPr>
        <w:t xml:space="preserve">Section 5.16. </w:t>
      </w:r>
      <w:r>
        <w:rPr>
          <w:rFonts w:ascii="Arial" w:cs="Arial" w:eastAsia="Arial" w:hAnsi="Arial"/>
          <w:sz w:val="17"/>
          <w:szCs w:val="17"/>
          <w:u w:val="single" w:color="auto"/>
          <w:color w:val="auto"/>
        </w:rPr>
        <w:t>Transactions with Affiliates</w:t>
      </w:r>
      <w:r>
        <w:rPr>
          <w:rFonts w:ascii="Arial" w:cs="Arial" w:eastAsia="Arial" w:hAnsi="Arial"/>
          <w:sz w:val="17"/>
          <w:szCs w:val="17"/>
          <w:color w:val="auto"/>
        </w:rPr>
        <w:t xml:space="preserve">. The Borrower shall, and shall cause its Restricted Subsidiaries to, consummate any transaction with any Affiliate thereof that involves payment in excess of the greater of $17,500,000 and 20% of Consolidated Adjusted EBITDA as of the last day of the most recently ended Test Period, on terms that are at least as favorable (as determined by the Borrower in good faith at the time of the execution of the definitive agreement relating thereto) to the Borrower or such Restricted Subsidiary, as the case may be, as those that might be obtained at the time in a comparable arm’s-length transaction from a Person who is not an Affiliate (or, if in the good faith judgment of Borrower, there is no comparable transaction on the basis of which to make the comparison described above, such transaction is fair to the Borrower or its applicable Restricted Subsidiary from a financial point of view);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requirement shall not apply to:</w:t>
      </w:r>
    </w:p>
    <w:p>
      <w:pPr>
        <w:spacing w:after="0" w:line="162" w:lineRule="exact"/>
        <w:rPr>
          <w:sz w:val="20"/>
          <w:szCs w:val="20"/>
          <w:color w:val="auto"/>
        </w:rPr>
      </w:pPr>
    </w:p>
    <w:p>
      <w:pPr>
        <w:ind w:left="100" w:right="59" w:firstLine="741"/>
        <w:spacing w:after="0" w:line="261" w:lineRule="auto"/>
        <w:tabs>
          <w:tab w:leader="none" w:pos="1520" w:val="left"/>
        </w:tabs>
        <w:numPr>
          <w:ilvl w:val="0"/>
          <w:numId w:val="227"/>
        </w:numPr>
        <w:rPr>
          <w:rFonts w:ascii="Arial" w:cs="Arial" w:eastAsia="Arial" w:hAnsi="Arial"/>
          <w:sz w:val="19"/>
          <w:szCs w:val="19"/>
          <w:color w:val="auto"/>
        </w:rPr>
      </w:pPr>
      <w:r>
        <w:rPr>
          <w:rFonts w:ascii="Arial" w:cs="Arial" w:eastAsia="Arial" w:hAnsi="Arial"/>
          <w:sz w:val="19"/>
          <w:szCs w:val="19"/>
          <w:color w:val="auto"/>
        </w:rPr>
        <w:t>any transaction between or among Holdings, the Borrower and/or one or more Restricted Subsidiaries (or any entity that becomes a Restricted Subsidiary as a result of such transaction) to the extent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132</w:t>
      </w:r>
      <w:r>
        <w:rPr>
          <w:rFonts w:ascii="Arial" w:cs="Arial" w:eastAsia="Arial" w:hAnsi="Arial"/>
          <w:sz w:val="18"/>
          <w:szCs w:val="18"/>
          <w:u w:val="single" w:color="auto"/>
          <w:color w:val="0000FF"/>
          <w:strike w:val="1"/>
        </w:rPr>
        <w:t>132</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00" w:name="page201"/>
    <w:bookmarkEnd w:id="200"/>
    <w:p>
      <w:pPr>
        <w:jc w:val="both"/>
        <w:ind w:left="100" w:right="59"/>
        <w:spacing w:after="0" w:line="234" w:lineRule="auto"/>
        <w:rPr>
          <w:sz w:val="20"/>
          <w:szCs w:val="20"/>
          <w:color w:val="auto"/>
        </w:rPr>
      </w:pPr>
      <w:r>
        <w:rPr>
          <w:rFonts w:ascii="Arial" w:cs="Arial" w:eastAsia="Arial" w:hAnsi="Arial"/>
          <w:sz w:val="19"/>
          <w:szCs w:val="19"/>
          <w:color w:val="auto"/>
        </w:rPr>
        <w:t xml:space="preserve">permitted or not restricted by this Agreement (it being understood this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shall not permit any Restricted Subsidiary that is not a Wholly-Owned Subsidiary to make a distribution to, or repurchase of its Capital Stock from, any Affiliate (other than Holdings, the Borrower and/or one or more Restricted Subsidiaries) to the extent the share of the foregoing made or paid to Holdings, the Borrower or any of the Restricted Subsidiaries is not at least pro rata to the percentage of such class of Capital Stock in such Restricted Subsidiary that is not a Wholly-Owned Subsidiary that is owned by the Borrower and its other Restricted Subsidiaries);</w:t>
      </w:r>
    </w:p>
    <w:p>
      <w:pPr>
        <w:spacing w:after="0" w:line="180" w:lineRule="exact"/>
        <w:rPr>
          <w:sz w:val="20"/>
          <w:szCs w:val="20"/>
          <w:color w:val="auto"/>
        </w:rPr>
      </w:pPr>
    </w:p>
    <w:p>
      <w:pPr>
        <w:jc w:val="both"/>
        <w:ind w:left="100" w:right="39" w:firstLine="742"/>
        <w:spacing w:after="0" w:line="269" w:lineRule="auto"/>
        <w:tabs>
          <w:tab w:leader="none" w:pos="1521"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any issuance, sale or grant of securities or other payments, awards or grants in cash, securities or otherwise pursuant to, or the funding of employment arrangements, stock options and stock ownership plans approved by the board of directors (or equivalent governing body) of any Parent Company or of the Borrower or any Restricted Subsidiary;</w:t>
      </w:r>
    </w:p>
    <w:p>
      <w:pPr>
        <w:spacing w:after="0" w:line="168" w:lineRule="exact"/>
        <w:rPr>
          <w:rFonts w:ascii="Arial" w:cs="Arial" w:eastAsia="Arial" w:hAnsi="Arial"/>
          <w:sz w:val="18"/>
          <w:szCs w:val="18"/>
          <w:color w:val="auto"/>
        </w:rPr>
      </w:pPr>
    </w:p>
    <w:p>
      <w:pPr>
        <w:jc w:val="both"/>
        <w:ind w:left="100" w:right="39" w:firstLine="741"/>
        <w:spacing w:after="0" w:line="257" w:lineRule="auto"/>
        <w:tabs>
          <w:tab w:leader="none" w:pos="1521"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 any collective bargaining, employment or severance agreement or compensatory (including profit sharing) arrangement (including salary or guaranteed payment and bonuses) entered into by the Borrower or any of its Restricted Subsidiaries with their respective current or former officers, directors, members of management, managers, employees, consultants or independent contractors or those of any Parent Company, (ii) any subscription agreement or similar agreement pertaining to the repurchase of Capital Stock pursuant to put/call rights or similar rights with current or former officers, directors, members of management, managers, employees, consultants or independent contractors and (iii) any transaction pursuant to any employee compensation, benefit plan, stock option plan or arrangement, any health, disability or similar insurance plan which covers current or former officers, directors, members of management, managers, employees, consultants or independent contractors or any employment contract or arrangement;</w:t>
      </w:r>
    </w:p>
    <w:p>
      <w:pPr>
        <w:spacing w:after="0" w:line="178" w:lineRule="exact"/>
        <w:rPr>
          <w:rFonts w:ascii="Arial" w:cs="Arial" w:eastAsia="Arial" w:hAnsi="Arial"/>
          <w:sz w:val="18"/>
          <w:szCs w:val="18"/>
          <w:color w:val="auto"/>
        </w:rPr>
      </w:pPr>
    </w:p>
    <w:p>
      <w:pPr>
        <w:ind w:left="100" w:right="59" w:firstLine="741"/>
        <w:spacing w:after="0" w:line="261" w:lineRule="auto"/>
        <w:tabs>
          <w:tab w:leader="none" w:pos="1520" w:val="left"/>
        </w:tabs>
        <w:numPr>
          <w:ilvl w:val="0"/>
          <w:numId w:val="228"/>
        </w:numPr>
        <w:rPr>
          <w:rFonts w:ascii="Arial" w:cs="Arial" w:eastAsia="Arial" w:hAnsi="Arial"/>
          <w:sz w:val="19"/>
          <w:szCs w:val="19"/>
          <w:color w:val="auto"/>
        </w:rPr>
      </w:pPr>
      <w:r>
        <w:rPr>
          <w:rFonts w:ascii="Arial" w:cs="Arial" w:eastAsia="Arial" w:hAnsi="Arial"/>
          <w:sz w:val="19"/>
          <w:szCs w:val="19"/>
          <w:color w:val="auto"/>
        </w:rPr>
        <w:t xml:space="preserve">(i) transactions permitted by </w:t>
      </w:r>
      <w:r>
        <w:rPr>
          <w:rFonts w:ascii="Arial" w:cs="Arial" w:eastAsia="Arial" w:hAnsi="Arial"/>
          <w:sz w:val="19"/>
          <w:szCs w:val="19"/>
          <w:u w:val="single" w:color="auto"/>
          <w:color w:val="auto"/>
        </w:rPr>
        <w:t>Sections 6.04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6.06</w:t>
      </w:r>
      <w:r>
        <w:rPr>
          <w:rFonts w:ascii="Arial" w:cs="Arial" w:eastAsia="Arial" w:hAnsi="Arial"/>
          <w:sz w:val="19"/>
          <w:szCs w:val="19"/>
          <w:color w:val="auto"/>
        </w:rPr>
        <w:t xml:space="preserve"> and (ii) issuances of Capital Stock, equity contributions and issuances and incurrences of Indebtedness not otherwise restricted by this Agreement;</w:t>
      </w:r>
    </w:p>
    <w:p>
      <w:pPr>
        <w:spacing w:after="0" w:line="172" w:lineRule="exact"/>
        <w:rPr>
          <w:rFonts w:ascii="Arial" w:cs="Arial" w:eastAsia="Arial" w:hAnsi="Arial"/>
          <w:sz w:val="19"/>
          <w:szCs w:val="19"/>
          <w:color w:val="auto"/>
        </w:rPr>
      </w:pPr>
    </w:p>
    <w:p>
      <w:pPr>
        <w:jc w:val="both"/>
        <w:ind w:left="100" w:right="59" w:firstLine="741"/>
        <w:spacing w:after="0" w:line="277" w:lineRule="auto"/>
        <w:tabs>
          <w:tab w:leader="none" w:pos="1519"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transactions in existence on the Closing Date and any amendment, modification or extension thereof to the extent such amendment, modification or extension, taken as a whole, is not (i) materially adverse to the Lenders or (ii) more disadvantageous in any material respect to the Lenders than the relevant transaction in existence on the Closing Date;</w:t>
      </w:r>
    </w:p>
    <w:p>
      <w:pPr>
        <w:spacing w:after="0" w:line="160" w:lineRule="exact"/>
        <w:rPr>
          <w:rFonts w:ascii="Arial" w:cs="Arial" w:eastAsia="Arial" w:hAnsi="Arial"/>
          <w:sz w:val="18"/>
          <w:szCs w:val="18"/>
          <w:color w:val="auto"/>
        </w:rPr>
      </w:pPr>
    </w:p>
    <w:p>
      <w:pPr>
        <w:jc w:val="both"/>
        <w:ind w:left="100" w:right="59" w:firstLine="741"/>
        <w:spacing w:after="0" w:line="274" w:lineRule="auto"/>
        <w:tabs>
          <w:tab w:leader="none" w:pos="1519" w:val="left"/>
        </w:tabs>
        <w:numPr>
          <w:ilvl w:val="0"/>
          <w:numId w:val="228"/>
        </w:numPr>
        <w:rPr>
          <w:rFonts w:ascii="Arial" w:cs="Arial" w:eastAsia="Arial" w:hAnsi="Arial"/>
          <w:sz w:val="17"/>
          <w:szCs w:val="17"/>
          <w:color w:val="auto"/>
        </w:rPr>
      </w:pPr>
      <w:r>
        <w:rPr>
          <w:rFonts w:ascii="Arial" w:cs="Arial" w:eastAsia="Arial" w:hAnsi="Arial"/>
          <w:sz w:val="17"/>
          <w:szCs w:val="17"/>
          <w:color w:val="auto"/>
        </w:rPr>
        <w:t xml:space="preserve">(i) so long as no Event of Default under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(g)</w:t>
      </w:r>
      <w:r>
        <w:rPr>
          <w:rFonts w:ascii="Arial" w:cs="Arial" w:eastAsia="Arial" w:hAnsi="Arial"/>
          <w:sz w:val="17"/>
          <w:szCs w:val="17"/>
          <w:color w:val="auto"/>
        </w:rPr>
        <w:t xml:space="preserve"> then exists or would result therefrom, the payment of management, monitoring, consulting, transaction, oversight, advisory and similar fees to any Investor in an amount not to exceed the greater of $2,500,000 and 2% of Consolidated Adjusted EBITDA per Fiscal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fees may continue to accrue during the pendency of any such Event of Default and shall become payable upon the waiver, termination or cure of the relevant Event of Default and (ii) the payment or reimbursement of all indemnification obligations and expenses owed to any Investor and any of their respective directors, officers, members of management, managers, employees and consultants, in each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whether currently due or paid in respect of accruals from prior periods;</w:t>
      </w:r>
    </w:p>
    <w:p>
      <w:pPr>
        <w:spacing w:after="0" w:line="165" w:lineRule="exact"/>
        <w:rPr>
          <w:rFonts w:ascii="Arial" w:cs="Arial" w:eastAsia="Arial" w:hAnsi="Arial"/>
          <w:sz w:val="17"/>
          <w:szCs w:val="17"/>
          <w:color w:val="auto"/>
        </w:rPr>
      </w:pPr>
    </w:p>
    <w:p>
      <w:pPr>
        <w:ind w:left="1600" w:hanging="758"/>
        <w:spacing w:after="0"/>
        <w:tabs>
          <w:tab w:leader="none" w:pos="1600" w:val="left"/>
        </w:tabs>
        <w:numPr>
          <w:ilvl w:val="0"/>
          <w:numId w:val="228"/>
        </w:numPr>
        <w:rPr>
          <w:rFonts w:ascii="Arial" w:cs="Arial" w:eastAsia="Arial" w:hAnsi="Arial"/>
          <w:sz w:val="19"/>
          <w:szCs w:val="19"/>
          <w:color w:val="auto"/>
        </w:rPr>
      </w:pPr>
      <w:r>
        <w:rPr>
          <w:rFonts w:ascii="Arial" w:cs="Arial" w:eastAsia="Arial" w:hAnsi="Arial"/>
          <w:sz w:val="19"/>
          <w:szCs w:val="19"/>
          <w:color w:val="auto"/>
        </w:rPr>
        <w:t>the Transactions and the payment of Transaction Costs;</w:t>
      </w:r>
    </w:p>
    <w:p>
      <w:pPr>
        <w:spacing w:after="0" w:line="213" w:lineRule="exact"/>
        <w:rPr>
          <w:rFonts w:ascii="Arial" w:cs="Arial" w:eastAsia="Arial" w:hAnsi="Arial"/>
          <w:sz w:val="19"/>
          <w:szCs w:val="19"/>
          <w:color w:val="auto"/>
        </w:rPr>
      </w:pPr>
    </w:p>
    <w:p>
      <w:pPr>
        <w:jc w:val="both"/>
        <w:ind w:left="100" w:right="59" w:firstLine="741"/>
        <w:spacing w:after="0" w:line="289" w:lineRule="auto"/>
        <w:tabs>
          <w:tab w:leader="none" w:pos="1519" w:val="left"/>
        </w:tabs>
        <w:numPr>
          <w:ilvl w:val="0"/>
          <w:numId w:val="228"/>
        </w:numPr>
        <w:rPr>
          <w:rFonts w:ascii="Arial" w:cs="Arial" w:eastAsia="Arial" w:hAnsi="Arial"/>
          <w:sz w:val="17"/>
          <w:szCs w:val="17"/>
          <w:color w:val="auto"/>
        </w:rPr>
      </w:pPr>
      <w:r>
        <w:rPr>
          <w:rFonts w:ascii="Arial" w:cs="Arial" w:eastAsia="Arial" w:hAnsi="Arial"/>
          <w:sz w:val="17"/>
          <w:szCs w:val="17"/>
          <w:color w:val="auto"/>
        </w:rPr>
        <w:t>customary compensation to, and reimbursement of expenses of, Affiliates in connection with financial advisory, financing, underwriting or placement services or in respect of other investment banking activities and other transaction fees, which payments are approved by the majority of the members of the board of directors (or similar governing body) or a majority of the disinterested members of the board of directors (or similar governing body) of the Borrower in good faith;</w:t>
      </w:r>
    </w:p>
    <w:p>
      <w:pPr>
        <w:spacing w:after="0" w:line="151" w:lineRule="exact"/>
        <w:rPr>
          <w:rFonts w:ascii="Arial" w:cs="Arial" w:eastAsia="Arial" w:hAnsi="Arial"/>
          <w:sz w:val="17"/>
          <w:szCs w:val="17"/>
          <w:color w:val="auto"/>
        </w:rPr>
      </w:pPr>
    </w:p>
    <w:p>
      <w:pPr>
        <w:ind w:left="1600" w:hanging="758"/>
        <w:spacing w:after="0"/>
        <w:tabs>
          <w:tab w:leader="none" w:pos="1600" w:val="left"/>
        </w:tabs>
        <w:numPr>
          <w:ilvl w:val="0"/>
          <w:numId w:val="228"/>
        </w:numPr>
        <w:rPr>
          <w:rFonts w:ascii="Arial" w:cs="Arial" w:eastAsia="Arial" w:hAnsi="Arial"/>
          <w:sz w:val="19"/>
          <w:szCs w:val="19"/>
          <w:color w:val="auto"/>
        </w:rPr>
      </w:pPr>
      <w:r>
        <w:rPr>
          <w:rFonts w:ascii="Arial" w:cs="Arial" w:eastAsia="Arial" w:hAnsi="Arial"/>
          <w:sz w:val="19"/>
          <w:szCs w:val="19"/>
          <w:color w:val="auto"/>
        </w:rPr>
        <w:t xml:space="preserve">Guarantees permitted by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6.06</w:t>
      </w:r>
      <w:r>
        <w:rPr>
          <w:rFonts w:ascii="Arial" w:cs="Arial" w:eastAsia="Arial" w:hAnsi="Arial"/>
          <w:sz w:val="19"/>
          <w:szCs w:val="19"/>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133</w:t>
      </w:r>
      <w:r>
        <w:rPr>
          <w:rFonts w:ascii="Arial" w:cs="Arial" w:eastAsia="Arial" w:hAnsi="Arial"/>
          <w:sz w:val="18"/>
          <w:szCs w:val="18"/>
          <w:u w:val="single" w:color="auto"/>
          <w:color w:val="0000FF"/>
          <w:strike w:val="1"/>
        </w:rPr>
        <w:t>133</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01" w:name="page202"/>
    <w:bookmarkEnd w:id="201"/>
    <w:p>
      <w:pPr>
        <w:ind w:left="1600" w:hanging="758"/>
        <w:spacing w:after="0"/>
        <w:tabs>
          <w:tab w:leader="none" w:pos="1600" w:val="left"/>
        </w:tabs>
        <w:numPr>
          <w:ilvl w:val="1"/>
          <w:numId w:val="229"/>
        </w:numPr>
        <w:rPr>
          <w:rFonts w:ascii="Arial" w:cs="Arial" w:eastAsia="Arial" w:hAnsi="Arial"/>
          <w:sz w:val="19"/>
          <w:szCs w:val="19"/>
          <w:color w:val="auto"/>
        </w:rPr>
      </w:pPr>
      <w:r>
        <w:rPr>
          <w:rFonts w:ascii="Arial" w:cs="Arial" w:eastAsia="Arial" w:hAnsi="Arial"/>
          <w:sz w:val="19"/>
          <w:szCs w:val="19"/>
          <w:color w:val="auto"/>
        </w:rPr>
        <w:t xml:space="preserve">transactions that are otherwise permitted (or not restricted) under </w:t>
      </w:r>
      <w:r>
        <w:rPr>
          <w:rFonts w:ascii="Arial" w:cs="Arial" w:eastAsia="Arial" w:hAnsi="Arial"/>
          <w:sz w:val="19"/>
          <w:szCs w:val="19"/>
          <w:u w:val="single" w:color="auto"/>
          <w:color w:val="auto"/>
        </w:rPr>
        <w:t>Article 6</w:t>
      </w: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jc w:val="both"/>
        <w:ind w:left="100" w:right="59" w:firstLine="742"/>
        <w:spacing w:after="0" w:line="246" w:lineRule="auto"/>
        <w:tabs>
          <w:tab w:leader="none" w:pos="1520" w:val="left"/>
        </w:tabs>
        <w:numPr>
          <w:ilvl w:val="1"/>
          <w:numId w:val="229"/>
        </w:numPr>
        <w:rPr>
          <w:rFonts w:ascii="Arial" w:cs="Arial" w:eastAsia="Arial" w:hAnsi="Arial"/>
          <w:sz w:val="19"/>
          <w:szCs w:val="19"/>
          <w:color w:val="auto"/>
        </w:rPr>
      </w:pPr>
      <w:r>
        <w:rPr>
          <w:rFonts w:ascii="Arial" w:cs="Arial" w:eastAsia="Arial" w:hAnsi="Arial"/>
          <w:sz w:val="19"/>
          <w:szCs w:val="19"/>
          <w:color w:val="auto"/>
        </w:rPr>
        <w:t>the payment of customary fees and reasonable out-of-pocket costs to, and indemnities provided on behalf of, members of the board of directors (or similar governing body), officers, employees, members of management, managers, consultants and independent contractors of the Borrower and/or any of its Restricted Subsidiaries in the ordinary course of business and, in the case of payments to such Person in such capacity on behalf of any Parent Company, to the extent attributable to the operations of the Borrower or its subsidiaries;</w:t>
      </w:r>
    </w:p>
    <w:p>
      <w:pPr>
        <w:spacing w:after="0" w:line="189" w:lineRule="exact"/>
        <w:rPr>
          <w:rFonts w:ascii="Arial" w:cs="Arial" w:eastAsia="Arial" w:hAnsi="Arial"/>
          <w:sz w:val="19"/>
          <w:szCs w:val="19"/>
          <w:color w:val="auto"/>
        </w:rPr>
      </w:pPr>
    </w:p>
    <w:p>
      <w:pPr>
        <w:ind w:left="100" w:right="59" w:firstLine="741"/>
        <w:spacing w:after="0" w:line="246" w:lineRule="auto"/>
        <w:tabs>
          <w:tab w:leader="none" w:pos="1519" w:val="left"/>
        </w:tabs>
        <w:numPr>
          <w:ilvl w:val="1"/>
          <w:numId w:val="229"/>
        </w:numPr>
        <w:rPr>
          <w:rFonts w:ascii="Arial" w:cs="Arial" w:eastAsia="Arial" w:hAnsi="Arial"/>
          <w:sz w:val="19"/>
          <w:szCs w:val="19"/>
          <w:color w:val="auto"/>
        </w:rPr>
      </w:pPr>
      <w:r>
        <w:rPr>
          <w:rFonts w:ascii="Arial" w:cs="Arial" w:eastAsia="Arial" w:hAnsi="Arial"/>
          <w:sz w:val="19"/>
          <w:szCs w:val="19"/>
          <w:color w:val="auto"/>
        </w:rPr>
        <w:t>transactions with customers, clients, suppliers, joint ventures, purchasers or sellers of goods or services or providers of employees or other labor entered into in the ordinary course of business, which are</w:t>
      </w:r>
    </w:p>
    <w:p>
      <w:pPr>
        <w:jc w:val="both"/>
        <w:ind w:left="100" w:right="59" w:hanging="7"/>
        <w:spacing w:after="0"/>
        <w:tabs>
          <w:tab w:leader="none" w:pos="368" w:val="left"/>
        </w:tabs>
        <w:numPr>
          <w:ilvl w:val="0"/>
          <w:numId w:val="230"/>
        </w:numPr>
        <w:rPr>
          <w:rFonts w:ascii="Arial" w:cs="Arial" w:eastAsia="Arial" w:hAnsi="Arial"/>
          <w:sz w:val="19"/>
          <w:szCs w:val="19"/>
          <w:color w:val="auto"/>
        </w:rPr>
      </w:pPr>
      <w:r>
        <w:rPr>
          <w:rFonts w:ascii="Arial" w:cs="Arial" w:eastAsia="Arial" w:hAnsi="Arial"/>
          <w:sz w:val="19"/>
          <w:szCs w:val="19"/>
          <w:color w:val="auto"/>
        </w:rPr>
        <w:t>fair to the Borrower and/or its applicable Restricted Subsidiary in the good faith determination of the Borrower (or its board of directors (or similar governing body) or senior management) or (ii) on terms at least as favorable as might reasonably be obtained from a Person other than an Affiliate;</w:t>
      </w:r>
    </w:p>
    <w:p>
      <w:pPr>
        <w:spacing w:after="0" w:line="192" w:lineRule="exact"/>
        <w:rPr>
          <w:rFonts w:ascii="Arial" w:cs="Arial" w:eastAsia="Arial" w:hAnsi="Arial"/>
          <w:sz w:val="19"/>
          <w:szCs w:val="19"/>
          <w:color w:val="auto"/>
        </w:rPr>
      </w:pPr>
    </w:p>
    <w:p>
      <w:pPr>
        <w:ind w:left="100" w:right="59" w:firstLine="741"/>
        <w:spacing w:after="0" w:line="261" w:lineRule="auto"/>
        <w:tabs>
          <w:tab w:leader="none" w:pos="1568" w:val="left"/>
        </w:tabs>
        <w:numPr>
          <w:ilvl w:val="1"/>
          <w:numId w:val="230"/>
        </w:numPr>
        <w:rPr>
          <w:rFonts w:ascii="Arial" w:cs="Arial" w:eastAsia="Arial" w:hAnsi="Arial"/>
          <w:sz w:val="19"/>
          <w:szCs w:val="19"/>
          <w:color w:val="auto"/>
        </w:rPr>
      </w:pPr>
      <w:r>
        <w:rPr>
          <w:rFonts w:ascii="Arial" w:cs="Arial" w:eastAsia="Arial" w:hAnsi="Arial"/>
          <w:sz w:val="19"/>
          <w:szCs w:val="19"/>
          <w:color w:val="auto"/>
        </w:rPr>
        <w:t>the payment of reasonable out-of-pocket costs and expenses related to registration rights and customary indemnities provided to shareholders under any shareholder agreement;</w:t>
      </w:r>
    </w:p>
    <w:p>
      <w:pPr>
        <w:spacing w:after="0" w:line="172" w:lineRule="exact"/>
        <w:rPr>
          <w:rFonts w:ascii="Arial" w:cs="Arial" w:eastAsia="Arial" w:hAnsi="Arial"/>
          <w:sz w:val="19"/>
          <w:szCs w:val="19"/>
          <w:color w:val="auto"/>
        </w:rPr>
      </w:pPr>
    </w:p>
    <w:p>
      <w:pPr>
        <w:ind w:left="1560" w:hanging="719"/>
        <w:spacing w:after="0"/>
        <w:tabs>
          <w:tab w:leader="none" w:pos="1560" w:val="left"/>
        </w:tabs>
        <w:numPr>
          <w:ilvl w:val="1"/>
          <w:numId w:val="230"/>
        </w:numPr>
        <w:rPr>
          <w:rFonts w:ascii="Arial" w:cs="Arial" w:eastAsia="Arial" w:hAnsi="Arial"/>
          <w:sz w:val="17"/>
          <w:szCs w:val="17"/>
          <w:color w:val="auto"/>
        </w:rPr>
      </w:pPr>
      <w:r>
        <w:rPr>
          <w:rFonts w:ascii="Arial" w:cs="Arial" w:eastAsia="Arial" w:hAnsi="Arial"/>
          <w:sz w:val="17"/>
          <w:szCs w:val="17"/>
          <w:color w:val="auto"/>
        </w:rPr>
        <w:t>(i) any purchase by Holdings of the Capital Stock of (or contribution to the equity capital of) the Borrower and</w:t>
      </w:r>
    </w:p>
    <w:p>
      <w:pPr>
        <w:spacing w:after="0" w:line="44" w:lineRule="exact"/>
        <w:rPr>
          <w:rFonts w:ascii="Arial" w:cs="Arial" w:eastAsia="Arial" w:hAnsi="Arial"/>
          <w:sz w:val="17"/>
          <w:szCs w:val="17"/>
          <w:color w:val="auto"/>
        </w:rPr>
      </w:pPr>
    </w:p>
    <w:p>
      <w:pPr>
        <w:ind w:left="380" w:hanging="287"/>
        <w:spacing w:after="0"/>
        <w:tabs>
          <w:tab w:leader="none" w:pos="380" w:val="left"/>
        </w:tabs>
        <w:numPr>
          <w:ilvl w:val="0"/>
          <w:numId w:val="231"/>
        </w:numPr>
        <w:rPr>
          <w:rFonts w:ascii="Arial" w:cs="Arial" w:eastAsia="Arial" w:hAnsi="Arial"/>
          <w:sz w:val="19"/>
          <w:szCs w:val="19"/>
          <w:color w:val="auto"/>
        </w:rPr>
      </w:pPr>
      <w:r>
        <w:rPr>
          <w:rFonts w:ascii="Arial" w:cs="Arial" w:eastAsia="Arial" w:hAnsi="Arial"/>
          <w:sz w:val="19"/>
          <w:szCs w:val="19"/>
          <w:color w:val="auto"/>
        </w:rPr>
        <w:t>any intercompany loan made by the Borrower to Holdings or any Restricted Subsidiary;</w:t>
      </w:r>
    </w:p>
    <w:p>
      <w:pPr>
        <w:spacing w:after="0" w:line="202" w:lineRule="exact"/>
        <w:rPr>
          <w:rFonts w:ascii="Arial" w:cs="Arial" w:eastAsia="Arial" w:hAnsi="Arial"/>
          <w:sz w:val="19"/>
          <w:szCs w:val="19"/>
          <w:color w:val="auto"/>
        </w:rPr>
      </w:pPr>
    </w:p>
    <w:p>
      <w:pPr>
        <w:jc w:val="both"/>
        <w:ind w:left="100" w:right="39" w:firstLine="741"/>
        <w:spacing w:after="0" w:line="242" w:lineRule="auto"/>
        <w:tabs>
          <w:tab w:leader="none" w:pos="1570" w:val="left"/>
        </w:tabs>
        <w:numPr>
          <w:ilvl w:val="1"/>
          <w:numId w:val="231"/>
        </w:numPr>
        <w:rPr>
          <w:rFonts w:ascii="Arial" w:cs="Arial" w:eastAsia="Arial" w:hAnsi="Arial"/>
          <w:sz w:val="19"/>
          <w:szCs w:val="19"/>
          <w:color w:val="auto"/>
        </w:rPr>
      </w:pPr>
      <w:r>
        <w:rPr>
          <w:rFonts w:ascii="Arial" w:cs="Arial" w:eastAsia="Arial" w:hAnsi="Arial"/>
          <w:sz w:val="19"/>
          <w:szCs w:val="19"/>
          <w:color w:val="auto"/>
        </w:rPr>
        <w:t>any transaction (or series of related transactions) in respect of which the Borrower delivers to the Administrative Agent a letter addressed to the board of directors (or equivalent governing body) of the Borrower from an accounting, appraisal or investment banking firm of nationally recognized standing stating that such transaction or transactions, as applicable, is or are on terms that either (i) are no less favorable to the Borrower or the applicable Restricted Subsidiary than might be obtained at the time in a comparable arm’s length transaction from a Person who is not an Affiliate or (ii) fair to the Borrower or the relevant Restricted Subsidiary from a financial point of view;</w:t>
      </w:r>
    </w:p>
    <w:p>
      <w:pPr>
        <w:spacing w:after="0" w:line="190" w:lineRule="exact"/>
        <w:rPr>
          <w:rFonts w:ascii="Arial" w:cs="Arial" w:eastAsia="Arial" w:hAnsi="Arial"/>
          <w:sz w:val="19"/>
          <w:szCs w:val="19"/>
          <w:color w:val="auto"/>
        </w:rPr>
      </w:pPr>
    </w:p>
    <w:p>
      <w:pPr>
        <w:jc w:val="both"/>
        <w:ind w:left="100" w:right="59" w:firstLine="741"/>
        <w:spacing w:after="0" w:line="245" w:lineRule="auto"/>
        <w:tabs>
          <w:tab w:leader="none" w:pos="1568" w:val="left"/>
        </w:tabs>
        <w:numPr>
          <w:ilvl w:val="1"/>
          <w:numId w:val="231"/>
        </w:numPr>
        <w:rPr>
          <w:rFonts w:ascii="Arial" w:cs="Arial" w:eastAsia="Arial" w:hAnsi="Arial"/>
          <w:sz w:val="19"/>
          <w:szCs w:val="19"/>
          <w:color w:val="auto"/>
        </w:rPr>
      </w:pPr>
      <w:r>
        <w:rPr>
          <w:rFonts w:ascii="Arial" w:cs="Arial" w:eastAsia="Arial" w:hAnsi="Arial"/>
          <w:sz w:val="19"/>
          <w:szCs w:val="19"/>
          <w:color w:val="auto"/>
        </w:rPr>
        <w:t>any issuance, sale or grant of securities or other payments, awards or grants in Cash, securities or otherwise pursuant to, or the funding of employment arrangements, stock options and stock ownership or incentive plans approved by a majority of the members of the board of directors (or similar governing body) or a majority of the disinterested members of the board of directors (or similar governing body) of the Borrower in good faith;</w:t>
      </w:r>
    </w:p>
    <w:p>
      <w:pPr>
        <w:spacing w:after="0" w:line="187" w:lineRule="exact"/>
        <w:rPr>
          <w:rFonts w:ascii="Arial" w:cs="Arial" w:eastAsia="Arial" w:hAnsi="Arial"/>
          <w:sz w:val="19"/>
          <w:szCs w:val="19"/>
          <w:color w:val="auto"/>
        </w:rPr>
      </w:pPr>
    </w:p>
    <w:p>
      <w:pPr>
        <w:ind w:left="1600" w:hanging="758"/>
        <w:spacing w:after="0"/>
        <w:tabs>
          <w:tab w:leader="none" w:pos="1600" w:val="left"/>
        </w:tabs>
        <w:numPr>
          <w:ilvl w:val="1"/>
          <w:numId w:val="231"/>
        </w:numPr>
        <w:rPr>
          <w:rFonts w:ascii="Arial" w:cs="Arial" w:eastAsia="Arial" w:hAnsi="Arial"/>
          <w:sz w:val="19"/>
          <w:szCs w:val="19"/>
          <w:color w:val="auto"/>
        </w:rPr>
      </w:pPr>
      <w:r>
        <w:rPr>
          <w:rFonts w:ascii="Arial" w:cs="Arial" w:eastAsia="Arial" w:hAnsi="Arial"/>
          <w:sz w:val="19"/>
          <w:szCs w:val="19"/>
          <w:color w:val="auto"/>
        </w:rPr>
        <w:t>any transaction in connection with any Receivables Facility;</w:t>
      </w:r>
    </w:p>
    <w:p>
      <w:pPr>
        <w:spacing w:after="0" w:line="227" w:lineRule="exact"/>
        <w:rPr>
          <w:rFonts w:ascii="Arial" w:cs="Arial" w:eastAsia="Arial" w:hAnsi="Arial"/>
          <w:sz w:val="19"/>
          <w:szCs w:val="19"/>
          <w:color w:val="auto"/>
        </w:rPr>
      </w:pPr>
    </w:p>
    <w:p>
      <w:pPr>
        <w:ind w:left="100" w:right="59" w:firstLine="741"/>
        <w:spacing w:after="0" w:line="261" w:lineRule="auto"/>
        <w:tabs>
          <w:tab w:leader="none" w:pos="1568" w:val="left"/>
        </w:tabs>
        <w:numPr>
          <w:ilvl w:val="1"/>
          <w:numId w:val="231"/>
        </w:numPr>
        <w:rPr>
          <w:rFonts w:ascii="Arial" w:cs="Arial" w:eastAsia="Arial" w:hAnsi="Arial"/>
          <w:sz w:val="19"/>
          <w:szCs w:val="19"/>
          <w:color w:val="auto"/>
        </w:rPr>
      </w:pPr>
      <w:r>
        <w:rPr>
          <w:rFonts w:ascii="Arial" w:cs="Arial" w:eastAsia="Arial" w:hAnsi="Arial"/>
          <w:sz w:val="19"/>
          <w:szCs w:val="19"/>
          <w:color w:val="auto"/>
        </w:rPr>
        <w:t xml:space="preserve">any payment pursuant to any tax sharing agreement or arrangement (whether written or as a matter of practice), that would otherwise be permitted as a distribution pursuant to </w:t>
      </w:r>
      <w:r>
        <w:rPr>
          <w:rFonts w:ascii="Arial" w:cs="Arial" w:eastAsia="Arial" w:hAnsi="Arial"/>
          <w:sz w:val="19"/>
          <w:szCs w:val="19"/>
          <w:u w:val="single" w:color="auto"/>
          <w:color w:val="auto"/>
        </w:rPr>
        <w:t>Section 6.04(a)</w:t>
      </w:r>
      <w:r>
        <w:rPr>
          <w:rFonts w:ascii="Arial" w:cs="Arial" w:eastAsia="Arial" w:hAnsi="Arial"/>
          <w:sz w:val="19"/>
          <w:szCs w:val="19"/>
          <w:color w:val="auto"/>
        </w:rPr>
        <w:t>;</w:t>
      </w:r>
    </w:p>
    <w:p>
      <w:pPr>
        <w:spacing w:after="0" w:line="172" w:lineRule="exact"/>
        <w:rPr>
          <w:rFonts w:ascii="Arial" w:cs="Arial" w:eastAsia="Arial" w:hAnsi="Arial"/>
          <w:sz w:val="19"/>
          <w:szCs w:val="19"/>
          <w:color w:val="auto"/>
        </w:rPr>
      </w:pPr>
    </w:p>
    <w:p>
      <w:pPr>
        <w:ind w:left="100" w:right="19" w:firstLine="741"/>
        <w:spacing w:after="0" w:line="261" w:lineRule="auto"/>
        <w:tabs>
          <w:tab w:leader="none" w:pos="1572" w:val="left"/>
        </w:tabs>
        <w:numPr>
          <w:ilvl w:val="1"/>
          <w:numId w:val="231"/>
        </w:numPr>
        <w:rPr>
          <w:rFonts w:ascii="Arial" w:cs="Arial" w:eastAsia="Arial" w:hAnsi="Arial"/>
          <w:sz w:val="19"/>
          <w:szCs w:val="19"/>
          <w:color w:val="auto"/>
        </w:rPr>
      </w:pPr>
      <w:r>
        <w:rPr>
          <w:rFonts w:ascii="Arial" w:cs="Arial" w:eastAsia="Arial" w:hAnsi="Arial"/>
          <w:sz w:val="19"/>
          <w:szCs w:val="19"/>
          <w:color w:val="auto"/>
        </w:rPr>
        <w:t>the licensing of any intellectual property right in the ordinary course of business to permit the commercial use of intellectual property between or among the Borrower and/or any subsidiary and/or Affiliate thereof;</w:t>
      </w:r>
    </w:p>
    <w:p>
      <w:pPr>
        <w:spacing w:after="0" w:line="172" w:lineRule="exact"/>
        <w:rPr>
          <w:rFonts w:ascii="Arial" w:cs="Arial" w:eastAsia="Arial" w:hAnsi="Arial"/>
          <w:sz w:val="19"/>
          <w:szCs w:val="19"/>
          <w:color w:val="auto"/>
        </w:rPr>
      </w:pPr>
    </w:p>
    <w:p>
      <w:pPr>
        <w:ind w:left="100" w:right="59" w:firstLine="741"/>
        <w:spacing w:after="0" w:line="261" w:lineRule="auto"/>
        <w:tabs>
          <w:tab w:leader="none" w:pos="1568" w:val="left"/>
        </w:tabs>
        <w:numPr>
          <w:ilvl w:val="1"/>
          <w:numId w:val="231"/>
        </w:numPr>
        <w:rPr>
          <w:rFonts w:ascii="Arial" w:cs="Arial" w:eastAsia="Arial" w:hAnsi="Arial"/>
          <w:sz w:val="19"/>
          <w:szCs w:val="19"/>
          <w:color w:val="auto"/>
        </w:rPr>
      </w:pPr>
      <w:r>
        <w:rPr>
          <w:rFonts w:ascii="Arial" w:cs="Arial" w:eastAsia="Arial" w:hAnsi="Arial"/>
          <w:sz w:val="19"/>
          <w:szCs w:val="19"/>
          <w:color w:val="auto"/>
        </w:rPr>
        <w:t>any transaction (or series of related transactions) approved by a majority of the disinterested directors (or members of any similar governing body) of the Borrower or an applicable Parent Company;</w:t>
      </w:r>
    </w:p>
    <w:p>
      <w:pPr>
        <w:spacing w:after="0" w:line="172" w:lineRule="exact"/>
        <w:rPr>
          <w:rFonts w:ascii="Arial" w:cs="Arial" w:eastAsia="Arial" w:hAnsi="Arial"/>
          <w:sz w:val="19"/>
          <w:szCs w:val="19"/>
          <w:color w:val="auto"/>
        </w:rPr>
      </w:pPr>
    </w:p>
    <w:p>
      <w:pPr>
        <w:ind w:left="1560" w:hanging="719"/>
        <w:spacing w:after="0"/>
        <w:tabs>
          <w:tab w:leader="none" w:pos="156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any investment by any Investor or Parent Company in securities or Indebtedness of the Borrower and/or any</w:t>
      </w:r>
    </w:p>
    <w:p>
      <w:pPr>
        <w:spacing w:after="0" w:line="36"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9"/>
          <w:szCs w:val="19"/>
          <w:color w:val="auto"/>
        </w:rPr>
        <w:t>Guarantor;</w:t>
      </w:r>
    </w:p>
    <w:p>
      <w:pPr>
        <w:spacing w:after="0" w:line="197" w:lineRule="exact"/>
        <w:rPr>
          <w:rFonts w:ascii="Arial" w:cs="Arial" w:eastAsia="Arial" w:hAnsi="Arial"/>
          <w:sz w:val="17"/>
          <w:szCs w:val="17"/>
          <w:color w:val="auto"/>
        </w:rPr>
      </w:pPr>
    </w:p>
    <w:p>
      <w:pPr>
        <w:ind w:left="100" w:right="59" w:firstLine="741"/>
        <w:spacing w:after="0" w:line="261" w:lineRule="auto"/>
        <w:tabs>
          <w:tab w:leader="none" w:pos="1568" w:val="left"/>
        </w:tabs>
        <w:numPr>
          <w:ilvl w:val="1"/>
          <w:numId w:val="231"/>
        </w:numPr>
        <w:rPr>
          <w:rFonts w:ascii="Arial" w:cs="Arial" w:eastAsia="Arial" w:hAnsi="Arial"/>
          <w:sz w:val="19"/>
          <w:szCs w:val="19"/>
          <w:color w:val="auto"/>
        </w:rPr>
      </w:pPr>
      <w:r>
        <w:rPr>
          <w:rFonts w:ascii="Arial" w:cs="Arial" w:eastAsia="Arial" w:hAnsi="Arial"/>
          <w:sz w:val="19"/>
          <w:szCs w:val="19"/>
          <w:color w:val="auto"/>
        </w:rPr>
        <w:t>transactions not otherwise prohibited by this Agreement for the purpose of (i) forming a holding company and/or (ii) reincorporating the Borrower in a new jurisdiction;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134</w:t>
      </w:r>
      <w:r>
        <w:rPr>
          <w:rFonts w:ascii="Arial" w:cs="Arial" w:eastAsia="Arial" w:hAnsi="Arial"/>
          <w:sz w:val="18"/>
          <w:szCs w:val="18"/>
          <w:u w:val="single" w:color="auto"/>
          <w:color w:val="0000FF"/>
          <w:strike w:val="1"/>
        </w:rPr>
        <w:t>134</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02" w:name="page203"/>
    <w:bookmarkEnd w:id="202"/>
    <w:p>
      <w:pPr>
        <w:jc w:val="both"/>
        <w:ind w:left="100" w:right="59" w:firstLine="742"/>
        <w:spacing w:after="0" w:line="256" w:lineRule="auto"/>
        <w:tabs>
          <w:tab w:leader="none" w:pos="1568" w:val="left"/>
        </w:tabs>
        <w:numPr>
          <w:ilvl w:val="0"/>
          <w:numId w:val="232"/>
        </w:numPr>
        <w:rPr>
          <w:rFonts w:ascii="Arial" w:cs="Arial" w:eastAsia="Arial" w:hAnsi="Arial"/>
          <w:sz w:val="19"/>
          <w:szCs w:val="19"/>
          <w:color w:val="auto"/>
        </w:rPr>
      </w:pPr>
      <w:r>
        <w:rPr>
          <w:rFonts w:ascii="Arial" w:cs="Arial" w:eastAsia="Arial" w:hAnsi="Arial"/>
          <w:sz w:val="19"/>
          <w:szCs w:val="19"/>
          <w:color w:val="auto"/>
        </w:rPr>
        <w:t>any payment to or from, and/or any transaction with, any joint venture or Unrestricted Subsidiary in the ordinary course of business or consistent with past practice, industry practice or industry norms (including, any cash management activity related thereto);</w:t>
      </w:r>
    </w:p>
    <w:p>
      <w:pPr>
        <w:spacing w:after="0" w:line="178" w:lineRule="exact"/>
        <w:rPr>
          <w:rFonts w:ascii="Arial" w:cs="Arial" w:eastAsia="Arial" w:hAnsi="Arial"/>
          <w:sz w:val="19"/>
          <w:szCs w:val="19"/>
          <w:color w:val="auto"/>
        </w:rPr>
      </w:pPr>
    </w:p>
    <w:p>
      <w:pPr>
        <w:jc w:val="both"/>
        <w:ind w:left="100" w:right="59" w:firstLine="742"/>
        <w:spacing w:after="0" w:line="242" w:lineRule="auto"/>
        <w:tabs>
          <w:tab w:leader="none" w:pos="1568" w:val="left"/>
        </w:tabs>
        <w:numPr>
          <w:ilvl w:val="0"/>
          <w:numId w:val="232"/>
        </w:numPr>
        <w:rPr>
          <w:rFonts w:ascii="Arial" w:cs="Arial" w:eastAsia="Arial" w:hAnsi="Arial"/>
          <w:sz w:val="19"/>
          <w:szCs w:val="19"/>
          <w:color w:val="auto"/>
        </w:rPr>
      </w:pPr>
      <w:r>
        <w:rPr>
          <w:rFonts w:ascii="Arial" w:cs="Arial" w:eastAsia="Arial" w:hAnsi="Arial"/>
          <w:sz w:val="19"/>
          <w:szCs w:val="19"/>
          <w:color w:val="auto"/>
        </w:rPr>
        <w:t xml:space="preserve">(i) the existence and performance of any agreement and/or transaction with any Unrestricted Subsidiary that was entered into or consummated prior to the designation of such subsidiary as an Unrestricted Subsidiary to the extent that such agreement or transaction was permitted at the time that it was entered into with such Restricted Subsidiary and/or (ii) any transaction entered into by any Unrestricted Subsidiary with any Affiliate prior to the re-designation of such Unrestricted Subsidiary as a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transaction was not entered into in contemplation of such designation or re-designation, as applicable;</w:t>
      </w:r>
    </w:p>
    <w:p>
      <w:pPr>
        <w:spacing w:after="0" w:line="190" w:lineRule="exact"/>
        <w:rPr>
          <w:rFonts w:ascii="Arial" w:cs="Arial" w:eastAsia="Arial" w:hAnsi="Arial"/>
          <w:sz w:val="19"/>
          <w:szCs w:val="19"/>
          <w:color w:val="auto"/>
        </w:rPr>
      </w:pPr>
    </w:p>
    <w:p>
      <w:pPr>
        <w:ind w:left="100" w:right="59" w:firstLine="742"/>
        <w:spacing w:after="0" w:line="261" w:lineRule="auto"/>
        <w:tabs>
          <w:tab w:leader="none" w:pos="1568" w:val="left"/>
        </w:tabs>
        <w:numPr>
          <w:ilvl w:val="0"/>
          <w:numId w:val="232"/>
        </w:numPr>
        <w:rPr>
          <w:rFonts w:ascii="Arial" w:cs="Arial" w:eastAsia="Arial" w:hAnsi="Arial"/>
          <w:sz w:val="19"/>
          <w:szCs w:val="19"/>
          <w:color w:val="auto"/>
        </w:rPr>
      </w:pPr>
      <w:r>
        <w:rPr>
          <w:rFonts w:ascii="Arial" w:cs="Arial" w:eastAsia="Arial" w:hAnsi="Arial"/>
          <w:sz w:val="19"/>
          <w:szCs w:val="19"/>
          <w:color w:val="auto"/>
        </w:rPr>
        <w:t>any capital contribution (whether or not in exchange for the issuance of additional Capital Stock) or loan to any Unrestricted Subsidiary that is not otherwise prohibited by this Agreement;</w:t>
      </w:r>
    </w:p>
    <w:p>
      <w:pPr>
        <w:spacing w:after="0" w:line="172" w:lineRule="exact"/>
        <w:rPr>
          <w:rFonts w:ascii="Arial" w:cs="Arial" w:eastAsia="Arial" w:hAnsi="Arial"/>
          <w:sz w:val="19"/>
          <w:szCs w:val="19"/>
          <w:color w:val="auto"/>
        </w:rPr>
      </w:pPr>
    </w:p>
    <w:p>
      <w:pPr>
        <w:ind w:left="1600" w:hanging="758"/>
        <w:spacing w:after="0"/>
        <w:tabs>
          <w:tab w:leader="none" w:pos="1600" w:val="left"/>
        </w:tabs>
        <w:numPr>
          <w:ilvl w:val="0"/>
          <w:numId w:val="232"/>
        </w:numPr>
        <w:rPr>
          <w:rFonts w:ascii="Arial" w:cs="Arial" w:eastAsia="Arial" w:hAnsi="Arial"/>
          <w:sz w:val="19"/>
          <w:szCs w:val="19"/>
          <w:color w:val="auto"/>
        </w:rPr>
      </w:pPr>
      <w:r>
        <w:rPr>
          <w:rFonts w:ascii="Arial" w:cs="Arial" w:eastAsia="Arial" w:hAnsi="Arial"/>
          <w:sz w:val="19"/>
          <w:szCs w:val="19"/>
          <w:color w:val="auto"/>
        </w:rPr>
        <w:t xml:space="preserve">transactions permitted pursuant to </w:t>
      </w:r>
      <w:r>
        <w:rPr>
          <w:rFonts w:ascii="Arial" w:cs="Arial" w:eastAsia="Arial" w:hAnsi="Arial"/>
          <w:sz w:val="19"/>
          <w:szCs w:val="19"/>
          <w:u w:val="single" w:color="auto"/>
          <w:color w:val="auto"/>
        </w:rPr>
        <w:t>Section 9.05(g)</w:t>
      </w: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jc w:val="both"/>
        <w:ind w:left="100" w:right="19" w:firstLine="741"/>
        <w:spacing w:after="0" w:line="246" w:lineRule="auto"/>
        <w:tabs>
          <w:tab w:leader="none" w:pos="125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(i) any investment by any Affiliate in the Loans, loans, securities or other Indebtedness of the Borrower and/or any Restricted Subsidiary (and payment of reasonable out-of-pocket expenses incurred by such Affiliates in connection therewith) so long as the investment is being offered by the Borrower or such Restricted Subsidiary generally to other investors on the same or more favorable terms and (ii) payments and/or distributions to Affiliates in respect of the Loans, loans, securities or Indebtedness of the Borrower or any Restricted Subsidiary in connection with the securities and other Indebtedness contemplated in the foregoing </w:t>
      </w:r>
      <w:r>
        <w:rPr>
          <w:rFonts w:ascii="Arial" w:cs="Arial" w:eastAsia="Arial" w:hAnsi="Arial"/>
          <w:sz w:val="18"/>
          <w:szCs w:val="18"/>
          <w:u w:val="single" w:color="auto"/>
          <w:color w:val="auto"/>
        </w:rPr>
        <w:t>subclause (i)</w:t>
      </w:r>
      <w:r>
        <w:rPr>
          <w:rFonts w:ascii="Arial" w:cs="Arial" w:eastAsia="Arial" w:hAnsi="Arial"/>
          <w:sz w:val="18"/>
          <w:szCs w:val="18"/>
          <w:color w:val="auto"/>
        </w:rPr>
        <w:t xml:space="preserve"> or that were acquired from Persons other than the Borrower and the Restricted Subsidiaries, in each case, in accordance with the terms of such securities or Indebtedness; and/or</w:t>
      </w:r>
    </w:p>
    <w:p>
      <w:pPr>
        <w:spacing w:after="0" w:line="175" w:lineRule="exact"/>
        <w:rPr>
          <w:rFonts w:ascii="Arial" w:cs="Arial" w:eastAsia="Arial" w:hAnsi="Arial"/>
          <w:sz w:val="18"/>
          <w:szCs w:val="18"/>
          <w:color w:val="auto"/>
        </w:rPr>
      </w:pPr>
    </w:p>
    <w:p>
      <w:pPr>
        <w:ind w:left="1260" w:hanging="419"/>
        <w:spacing w:after="0"/>
        <w:tabs>
          <w:tab w:leader="none" w:pos="1260" w:val="left"/>
        </w:tabs>
        <w:numPr>
          <w:ilvl w:val="0"/>
          <w:numId w:val="232"/>
        </w:numPr>
        <w:rPr>
          <w:rFonts w:ascii="Arial" w:cs="Arial" w:eastAsia="Arial" w:hAnsi="Arial"/>
          <w:sz w:val="19"/>
          <w:szCs w:val="19"/>
          <w:color w:val="auto"/>
        </w:rPr>
      </w:pPr>
      <w:r>
        <w:rPr>
          <w:rFonts w:ascii="Arial" w:cs="Arial" w:eastAsia="Arial" w:hAnsi="Arial"/>
          <w:sz w:val="19"/>
          <w:szCs w:val="19"/>
          <w:color w:val="auto"/>
        </w:rPr>
        <w:t>any transaction with any portfolio company of any Investor in the ordinary course of business.</w:t>
      </w:r>
    </w:p>
    <w:p>
      <w:pPr>
        <w:spacing w:after="0" w:line="214" w:lineRule="exact"/>
        <w:rPr>
          <w:sz w:val="20"/>
          <w:szCs w:val="20"/>
          <w:color w:val="auto"/>
        </w:rPr>
      </w:pPr>
    </w:p>
    <w:p>
      <w:pPr>
        <w:ind w:left="100" w:right="39" w:firstLine="749"/>
        <w:spacing w:after="0" w:line="236" w:lineRule="auto"/>
        <w:rPr>
          <w:sz w:val="20"/>
          <w:szCs w:val="20"/>
          <w:color w:val="auto"/>
        </w:rPr>
      </w:pPr>
      <w:r>
        <w:rPr>
          <w:rFonts w:ascii="Arial" w:cs="Arial" w:eastAsia="Arial" w:hAnsi="Arial"/>
          <w:sz w:val="19"/>
          <w:szCs w:val="19"/>
          <w:color w:val="auto"/>
        </w:rPr>
        <w:t xml:space="preserve">Section 5.17. </w:t>
      </w:r>
      <w:r>
        <w:rPr>
          <w:rFonts w:ascii="Arial" w:cs="Arial" w:eastAsia="Arial" w:hAnsi="Arial"/>
          <w:sz w:val="19"/>
          <w:szCs w:val="19"/>
          <w:u w:val="single" w:color="auto"/>
          <w:color w:val="auto"/>
        </w:rPr>
        <w:t>Fiscal Year</w:t>
      </w:r>
      <w:r>
        <w:rPr>
          <w:rFonts w:ascii="Arial" w:cs="Arial" w:eastAsia="Arial" w:hAnsi="Arial"/>
          <w:sz w:val="19"/>
          <w:szCs w:val="19"/>
          <w:color w:val="auto"/>
        </w:rPr>
        <w:t>. In the event that the Borrower elects to change the end date of its Fiscal Year to a date other than as described in the definition of “Fiscal Year”, the Borrower shall notify the Administrative Agent in writing, in which case the Borrower and the Administrative Agent will, and are hereby authorized to, make any adjustment to this Agreement that is necessary to reflect such change in Fiscal Year.</w:t>
      </w:r>
    </w:p>
    <w:p>
      <w:pPr>
        <w:spacing w:after="0" w:line="180" w:lineRule="exact"/>
        <w:rPr>
          <w:sz w:val="20"/>
          <w:szCs w:val="20"/>
          <w:color w:val="auto"/>
        </w:rPr>
      </w:pPr>
    </w:p>
    <w:p>
      <w:pPr>
        <w:jc w:val="both"/>
        <w:ind w:left="100" w:right="39" w:firstLine="749"/>
        <w:spacing w:after="0" w:line="272" w:lineRule="auto"/>
        <w:rPr>
          <w:sz w:val="20"/>
          <w:szCs w:val="20"/>
          <w:color w:val="auto"/>
        </w:rPr>
      </w:pPr>
      <w:r>
        <w:rPr>
          <w:rFonts w:ascii="Arial" w:cs="Arial" w:eastAsia="Arial" w:hAnsi="Arial"/>
          <w:sz w:val="17"/>
          <w:szCs w:val="17"/>
          <w:color w:val="auto"/>
        </w:rPr>
        <w:t xml:space="preserve">Section 5.18. </w:t>
      </w:r>
      <w:r>
        <w:rPr>
          <w:rFonts w:ascii="Arial" w:cs="Arial" w:eastAsia="Arial" w:hAnsi="Arial"/>
          <w:sz w:val="17"/>
          <w:szCs w:val="17"/>
          <w:u w:val="single" w:color="auto"/>
          <w:color w:val="auto"/>
        </w:rPr>
        <w:t>Nature of Business</w:t>
      </w:r>
      <w:r>
        <w:rPr>
          <w:rFonts w:ascii="Arial" w:cs="Arial" w:eastAsia="Arial" w:hAnsi="Arial"/>
          <w:sz w:val="17"/>
          <w:szCs w:val="17"/>
          <w:color w:val="auto"/>
        </w:rPr>
        <w:t xml:space="preserve">. From and after the Closing Date, the Borrower shall, and shall cause its Restricted Subsidiaries to, ensure that any material line of business in which it engages is either (a) a business engaged in by the Borrower and/or any Restricted Subsidiary on the Closing Date or a similar, incidental, complementary, ancillary or related business or (b) another line of business to which, in the case of this </w:t>
      </w:r>
      <w:r>
        <w:rPr>
          <w:rFonts w:ascii="Arial" w:cs="Arial" w:eastAsia="Arial" w:hAnsi="Arial"/>
          <w:sz w:val="17"/>
          <w:szCs w:val="17"/>
          <w:u w:val="single" w:color="auto"/>
          <w:color w:val="auto"/>
        </w:rPr>
        <w:t>clause (b)</w:t>
      </w:r>
      <w:r>
        <w:rPr>
          <w:rFonts w:ascii="Arial" w:cs="Arial" w:eastAsia="Arial" w:hAnsi="Arial"/>
          <w:sz w:val="17"/>
          <w:szCs w:val="17"/>
          <w:color w:val="auto"/>
        </w:rPr>
        <w:t>, the Administrative Agent provides its consent.</w:t>
      </w:r>
    </w:p>
    <w:p>
      <w:pPr>
        <w:spacing w:after="0" w:line="153" w:lineRule="exact"/>
        <w:rPr>
          <w:sz w:val="20"/>
          <w:szCs w:val="20"/>
          <w:color w:val="auto"/>
        </w:rPr>
      </w:pPr>
    </w:p>
    <w:p>
      <w:pPr>
        <w:jc w:val="both"/>
        <w:ind w:left="100" w:right="59" w:firstLine="749"/>
        <w:spacing w:after="0" w:line="234" w:lineRule="auto"/>
        <w:rPr>
          <w:sz w:val="20"/>
          <w:szCs w:val="20"/>
          <w:color w:val="auto"/>
        </w:rPr>
      </w:pPr>
      <w:r>
        <w:rPr>
          <w:rFonts w:ascii="Arial" w:cs="Arial" w:eastAsia="Arial" w:hAnsi="Arial"/>
          <w:sz w:val="19"/>
          <w:szCs w:val="19"/>
          <w:color w:val="auto"/>
        </w:rPr>
        <w:t xml:space="preserve">Section 5.19. </w:t>
      </w:r>
      <w:r>
        <w:rPr>
          <w:rFonts w:ascii="Arial" w:cs="Arial" w:eastAsia="Arial" w:hAnsi="Arial"/>
          <w:sz w:val="19"/>
          <w:szCs w:val="19"/>
          <w:u w:val="single" w:color="auto"/>
          <w:color w:val="auto"/>
        </w:rPr>
        <w:t>Amendments or Waivers of Organizational Documents</w:t>
      </w:r>
      <w:r>
        <w:rPr>
          <w:rFonts w:ascii="Arial" w:cs="Arial" w:eastAsia="Arial" w:hAnsi="Arial"/>
          <w:sz w:val="19"/>
          <w:szCs w:val="19"/>
          <w:color w:val="auto"/>
        </w:rPr>
        <w:t xml:space="preserve">. The Borrower shall, and shall cause each Subsidiary Guarantor to, ensure that it does not, without the consent of the Administrative Agent, amend or modify its respective Organizational Documents in a manner that is, in the good faith determination of the Borrower, materially adverse to the Lenders (in their capacity as such), taken as a whole;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it is understood and agreed that the Borrower and/or any Subsidiary Guarantor may make any change to its organizational form and/or consummate any other transaction that is permitted under </w:t>
      </w:r>
      <w:r>
        <w:rPr>
          <w:rFonts w:ascii="Arial" w:cs="Arial" w:eastAsia="Arial" w:hAnsi="Arial"/>
          <w:sz w:val="19"/>
          <w:szCs w:val="19"/>
          <w:u w:val="single" w:color="auto"/>
          <w:color w:val="auto"/>
        </w:rPr>
        <w:t>Section 6.07</w:t>
      </w:r>
      <w:r>
        <w:rPr>
          <w:rFonts w:ascii="Arial" w:cs="Arial" w:eastAsia="Arial" w:hAnsi="Arial"/>
          <w:sz w:val="19"/>
          <w:szCs w:val="19"/>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135</w:t>
      </w:r>
      <w:r>
        <w:rPr>
          <w:rFonts w:ascii="Arial" w:cs="Arial" w:eastAsia="Arial" w:hAnsi="Arial"/>
          <w:sz w:val="18"/>
          <w:szCs w:val="18"/>
          <w:u w:val="single" w:color="auto"/>
          <w:color w:val="0000FF"/>
          <w:strike w:val="1"/>
        </w:rPr>
        <w:t>135</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03" w:name="page204"/>
    <w:bookmarkEnd w:id="203"/>
    <w:p>
      <w:pPr>
        <w:ind w:left="4420"/>
        <w:spacing w:after="0"/>
        <w:rPr>
          <w:sz w:val="20"/>
          <w:szCs w:val="20"/>
          <w:color w:val="auto"/>
        </w:rPr>
      </w:pPr>
      <w:r>
        <w:rPr>
          <w:rFonts w:ascii="Arial" w:cs="Arial" w:eastAsia="Arial" w:hAnsi="Arial"/>
          <w:sz w:val="19"/>
          <w:szCs w:val="19"/>
          <w:color w:val="auto"/>
        </w:rPr>
        <w:t>ARTICLE 6 NEGATIVE</w:t>
      </w:r>
    </w:p>
    <w:p>
      <w:pPr>
        <w:spacing w:after="0" w:line="200" w:lineRule="exact"/>
        <w:rPr>
          <w:sz w:val="20"/>
          <w:szCs w:val="20"/>
          <w:color w:val="auto"/>
        </w:rPr>
      </w:pPr>
    </w:p>
    <w:p>
      <w:pPr>
        <w:ind w:left="3720"/>
        <w:spacing w:after="0"/>
        <w:rPr>
          <w:sz w:val="20"/>
          <w:szCs w:val="20"/>
          <w:color w:val="auto"/>
        </w:rPr>
      </w:pPr>
      <w:r>
        <w:rPr>
          <w:rFonts w:ascii="Arial" w:cs="Arial" w:eastAsia="Arial" w:hAnsi="Arial"/>
          <w:sz w:val="19"/>
          <w:szCs w:val="19"/>
          <w:color w:val="auto"/>
        </w:rPr>
        <w:t>COVENANTS</w:t>
      </w:r>
    </w:p>
    <w:p>
      <w:pPr>
        <w:spacing w:after="0" w:line="10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From the Closing Date until the Termination Date, the Borrower (and, solely in the case of </w:t>
      </w:r>
      <w:r>
        <w:rPr>
          <w:rFonts w:ascii="Arial" w:cs="Arial" w:eastAsia="Arial" w:hAnsi="Arial"/>
          <w:sz w:val="18"/>
          <w:szCs w:val="18"/>
          <w:u w:val="single" w:color="auto"/>
          <w:color w:val="auto"/>
        </w:rPr>
        <w:t>Section 6.09</w:t>
      </w:r>
      <w:r>
        <w:rPr>
          <w:rFonts w:ascii="Arial" w:cs="Arial" w:eastAsia="Arial" w:hAnsi="Arial"/>
          <w:sz w:val="18"/>
          <w:szCs w:val="18"/>
          <w:color w:val="auto"/>
        </w:rPr>
        <w:t>, Holdings)</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9"/>
          <w:szCs w:val="19"/>
          <w:color w:val="auto"/>
        </w:rPr>
        <w:t>covenants and agrees with the Lenders, the Issuing Banks and the Administrative Agent that:</w:t>
      </w:r>
    </w:p>
    <w:p>
      <w:pPr>
        <w:spacing w:after="0" w:line="184" w:lineRule="exact"/>
        <w:rPr>
          <w:sz w:val="20"/>
          <w:szCs w:val="20"/>
          <w:color w:val="auto"/>
        </w:rPr>
      </w:pPr>
    </w:p>
    <w:p>
      <w:pPr>
        <w:ind w:left="100" w:right="59" w:firstLine="749"/>
        <w:spacing w:after="0" w:line="246" w:lineRule="auto"/>
        <w:rPr>
          <w:sz w:val="20"/>
          <w:szCs w:val="20"/>
          <w:color w:val="auto"/>
        </w:rPr>
      </w:pPr>
      <w:r>
        <w:rPr>
          <w:rFonts w:ascii="Arial" w:cs="Arial" w:eastAsia="Arial" w:hAnsi="Arial"/>
          <w:sz w:val="19"/>
          <w:szCs w:val="19"/>
          <w:color w:val="auto"/>
        </w:rPr>
        <w:t xml:space="preserve">Section 6.01. </w:t>
      </w:r>
      <w:r>
        <w:rPr>
          <w:rFonts w:ascii="Arial" w:cs="Arial" w:eastAsia="Arial" w:hAnsi="Arial"/>
          <w:sz w:val="19"/>
          <w:szCs w:val="19"/>
          <w:u w:val="single" w:color="auto"/>
          <w:color w:val="auto"/>
        </w:rPr>
        <w:t>Indebtedness</w:t>
      </w:r>
      <w:r>
        <w:rPr>
          <w:rFonts w:ascii="Arial" w:cs="Arial" w:eastAsia="Arial" w:hAnsi="Arial"/>
          <w:sz w:val="19"/>
          <w:szCs w:val="19"/>
          <w:color w:val="auto"/>
        </w:rPr>
        <w:t>. The Borrower shall not, nor shall it permit any of its Restricted Subsidiaries to create, incur, assume or otherwise become or remain liable with respect to any Indebtedness, except:</w:t>
      </w:r>
    </w:p>
    <w:p>
      <w:pPr>
        <w:spacing w:after="0" w:line="187" w:lineRule="exact"/>
        <w:rPr>
          <w:sz w:val="20"/>
          <w:szCs w:val="20"/>
          <w:color w:val="auto"/>
        </w:rPr>
      </w:pPr>
    </w:p>
    <w:p>
      <w:pPr>
        <w:ind w:left="1600" w:hanging="758"/>
        <w:spacing w:after="0"/>
        <w:tabs>
          <w:tab w:leader="none" w:pos="1600" w:val="left"/>
        </w:tabs>
        <w:numPr>
          <w:ilvl w:val="1"/>
          <w:numId w:val="233"/>
        </w:numPr>
        <w:rPr>
          <w:rFonts w:ascii="Arial" w:cs="Arial" w:eastAsia="Arial" w:hAnsi="Arial"/>
          <w:sz w:val="19"/>
          <w:szCs w:val="19"/>
          <w:color w:val="auto"/>
        </w:rPr>
      </w:pPr>
      <w:r>
        <w:rPr>
          <w:rFonts w:ascii="Arial" w:cs="Arial" w:eastAsia="Arial" w:hAnsi="Arial"/>
          <w:sz w:val="19"/>
          <w:szCs w:val="19"/>
          <w:color w:val="auto"/>
        </w:rPr>
        <w:t>the Secured Obligations;</w:t>
      </w:r>
    </w:p>
    <w:p>
      <w:pPr>
        <w:spacing w:after="0" w:line="213" w:lineRule="exact"/>
        <w:rPr>
          <w:rFonts w:ascii="Arial" w:cs="Arial" w:eastAsia="Arial" w:hAnsi="Arial"/>
          <w:sz w:val="19"/>
          <w:szCs w:val="19"/>
          <w:color w:val="auto"/>
        </w:rPr>
      </w:pPr>
    </w:p>
    <w:p>
      <w:pPr>
        <w:jc w:val="both"/>
        <w:ind w:left="100" w:right="39" w:firstLine="741"/>
        <w:spacing w:after="0" w:line="256" w:lineRule="auto"/>
        <w:tabs>
          <w:tab w:leader="none" w:pos="1626" w:val="left"/>
        </w:tabs>
        <w:numPr>
          <w:ilvl w:val="1"/>
          <w:numId w:val="233"/>
        </w:numPr>
        <w:rPr>
          <w:rFonts w:ascii="Arial" w:cs="Arial" w:eastAsia="Arial" w:hAnsi="Arial"/>
          <w:sz w:val="18"/>
          <w:szCs w:val="18"/>
          <w:color w:val="auto"/>
        </w:rPr>
      </w:pPr>
      <w:r>
        <w:rPr>
          <w:rFonts w:ascii="Arial" w:cs="Arial" w:eastAsia="Arial" w:hAnsi="Arial"/>
          <w:sz w:val="18"/>
          <w:szCs w:val="18"/>
          <w:color w:val="auto"/>
        </w:rPr>
        <w:t xml:space="preserve">Indebtedness of (i) the Borrower to Holdings and/or any Restricted Subsidiary and/or (ii) any Restricted Subsidiary to Holdings, the Borrower and/or any 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in the case of any Indebtedness of any Restricted Subsidiary that is not a Loan Party owing to the Borrower or any Restricted Subsidiary that is a Loan Party, the related Investment is permitted under </w:t>
      </w:r>
      <w:r>
        <w:rPr>
          <w:rFonts w:ascii="Arial" w:cs="Arial" w:eastAsia="Arial" w:hAnsi="Arial"/>
          <w:sz w:val="18"/>
          <w:szCs w:val="18"/>
          <w:u w:val="single" w:color="auto"/>
          <w:color w:val="auto"/>
        </w:rPr>
        <w:t>Section 6.06</w:t>
      </w:r>
      <w:r>
        <w:rPr>
          <w:rFonts w:ascii="Arial" w:cs="Arial" w:eastAsia="Arial" w:hAnsi="Arial"/>
          <w:sz w:val="18"/>
          <w:szCs w:val="18"/>
          <w:color w:val="auto"/>
        </w:rPr>
        <w:t>, and (B) any Indebtedness of any Loan Party owing to any Restricted Subsidiary that is not a Loan Party incurred in reliance on this clause (b) must be unsecured and expressly subordinated to the Obligations of such Loan Party on terms that are reasonably acceptable to the Administrative Agent (it being understood that the subordination terms set forth in the Intercompany Note are acceptable to the Administrative Agent);</w:t>
      </w:r>
    </w:p>
    <w:p>
      <w:pPr>
        <w:spacing w:after="0" w:line="182" w:lineRule="exact"/>
        <w:rPr>
          <w:rFonts w:ascii="Arial" w:cs="Arial" w:eastAsia="Arial" w:hAnsi="Arial"/>
          <w:sz w:val="18"/>
          <w:szCs w:val="18"/>
          <w:color w:val="auto"/>
        </w:rPr>
      </w:pPr>
    </w:p>
    <w:p>
      <w:pPr>
        <w:ind w:left="1600" w:hanging="758"/>
        <w:spacing w:after="0"/>
        <w:tabs>
          <w:tab w:leader="none" w:pos="1600" w:val="left"/>
        </w:tabs>
        <w:numPr>
          <w:ilvl w:val="1"/>
          <w:numId w:val="233"/>
        </w:numPr>
        <w:rPr>
          <w:rFonts w:ascii="Arial" w:cs="Arial" w:eastAsia="Arial" w:hAnsi="Arial"/>
          <w:sz w:val="19"/>
          <w:szCs w:val="19"/>
          <w:color w:val="auto"/>
        </w:rPr>
      </w:pPr>
      <w:r>
        <w:rPr>
          <w:rFonts w:ascii="Arial" w:cs="Arial" w:eastAsia="Arial" w:hAnsi="Arial"/>
          <w:sz w:val="19"/>
          <w:szCs w:val="19"/>
          <w:color w:val="auto"/>
        </w:rPr>
        <w:t>[reserved];</w:t>
      </w:r>
    </w:p>
    <w:p>
      <w:pPr>
        <w:spacing w:after="0" w:line="213" w:lineRule="exact"/>
        <w:rPr>
          <w:rFonts w:ascii="Arial" w:cs="Arial" w:eastAsia="Arial" w:hAnsi="Arial"/>
          <w:sz w:val="19"/>
          <w:szCs w:val="19"/>
          <w:color w:val="auto"/>
        </w:rPr>
      </w:pPr>
    </w:p>
    <w:p>
      <w:pPr>
        <w:jc w:val="both"/>
        <w:ind w:left="100" w:right="59" w:firstLine="741"/>
        <w:spacing w:after="0" w:line="245" w:lineRule="auto"/>
        <w:tabs>
          <w:tab w:leader="none" w:pos="1624" w:val="left"/>
        </w:tabs>
        <w:numPr>
          <w:ilvl w:val="1"/>
          <w:numId w:val="233"/>
        </w:numPr>
        <w:rPr>
          <w:rFonts w:ascii="Arial" w:cs="Arial" w:eastAsia="Arial" w:hAnsi="Arial"/>
          <w:sz w:val="19"/>
          <w:szCs w:val="19"/>
          <w:color w:val="auto"/>
        </w:rPr>
      </w:pPr>
      <w:r>
        <w:rPr>
          <w:rFonts w:ascii="Arial" w:cs="Arial" w:eastAsia="Arial" w:hAnsi="Arial"/>
          <w:sz w:val="19"/>
          <w:szCs w:val="19"/>
          <w:color w:val="auto"/>
        </w:rPr>
        <w:t>(i) Indebtedness arising from any agreement providing for indemnification, adjustment of purchase price or similar obligations (including contingent earn-out obligations) incurred in connection with the Transactions, any Disposition permitted hereunder, any acquisition or other Investment permitted hereunder or consummated prior to the Closing Date or any other purchase of assets or Capital Stock or any other Investment, and (ii) Indebtedness arising from guaranties, letters of credit, bank guaranties, surety bonds, performance bonds or similar instruments securing the performance of the Borrower or any such Restricted Subsidiary pursuant to any such agreement;</w:t>
      </w:r>
    </w:p>
    <w:p>
      <w:pPr>
        <w:spacing w:after="0" w:line="187" w:lineRule="exact"/>
        <w:rPr>
          <w:rFonts w:ascii="Arial" w:cs="Arial" w:eastAsia="Arial" w:hAnsi="Arial"/>
          <w:sz w:val="19"/>
          <w:szCs w:val="19"/>
          <w:color w:val="auto"/>
        </w:rPr>
      </w:pPr>
    </w:p>
    <w:p>
      <w:pPr>
        <w:jc w:val="both"/>
        <w:ind w:left="100" w:right="59" w:firstLine="742"/>
        <w:spacing w:after="0" w:line="241" w:lineRule="auto"/>
        <w:tabs>
          <w:tab w:leader="none" w:pos="1624" w:val="left"/>
        </w:tabs>
        <w:numPr>
          <w:ilvl w:val="1"/>
          <w:numId w:val="233"/>
        </w:numPr>
        <w:rPr>
          <w:rFonts w:ascii="Arial" w:cs="Arial" w:eastAsia="Arial" w:hAnsi="Arial"/>
          <w:sz w:val="19"/>
          <w:szCs w:val="19"/>
          <w:color w:val="auto"/>
        </w:rPr>
      </w:pPr>
      <w:r>
        <w:rPr>
          <w:rFonts w:ascii="Arial" w:cs="Arial" w:eastAsia="Arial" w:hAnsi="Arial"/>
          <w:sz w:val="19"/>
          <w:szCs w:val="19"/>
          <w:color w:val="auto"/>
        </w:rPr>
        <w:t>Indebtedness of the Borrower and/or any Restricted Subsidiary (i) as a result of or pursuant to tenders, statutory obligations, bids, leases, governmental contracts, trade contracts, surety, stay, customs, appeal, performance and/or return of money bonds or other similar obligations incurred in the ordinary course of business or pursuant to self-insurance obligations and not in connection with debt for borrowed money and</w:t>
      </w:r>
    </w:p>
    <w:p>
      <w:pPr>
        <w:spacing w:after="0" w:line="2" w:lineRule="exact"/>
        <w:rPr>
          <w:rFonts w:ascii="Arial" w:cs="Arial" w:eastAsia="Arial" w:hAnsi="Arial"/>
          <w:sz w:val="19"/>
          <w:szCs w:val="19"/>
          <w:color w:val="auto"/>
        </w:rPr>
      </w:pPr>
    </w:p>
    <w:p>
      <w:pPr>
        <w:ind w:left="100" w:right="79" w:hanging="7"/>
        <w:spacing w:after="0" w:line="243" w:lineRule="auto"/>
        <w:tabs>
          <w:tab w:leader="none" w:pos="395" w:val="left"/>
        </w:tabs>
        <w:numPr>
          <w:ilvl w:val="0"/>
          <w:numId w:val="234"/>
        </w:numPr>
        <w:rPr>
          <w:rFonts w:ascii="Arial" w:cs="Arial" w:eastAsia="Arial" w:hAnsi="Arial"/>
          <w:sz w:val="19"/>
          <w:szCs w:val="19"/>
          <w:color w:val="auto"/>
        </w:rPr>
      </w:pPr>
      <w:r>
        <w:rPr>
          <w:rFonts w:ascii="Arial" w:cs="Arial" w:eastAsia="Arial" w:hAnsi="Arial"/>
          <w:sz w:val="19"/>
          <w:szCs w:val="19"/>
          <w:color w:val="auto"/>
        </w:rPr>
        <w:t>in respect of letters of credit, bank guaranties, surety bonds, performance bonds or similar instruments to support any of the foregoing items;</w:t>
      </w:r>
    </w:p>
    <w:p>
      <w:pPr>
        <w:spacing w:after="0" w:line="176" w:lineRule="exact"/>
        <w:rPr>
          <w:rFonts w:ascii="Arial" w:cs="Arial" w:eastAsia="Arial" w:hAnsi="Arial"/>
          <w:sz w:val="19"/>
          <w:szCs w:val="19"/>
          <w:color w:val="auto"/>
        </w:rPr>
      </w:pPr>
    </w:p>
    <w:p>
      <w:pPr>
        <w:ind w:left="100" w:right="59" w:firstLine="741"/>
        <w:spacing w:after="0" w:line="261" w:lineRule="auto"/>
        <w:tabs>
          <w:tab w:leader="none" w:pos="1624" w:val="left"/>
        </w:tabs>
        <w:numPr>
          <w:ilvl w:val="1"/>
          <w:numId w:val="234"/>
        </w:numPr>
        <w:rPr>
          <w:rFonts w:ascii="Arial" w:cs="Arial" w:eastAsia="Arial" w:hAnsi="Arial"/>
          <w:sz w:val="19"/>
          <w:szCs w:val="19"/>
          <w:color w:val="auto"/>
        </w:rPr>
      </w:pPr>
      <w:r>
        <w:rPr>
          <w:rFonts w:ascii="Arial" w:cs="Arial" w:eastAsia="Arial" w:hAnsi="Arial"/>
          <w:sz w:val="19"/>
          <w:szCs w:val="19"/>
          <w:color w:val="auto"/>
        </w:rPr>
        <w:t>Indebtedness of the Borrower and/or any Restricted Subsidiary in respect of Banking Services and/or otherwise in connection with Cash management and Deposit Accounts;</w:t>
      </w:r>
    </w:p>
    <w:p>
      <w:pPr>
        <w:spacing w:after="0" w:line="172" w:lineRule="exact"/>
        <w:rPr>
          <w:rFonts w:ascii="Arial" w:cs="Arial" w:eastAsia="Arial" w:hAnsi="Arial"/>
          <w:sz w:val="19"/>
          <w:szCs w:val="19"/>
          <w:color w:val="auto"/>
        </w:rPr>
      </w:pPr>
    </w:p>
    <w:p>
      <w:pPr>
        <w:jc w:val="both"/>
        <w:ind w:left="100" w:right="59" w:firstLine="742"/>
        <w:spacing w:after="0" w:line="245" w:lineRule="auto"/>
        <w:tabs>
          <w:tab w:leader="none" w:pos="1624" w:val="left"/>
        </w:tabs>
        <w:numPr>
          <w:ilvl w:val="1"/>
          <w:numId w:val="234"/>
        </w:numPr>
        <w:rPr>
          <w:rFonts w:ascii="Arial" w:cs="Arial" w:eastAsia="Arial" w:hAnsi="Arial"/>
          <w:sz w:val="19"/>
          <w:szCs w:val="19"/>
          <w:color w:val="auto"/>
        </w:rPr>
      </w:pPr>
      <w:r>
        <w:rPr>
          <w:rFonts w:ascii="Arial" w:cs="Arial" w:eastAsia="Arial" w:hAnsi="Arial"/>
          <w:sz w:val="19"/>
          <w:szCs w:val="19"/>
          <w:color w:val="auto"/>
        </w:rPr>
        <w:t>(i) guaranties by the Borrower and/or any Restricted Subsidiary of the obligations of suppliers, customers and licensees in the ordinary course of business, (ii) Indebtedness incurred in the ordinary course of business in respect of obligations of the Borrower and/or any Restricted Subsidiary to pay the deferred purchase price of goods or services or progress payments in connection with such goods and services and (iii) Indebtedness in respect of letters of credit, bankers’ acceptances, bank guaranties or similar instruments supporting trade payables, warehouse receipts or similar facilities entered into in the ordinary course of business;</w:t>
      </w:r>
    </w:p>
    <w:p>
      <w:pPr>
        <w:spacing w:after="0" w:line="187" w:lineRule="exact"/>
        <w:rPr>
          <w:rFonts w:ascii="Arial" w:cs="Arial" w:eastAsia="Arial" w:hAnsi="Arial"/>
          <w:sz w:val="19"/>
          <w:szCs w:val="19"/>
          <w:color w:val="auto"/>
        </w:rPr>
      </w:pPr>
    </w:p>
    <w:p>
      <w:pPr>
        <w:jc w:val="both"/>
        <w:ind w:left="100" w:right="59" w:firstLine="742"/>
        <w:spacing w:after="0" w:line="249" w:lineRule="auto"/>
        <w:tabs>
          <w:tab w:leader="none" w:pos="1624" w:val="left"/>
        </w:tabs>
        <w:numPr>
          <w:ilvl w:val="1"/>
          <w:numId w:val="234"/>
        </w:numPr>
        <w:rPr>
          <w:rFonts w:ascii="Arial" w:cs="Arial" w:eastAsia="Arial" w:hAnsi="Arial"/>
          <w:sz w:val="19"/>
          <w:szCs w:val="19"/>
          <w:color w:val="auto"/>
        </w:rPr>
      </w:pPr>
      <w:r>
        <w:rPr>
          <w:rFonts w:ascii="Arial" w:cs="Arial" w:eastAsia="Arial" w:hAnsi="Arial"/>
          <w:sz w:val="19"/>
          <w:szCs w:val="19"/>
          <w:color w:val="auto"/>
        </w:rPr>
        <w:t xml:space="preserve">Guarantees by the Borrower and/or any Restricted Subsidiary of Indebtedness or other obligations of the Borrower, any Restricted Subsidiary and/or any joint venture with respect to Indebtedness otherwise permitted to be incurred pursuant to this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or other obligations not prohibited by this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136</w:t>
      </w:r>
      <w:r>
        <w:rPr>
          <w:rFonts w:ascii="Arial" w:cs="Arial" w:eastAsia="Arial" w:hAnsi="Arial"/>
          <w:sz w:val="18"/>
          <w:szCs w:val="18"/>
          <w:u w:val="single" w:color="auto"/>
          <w:color w:val="0000FF"/>
          <w:strike w:val="1"/>
        </w:rPr>
        <w:t>136</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279" w:right="1440" w:bottom="1440" w:gutter="0" w:footer="0" w:header="0"/>
        </w:sectPr>
      </w:pPr>
    </w:p>
    <w:bookmarkStart w:id="204" w:name="page205"/>
    <w:bookmarkEnd w:id="204"/>
    <w:p>
      <w:pPr>
        <w:ind w:left="100" w:right="460"/>
        <w:spacing w:after="0" w:line="261" w:lineRule="auto"/>
        <w:rPr>
          <w:sz w:val="20"/>
          <w:szCs w:val="20"/>
          <w:color w:val="auto"/>
        </w:rPr>
      </w:pPr>
      <w:r>
        <w:rPr>
          <w:rFonts w:ascii="Arial" w:cs="Arial" w:eastAsia="Arial" w:hAnsi="Arial"/>
          <w:sz w:val="19"/>
          <w:szCs w:val="19"/>
          <w:color w:val="auto"/>
        </w:rPr>
        <w:t xml:space="preserve">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any Guarantee by any Loan Party of the obligations of any non-Loan Party, the related Investment is permitted under </w:t>
      </w:r>
      <w:r>
        <w:rPr>
          <w:rFonts w:ascii="Arial" w:cs="Arial" w:eastAsia="Arial" w:hAnsi="Arial"/>
          <w:sz w:val="19"/>
          <w:szCs w:val="19"/>
          <w:u w:val="single" w:color="auto"/>
          <w:color w:val="auto"/>
        </w:rPr>
        <w:t>Section 6.06</w:t>
      </w:r>
      <w:r>
        <w:rPr>
          <w:rFonts w:ascii="Arial" w:cs="Arial" w:eastAsia="Arial" w:hAnsi="Arial"/>
          <w:sz w:val="19"/>
          <w:szCs w:val="19"/>
          <w:color w:val="auto"/>
        </w:rPr>
        <w:t>;</w:t>
      </w:r>
    </w:p>
    <w:p>
      <w:pPr>
        <w:spacing w:after="0" w:line="159" w:lineRule="exact"/>
        <w:rPr>
          <w:sz w:val="20"/>
          <w:szCs w:val="20"/>
          <w:color w:val="auto"/>
        </w:rPr>
      </w:pPr>
    </w:p>
    <w:p>
      <w:pPr>
        <w:ind w:left="100" w:right="60" w:firstLine="741"/>
        <w:spacing w:after="0" w:line="261" w:lineRule="auto"/>
        <w:tabs>
          <w:tab w:leader="none" w:pos="1624" w:val="left"/>
        </w:tabs>
        <w:numPr>
          <w:ilvl w:val="0"/>
          <w:numId w:val="235"/>
        </w:numPr>
        <w:rPr>
          <w:rFonts w:ascii="Arial" w:cs="Arial" w:eastAsia="Arial" w:hAnsi="Arial"/>
          <w:sz w:val="19"/>
          <w:szCs w:val="19"/>
          <w:color w:val="auto"/>
        </w:rPr>
      </w:pPr>
      <w:r>
        <w:rPr>
          <w:rFonts w:ascii="Arial" w:cs="Arial" w:eastAsia="Arial" w:hAnsi="Arial"/>
          <w:sz w:val="19"/>
          <w:szCs w:val="19"/>
          <w:color w:val="auto"/>
        </w:rPr>
        <w:t>Indebtedness of the Borrower and/or any Restricted Subsidiary existing, or pursuant to commitments existing, on the Closing Date;</w:t>
      </w:r>
    </w:p>
    <w:p>
      <w:pPr>
        <w:spacing w:after="0" w:line="172" w:lineRule="exact"/>
        <w:rPr>
          <w:rFonts w:ascii="Arial" w:cs="Arial" w:eastAsia="Arial" w:hAnsi="Arial"/>
          <w:sz w:val="19"/>
          <w:szCs w:val="19"/>
          <w:color w:val="auto"/>
        </w:rPr>
      </w:pPr>
    </w:p>
    <w:p>
      <w:pPr>
        <w:jc w:val="both"/>
        <w:ind w:left="100" w:right="60" w:firstLine="741"/>
        <w:spacing w:after="0" w:line="249" w:lineRule="auto"/>
        <w:tabs>
          <w:tab w:leader="none" w:pos="1624" w:val="left"/>
        </w:tabs>
        <w:numPr>
          <w:ilvl w:val="0"/>
          <w:numId w:val="235"/>
        </w:numPr>
        <w:rPr>
          <w:rFonts w:ascii="Arial" w:cs="Arial" w:eastAsia="Arial" w:hAnsi="Arial"/>
          <w:sz w:val="19"/>
          <w:szCs w:val="19"/>
          <w:color w:val="auto"/>
        </w:rPr>
      </w:pPr>
      <w:r>
        <w:rPr>
          <w:rFonts w:ascii="Arial" w:cs="Arial" w:eastAsia="Arial" w:hAnsi="Arial"/>
          <w:sz w:val="19"/>
          <w:szCs w:val="19"/>
          <w:color w:val="auto"/>
        </w:rPr>
        <w:t xml:space="preserve">Indebtedness of Restricted Subsidiaries that are not Loan Parties; </w:t>
      </w:r>
      <w:r>
        <w:rPr>
          <w:rFonts w:ascii="Arial" w:cs="Arial" w:eastAsia="Arial" w:hAnsi="Arial"/>
          <w:sz w:val="19"/>
          <w:szCs w:val="19"/>
          <w:u w:val="single" w:color="auto"/>
          <w:color w:val="auto"/>
        </w:rPr>
        <w:t>provided</w:t>
      </w:r>
      <w:r>
        <w:rPr>
          <w:rFonts w:ascii="Arial" w:cs="Arial" w:eastAsia="Arial" w:hAnsi="Arial"/>
          <w:sz w:val="19"/>
          <w:szCs w:val="19"/>
          <w:color w:val="auto"/>
        </w:rPr>
        <w:t>, that the aggregate outstanding principal amount of such Indebtedness shall not exceed the greater of $42,500,000 and 50% of Consolidated Adjusted EBITDA as of the last day of the most recently ended Test Period;</w:t>
      </w:r>
    </w:p>
    <w:p>
      <w:pPr>
        <w:spacing w:after="0" w:line="183" w:lineRule="exact"/>
        <w:rPr>
          <w:rFonts w:ascii="Arial" w:cs="Arial" w:eastAsia="Arial" w:hAnsi="Arial"/>
          <w:sz w:val="19"/>
          <w:szCs w:val="19"/>
          <w:color w:val="auto"/>
        </w:rPr>
      </w:pPr>
    </w:p>
    <w:p>
      <w:pPr>
        <w:ind w:left="100" w:right="60" w:firstLine="741"/>
        <w:spacing w:after="0" w:line="261" w:lineRule="auto"/>
        <w:tabs>
          <w:tab w:leader="none" w:pos="1624" w:val="left"/>
        </w:tabs>
        <w:numPr>
          <w:ilvl w:val="0"/>
          <w:numId w:val="235"/>
        </w:numPr>
        <w:rPr>
          <w:rFonts w:ascii="Arial" w:cs="Arial" w:eastAsia="Arial" w:hAnsi="Arial"/>
          <w:sz w:val="19"/>
          <w:szCs w:val="19"/>
          <w:color w:val="auto"/>
        </w:rPr>
      </w:pPr>
      <w:r>
        <w:rPr>
          <w:rFonts w:ascii="Arial" w:cs="Arial" w:eastAsia="Arial" w:hAnsi="Arial"/>
          <w:sz w:val="19"/>
          <w:szCs w:val="19"/>
          <w:color w:val="auto"/>
        </w:rPr>
        <w:t>Indebtedness of the Borrower and/or any Restricted Subsidiary consisting of obligations owing under incentive, supply, license or similar agreements entered into in the ordinary course of business;</w:t>
      </w:r>
    </w:p>
    <w:p>
      <w:pPr>
        <w:spacing w:after="0" w:line="186" w:lineRule="exact"/>
        <w:rPr>
          <w:rFonts w:ascii="Arial" w:cs="Arial" w:eastAsia="Arial" w:hAnsi="Arial"/>
          <w:sz w:val="19"/>
          <w:szCs w:val="19"/>
          <w:color w:val="auto"/>
        </w:rPr>
      </w:pPr>
    </w:p>
    <w:p>
      <w:pPr>
        <w:jc w:val="both"/>
        <w:ind w:left="100" w:right="40" w:firstLine="741"/>
        <w:spacing w:after="0" w:line="292" w:lineRule="auto"/>
        <w:tabs>
          <w:tab w:leader="none" w:pos="1625" w:val="left"/>
        </w:tabs>
        <w:numPr>
          <w:ilvl w:val="0"/>
          <w:numId w:val="235"/>
        </w:numPr>
        <w:rPr>
          <w:rFonts w:ascii="Arial" w:cs="Arial" w:eastAsia="Arial" w:hAnsi="Arial"/>
          <w:sz w:val="17"/>
          <w:szCs w:val="17"/>
          <w:color w:val="auto"/>
        </w:rPr>
      </w:pPr>
      <w:r>
        <w:rPr>
          <w:rFonts w:ascii="Arial" w:cs="Arial" w:eastAsia="Arial" w:hAnsi="Arial"/>
          <w:sz w:val="17"/>
          <w:szCs w:val="17"/>
          <w:color w:val="auto"/>
        </w:rPr>
        <w:t>Indebtedness of the Borrower and/or any Restricted Subsidiary consisting of (i) the financing of insurance premiums, (ii) take-or-pay obligations contained in supply arrangements, in each case, in the ordinary course of business and/or (iii) obligations to reacquire assets or inventory in connection with customer financing arrangements in the ordinary course of business;</w:t>
      </w:r>
    </w:p>
    <w:p>
      <w:pPr>
        <w:spacing w:after="0" w:line="150" w:lineRule="exact"/>
        <w:rPr>
          <w:rFonts w:ascii="Arial" w:cs="Arial" w:eastAsia="Arial" w:hAnsi="Arial"/>
          <w:sz w:val="17"/>
          <w:szCs w:val="17"/>
          <w:color w:val="auto"/>
        </w:rPr>
      </w:pPr>
    </w:p>
    <w:p>
      <w:pPr>
        <w:ind w:left="100" w:firstLine="742"/>
        <w:spacing w:after="0" w:line="246" w:lineRule="auto"/>
        <w:tabs>
          <w:tab w:leader="none" w:pos="1628" w:val="left"/>
        </w:tabs>
        <w:numPr>
          <w:ilvl w:val="0"/>
          <w:numId w:val="235"/>
        </w:numPr>
        <w:rPr>
          <w:rFonts w:ascii="Arial" w:cs="Arial" w:eastAsia="Arial" w:hAnsi="Arial"/>
          <w:sz w:val="19"/>
          <w:szCs w:val="19"/>
          <w:color w:val="auto"/>
        </w:rPr>
      </w:pPr>
      <w:r>
        <w:rPr>
          <w:rFonts w:ascii="Arial" w:cs="Arial" w:eastAsia="Arial" w:hAnsi="Arial"/>
          <w:sz w:val="19"/>
          <w:szCs w:val="19"/>
          <w:color w:val="auto"/>
        </w:rPr>
        <w:t>Indebtedness of the Borrower and/or any Restricted Subsidiary with respect to Capital Leases and purchase money Indebtedness in an aggregate outstanding principal amount not to exceed the greater of</w:t>
      </w:r>
    </w:p>
    <w:p>
      <w:pPr>
        <w:ind w:left="100"/>
        <w:spacing w:after="0"/>
        <w:rPr>
          <w:rFonts w:ascii="Arial" w:cs="Arial" w:eastAsia="Arial" w:hAnsi="Arial"/>
          <w:sz w:val="19"/>
          <w:szCs w:val="19"/>
          <w:color w:val="auto"/>
        </w:rPr>
      </w:pPr>
      <w:r>
        <w:rPr>
          <w:rFonts w:ascii="Arial" w:cs="Arial" w:eastAsia="Arial" w:hAnsi="Arial"/>
          <w:sz w:val="19"/>
          <w:szCs w:val="19"/>
          <w:color w:val="auto"/>
        </w:rPr>
        <w:t>$42,500,000 and 50% of Consolidated Adjusted EBITDA as of the last day of the most recently ended Test Period;</w:t>
      </w:r>
    </w:p>
    <w:p>
      <w:pPr>
        <w:spacing w:after="0" w:line="184" w:lineRule="exact"/>
        <w:rPr>
          <w:rFonts w:ascii="Arial" w:cs="Arial" w:eastAsia="Arial" w:hAnsi="Arial"/>
          <w:sz w:val="19"/>
          <w:szCs w:val="19"/>
          <w:color w:val="auto"/>
        </w:rPr>
      </w:pPr>
    </w:p>
    <w:p>
      <w:pPr>
        <w:ind w:left="100" w:right="60" w:firstLine="741"/>
        <w:spacing w:after="0" w:line="261" w:lineRule="auto"/>
        <w:tabs>
          <w:tab w:leader="none" w:pos="1624" w:val="left"/>
        </w:tabs>
        <w:numPr>
          <w:ilvl w:val="0"/>
          <w:numId w:val="235"/>
        </w:numPr>
        <w:rPr>
          <w:rFonts w:ascii="Arial" w:cs="Arial" w:eastAsia="Arial" w:hAnsi="Arial"/>
          <w:sz w:val="19"/>
          <w:szCs w:val="19"/>
          <w:color w:val="auto"/>
        </w:rPr>
      </w:pPr>
      <w:r>
        <w:rPr>
          <w:rFonts w:ascii="Arial" w:cs="Arial" w:eastAsia="Arial" w:hAnsi="Arial"/>
          <w:sz w:val="19"/>
          <w:szCs w:val="19"/>
          <w:color w:val="auto"/>
        </w:rPr>
        <w:t xml:space="preserve">Indebtedness of any Person that becomes a Restricted Subsidiary and/or Indebtedness assumed in connection with any acquisition or similar Investment; </w:t>
      </w:r>
      <w:r>
        <w:rPr>
          <w:rFonts w:ascii="Arial" w:cs="Arial" w:eastAsia="Arial" w:hAnsi="Arial"/>
          <w:sz w:val="19"/>
          <w:szCs w:val="19"/>
          <w:u w:val="single" w:color="auto"/>
          <w:color w:val="auto"/>
        </w:rPr>
        <w:t>provided</w:t>
      </w:r>
      <w:r>
        <w:rPr>
          <w:rFonts w:ascii="Arial" w:cs="Arial" w:eastAsia="Arial" w:hAnsi="Arial"/>
          <w:sz w:val="19"/>
          <w:szCs w:val="19"/>
          <w:color w:val="auto"/>
        </w:rPr>
        <w:t>, that:</w:t>
      </w:r>
    </w:p>
    <w:p>
      <w:pPr>
        <w:spacing w:after="0" w:line="172" w:lineRule="exact"/>
        <w:rPr>
          <w:rFonts w:ascii="Arial" w:cs="Arial" w:eastAsia="Arial" w:hAnsi="Arial"/>
          <w:sz w:val="19"/>
          <w:szCs w:val="19"/>
          <w:color w:val="auto"/>
        </w:rPr>
      </w:pPr>
    </w:p>
    <w:p>
      <w:pPr>
        <w:jc w:val="both"/>
        <w:ind w:left="840" w:right="60" w:firstLine="751"/>
        <w:spacing w:after="0" w:line="256" w:lineRule="auto"/>
        <w:tabs>
          <w:tab w:leader="none" w:pos="2254" w:val="left"/>
        </w:tabs>
        <w:numPr>
          <w:ilvl w:val="2"/>
          <w:numId w:val="235"/>
        </w:numPr>
        <w:rPr>
          <w:rFonts w:ascii="Arial" w:cs="Arial" w:eastAsia="Arial" w:hAnsi="Arial"/>
          <w:sz w:val="19"/>
          <w:szCs w:val="19"/>
          <w:color w:val="auto"/>
        </w:rPr>
      </w:pPr>
      <w:r>
        <w:rPr>
          <w:rFonts w:ascii="Arial" w:cs="Arial" w:eastAsia="Arial" w:hAnsi="Arial"/>
          <w:sz w:val="19"/>
          <w:szCs w:val="19"/>
          <w:color w:val="auto"/>
        </w:rPr>
        <w:t>such Indebtedness (A) existed at the time such Person became a Restricted Subsidiary or the assets subject to such Indebtedness were acquired and (B) was not created or incurred in contemplation of the applicable acquisition or similar Investment, and</w:t>
      </w:r>
    </w:p>
    <w:p>
      <w:pPr>
        <w:spacing w:after="0" w:line="178" w:lineRule="exact"/>
        <w:rPr>
          <w:rFonts w:ascii="Arial" w:cs="Arial" w:eastAsia="Arial" w:hAnsi="Arial"/>
          <w:sz w:val="19"/>
          <w:szCs w:val="19"/>
          <w:color w:val="auto"/>
        </w:rPr>
      </w:pPr>
    </w:p>
    <w:p>
      <w:pPr>
        <w:ind w:left="2260" w:hanging="669"/>
        <w:spacing w:after="0"/>
        <w:tabs>
          <w:tab w:leader="none" w:pos="2260" w:val="left"/>
        </w:tabs>
        <w:numPr>
          <w:ilvl w:val="2"/>
          <w:numId w:val="235"/>
        </w:numPr>
        <w:rPr>
          <w:rFonts w:ascii="Arial" w:cs="Arial" w:eastAsia="Arial" w:hAnsi="Arial"/>
          <w:sz w:val="18"/>
          <w:szCs w:val="18"/>
          <w:color w:val="auto"/>
        </w:rPr>
      </w:pPr>
      <w:r>
        <w:rPr>
          <w:rFonts w:ascii="Arial" w:cs="Arial" w:eastAsia="Arial" w:hAnsi="Arial"/>
          <w:sz w:val="18"/>
          <w:szCs w:val="18"/>
          <w:color w:val="auto"/>
        </w:rPr>
        <w:t>after giving effect to such Indebtedness on a Pro Forma Basis, the Borrower is in compliance with</w:t>
      </w:r>
    </w:p>
    <w:p>
      <w:pPr>
        <w:spacing w:after="0" w:line="25"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9"/>
          <w:szCs w:val="19"/>
          <w:u w:val="single" w:color="auto"/>
          <w:color w:val="auto"/>
        </w:rPr>
        <w:t>Section 6.10(a)</w:t>
      </w:r>
      <w:r>
        <w:rPr>
          <w:rFonts w:ascii="Arial" w:cs="Arial" w:eastAsia="Arial" w:hAnsi="Arial"/>
          <w:sz w:val="19"/>
          <w:szCs w:val="19"/>
          <w:color w:val="auto"/>
        </w:rPr>
        <w:t>;</w:t>
      </w:r>
    </w:p>
    <w:p>
      <w:pPr>
        <w:spacing w:after="0" w:line="197" w:lineRule="exact"/>
        <w:rPr>
          <w:rFonts w:ascii="Arial" w:cs="Arial" w:eastAsia="Arial" w:hAnsi="Arial"/>
          <w:sz w:val="18"/>
          <w:szCs w:val="18"/>
          <w:color w:val="auto"/>
        </w:rPr>
      </w:pPr>
    </w:p>
    <w:p>
      <w:pPr>
        <w:jc w:val="both"/>
        <w:ind w:left="100" w:right="60" w:firstLine="741"/>
        <w:spacing w:after="0" w:line="245" w:lineRule="auto"/>
        <w:tabs>
          <w:tab w:leader="none" w:pos="1624" w:val="left"/>
        </w:tabs>
        <w:numPr>
          <w:ilvl w:val="0"/>
          <w:numId w:val="235"/>
        </w:numPr>
        <w:rPr>
          <w:rFonts w:ascii="Arial" w:cs="Arial" w:eastAsia="Arial" w:hAnsi="Arial"/>
          <w:sz w:val="19"/>
          <w:szCs w:val="19"/>
          <w:color w:val="auto"/>
        </w:rPr>
      </w:pPr>
      <w:r>
        <w:rPr>
          <w:rFonts w:ascii="Arial" w:cs="Arial" w:eastAsia="Arial" w:hAnsi="Arial"/>
          <w:sz w:val="19"/>
          <w:szCs w:val="19"/>
          <w:color w:val="auto"/>
        </w:rPr>
        <w:t xml:space="preserve">Indebtedness issued by the Borrower or any Restricted Subsidiary to any stockholder of any Parent Company or any current or former director, officer, employee, member of management, manager or consultant of any Parent Company, the Borrower or any subsidiary (or their respective Immediate Family Members) to finance the purchase or redemption of Capital Stock of any Parent Company permitted by </w:t>
      </w:r>
      <w:r>
        <w:rPr>
          <w:rFonts w:ascii="Arial" w:cs="Arial" w:eastAsia="Arial" w:hAnsi="Arial"/>
          <w:sz w:val="19"/>
          <w:szCs w:val="19"/>
          <w:u w:val="single" w:color="auto"/>
          <w:color w:val="auto"/>
        </w:rPr>
        <w:t>Section 6.04(a)</w:t>
      </w:r>
      <w:r>
        <w:rPr>
          <w:rFonts w:ascii="Arial" w:cs="Arial" w:eastAsia="Arial" w:hAnsi="Arial"/>
          <w:sz w:val="19"/>
          <w:szCs w:val="19"/>
          <w:color w:val="auto"/>
        </w:rPr>
        <w:t>;</w:t>
      </w:r>
    </w:p>
    <w:p>
      <w:pPr>
        <w:spacing w:after="0" w:line="187" w:lineRule="exact"/>
        <w:rPr>
          <w:rFonts w:ascii="Arial" w:cs="Arial" w:eastAsia="Arial" w:hAnsi="Arial"/>
          <w:sz w:val="19"/>
          <w:szCs w:val="19"/>
          <w:color w:val="auto"/>
        </w:rPr>
      </w:pPr>
    </w:p>
    <w:p>
      <w:pPr>
        <w:ind w:left="1620" w:hanging="779"/>
        <w:spacing w:after="0"/>
        <w:tabs>
          <w:tab w:leader="none" w:pos="162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 xml:space="preserve">Indebtedness refinancing, refunding or replacing any Indebtedness permitted under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w:t>
      </w:r>
      <w:r>
        <w:rPr>
          <w:rFonts w:ascii="Arial" w:cs="Arial" w:eastAsia="Arial" w:hAnsi="Arial"/>
          <w:sz w:val="17"/>
          <w:szCs w:val="17"/>
          <w:u w:val="single" w:color="auto"/>
          <w:color w:val="auto"/>
        </w:rPr>
        <w:t>(j)</w:t>
      </w:r>
      <w:r>
        <w:rPr>
          <w:rFonts w:ascii="Arial" w:cs="Arial" w:eastAsia="Arial" w:hAnsi="Arial"/>
          <w:sz w:val="17"/>
          <w:szCs w:val="17"/>
          <w:color w:val="auto"/>
        </w:rPr>
        <w:t xml:space="preserve">, </w:t>
      </w:r>
      <w:r>
        <w:rPr>
          <w:rFonts w:ascii="Arial" w:cs="Arial" w:eastAsia="Arial" w:hAnsi="Arial"/>
          <w:sz w:val="17"/>
          <w:szCs w:val="17"/>
          <w:u w:val="single" w:color="auto"/>
          <w:color w:val="auto"/>
        </w:rPr>
        <w:t>(m)</w:t>
      </w:r>
      <w:r>
        <w:rPr>
          <w:rFonts w:ascii="Arial" w:cs="Arial" w:eastAsia="Arial" w:hAnsi="Arial"/>
          <w:sz w:val="17"/>
          <w:szCs w:val="17"/>
          <w:color w:val="auto"/>
        </w:rPr>
        <w:t xml:space="preserve">, </w:t>
      </w:r>
      <w:r>
        <w:rPr>
          <w:rFonts w:ascii="Arial" w:cs="Arial" w:eastAsia="Arial" w:hAnsi="Arial"/>
          <w:sz w:val="17"/>
          <w:szCs w:val="17"/>
          <w:u w:val="single" w:color="auto"/>
          <w:color w:val="auto"/>
        </w:rPr>
        <w:t>(n)</w:t>
      </w:r>
      <w:r>
        <w:rPr>
          <w:rFonts w:ascii="Arial" w:cs="Arial" w:eastAsia="Arial" w:hAnsi="Arial"/>
          <w:sz w:val="17"/>
          <w:szCs w:val="17"/>
          <w:color w:val="auto"/>
        </w:rPr>
        <w:t>,</w:t>
      </w:r>
    </w:p>
    <w:p>
      <w:pPr>
        <w:spacing w:after="0" w:line="36" w:lineRule="exact"/>
        <w:rPr>
          <w:rFonts w:ascii="Arial" w:cs="Arial" w:eastAsia="Arial" w:hAnsi="Arial"/>
          <w:sz w:val="17"/>
          <w:szCs w:val="17"/>
          <w:color w:val="auto"/>
        </w:rPr>
      </w:pPr>
    </w:p>
    <w:p>
      <w:pPr>
        <w:ind w:left="100" w:right="60"/>
        <w:spacing w:after="0" w:line="270" w:lineRule="auto"/>
        <w:rPr>
          <w:rFonts w:ascii="Arial" w:cs="Arial" w:eastAsia="Arial" w:hAnsi="Arial"/>
          <w:sz w:val="17"/>
          <w:szCs w:val="17"/>
          <w:color w:val="auto"/>
        </w:rPr>
      </w:pPr>
      <w:r>
        <w:rPr>
          <w:rFonts w:ascii="Arial" w:cs="Arial" w:eastAsia="Arial" w:hAnsi="Arial"/>
          <w:sz w:val="18"/>
          <w:szCs w:val="18"/>
          <w:u w:val="single" w:color="auto"/>
          <w:color w:val="auto"/>
        </w:rPr>
        <w:t>(u)</w:t>
      </w:r>
      <w:r>
        <w:rPr>
          <w:rFonts w:ascii="Arial" w:cs="Arial" w:eastAsia="Arial" w:hAnsi="Arial"/>
          <w:sz w:val="18"/>
          <w:szCs w:val="18"/>
          <w:color w:val="auto"/>
        </w:rPr>
        <w:t xml:space="preserve">, </w:t>
      </w:r>
      <w:r>
        <w:rPr>
          <w:rFonts w:ascii="Arial" w:cs="Arial" w:eastAsia="Arial" w:hAnsi="Arial"/>
          <w:sz w:val="18"/>
          <w:szCs w:val="18"/>
          <w:u w:val="single" w:color="auto"/>
          <w:color w:val="auto"/>
        </w:rPr>
        <w:t>(w)</w:t>
      </w:r>
      <w:r>
        <w:rPr>
          <w:rFonts w:ascii="Arial" w:cs="Arial" w:eastAsia="Arial" w:hAnsi="Arial"/>
          <w:sz w:val="18"/>
          <w:szCs w:val="18"/>
          <w:color w:val="auto"/>
        </w:rPr>
        <w:t xml:space="preserve">, </w:t>
      </w:r>
      <w:r>
        <w:rPr>
          <w:rFonts w:ascii="Arial" w:cs="Arial" w:eastAsia="Arial" w:hAnsi="Arial"/>
          <w:sz w:val="18"/>
          <w:szCs w:val="18"/>
          <w:u w:val="single" w:color="auto"/>
          <w:color w:val="auto"/>
        </w:rPr>
        <w:t>(y)</w:t>
      </w:r>
      <w:r>
        <w:rPr>
          <w:rFonts w:ascii="Arial" w:cs="Arial" w:eastAsia="Arial" w:hAnsi="Arial"/>
          <w:sz w:val="18"/>
          <w:szCs w:val="18"/>
          <w:color w:val="auto"/>
        </w:rPr>
        <w:t xml:space="preserve">, </w:t>
      </w:r>
      <w:r>
        <w:rPr>
          <w:rFonts w:ascii="Arial" w:cs="Arial" w:eastAsia="Arial" w:hAnsi="Arial"/>
          <w:sz w:val="18"/>
          <w:szCs w:val="18"/>
          <w:u w:val="single" w:color="auto"/>
          <w:color w:val="auto"/>
        </w:rPr>
        <w:t>(z)</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(jj)</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(in any case, including any refinancing Indebtedness incurred in respect thereof, “</w:t>
      </w:r>
      <w:r>
        <w:rPr>
          <w:rFonts w:ascii="Arial" w:cs="Arial" w:eastAsia="Arial" w:hAnsi="Arial"/>
          <w:sz w:val="18"/>
          <w:szCs w:val="18"/>
          <w:u w:val="single" w:color="auto"/>
          <w:color w:val="auto"/>
        </w:rPr>
        <w:t>Refinancing Indebtedness</w:t>
      </w:r>
      <w:r>
        <w:rPr>
          <w:rFonts w:ascii="Arial" w:cs="Arial" w:eastAsia="Arial" w:hAnsi="Arial"/>
          <w:sz w:val="18"/>
          <w:szCs w:val="18"/>
          <w:color w:val="auto"/>
        </w:rPr>
        <w:t xml:space="preserve">”) and any subsequent Refinancing Indebtedness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66" w:lineRule="exact"/>
        <w:rPr>
          <w:rFonts w:ascii="Arial" w:cs="Arial" w:eastAsia="Arial" w:hAnsi="Arial"/>
          <w:sz w:val="17"/>
          <w:szCs w:val="17"/>
          <w:color w:val="auto"/>
        </w:rPr>
      </w:pPr>
    </w:p>
    <w:p>
      <w:pPr>
        <w:ind w:left="840" w:right="60" w:firstLine="752"/>
        <w:spacing w:after="0" w:line="250" w:lineRule="auto"/>
        <w:tabs>
          <w:tab w:leader="none" w:pos="2254" w:val="left"/>
        </w:tabs>
        <w:numPr>
          <w:ilvl w:val="2"/>
          <w:numId w:val="235"/>
        </w:numPr>
        <w:rPr>
          <w:rFonts w:ascii="Arial" w:cs="Arial" w:eastAsia="Arial" w:hAnsi="Arial"/>
          <w:sz w:val="19"/>
          <w:szCs w:val="19"/>
          <w:color w:val="auto"/>
        </w:rPr>
      </w:pPr>
      <w:r>
        <w:rPr>
          <w:rFonts w:ascii="Arial" w:cs="Arial" w:eastAsia="Arial" w:hAnsi="Arial"/>
          <w:sz w:val="19"/>
          <w:szCs w:val="19"/>
          <w:color w:val="auto"/>
        </w:rPr>
        <w:t>the principal amount of such Indebtedness does not exceed the principal amount of, and commitments in respect of, the Indebtedness being refinanced, refunded or replaced, except by</w:t>
      </w:r>
    </w:p>
    <w:p>
      <w:pPr>
        <w:spacing w:after="0" w:line="1" w:lineRule="exact"/>
        <w:rPr>
          <w:rFonts w:ascii="Arial" w:cs="Arial" w:eastAsia="Arial" w:hAnsi="Arial"/>
          <w:sz w:val="19"/>
          <w:szCs w:val="19"/>
          <w:color w:val="auto"/>
        </w:rPr>
      </w:pPr>
    </w:p>
    <w:p>
      <w:pPr>
        <w:jc w:val="both"/>
        <w:ind w:left="840" w:right="40" w:firstLine="3"/>
        <w:spacing w:after="0" w:line="260" w:lineRule="auto"/>
        <w:tabs>
          <w:tab w:leader="none" w:pos="1189" w:val="left"/>
        </w:tabs>
        <w:numPr>
          <w:ilvl w:val="1"/>
          <w:numId w:val="235"/>
        </w:numPr>
        <w:rPr>
          <w:rFonts w:ascii="Arial" w:cs="Arial" w:eastAsia="Arial" w:hAnsi="Arial"/>
          <w:sz w:val="17"/>
          <w:szCs w:val="17"/>
          <w:color w:val="auto"/>
        </w:rPr>
      </w:pPr>
      <w:r>
        <w:rPr>
          <w:rFonts w:ascii="Arial" w:cs="Arial" w:eastAsia="Arial" w:hAnsi="Arial"/>
          <w:sz w:val="17"/>
          <w:szCs w:val="17"/>
          <w:color w:val="auto"/>
        </w:rPr>
        <w:t xml:space="preserve">an amount equal to unpaid accrued interest, penalties and premiums (including tender premiums) thereon plus underwriting discounts, other reasonable and customary fees, commissions and expenses (including upfront fees, original issue discount or initial yield payments) incurred in connection with the relevant refinancing, refunding or replacement and the related refinancing transaction, (B) an amount equal to any existing commitments unutilized thereunder and (C) additional amounts permitted to be incurred pursuant to this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any additional Indebtedness referenced in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satisfies the other applicable requirements of this definition (with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137</w:t>
      </w:r>
      <w:r>
        <w:rPr>
          <w:rFonts w:ascii="Arial" w:cs="Arial" w:eastAsia="Arial" w:hAnsi="Arial"/>
          <w:sz w:val="18"/>
          <w:szCs w:val="18"/>
          <w:u w:val="single" w:color="auto"/>
          <w:color w:val="0000FF"/>
          <w:strike w:val="1"/>
        </w:rPr>
        <w:t>137</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85" w:right="1439" w:bottom="1440" w:gutter="0" w:footer="0" w:header="0"/>
        </w:sectPr>
      </w:pPr>
    </w:p>
    <w:bookmarkStart w:id="205" w:name="page206"/>
    <w:bookmarkEnd w:id="205"/>
    <w:p>
      <w:pPr>
        <w:jc w:val="both"/>
        <w:ind w:left="840" w:right="59"/>
        <w:spacing w:after="0" w:line="241" w:lineRule="auto"/>
        <w:rPr>
          <w:sz w:val="20"/>
          <w:szCs w:val="20"/>
          <w:color w:val="auto"/>
        </w:rPr>
      </w:pPr>
      <w:r>
        <w:rPr>
          <w:rFonts w:ascii="Arial" w:cs="Arial" w:eastAsia="Arial" w:hAnsi="Arial"/>
          <w:sz w:val="19"/>
          <w:szCs w:val="19"/>
          <w:color w:val="auto"/>
        </w:rPr>
        <w:t xml:space="preserve">additional amounts incurred in reliance on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constituting a utilization of the relevant basket or exception pursuant to which such additional amount is permitted) and (2) if such additional Indebtedness is secured, the Lien securing such Indebtedness satisfies the applicable requirements of </w:t>
      </w:r>
      <w:r>
        <w:rPr>
          <w:rFonts w:ascii="Arial" w:cs="Arial" w:eastAsia="Arial" w:hAnsi="Arial"/>
          <w:sz w:val="19"/>
          <w:szCs w:val="19"/>
          <w:u w:val="single" w:color="auto"/>
          <w:color w:val="auto"/>
        </w:rPr>
        <w:t>Section 6.02</w:t>
      </w:r>
      <w:r>
        <w:rPr>
          <w:rFonts w:ascii="Arial" w:cs="Arial" w:eastAsia="Arial" w:hAnsi="Arial"/>
          <w:sz w:val="19"/>
          <w:szCs w:val="19"/>
          <w:color w:val="auto"/>
        </w:rPr>
        <w:t>);</w:t>
      </w:r>
    </w:p>
    <w:p>
      <w:pPr>
        <w:spacing w:after="0" w:line="179" w:lineRule="exact"/>
        <w:rPr>
          <w:sz w:val="20"/>
          <w:szCs w:val="20"/>
          <w:color w:val="auto"/>
        </w:rPr>
      </w:pPr>
    </w:p>
    <w:p>
      <w:pPr>
        <w:ind w:left="840" w:right="59" w:firstLine="751"/>
        <w:spacing w:after="0" w:line="246" w:lineRule="auto"/>
        <w:tabs>
          <w:tab w:leader="none" w:pos="2254" w:val="left"/>
        </w:tabs>
        <w:numPr>
          <w:ilvl w:val="1"/>
          <w:numId w:val="236"/>
        </w:numPr>
        <w:rPr>
          <w:rFonts w:ascii="Arial" w:cs="Arial" w:eastAsia="Arial" w:hAnsi="Arial"/>
          <w:sz w:val="19"/>
          <w:szCs w:val="19"/>
          <w:color w:val="auto"/>
        </w:rPr>
      </w:pPr>
      <w:r>
        <w:rPr>
          <w:rFonts w:ascii="Arial" w:cs="Arial" w:eastAsia="Arial" w:hAnsi="Arial"/>
          <w:sz w:val="19"/>
          <w:szCs w:val="19"/>
          <w:color w:val="auto"/>
        </w:rPr>
        <w:t xml:space="preserve">in the case of Refinancing Indebtedness with respect to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(w)</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(z)</w:t>
      </w:r>
      <w:r>
        <w:rPr>
          <w:rFonts w:ascii="Arial" w:cs="Arial" w:eastAsia="Arial" w:hAnsi="Arial"/>
          <w:sz w:val="19"/>
          <w:szCs w:val="19"/>
          <w:color w:val="auto"/>
        </w:rPr>
        <w:t xml:space="preserve"> (other than Customary Bridge Loans), such Indebtedness (other than revolving indebtedness) has</w:t>
      </w:r>
    </w:p>
    <w:p>
      <w:pPr>
        <w:jc w:val="both"/>
        <w:ind w:left="840" w:right="19" w:firstLine="3"/>
        <w:spacing w:after="0" w:line="252" w:lineRule="auto"/>
        <w:tabs>
          <w:tab w:leader="none" w:pos="118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 final maturity equal to or later than (and, in the case of revolving Indebtedness, does not require mandatory commitment reductions, if any, prior to) the Latest Term Loan Maturity Date and (B) a Weighted Average Life to Maturity equal to or greater than the Weighted Average Life to Maturity of the outstanding Term Loans at such time;</w:t>
      </w:r>
    </w:p>
    <w:p>
      <w:pPr>
        <w:spacing w:after="0" w:line="169" w:lineRule="exact"/>
        <w:rPr>
          <w:rFonts w:ascii="Arial" w:cs="Arial" w:eastAsia="Arial" w:hAnsi="Arial"/>
          <w:sz w:val="18"/>
          <w:szCs w:val="18"/>
          <w:color w:val="auto"/>
        </w:rPr>
      </w:pPr>
    </w:p>
    <w:p>
      <w:pPr>
        <w:jc w:val="both"/>
        <w:ind w:left="840" w:right="39" w:firstLine="752"/>
        <w:spacing w:after="0" w:line="254" w:lineRule="auto"/>
        <w:tabs>
          <w:tab w:leader="none" w:pos="2256"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the terms of any Replacement Debt with an original principal amount in excess of the Threshold Amount (excluding, to the extent applicable, pricing (including any “MFN” provision), fees, premiums, rate floors, optional prepayment, funding discounts, maturity, amortization schedule, redemption terms or subordination terms and security), are not, taken as a whole (as determined by the Borrower in good faith), more favorable to the lenders providing such Indebtedness than those applicable to the Indebtedness being refinanced, refunded or replaced (other than (A) any covenant or any other provision applicable only to periods after the applicable maturity date of the debt then being refinanced as of such date, (B) any covenant or provision which constitutes a then-current market term for the applicable type of Indebtedness (as determined by the Borrower in good faith), or</w:t>
      </w:r>
    </w:p>
    <w:p>
      <w:pPr>
        <w:spacing w:after="0" w:line="5" w:lineRule="exact"/>
        <w:rPr>
          <w:rFonts w:ascii="Arial" w:cs="Arial" w:eastAsia="Arial" w:hAnsi="Arial"/>
          <w:sz w:val="18"/>
          <w:szCs w:val="18"/>
          <w:color w:val="auto"/>
        </w:rPr>
      </w:pPr>
    </w:p>
    <w:p>
      <w:pPr>
        <w:jc w:val="both"/>
        <w:ind w:left="840" w:right="59" w:firstLine="3"/>
        <w:spacing w:after="0" w:line="231" w:lineRule="auto"/>
        <w:tabs>
          <w:tab w:leader="none" w:pos="1142" w:val="left"/>
        </w:tabs>
        <w:numPr>
          <w:ilvl w:val="0"/>
          <w:numId w:val="238"/>
        </w:numPr>
        <w:rPr>
          <w:rFonts w:ascii="Arial" w:cs="Arial" w:eastAsia="Arial" w:hAnsi="Arial"/>
          <w:sz w:val="19"/>
          <w:szCs w:val="19"/>
          <w:color w:val="auto"/>
        </w:rPr>
      </w:pPr>
      <w:r>
        <w:rPr>
          <w:rFonts w:ascii="Arial" w:cs="Arial" w:eastAsia="Arial" w:hAnsi="Arial"/>
          <w:sz w:val="19"/>
          <w:szCs w:val="19"/>
          <w:color w:val="auto"/>
        </w:rPr>
        <w:t xml:space="preserve">any covenant or other provision which is conformed (or added) to the Loan Documents for the benefit of the Lenders or, as applicable, the Administrative Agent, pursuant to an amendment to this Agreement effectuated in reliance on </w:t>
      </w:r>
      <w:r>
        <w:rPr>
          <w:rFonts w:ascii="Arial" w:cs="Arial" w:eastAsia="Arial" w:hAnsi="Arial"/>
          <w:sz w:val="19"/>
          <w:szCs w:val="19"/>
          <w:u w:val="single" w:color="auto"/>
          <w:color w:val="auto"/>
        </w:rPr>
        <w:t>Section 9.02(d)(ii)</w:t>
      </w:r>
      <w:r>
        <w:rPr>
          <w:rFonts w:ascii="Arial" w:cs="Arial" w:eastAsia="Arial" w:hAnsi="Arial"/>
          <w:sz w:val="19"/>
          <w:szCs w:val="19"/>
          <w:color w:val="auto"/>
        </w:rPr>
        <w:t xml:space="preserve">), it being understood and agreed that if any Refinancing Indebtedness that constitutes a revolving facility includes a financial covenant, the requirement set forth in this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shall be satisfied if such financial covenant is added to this Agreement for the benefit of the then-existing Revolving Facility but not any then-existing Term Facility);</w:t>
      </w:r>
    </w:p>
    <w:p>
      <w:pPr>
        <w:spacing w:after="0" w:line="180" w:lineRule="exact"/>
        <w:rPr>
          <w:rFonts w:ascii="Arial" w:cs="Arial" w:eastAsia="Arial" w:hAnsi="Arial"/>
          <w:sz w:val="19"/>
          <w:szCs w:val="19"/>
          <w:color w:val="auto"/>
        </w:rPr>
      </w:pPr>
    </w:p>
    <w:p>
      <w:pPr>
        <w:ind w:left="840" w:right="59" w:firstLine="751"/>
        <w:spacing w:after="0" w:line="246" w:lineRule="auto"/>
        <w:tabs>
          <w:tab w:leader="none" w:pos="2254" w:val="left"/>
        </w:tabs>
        <w:numPr>
          <w:ilvl w:val="1"/>
          <w:numId w:val="238"/>
        </w:numPr>
        <w:rPr>
          <w:rFonts w:ascii="Arial" w:cs="Arial" w:eastAsia="Arial" w:hAnsi="Arial"/>
          <w:sz w:val="19"/>
          <w:szCs w:val="19"/>
          <w:color w:val="auto"/>
        </w:rPr>
      </w:pPr>
      <w:r>
        <w:rPr>
          <w:rFonts w:ascii="Arial" w:cs="Arial" w:eastAsia="Arial" w:hAnsi="Arial"/>
          <w:sz w:val="19"/>
          <w:szCs w:val="19"/>
          <w:color w:val="auto"/>
        </w:rPr>
        <w:t xml:space="preserve">in the case of Refinancing Indebtedness with respect to Indebtedness permitted under </w:t>
      </w:r>
      <w:r>
        <w:rPr>
          <w:rFonts w:ascii="Arial" w:cs="Arial" w:eastAsia="Arial" w:hAnsi="Arial"/>
          <w:sz w:val="19"/>
          <w:szCs w:val="19"/>
          <w:u w:val="single" w:color="auto"/>
          <w:color w:val="auto"/>
        </w:rPr>
        <w:t>clauses (j)</w:t>
      </w:r>
      <w:r>
        <w:rPr>
          <w:rFonts w:ascii="Arial" w:cs="Arial" w:eastAsia="Arial" w:hAnsi="Arial"/>
          <w:sz w:val="19"/>
          <w:szCs w:val="19"/>
          <w:color w:val="auto"/>
        </w:rPr>
        <w:t xml:space="preserve">, </w:t>
      </w:r>
      <w:r>
        <w:rPr>
          <w:rFonts w:ascii="Arial" w:cs="Arial" w:eastAsia="Arial" w:hAnsi="Arial"/>
          <w:sz w:val="19"/>
          <w:szCs w:val="19"/>
          <w:u w:val="single" w:color="auto"/>
          <w:color w:val="auto"/>
        </w:rPr>
        <w:t>(m)</w:t>
      </w:r>
      <w:r>
        <w:rPr>
          <w:rFonts w:ascii="Arial" w:cs="Arial" w:eastAsia="Arial" w:hAnsi="Arial"/>
          <w:sz w:val="19"/>
          <w:szCs w:val="19"/>
          <w:color w:val="auto"/>
        </w:rPr>
        <w:t xml:space="preserve">, </w:t>
      </w:r>
      <w:r>
        <w:rPr>
          <w:rFonts w:ascii="Arial" w:cs="Arial" w:eastAsia="Arial" w:hAnsi="Arial"/>
          <w:sz w:val="19"/>
          <w:szCs w:val="19"/>
          <w:u w:val="single" w:color="auto"/>
          <w:color w:val="auto"/>
        </w:rPr>
        <w:t>(n)(ii)(C)</w:t>
      </w:r>
      <w:r>
        <w:rPr>
          <w:rFonts w:ascii="Arial" w:cs="Arial" w:eastAsia="Arial" w:hAnsi="Arial"/>
          <w:sz w:val="19"/>
          <w:szCs w:val="19"/>
          <w:color w:val="auto"/>
        </w:rPr>
        <w:t xml:space="preserve">, </w:t>
      </w:r>
      <w:r>
        <w:rPr>
          <w:rFonts w:ascii="Arial" w:cs="Arial" w:eastAsia="Arial" w:hAnsi="Arial"/>
          <w:sz w:val="19"/>
          <w:szCs w:val="19"/>
          <w:u w:val="single" w:color="auto"/>
          <w:color w:val="auto"/>
        </w:rPr>
        <w:t>(u)</w:t>
      </w:r>
      <w:r>
        <w:rPr>
          <w:rFonts w:ascii="Arial" w:cs="Arial" w:eastAsia="Arial" w:hAnsi="Arial"/>
          <w:sz w:val="19"/>
          <w:szCs w:val="19"/>
          <w:color w:val="auto"/>
        </w:rPr>
        <w:t xml:space="preserve">, </w:t>
      </w:r>
      <w:r>
        <w:rPr>
          <w:rFonts w:ascii="Arial" w:cs="Arial" w:eastAsia="Arial" w:hAnsi="Arial"/>
          <w:sz w:val="19"/>
          <w:szCs w:val="19"/>
          <w:u w:val="single" w:color="auto"/>
          <w:color w:val="auto"/>
        </w:rPr>
        <w:t>(w)</w:t>
      </w:r>
      <w:r>
        <w:rPr>
          <w:rFonts w:ascii="Arial" w:cs="Arial" w:eastAsia="Arial" w:hAnsi="Arial"/>
          <w:sz w:val="19"/>
          <w:szCs w:val="19"/>
          <w:color w:val="auto"/>
        </w:rPr>
        <w:t xml:space="preserve"> (solely as it relates to the Fixed Incremental Amount), </w:t>
      </w:r>
      <w:r>
        <w:rPr>
          <w:rFonts w:ascii="Arial" w:cs="Arial" w:eastAsia="Arial" w:hAnsi="Arial"/>
          <w:sz w:val="19"/>
          <w:szCs w:val="19"/>
          <w:u w:val="single" w:color="auto"/>
          <w:color w:val="auto"/>
        </w:rPr>
        <w:t>(y)</w:t>
      </w:r>
      <w:r>
        <w:rPr>
          <w:rFonts w:ascii="Arial" w:cs="Arial" w:eastAsia="Arial" w:hAnsi="Arial"/>
          <w:sz w:val="19"/>
          <w:szCs w:val="19"/>
          <w:color w:val="auto"/>
        </w:rPr>
        <w:t>,</w:t>
      </w:r>
    </w:p>
    <w:p>
      <w:pPr>
        <w:jc w:val="both"/>
        <w:ind w:left="840" w:right="59"/>
        <w:spacing w:after="0" w:line="252" w:lineRule="auto"/>
        <w:rPr>
          <w:rFonts w:ascii="Arial" w:cs="Arial" w:eastAsia="Arial" w:hAnsi="Arial"/>
          <w:sz w:val="19"/>
          <w:szCs w:val="19"/>
          <w:color w:val="auto"/>
        </w:rPr>
      </w:pPr>
      <w:r>
        <w:rPr>
          <w:rFonts w:ascii="Arial" w:cs="Arial" w:eastAsia="Arial" w:hAnsi="Arial"/>
          <w:sz w:val="18"/>
          <w:szCs w:val="18"/>
          <w:u w:val="single" w:color="auto"/>
          <w:color w:val="auto"/>
        </w:rPr>
        <w:t>(z)</w:t>
      </w:r>
      <w:r>
        <w:rPr>
          <w:rFonts w:ascii="Arial" w:cs="Arial" w:eastAsia="Arial" w:hAnsi="Arial"/>
          <w:sz w:val="18"/>
          <w:szCs w:val="18"/>
          <w:color w:val="auto"/>
        </w:rPr>
        <w:t xml:space="preserve"> (solely as it relates to the Fixed Incremental Amount),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(jj)</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6.01</w:t>
      </w:r>
      <w:r>
        <w:rPr>
          <w:rFonts w:ascii="Arial" w:cs="Arial" w:eastAsia="Arial" w:hAnsi="Arial"/>
          <w:sz w:val="18"/>
          <w:szCs w:val="18"/>
          <w:color w:val="auto"/>
        </w:rPr>
        <w:t>, the incurrence thereof shall be without duplication of any amount outstanding in reliance on the relevant clause such that the amount available under the relevant clause shall be reduced by the amount of the applicable Refinancing Indebtedness;</w:t>
      </w:r>
    </w:p>
    <w:p>
      <w:pPr>
        <w:spacing w:after="0" w:line="169" w:lineRule="exact"/>
        <w:rPr>
          <w:rFonts w:ascii="Arial" w:cs="Arial" w:eastAsia="Arial" w:hAnsi="Arial"/>
          <w:sz w:val="19"/>
          <w:szCs w:val="19"/>
          <w:color w:val="auto"/>
        </w:rPr>
      </w:pPr>
    </w:p>
    <w:p>
      <w:pPr>
        <w:ind w:left="2340" w:hanging="748"/>
        <w:spacing w:after="0"/>
        <w:tabs>
          <w:tab w:leader="none" w:pos="2340" w:val="left"/>
        </w:tabs>
        <w:numPr>
          <w:ilvl w:val="1"/>
          <w:numId w:val="238"/>
        </w:numPr>
        <w:rPr>
          <w:rFonts w:ascii="Arial" w:cs="Arial" w:eastAsia="Arial" w:hAnsi="Arial"/>
          <w:sz w:val="19"/>
          <w:szCs w:val="19"/>
          <w:color w:val="auto"/>
        </w:rPr>
      </w:pPr>
      <w:r>
        <w:rPr>
          <w:rFonts w:ascii="Arial" w:cs="Arial" w:eastAsia="Arial" w:hAnsi="Arial"/>
          <w:sz w:val="19"/>
          <w:szCs w:val="19"/>
          <w:color w:val="auto"/>
        </w:rPr>
        <w:t>except in the case of Refinancing Indebtedness constituting Replacement Debt, (A)</w:t>
      </w:r>
    </w:p>
    <w:p>
      <w:pPr>
        <w:spacing w:after="0" w:line="14" w:lineRule="exact"/>
        <w:rPr>
          <w:sz w:val="20"/>
          <w:szCs w:val="20"/>
          <w:color w:val="auto"/>
        </w:rPr>
      </w:pPr>
    </w:p>
    <w:p>
      <w:pPr>
        <w:jc w:val="both"/>
        <w:ind w:left="840" w:right="59" w:firstLine="3"/>
        <w:spacing w:after="0" w:line="241" w:lineRule="auto"/>
        <w:tabs>
          <w:tab w:leader="none" w:pos="1143"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such Indebtedness, if secured, is secured only by Permitted Liens at the time of such refinancing, refunding or replacement (it being understood that secured Indebtedness may be refinanced with unsecured Indebtedness), and (2) either (x) if the Liens securing such Indebtedness were originally contractually subordinated to the Liens on the Collateral securing the Initial Term Loans, the Liens securing such Indebtedness are subordinated to the Liens on the Collateral securing the Initial Term Loans on terms not materially less favorable (as determined by the Borrower in good faith), taken as a whole, to the Lenders than those (I) applicable to the Liens securing the Indebtedness being refinanced, refunded or replaced, taken as a whole, or (II) set forth in any relevant Intercreditor Agreement or (y) the purchase, defeasance, redemption, repurchase, repayment, refinancing or other acquisition or retirement of such Indebtedness is permitted under </w:t>
      </w:r>
      <w:r>
        <w:rPr>
          <w:rFonts w:ascii="Arial" w:cs="Arial" w:eastAsia="Arial" w:hAnsi="Arial"/>
          <w:sz w:val="18"/>
          <w:szCs w:val="18"/>
          <w:u w:val="single" w:color="auto"/>
          <w:color w:val="auto"/>
        </w:rPr>
        <w:t>Section 6.04(b)</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6.04(b)(i)</w:t>
      </w:r>
      <w:r>
        <w:rPr>
          <w:rFonts w:ascii="Arial" w:cs="Arial" w:eastAsia="Arial" w:hAnsi="Arial"/>
          <w:sz w:val="18"/>
          <w:szCs w:val="18"/>
          <w:color w:val="auto"/>
        </w:rPr>
        <w:t xml:space="preserve">); it being understood that the proceeds of any such Refinancing Indebtedness may be funded into Escrow pursuant to customary (in the good faith determination of the Borrower) escrow arrangements, (B) such Indebtedness is incurred by the obligor or obligors in respect of the Indebtedness being refinanced, refunded or replaced, except to the extent otherwise permitted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(it being understood that (1) any entity that was a guarantor in respect of the relevant refinanced Indebtedness may be the primary obligor in respect of the refinancing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138</w:t>
      </w:r>
      <w:r>
        <w:rPr>
          <w:rFonts w:ascii="Arial" w:cs="Arial" w:eastAsia="Arial" w:hAnsi="Arial"/>
          <w:sz w:val="18"/>
          <w:szCs w:val="18"/>
          <w:u w:val="single" w:color="auto"/>
          <w:color w:val="0000FF"/>
          <w:strike w:val="1"/>
        </w:rPr>
        <w:t>138</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06" w:name="page207"/>
    <w:bookmarkEnd w:id="206"/>
    <w:p>
      <w:pPr>
        <w:jc w:val="both"/>
        <w:ind w:left="840" w:right="39"/>
        <w:spacing w:after="0" w:line="247" w:lineRule="auto"/>
        <w:rPr>
          <w:sz w:val="20"/>
          <w:szCs w:val="20"/>
          <w:color w:val="auto"/>
        </w:rPr>
      </w:pPr>
      <w:r>
        <w:rPr>
          <w:rFonts w:ascii="Arial" w:cs="Arial" w:eastAsia="Arial" w:hAnsi="Arial"/>
          <w:sz w:val="18"/>
          <w:szCs w:val="18"/>
          <w:color w:val="auto"/>
        </w:rPr>
        <w:t xml:space="preserve">Indebtedness, and any entity that was the primary obligor in respect of the relevant refinanced Indebtedness may be a guarantor in respect of the refinancing Indebtedness and (2) the obligation of any Person with respect to any Escrow arrangement into which the proceeds of such Refinancing Indebtedness are deposited shall not constitute a Guarantee) and (C) if the Indebtedness being refinanced, refunded or replaced was expressly contractually subordinated to the Obligations in right of payment, (x) such Indebtedness is contractually subordinated to the Obligations in right of payment, or (y) if not contractually subordinated to the Obligations in right of payment, the purchase, defeasance, redemption, repurchase, repayment, refinancing or other acquisition or retirement of such Indebtedness is permitted under </w:t>
      </w:r>
      <w:r>
        <w:rPr>
          <w:rFonts w:ascii="Arial" w:cs="Arial" w:eastAsia="Arial" w:hAnsi="Arial"/>
          <w:sz w:val="18"/>
          <w:szCs w:val="18"/>
          <w:u w:val="single" w:color="auto"/>
          <w:color w:val="auto"/>
        </w:rPr>
        <w:t>Section 6.04(b)</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6.04(b)(i)</w:t>
      </w:r>
      <w:r>
        <w:rPr>
          <w:rFonts w:ascii="Arial" w:cs="Arial" w:eastAsia="Arial" w:hAnsi="Arial"/>
          <w:sz w:val="18"/>
          <w:szCs w:val="18"/>
          <w:color w:val="auto"/>
        </w:rPr>
        <w:t>); and</w:t>
      </w:r>
    </w:p>
    <w:p>
      <w:pPr>
        <w:spacing w:after="0" w:line="172" w:lineRule="exact"/>
        <w:rPr>
          <w:sz w:val="20"/>
          <w:szCs w:val="20"/>
          <w:color w:val="auto"/>
        </w:rPr>
      </w:pPr>
    </w:p>
    <w:p>
      <w:pPr>
        <w:jc w:val="both"/>
        <w:ind w:left="840" w:right="59" w:firstLine="751"/>
        <w:spacing w:after="0" w:line="272" w:lineRule="auto"/>
        <w:tabs>
          <w:tab w:leader="none" w:pos="2254" w:val="left"/>
        </w:tabs>
        <w:numPr>
          <w:ilvl w:val="1"/>
          <w:numId w:val="240"/>
        </w:numPr>
        <w:rPr>
          <w:rFonts w:ascii="Arial" w:cs="Arial" w:eastAsia="Arial" w:hAnsi="Arial"/>
          <w:sz w:val="17"/>
          <w:szCs w:val="17"/>
          <w:color w:val="auto"/>
        </w:rPr>
      </w:pPr>
      <w:r>
        <w:rPr>
          <w:rFonts w:ascii="Arial" w:cs="Arial" w:eastAsia="Arial" w:hAnsi="Arial"/>
          <w:sz w:val="17"/>
          <w:szCs w:val="17"/>
          <w:color w:val="auto"/>
        </w:rPr>
        <w:t xml:space="preserve">in the case of Refinancing Indebtedness constituting Replacement Debt, (A) such Indebtedness is </w:t>
      </w:r>
      <w:r>
        <w:rPr>
          <w:rFonts w:ascii="Arial" w:cs="Arial" w:eastAsia="Arial" w:hAnsi="Arial"/>
          <w:sz w:val="17"/>
          <w:szCs w:val="17"/>
          <w:i w:val="1"/>
          <w:iCs w:val="1"/>
          <w:color w:val="auto"/>
        </w:rPr>
        <w:t>pari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passu </w:t>
      </w:r>
      <w:r>
        <w:rPr>
          <w:rFonts w:ascii="Arial" w:cs="Arial" w:eastAsia="Arial" w:hAnsi="Arial"/>
          <w:sz w:val="17"/>
          <w:szCs w:val="17"/>
          <w:color w:val="auto"/>
        </w:rPr>
        <w:t>or junior in right of payment and secured by the Collateral on a</w:t>
      </w:r>
      <w:r>
        <w:rPr>
          <w:rFonts w:ascii="Arial" w:cs="Arial" w:eastAsia="Arial" w:hAnsi="Arial"/>
          <w:sz w:val="17"/>
          <w:szCs w:val="17"/>
          <w:i w:val="1"/>
          <w:iCs w:val="1"/>
          <w:color w:val="auto"/>
        </w:rPr>
        <w:t xml:space="preserve"> pari passu </w:t>
      </w:r>
      <w:r>
        <w:rPr>
          <w:rFonts w:ascii="Arial" w:cs="Arial" w:eastAsia="Arial" w:hAnsi="Arial"/>
          <w:sz w:val="17"/>
          <w:szCs w:val="17"/>
          <w:color w:val="auto"/>
        </w:rPr>
        <w:t>or junior basis with respect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remaining Obligations hereunder, or is unsecured;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Refinancing Indebtedness that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or junior with respect to the Collateral shall be subject to an Intercreditor Agreement, (B) if the Indebtedness being refinanced, refunded or replaced is secured, it is not secured by any asset that does not constitute Collateral; it being understood that the proceeds of any such Refinancing Indebtedness may be funded into Escrow pursuant to customary (in the good faith determination of the Borrower) escrow arrangements, (C) if the Indebtedness being refinanced, refunded or replaced is Guaranteed, it shall not be Guaranteed by any Restricted Subsidiary of the Borrower other than one or more Loan Parties (it being understood that the obligation of any Person with respect to any Escrow arrangement into which the proceeds of such Refinancing Indebtedness are deposited shall not constitute a Guarantee) and (D) such Refinancing Indebtedness is incurred under (and pursuant to) documentation other than this Agreement;</w:t>
      </w:r>
    </w:p>
    <w:p>
      <w:pPr>
        <w:spacing w:after="0" w:line="168" w:lineRule="exact"/>
        <w:rPr>
          <w:rFonts w:ascii="Arial" w:cs="Arial" w:eastAsia="Arial" w:hAnsi="Arial"/>
          <w:sz w:val="17"/>
          <w:szCs w:val="17"/>
          <w:color w:val="auto"/>
        </w:rPr>
      </w:pPr>
    </w:p>
    <w:p>
      <w:pPr>
        <w:ind w:left="1600" w:hanging="758"/>
        <w:spacing w:after="0"/>
        <w:tabs>
          <w:tab w:leader="none" w:pos="1600" w:val="left"/>
        </w:tabs>
        <w:numPr>
          <w:ilvl w:val="0"/>
          <w:numId w:val="241"/>
        </w:numPr>
        <w:rPr>
          <w:rFonts w:ascii="Arial" w:cs="Arial" w:eastAsia="Arial" w:hAnsi="Arial"/>
          <w:sz w:val="19"/>
          <w:szCs w:val="19"/>
          <w:color w:val="auto"/>
        </w:rPr>
      </w:pPr>
      <w:r>
        <w:rPr>
          <w:rFonts w:ascii="Arial" w:cs="Arial" w:eastAsia="Arial" w:hAnsi="Arial"/>
          <w:sz w:val="19"/>
          <w:szCs w:val="19"/>
          <w:color w:val="auto"/>
        </w:rPr>
        <w:t>[reserved];</w:t>
      </w:r>
    </w:p>
    <w:p>
      <w:pPr>
        <w:spacing w:after="0" w:line="213" w:lineRule="exact"/>
        <w:rPr>
          <w:rFonts w:ascii="Arial" w:cs="Arial" w:eastAsia="Arial" w:hAnsi="Arial"/>
          <w:sz w:val="19"/>
          <w:szCs w:val="19"/>
          <w:color w:val="auto"/>
        </w:rPr>
      </w:pPr>
    </w:p>
    <w:p>
      <w:pPr>
        <w:ind w:left="1600" w:hanging="758"/>
        <w:spacing w:after="0"/>
        <w:tabs>
          <w:tab w:leader="none" w:pos="1600" w:val="left"/>
        </w:tabs>
        <w:numPr>
          <w:ilvl w:val="0"/>
          <w:numId w:val="241"/>
        </w:numPr>
        <w:rPr>
          <w:rFonts w:ascii="Arial" w:cs="Arial" w:eastAsia="Arial" w:hAnsi="Arial"/>
          <w:sz w:val="19"/>
          <w:szCs w:val="19"/>
          <w:color w:val="auto"/>
        </w:rPr>
      </w:pPr>
      <w:r>
        <w:rPr>
          <w:rFonts w:ascii="Arial" w:cs="Arial" w:eastAsia="Arial" w:hAnsi="Arial"/>
          <w:sz w:val="19"/>
          <w:szCs w:val="19"/>
          <w:color w:val="auto"/>
        </w:rPr>
        <w:t>[reserved];</w:t>
      </w:r>
    </w:p>
    <w:p>
      <w:pPr>
        <w:spacing w:after="0" w:line="213" w:lineRule="exact"/>
        <w:rPr>
          <w:rFonts w:ascii="Arial" w:cs="Arial" w:eastAsia="Arial" w:hAnsi="Arial"/>
          <w:sz w:val="19"/>
          <w:szCs w:val="19"/>
          <w:color w:val="auto"/>
        </w:rPr>
      </w:pPr>
    </w:p>
    <w:p>
      <w:pPr>
        <w:ind w:left="100" w:right="59" w:firstLine="742"/>
        <w:spacing w:after="0" w:line="261" w:lineRule="auto"/>
        <w:tabs>
          <w:tab w:leader="none" w:pos="1520" w:val="left"/>
        </w:tabs>
        <w:numPr>
          <w:ilvl w:val="0"/>
          <w:numId w:val="241"/>
        </w:numPr>
        <w:rPr>
          <w:rFonts w:ascii="Arial" w:cs="Arial" w:eastAsia="Arial" w:hAnsi="Arial"/>
          <w:sz w:val="19"/>
          <w:szCs w:val="19"/>
          <w:color w:val="auto"/>
        </w:rPr>
      </w:pPr>
      <w:r>
        <w:rPr>
          <w:rFonts w:ascii="Arial" w:cs="Arial" w:eastAsia="Arial" w:hAnsi="Arial"/>
          <w:sz w:val="19"/>
          <w:szCs w:val="19"/>
          <w:color w:val="auto"/>
        </w:rPr>
        <w:t>Indebtedness of the Borrower and/or any Restricted Subsidiary under any Derivative Transaction not entered into for speculative purposes;</w:t>
      </w:r>
    </w:p>
    <w:p>
      <w:pPr>
        <w:spacing w:after="0" w:line="172" w:lineRule="exact"/>
        <w:rPr>
          <w:rFonts w:ascii="Arial" w:cs="Arial" w:eastAsia="Arial" w:hAnsi="Arial"/>
          <w:sz w:val="19"/>
          <w:szCs w:val="19"/>
          <w:color w:val="auto"/>
        </w:rPr>
      </w:pPr>
    </w:p>
    <w:p>
      <w:pPr>
        <w:jc w:val="both"/>
        <w:ind w:left="100" w:right="59" w:firstLine="741"/>
        <w:spacing w:after="0" w:line="283" w:lineRule="auto"/>
        <w:tabs>
          <w:tab w:leader="none" w:pos="1519" w:val="left"/>
        </w:tabs>
        <w:numPr>
          <w:ilvl w:val="0"/>
          <w:numId w:val="241"/>
        </w:numPr>
        <w:rPr>
          <w:rFonts w:ascii="Arial" w:cs="Arial" w:eastAsia="Arial" w:hAnsi="Arial"/>
          <w:sz w:val="17"/>
          <w:szCs w:val="17"/>
          <w:color w:val="auto"/>
        </w:rPr>
      </w:pPr>
      <w:r>
        <w:rPr>
          <w:rFonts w:ascii="Arial" w:cs="Arial" w:eastAsia="Arial" w:hAnsi="Arial"/>
          <w:sz w:val="17"/>
          <w:szCs w:val="17"/>
          <w:color w:val="auto"/>
        </w:rPr>
        <w:t>Indebtedness of the Borrower and/or any Restricted Subsidiary representing (i) deferred compensation to current or former directors, officers, employees, members of management, managers, and consultants of any Parent Company, the Borrower and/or any Restricted Subsidiary in the ordinary course of business and (ii) deferred compensation or other similar arrangements in connection with the Transactions, any Permitted Acquisition or any other Investment permitted hereby;</w:t>
      </w:r>
    </w:p>
    <w:p>
      <w:pPr>
        <w:spacing w:after="0" w:line="158" w:lineRule="exact"/>
        <w:rPr>
          <w:rFonts w:ascii="Arial" w:cs="Arial" w:eastAsia="Arial" w:hAnsi="Arial"/>
          <w:sz w:val="17"/>
          <w:szCs w:val="17"/>
          <w:color w:val="auto"/>
        </w:rPr>
      </w:pPr>
    </w:p>
    <w:p>
      <w:pPr>
        <w:jc w:val="both"/>
        <w:ind w:left="100" w:right="59" w:firstLine="741"/>
        <w:spacing w:after="0" w:line="256" w:lineRule="auto"/>
        <w:tabs>
          <w:tab w:leader="none" w:pos="1519" w:val="left"/>
        </w:tabs>
        <w:numPr>
          <w:ilvl w:val="0"/>
          <w:numId w:val="241"/>
        </w:numPr>
        <w:rPr>
          <w:rFonts w:ascii="Arial" w:cs="Arial" w:eastAsia="Arial" w:hAnsi="Arial"/>
          <w:sz w:val="19"/>
          <w:szCs w:val="19"/>
          <w:color w:val="auto"/>
        </w:rPr>
      </w:pPr>
      <w:r>
        <w:rPr>
          <w:rFonts w:ascii="Arial" w:cs="Arial" w:eastAsia="Arial" w:hAnsi="Arial"/>
          <w:sz w:val="19"/>
          <w:szCs w:val="19"/>
          <w:color w:val="auto"/>
        </w:rPr>
        <w:t>Indebtedness of the Borrower and/or any Restricted Subsidiary in an aggregate outstanding principal amount not to exceed the greater of $42,500,000 and 50% of Consolidated Adjusted EBITDA as of the last day of the most recently ended Test Period;</w:t>
      </w:r>
    </w:p>
    <w:p>
      <w:pPr>
        <w:spacing w:after="0" w:line="178" w:lineRule="exact"/>
        <w:rPr>
          <w:rFonts w:ascii="Arial" w:cs="Arial" w:eastAsia="Arial" w:hAnsi="Arial"/>
          <w:sz w:val="19"/>
          <w:szCs w:val="19"/>
          <w:color w:val="auto"/>
        </w:rPr>
      </w:pPr>
    </w:p>
    <w:p>
      <w:pPr>
        <w:ind w:left="1600" w:hanging="758"/>
        <w:spacing w:after="0"/>
        <w:tabs>
          <w:tab w:leader="none" w:pos="1600" w:val="left"/>
        </w:tabs>
        <w:numPr>
          <w:ilvl w:val="0"/>
          <w:numId w:val="241"/>
        </w:numPr>
        <w:rPr>
          <w:rFonts w:ascii="Arial" w:cs="Arial" w:eastAsia="Arial" w:hAnsi="Arial"/>
          <w:sz w:val="19"/>
          <w:szCs w:val="19"/>
          <w:color w:val="auto"/>
        </w:rPr>
      </w:pPr>
      <w:r>
        <w:rPr>
          <w:rFonts w:ascii="Arial" w:cs="Arial" w:eastAsia="Arial" w:hAnsi="Arial"/>
          <w:sz w:val="19"/>
          <w:szCs w:val="19"/>
          <w:color w:val="auto"/>
        </w:rPr>
        <w:t>[reserved];</w:t>
      </w:r>
    </w:p>
    <w:p>
      <w:pPr>
        <w:spacing w:after="0" w:line="213" w:lineRule="exact"/>
        <w:rPr>
          <w:rFonts w:ascii="Arial" w:cs="Arial" w:eastAsia="Arial" w:hAnsi="Arial"/>
          <w:sz w:val="19"/>
          <w:szCs w:val="19"/>
          <w:color w:val="auto"/>
        </w:rPr>
      </w:pPr>
    </w:p>
    <w:p>
      <w:pPr>
        <w:ind w:left="100" w:right="59" w:firstLine="741"/>
        <w:spacing w:after="0" w:line="261" w:lineRule="auto"/>
        <w:tabs>
          <w:tab w:leader="none" w:pos="1519" w:val="left"/>
        </w:tabs>
        <w:numPr>
          <w:ilvl w:val="0"/>
          <w:numId w:val="241"/>
        </w:numPr>
        <w:rPr>
          <w:rFonts w:ascii="Arial" w:cs="Arial" w:eastAsia="Arial" w:hAnsi="Arial"/>
          <w:sz w:val="19"/>
          <w:szCs w:val="19"/>
          <w:color w:val="auto"/>
        </w:rPr>
      </w:pPr>
      <w:r>
        <w:rPr>
          <w:rFonts w:ascii="Arial" w:cs="Arial" w:eastAsia="Arial" w:hAnsi="Arial"/>
          <w:sz w:val="19"/>
          <w:szCs w:val="19"/>
          <w:color w:val="auto"/>
        </w:rPr>
        <w:t xml:space="preserve">Indebtedness of the Borrower and/or any Restricted Subsidiary (any Indebtedness incurred pursuant to this </w:t>
      </w:r>
      <w:r>
        <w:rPr>
          <w:rFonts w:ascii="Arial" w:cs="Arial" w:eastAsia="Arial" w:hAnsi="Arial"/>
          <w:sz w:val="19"/>
          <w:szCs w:val="19"/>
          <w:u w:val="single" w:color="auto"/>
          <w:color w:val="auto"/>
        </w:rPr>
        <w:t>Section 6.01(w)</w:t>
      </w:r>
      <w:r>
        <w:rPr>
          <w:rFonts w:ascii="Arial" w:cs="Arial" w:eastAsia="Arial" w:hAnsi="Arial"/>
          <w:sz w:val="19"/>
          <w:szCs w:val="19"/>
          <w:color w:val="auto"/>
        </w:rPr>
        <w:t>, “</w:t>
      </w:r>
      <w:r>
        <w:rPr>
          <w:rFonts w:ascii="Arial" w:cs="Arial" w:eastAsia="Arial" w:hAnsi="Arial"/>
          <w:sz w:val="19"/>
          <w:szCs w:val="19"/>
          <w:u w:val="single" w:color="auto"/>
          <w:color w:val="auto"/>
        </w:rPr>
        <w:t>Ratio Debt</w:t>
      </w:r>
      <w:r>
        <w:rPr>
          <w:rFonts w:ascii="Arial" w:cs="Arial" w:eastAsia="Arial" w:hAnsi="Arial"/>
          <w:sz w:val="19"/>
          <w:szCs w:val="19"/>
          <w:color w:val="auto"/>
        </w:rPr>
        <w:t>”) so long as:</w:t>
      </w:r>
    </w:p>
    <w:p>
      <w:pPr>
        <w:spacing w:after="0" w:line="172" w:lineRule="exact"/>
        <w:rPr>
          <w:rFonts w:ascii="Arial" w:cs="Arial" w:eastAsia="Arial" w:hAnsi="Arial"/>
          <w:sz w:val="19"/>
          <w:szCs w:val="19"/>
          <w:color w:val="auto"/>
        </w:rPr>
      </w:pPr>
    </w:p>
    <w:p>
      <w:pPr>
        <w:jc w:val="both"/>
        <w:ind w:left="840" w:right="59" w:firstLine="751"/>
        <w:spacing w:after="0" w:line="243" w:lineRule="auto"/>
        <w:tabs>
          <w:tab w:leader="none" w:pos="2254" w:val="left"/>
        </w:tabs>
        <w:numPr>
          <w:ilvl w:val="1"/>
          <w:numId w:val="241"/>
        </w:numPr>
        <w:rPr>
          <w:rFonts w:ascii="Arial" w:cs="Arial" w:eastAsia="Arial" w:hAnsi="Arial"/>
          <w:sz w:val="19"/>
          <w:szCs w:val="19"/>
          <w:color w:val="auto"/>
        </w:rPr>
      </w:pPr>
      <w:r>
        <w:rPr>
          <w:rFonts w:ascii="Arial" w:cs="Arial" w:eastAsia="Arial" w:hAnsi="Arial"/>
          <w:sz w:val="19"/>
          <w:szCs w:val="19"/>
          <w:color w:val="auto"/>
        </w:rPr>
        <w:t xml:space="preserve">after giving effect thereto, including the application of the proceeds thereof (in each case, without “netting” the cash proceeds of the applicable Indebtedness being incurred), the outstanding principal thereof does not exceed an amount equal to the sum of (x) the Fixed Incremental Amount, (y) (A) the Incremental Prepayment Amount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the amount of any Incremental Facility and/or Incremental Equivalent Debt incurred or implemented in reliance 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139</w:t>
      </w:r>
      <w:r>
        <w:rPr>
          <w:rFonts w:ascii="Arial" w:cs="Arial" w:eastAsia="Arial" w:hAnsi="Arial"/>
          <w:sz w:val="18"/>
          <w:szCs w:val="18"/>
          <w:u w:val="single" w:color="auto"/>
          <w:color w:val="0000FF"/>
          <w:strike w:val="1"/>
        </w:rPr>
        <w:t>139</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07" w:name="page208"/>
    <w:bookmarkEnd w:id="207"/>
    <w:p>
      <w:pPr>
        <w:ind w:left="840" w:right="340"/>
        <w:spacing w:after="0" w:line="261" w:lineRule="auto"/>
        <w:rPr>
          <w:sz w:val="20"/>
          <w:szCs w:val="20"/>
          <w:color w:val="auto"/>
        </w:rPr>
      </w:pP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of the definition of “Incremental Cap” and (z) an additional unlimited amount, so long as, in the case of this </w:t>
      </w:r>
      <w:r>
        <w:rPr>
          <w:rFonts w:ascii="Arial" w:cs="Arial" w:eastAsia="Arial" w:hAnsi="Arial"/>
          <w:sz w:val="19"/>
          <w:szCs w:val="19"/>
          <w:u w:val="single" w:color="auto"/>
          <w:color w:val="auto"/>
        </w:rPr>
        <w:t>clause (z)</w:t>
      </w:r>
      <w:r>
        <w:rPr>
          <w:rFonts w:ascii="Arial" w:cs="Arial" w:eastAsia="Arial" w:hAnsi="Arial"/>
          <w:sz w:val="19"/>
          <w:szCs w:val="19"/>
          <w:color w:val="auto"/>
        </w:rPr>
        <w:t>, on a Pro Forma Basis:</w:t>
      </w:r>
    </w:p>
    <w:p>
      <w:pPr>
        <w:spacing w:after="0" w:line="159" w:lineRule="exact"/>
        <w:rPr>
          <w:sz w:val="20"/>
          <w:szCs w:val="20"/>
          <w:color w:val="auto"/>
        </w:rPr>
      </w:pPr>
    </w:p>
    <w:p>
      <w:pPr>
        <w:ind w:left="3000" w:hanging="659"/>
        <w:spacing w:after="0"/>
        <w:tabs>
          <w:tab w:leader="none" w:pos="3000" w:val="left"/>
        </w:tabs>
        <w:numPr>
          <w:ilvl w:val="3"/>
          <w:numId w:val="242"/>
        </w:numPr>
        <w:rPr>
          <w:rFonts w:ascii="Arial" w:cs="Arial" w:eastAsia="Arial" w:hAnsi="Arial"/>
          <w:sz w:val="18"/>
          <w:szCs w:val="18"/>
          <w:color w:val="auto"/>
        </w:rPr>
      </w:pPr>
      <w:r>
        <w:rPr>
          <w:rFonts w:ascii="Arial" w:cs="Arial" w:eastAsia="Arial" w:hAnsi="Arial"/>
          <w:sz w:val="18"/>
          <w:szCs w:val="18"/>
          <w:color w:val="auto"/>
        </w:rPr>
        <w:t>if such Ratio Debt constitutes First Lien Debt, the First Lien Net Leverage Ratio does not</w:t>
      </w:r>
    </w:p>
    <w:p>
      <w:pPr>
        <w:spacing w:after="0" w:line="25"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9"/>
          <w:szCs w:val="19"/>
          <w:color w:val="auto"/>
        </w:rPr>
        <w:t>exceed 3.60:1.00;</w:t>
      </w:r>
    </w:p>
    <w:p>
      <w:pPr>
        <w:spacing w:after="0" w:line="197" w:lineRule="exact"/>
        <w:rPr>
          <w:rFonts w:ascii="Arial" w:cs="Arial" w:eastAsia="Arial" w:hAnsi="Arial"/>
          <w:sz w:val="18"/>
          <w:szCs w:val="18"/>
          <w:color w:val="auto"/>
        </w:rPr>
      </w:pPr>
    </w:p>
    <w:p>
      <w:pPr>
        <w:ind w:left="1600" w:right="60" w:firstLine="741"/>
        <w:spacing w:after="0" w:line="261" w:lineRule="auto"/>
        <w:tabs>
          <w:tab w:leader="none" w:pos="3008" w:val="left"/>
        </w:tabs>
        <w:numPr>
          <w:ilvl w:val="3"/>
          <w:numId w:val="242"/>
        </w:numPr>
        <w:rPr>
          <w:rFonts w:ascii="Arial" w:cs="Arial" w:eastAsia="Arial" w:hAnsi="Arial"/>
          <w:sz w:val="19"/>
          <w:szCs w:val="19"/>
          <w:color w:val="auto"/>
        </w:rPr>
      </w:pPr>
      <w:r>
        <w:rPr>
          <w:rFonts w:ascii="Arial" w:cs="Arial" w:eastAsia="Arial" w:hAnsi="Arial"/>
          <w:sz w:val="19"/>
          <w:szCs w:val="19"/>
          <w:color w:val="auto"/>
        </w:rPr>
        <w:t>if such Ratio Debt constitutes Junior Lien Debt, the Secured Net Leverage Ratio does not exceed 4.10:1.00; or</w:t>
      </w:r>
    </w:p>
    <w:p>
      <w:pPr>
        <w:spacing w:after="0" w:line="172" w:lineRule="exact"/>
        <w:rPr>
          <w:rFonts w:ascii="Arial" w:cs="Arial" w:eastAsia="Arial" w:hAnsi="Arial"/>
          <w:sz w:val="19"/>
          <w:szCs w:val="19"/>
          <w:color w:val="auto"/>
        </w:rPr>
      </w:pPr>
    </w:p>
    <w:p>
      <w:pPr>
        <w:ind w:left="1600" w:right="60" w:firstLine="741"/>
        <w:spacing w:after="0" w:line="261" w:lineRule="auto"/>
        <w:tabs>
          <w:tab w:leader="none" w:pos="3008" w:val="left"/>
        </w:tabs>
        <w:numPr>
          <w:ilvl w:val="3"/>
          <w:numId w:val="242"/>
        </w:numPr>
        <w:rPr>
          <w:rFonts w:ascii="Arial" w:cs="Arial" w:eastAsia="Arial" w:hAnsi="Arial"/>
          <w:sz w:val="19"/>
          <w:szCs w:val="19"/>
          <w:color w:val="auto"/>
        </w:rPr>
      </w:pPr>
      <w:r>
        <w:rPr>
          <w:rFonts w:ascii="Arial" w:cs="Arial" w:eastAsia="Arial" w:hAnsi="Arial"/>
          <w:sz w:val="19"/>
          <w:szCs w:val="19"/>
          <w:color w:val="auto"/>
        </w:rPr>
        <w:t>if such Ratio Debt is not secured by the Collateral or is unsecured, the Total Net Leverage Ratio does not exceed 4.35:1.00;</w:t>
      </w:r>
    </w:p>
    <w:p>
      <w:pPr>
        <w:spacing w:after="0" w:line="172" w:lineRule="exact"/>
        <w:rPr>
          <w:rFonts w:ascii="Arial" w:cs="Arial" w:eastAsia="Arial" w:hAnsi="Arial"/>
          <w:sz w:val="19"/>
          <w:szCs w:val="19"/>
          <w:color w:val="auto"/>
        </w:rPr>
      </w:pPr>
    </w:p>
    <w:p>
      <w:pPr>
        <w:jc w:val="both"/>
        <w:ind w:left="840" w:firstLine="752"/>
        <w:spacing w:after="0" w:line="301" w:lineRule="auto"/>
        <w:tabs>
          <w:tab w:leader="none" w:pos="2258" w:val="left"/>
        </w:tabs>
        <w:numPr>
          <w:ilvl w:val="2"/>
          <w:numId w:val="243"/>
        </w:numPr>
        <w:rPr>
          <w:rFonts w:ascii="Arial" w:cs="Arial" w:eastAsia="Arial" w:hAnsi="Arial"/>
          <w:sz w:val="17"/>
          <w:szCs w:val="17"/>
          <w:color w:val="auto"/>
        </w:rPr>
      </w:pPr>
      <w:r>
        <w:rPr>
          <w:rFonts w:ascii="Arial" w:cs="Arial" w:eastAsia="Arial" w:hAnsi="Arial"/>
          <w:sz w:val="17"/>
          <w:szCs w:val="17"/>
          <w:color w:val="auto"/>
        </w:rPr>
        <w:t xml:space="preserve">the aggregate outstanding principal amount of Ratio Debt incurred in reliance on this </w:t>
      </w:r>
      <w:r>
        <w:rPr>
          <w:rFonts w:ascii="Arial" w:cs="Arial" w:eastAsia="Arial" w:hAnsi="Arial"/>
          <w:sz w:val="17"/>
          <w:szCs w:val="17"/>
          <w:u w:val="single" w:color="auto"/>
          <w:color w:val="auto"/>
        </w:rPr>
        <w:t>Section 6.01(w)</w:t>
      </w:r>
      <w:r>
        <w:rPr>
          <w:rFonts w:ascii="Arial" w:cs="Arial" w:eastAsia="Arial" w:hAnsi="Arial"/>
          <w:sz w:val="17"/>
          <w:szCs w:val="17"/>
          <w:color w:val="auto"/>
        </w:rPr>
        <w:t xml:space="preserve"> by Restricted Subsidiaries that are not Loan Parties shall not, at any time, exceed an amount equal to the greater of $42,500,000 and 50% of Consolidated Adjusted EBITDA as of the last day of the most recently ended Test Period; and</w:t>
      </w:r>
    </w:p>
    <w:p>
      <w:pPr>
        <w:spacing w:after="0" w:line="142" w:lineRule="exact"/>
        <w:rPr>
          <w:rFonts w:ascii="Arial" w:cs="Arial" w:eastAsia="Arial" w:hAnsi="Arial"/>
          <w:sz w:val="17"/>
          <w:szCs w:val="17"/>
          <w:color w:val="auto"/>
        </w:rPr>
      </w:pPr>
    </w:p>
    <w:p>
      <w:pPr>
        <w:ind w:left="840" w:right="40" w:firstLine="751"/>
        <w:spacing w:after="0" w:line="289" w:lineRule="auto"/>
        <w:tabs>
          <w:tab w:leader="none" w:pos="2256" w:val="left"/>
        </w:tabs>
        <w:numPr>
          <w:ilvl w:val="2"/>
          <w:numId w:val="243"/>
        </w:numPr>
        <w:rPr>
          <w:rFonts w:ascii="Arial" w:cs="Arial" w:eastAsia="Arial" w:hAnsi="Arial"/>
          <w:sz w:val="18"/>
          <w:szCs w:val="18"/>
          <w:color w:val="auto"/>
        </w:rPr>
      </w:pPr>
      <w:r>
        <w:rPr>
          <w:rFonts w:ascii="Arial" w:cs="Arial" w:eastAsia="Arial" w:hAnsi="Arial"/>
          <w:sz w:val="18"/>
          <w:szCs w:val="18"/>
          <w:color w:val="auto"/>
        </w:rPr>
        <w:t>if such Ratio Debt is issued or incurred by any Loan Party and consists of third party Indebtedness for borrowed money (other than Indebtedness among the Borrower and its Restricted Subsidiaries):</w:t>
      </w:r>
    </w:p>
    <w:p>
      <w:pPr>
        <w:spacing w:after="0" w:line="149" w:lineRule="exact"/>
        <w:rPr>
          <w:rFonts w:ascii="Arial" w:cs="Arial" w:eastAsia="Arial" w:hAnsi="Arial"/>
          <w:sz w:val="18"/>
          <w:szCs w:val="18"/>
          <w:color w:val="auto"/>
        </w:rPr>
      </w:pPr>
    </w:p>
    <w:p>
      <w:pPr>
        <w:ind w:left="1600" w:right="60" w:firstLine="741"/>
        <w:spacing w:after="0" w:line="261" w:lineRule="auto"/>
        <w:tabs>
          <w:tab w:leader="none" w:pos="3008" w:val="left"/>
        </w:tabs>
        <w:numPr>
          <w:ilvl w:val="3"/>
          <w:numId w:val="243"/>
        </w:numPr>
        <w:rPr>
          <w:rFonts w:ascii="Arial" w:cs="Arial" w:eastAsia="Arial" w:hAnsi="Arial"/>
          <w:sz w:val="19"/>
          <w:szCs w:val="19"/>
          <w:color w:val="auto"/>
        </w:rPr>
      </w:pPr>
      <w:r>
        <w:rPr>
          <w:rFonts w:ascii="Arial" w:cs="Arial" w:eastAsia="Arial" w:hAnsi="Arial"/>
          <w:sz w:val="19"/>
          <w:szCs w:val="19"/>
          <w:color w:val="auto"/>
        </w:rPr>
        <w:t>the final maturity date of such Indebtedness (other than revolving loans) is no earlier than the Latest Term Loan Maturity Date on the date of the issuance or incurrence thereof,</w:t>
      </w:r>
    </w:p>
    <w:p>
      <w:pPr>
        <w:spacing w:after="0" w:line="172" w:lineRule="exact"/>
        <w:rPr>
          <w:rFonts w:ascii="Arial" w:cs="Arial" w:eastAsia="Arial" w:hAnsi="Arial"/>
          <w:sz w:val="19"/>
          <w:szCs w:val="19"/>
          <w:color w:val="auto"/>
        </w:rPr>
      </w:pPr>
    </w:p>
    <w:p>
      <w:pPr>
        <w:ind w:left="1600" w:right="60" w:firstLine="741"/>
        <w:spacing w:after="0" w:line="320" w:lineRule="auto"/>
        <w:tabs>
          <w:tab w:leader="none" w:pos="3008" w:val="left"/>
        </w:tabs>
        <w:numPr>
          <w:ilvl w:val="3"/>
          <w:numId w:val="243"/>
        </w:numPr>
        <w:rPr>
          <w:rFonts w:ascii="Arial" w:cs="Arial" w:eastAsia="Arial" w:hAnsi="Arial"/>
          <w:sz w:val="17"/>
          <w:szCs w:val="17"/>
          <w:color w:val="auto"/>
        </w:rPr>
      </w:pPr>
      <w:r>
        <w:rPr>
          <w:rFonts w:ascii="Arial" w:cs="Arial" w:eastAsia="Arial" w:hAnsi="Arial"/>
          <w:sz w:val="17"/>
          <w:szCs w:val="17"/>
          <w:color w:val="auto"/>
        </w:rPr>
        <w:t>the Weighted Average Life to Maturity applicable to such Indebtedness (other than revolving loans) is no shorter than the Weighted Average Life to Maturity of the then-existing Term Loans, and</w:t>
      </w:r>
    </w:p>
    <w:p>
      <w:pPr>
        <w:spacing w:after="0" w:line="126" w:lineRule="exact"/>
        <w:rPr>
          <w:rFonts w:ascii="Arial" w:cs="Arial" w:eastAsia="Arial" w:hAnsi="Arial"/>
          <w:sz w:val="17"/>
          <w:szCs w:val="17"/>
          <w:color w:val="auto"/>
        </w:rPr>
      </w:pPr>
    </w:p>
    <w:p>
      <w:pPr>
        <w:ind w:left="1600" w:right="60" w:firstLine="741"/>
        <w:spacing w:after="0" w:line="261" w:lineRule="auto"/>
        <w:tabs>
          <w:tab w:leader="none" w:pos="3008" w:val="left"/>
        </w:tabs>
        <w:numPr>
          <w:ilvl w:val="3"/>
          <w:numId w:val="243"/>
        </w:numPr>
        <w:rPr>
          <w:rFonts w:ascii="Arial" w:cs="Arial" w:eastAsia="Arial" w:hAnsi="Arial"/>
          <w:sz w:val="19"/>
          <w:szCs w:val="19"/>
          <w:color w:val="auto"/>
        </w:rPr>
      </w:pPr>
      <w:r>
        <w:rPr>
          <w:rFonts w:ascii="Arial" w:cs="Arial" w:eastAsia="Arial" w:hAnsi="Arial"/>
          <w:sz w:val="19"/>
          <w:szCs w:val="19"/>
          <w:color w:val="auto"/>
        </w:rPr>
        <w:t>if such Indebtedness constitutes revolving loans, such Indebtedness will not mature or have any mandatory commitment reductions prior to the Initial Revolving Credit Maturity Date;</w:t>
      </w:r>
    </w:p>
    <w:p>
      <w:pPr>
        <w:spacing w:after="0" w:line="172" w:lineRule="exact"/>
        <w:rPr>
          <w:rFonts w:ascii="Arial" w:cs="Arial" w:eastAsia="Arial" w:hAnsi="Arial"/>
          <w:sz w:val="19"/>
          <w:szCs w:val="19"/>
          <w:color w:val="auto"/>
        </w:rPr>
      </w:pPr>
    </w:p>
    <w:p>
      <w:pPr>
        <w:ind w:left="1600" w:hanging="758"/>
        <w:spacing w:after="0"/>
        <w:tabs>
          <w:tab w:leader="none" w:pos="1600" w:val="left"/>
        </w:tabs>
        <w:numPr>
          <w:ilvl w:val="1"/>
          <w:numId w:val="244"/>
        </w:numPr>
        <w:rPr>
          <w:rFonts w:ascii="Arial" w:cs="Arial" w:eastAsia="Arial" w:hAnsi="Arial"/>
          <w:sz w:val="19"/>
          <w:szCs w:val="19"/>
          <w:color w:val="auto"/>
        </w:rPr>
      </w:pPr>
      <w:r>
        <w:rPr>
          <w:rFonts w:ascii="Arial" w:cs="Arial" w:eastAsia="Arial" w:hAnsi="Arial"/>
          <w:sz w:val="19"/>
          <w:szCs w:val="19"/>
          <w:color w:val="auto"/>
        </w:rPr>
        <w:t>[reserved];</w:t>
      </w:r>
    </w:p>
    <w:p>
      <w:pPr>
        <w:spacing w:after="0" w:line="213" w:lineRule="exact"/>
        <w:rPr>
          <w:rFonts w:ascii="Arial" w:cs="Arial" w:eastAsia="Arial" w:hAnsi="Arial"/>
          <w:sz w:val="19"/>
          <w:szCs w:val="19"/>
          <w:color w:val="auto"/>
        </w:rPr>
      </w:pPr>
    </w:p>
    <w:p>
      <w:pPr>
        <w:ind w:left="100" w:right="160" w:firstLine="741"/>
        <w:spacing w:after="0" w:line="261" w:lineRule="auto"/>
        <w:tabs>
          <w:tab w:leader="none" w:pos="1519" w:val="left"/>
        </w:tabs>
        <w:numPr>
          <w:ilvl w:val="1"/>
          <w:numId w:val="244"/>
        </w:numPr>
        <w:rPr>
          <w:rFonts w:ascii="Arial" w:cs="Arial" w:eastAsia="Arial" w:hAnsi="Arial"/>
          <w:sz w:val="19"/>
          <w:szCs w:val="19"/>
          <w:color w:val="auto"/>
        </w:rPr>
      </w:pPr>
      <w:r>
        <w:rPr>
          <w:rFonts w:ascii="Arial" w:cs="Arial" w:eastAsia="Arial" w:hAnsi="Arial"/>
          <w:sz w:val="19"/>
          <w:szCs w:val="19"/>
          <w:color w:val="auto"/>
        </w:rPr>
        <w:t xml:space="preserve">Indebtedness of the Borrower and/or any Restricted Subsidiary incurred in connection with any Sale and Lease-Back Transaction permitted pursuant to </w:t>
      </w:r>
      <w:r>
        <w:rPr>
          <w:rFonts w:ascii="Arial" w:cs="Arial" w:eastAsia="Arial" w:hAnsi="Arial"/>
          <w:sz w:val="19"/>
          <w:szCs w:val="19"/>
          <w:u w:val="single" w:color="auto"/>
          <w:color w:val="auto"/>
        </w:rPr>
        <w:t>Section 6.07</w:t>
      </w:r>
      <w:r>
        <w:rPr>
          <w:rFonts w:ascii="Arial" w:cs="Arial" w:eastAsia="Arial" w:hAnsi="Arial"/>
          <w:sz w:val="19"/>
          <w:szCs w:val="19"/>
          <w:color w:val="auto"/>
        </w:rPr>
        <w:t>;</w:t>
      </w:r>
    </w:p>
    <w:p>
      <w:pPr>
        <w:spacing w:after="0" w:line="186" w:lineRule="exact"/>
        <w:rPr>
          <w:rFonts w:ascii="Arial" w:cs="Arial" w:eastAsia="Arial" w:hAnsi="Arial"/>
          <w:sz w:val="19"/>
          <w:szCs w:val="19"/>
          <w:color w:val="auto"/>
        </w:rPr>
      </w:pPr>
    </w:p>
    <w:p>
      <w:pPr>
        <w:ind w:left="1600" w:hanging="758"/>
        <w:spacing w:after="0"/>
        <w:tabs>
          <w:tab w:leader="none" w:pos="1600" w:val="left"/>
        </w:tabs>
        <w:numPr>
          <w:ilvl w:val="1"/>
          <w:numId w:val="244"/>
        </w:numPr>
        <w:rPr>
          <w:rFonts w:ascii="Arial" w:cs="Arial" w:eastAsia="Arial" w:hAnsi="Arial"/>
          <w:sz w:val="19"/>
          <w:szCs w:val="19"/>
          <w:color w:val="auto"/>
        </w:rPr>
      </w:pPr>
      <w:r>
        <w:rPr>
          <w:rFonts w:ascii="Arial" w:cs="Arial" w:eastAsia="Arial" w:hAnsi="Arial"/>
          <w:sz w:val="19"/>
          <w:szCs w:val="19"/>
          <w:color w:val="auto"/>
        </w:rPr>
        <w:t>any Incremental Equivalent Debt;</w:t>
      </w:r>
    </w:p>
    <w:p>
      <w:pPr>
        <w:spacing w:after="0" w:line="213" w:lineRule="exact"/>
        <w:rPr>
          <w:rFonts w:ascii="Arial" w:cs="Arial" w:eastAsia="Arial" w:hAnsi="Arial"/>
          <w:sz w:val="19"/>
          <w:szCs w:val="19"/>
          <w:color w:val="auto"/>
        </w:rPr>
      </w:pPr>
    </w:p>
    <w:p>
      <w:pPr>
        <w:jc w:val="both"/>
        <w:ind w:left="100" w:right="60" w:firstLine="741"/>
        <w:spacing w:after="0" w:line="266" w:lineRule="auto"/>
        <w:tabs>
          <w:tab w:leader="none" w:pos="1289" w:val="left"/>
        </w:tabs>
        <w:numPr>
          <w:ilvl w:val="1"/>
          <w:numId w:val="244"/>
        </w:numPr>
        <w:rPr>
          <w:rFonts w:ascii="Arial" w:cs="Arial" w:eastAsia="Arial" w:hAnsi="Arial"/>
          <w:sz w:val="17"/>
          <w:szCs w:val="17"/>
          <w:color w:val="auto"/>
        </w:rPr>
      </w:pPr>
      <w:r>
        <w:rPr>
          <w:rFonts w:ascii="Arial" w:cs="Arial" w:eastAsia="Arial" w:hAnsi="Arial"/>
          <w:sz w:val="17"/>
          <w:szCs w:val="17"/>
          <w:color w:val="auto"/>
        </w:rPr>
        <w:t>Indebtedness (including obligations in respect of letters of credit, bank guarantees, bankers’ acceptances, surety bonds, performance bonds or similar instruments with respect to such Indebtedness) incurred by the Borrower and/or any Restricted Subsidiary in respect of workers compensation claims, unemployment, property, casualty or liability insurance (including premiums related thereto) or self-insurance, other reimbursement-type obligations regarding workers’ compensation claims, other types of social security, pension obligations, vacation pay or health, disability or other employee benefits;</w:t>
      </w:r>
    </w:p>
    <w:p>
      <w:pPr>
        <w:spacing w:after="0" w:line="158" w:lineRule="exact"/>
        <w:rPr>
          <w:rFonts w:ascii="Arial" w:cs="Arial" w:eastAsia="Arial" w:hAnsi="Arial"/>
          <w:sz w:val="17"/>
          <w:szCs w:val="17"/>
          <w:color w:val="auto"/>
        </w:rPr>
      </w:pPr>
    </w:p>
    <w:p>
      <w:pPr>
        <w:jc w:val="both"/>
        <w:ind w:left="100" w:right="60" w:firstLine="741"/>
        <w:spacing w:after="0" w:line="236" w:lineRule="auto"/>
        <w:tabs>
          <w:tab w:leader="none" w:pos="1262" w:val="left"/>
        </w:tabs>
        <w:numPr>
          <w:ilvl w:val="1"/>
          <w:numId w:val="244"/>
        </w:numPr>
        <w:rPr>
          <w:rFonts w:ascii="Arial" w:cs="Arial" w:eastAsia="Arial" w:hAnsi="Arial"/>
          <w:sz w:val="19"/>
          <w:szCs w:val="19"/>
          <w:color w:val="auto"/>
        </w:rPr>
      </w:pPr>
      <w:r>
        <w:rPr>
          <w:rFonts w:ascii="Arial" w:cs="Arial" w:eastAsia="Arial" w:hAnsi="Arial"/>
          <w:sz w:val="19"/>
          <w:szCs w:val="19"/>
          <w:color w:val="auto"/>
        </w:rPr>
        <w:t>Indebtedness representing (i) deferred compensation to current or former directors, officers, employees, members of management, managers and consultants of any Parent Company, the Borrower or any Subsidiary in the ordinary course of business and (ii) deferred compensation or other similar arrangements in connection with the Transactions, any acquisition or any other Investment permitted hereby;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140</w:t>
      </w:r>
      <w:r>
        <w:rPr>
          <w:rFonts w:ascii="Arial" w:cs="Arial" w:eastAsia="Arial" w:hAnsi="Arial"/>
          <w:sz w:val="18"/>
          <w:szCs w:val="18"/>
          <w:u w:val="single" w:color="auto"/>
          <w:color w:val="0000FF"/>
          <w:strike w:val="1"/>
        </w:rPr>
        <w:t>140</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85" w:right="1439" w:bottom="1440" w:gutter="0" w:footer="0" w:header="0"/>
        </w:sectPr>
      </w:pPr>
    </w:p>
    <w:bookmarkStart w:id="208" w:name="page209"/>
    <w:bookmarkEnd w:id="208"/>
    <w:p>
      <w:pPr>
        <w:jc w:val="both"/>
        <w:ind w:left="100" w:right="60" w:firstLine="741"/>
        <w:spacing w:after="0" w:line="241" w:lineRule="auto"/>
        <w:tabs>
          <w:tab w:leader="none" w:pos="1262" w:val="left"/>
        </w:tabs>
        <w:numPr>
          <w:ilvl w:val="0"/>
          <w:numId w:val="245"/>
        </w:numPr>
        <w:rPr>
          <w:rFonts w:ascii="Arial" w:cs="Arial" w:eastAsia="Arial" w:hAnsi="Arial"/>
          <w:sz w:val="19"/>
          <w:szCs w:val="19"/>
          <w:color w:val="auto"/>
        </w:rPr>
      </w:pPr>
      <w:r>
        <w:rPr>
          <w:rFonts w:ascii="Arial" w:cs="Arial" w:eastAsia="Arial" w:hAnsi="Arial"/>
          <w:sz w:val="19"/>
          <w:szCs w:val="19"/>
          <w:color w:val="auto"/>
        </w:rPr>
        <w:t>Indebtedness of the Borrower and/or any Restricted Subsidiary in respect of any letter of credit or bank guarantee issued in favor of any Issuing Bank or the Swingline Lender to support any Defaulting Lender’s participation in Letters of Credit issued, or Swingline Loans made, hereunder;</w:t>
      </w:r>
    </w:p>
    <w:p>
      <w:pPr>
        <w:spacing w:after="0" w:line="178" w:lineRule="exact"/>
        <w:rPr>
          <w:rFonts w:ascii="Arial" w:cs="Arial" w:eastAsia="Arial" w:hAnsi="Arial"/>
          <w:sz w:val="19"/>
          <w:szCs w:val="19"/>
          <w:color w:val="auto"/>
        </w:rPr>
      </w:pPr>
    </w:p>
    <w:p>
      <w:pPr>
        <w:ind w:left="100" w:right="60" w:firstLine="741"/>
        <w:spacing w:after="0" w:line="261" w:lineRule="auto"/>
        <w:tabs>
          <w:tab w:leader="none" w:pos="1278" w:val="left"/>
        </w:tabs>
        <w:numPr>
          <w:ilvl w:val="0"/>
          <w:numId w:val="245"/>
        </w:numPr>
        <w:rPr>
          <w:rFonts w:ascii="Arial" w:cs="Arial" w:eastAsia="Arial" w:hAnsi="Arial"/>
          <w:sz w:val="19"/>
          <w:szCs w:val="19"/>
          <w:color w:val="auto"/>
        </w:rPr>
      </w:pPr>
      <w:r>
        <w:rPr>
          <w:rFonts w:ascii="Arial" w:cs="Arial" w:eastAsia="Arial" w:hAnsi="Arial"/>
          <w:sz w:val="19"/>
          <w:szCs w:val="19"/>
          <w:color w:val="auto"/>
        </w:rPr>
        <w:t xml:space="preserve">Indebtedness of the Borrower or any Restricted Subsidiary supported by any Letter of Credit or any other letter of credit, bank guarantee or similar instrument permitted by this </w:t>
      </w:r>
      <w:r>
        <w:rPr>
          <w:rFonts w:ascii="Arial" w:cs="Arial" w:eastAsia="Arial" w:hAnsi="Arial"/>
          <w:sz w:val="19"/>
          <w:szCs w:val="19"/>
          <w:u w:val="single" w:color="auto"/>
          <w:color w:val="auto"/>
        </w:rPr>
        <w:t>Section 6.01</w:t>
      </w:r>
      <w:r>
        <w:rPr>
          <w:rFonts w:ascii="Arial" w:cs="Arial" w:eastAsia="Arial" w:hAnsi="Arial"/>
          <w:sz w:val="19"/>
          <w:szCs w:val="19"/>
          <w:color w:val="auto"/>
        </w:rPr>
        <w:t>;</w:t>
      </w:r>
    </w:p>
    <w:p>
      <w:pPr>
        <w:spacing w:after="0" w:line="159" w:lineRule="exact"/>
        <w:rPr>
          <w:rFonts w:ascii="Arial" w:cs="Arial" w:eastAsia="Arial" w:hAnsi="Arial"/>
          <w:sz w:val="19"/>
          <w:szCs w:val="19"/>
          <w:color w:val="auto"/>
        </w:rPr>
      </w:pPr>
    </w:p>
    <w:p>
      <w:pPr>
        <w:jc w:val="both"/>
        <w:ind w:left="100" w:right="60" w:firstLine="741"/>
        <w:spacing w:after="0" w:line="241" w:lineRule="auto"/>
        <w:tabs>
          <w:tab w:leader="none" w:pos="1254" w:val="left"/>
        </w:tabs>
        <w:numPr>
          <w:ilvl w:val="0"/>
          <w:numId w:val="245"/>
        </w:numPr>
        <w:rPr>
          <w:rFonts w:ascii="Arial" w:cs="Arial" w:eastAsia="Arial" w:hAnsi="Arial"/>
          <w:sz w:val="19"/>
          <w:szCs w:val="19"/>
          <w:color w:val="auto"/>
        </w:rPr>
      </w:pPr>
      <w:r>
        <w:rPr>
          <w:rFonts w:ascii="Arial" w:cs="Arial" w:eastAsia="Arial" w:hAnsi="Arial"/>
          <w:sz w:val="19"/>
          <w:szCs w:val="19"/>
          <w:color w:val="auto"/>
        </w:rPr>
        <w:t xml:space="preserve">unfunded pension fund and other employee benefit plan obligations and liabilities incurred by the Borrower and/or any Restricted Subsidiary in the ordinary course of business to the extent that the unfunded amounts would not otherwise cause an Event of Default under </w:t>
      </w:r>
      <w:r>
        <w:rPr>
          <w:rFonts w:ascii="Arial" w:cs="Arial" w:eastAsia="Arial" w:hAnsi="Arial"/>
          <w:sz w:val="19"/>
          <w:szCs w:val="19"/>
          <w:u w:val="single" w:color="auto"/>
          <w:color w:val="auto"/>
        </w:rPr>
        <w:t>Section 7.01(i)</w:t>
      </w:r>
      <w:r>
        <w:rPr>
          <w:rFonts w:ascii="Arial" w:cs="Arial" w:eastAsia="Arial" w:hAnsi="Arial"/>
          <w:sz w:val="19"/>
          <w:szCs w:val="19"/>
          <w:color w:val="auto"/>
        </w:rPr>
        <w:t>;</w:t>
      </w:r>
    </w:p>
    <w:p>
      <w:pPr>
        <w:spacing w:after="0" w:line="178" w:lineRule="exact"/>
        <w:rPr>
          <w:rFonts w:ascii="Arial" w:cs="Arial" w:eastAsia="Arial" w:hAnsi="Arial"/>
          <w:sz w:val="19"/>
          <w:szCs w:val="19"/>
          <w:color w:val="auto"/>
        </w:rPr>
      </w:pPr>
    </w:p>
    <w:p>
      <w:pPr>
        <w:ind w:left="100" w:right="60" w:firstLine="741"/>
        <w:spacing w:after="0" w:line="246" w:lineRule="auto"/>
        <w:tabs>
          <w:tab w:leader="none" w:pos="1209" w:val="left"/>
        </w:tabs>
        <w:numPr>
          <w:ilvl w:val="0"/>
          <w:numId w:val="245"/>
        </w:numPr>
        <w:rPr>
          <w:rFonts w:ascii="Arial" w:cs="Arial" w:eastAsia="Arial" w:hAnsi="Arial"/>
          <w:sz w:val="19"/>
          <w:szCs w:val="19"/>
          <w:color w:val="auto"/>
        </w:rPr>
      </w:pPr>
      <w:r>
        <w:rPr>
          <w:rFonts w:ascii="Arial" w:cs="Arial" w:eastAsia="Arial" w:hAnsi="Arial"/>
          <w:sz w:val="19"/>
          <w:szCs w:val="19"/>
          <w:color w:val="auto"/>
        </w:rPr>
        <w:t>customer deposits and advance payments received in the ordinary course of business from customers for goods and services purchased in the ordinary course of business;</w:t>
      </w:r>
    </w:p>
    <w:p>
      <w:pPr>
        <w:spacing w:after="0" w:line="173" w:lineRule="exact"/>
        <w:rPr>
          <w:rFonts w:ascii="Arial" w:cs="Arial" w:eastAsia="Arial" w:hAnsi="Arial"/>
          <w:sz w:val="19"/>
          <w:szCs w:val="19"/>
          <w:color w:val="auto"/>
        </w:rPr>
      </w:pPr>
    </w:p>
    <w:p>
      <w:pPr>
        <w:jc w:val="both"/>
        <w:ind w:left="100" w:right="60" w:firstLine="741"/>
        <w:spacing w:after="0" w:line="241" w:lineRule="auto"/>
        <w:tabs>
          <w:tab w:leader="none" w:pos="1288" w:val="left"/>
        </w:tabs>
        <w:numPr>
          <w:ilvl w:val="0"/>
          <w:numId w:val="245"/>
        </w:numPr>
        <w:rPr>
          <w:rFonts w:ascii="Arial" w:cs="Arial" w:eastAsia="Arial" w:hAnsi="Arial"/>
          <w:sz w:val="19"/>
          <w:szCs w:val="19"/>
          <w:color w:val="auto"/>
        </w:rPr>
      </w:pPr>
      <w:r>
        <w:rPr>
          <w:rFonts w:ascii="Arial" w:cs="Arial" w:eastAsia="Arial" w:hAnsi="Arial"/>
          <w:sz w:val="19"/>
          <w:szCs w:val="19"/>
          <w:color w:val="auto"/>
        </w:rPr>
        <w:t>without duplication of any other Indebtedness, all premiums (if any), interest (including post-petition interest and payment in kind interest), accretion or amortization of original issue discount, fees, expenses and charges with respect to Indebtedness of the Borrower and/or any Restricted Subsidiary hereunder;</w:t>
      </w:r>
    </w:p>
    <w:p>
      <w:pPr>
        <w:spacing w:after="0" w:line="178" w:lineRule="exact"/>
        <w:rPr>
          <w:rFonts w:ascii="Arial" w:cs="Arial" w:eastAsia="Arial" w:hAnsi="Arial"/>
          <w:sz w:val="19"/>
          <w:szCs w:val="19"/>
          <w:color w:val="auto"/>
        </w:rPr>
      </w:pPr>
    </w:p>
    <w:p>
      <w:pPr>
        <w:jc w:val="both"/>
        <w:ind w:left="100" w:firstLine="741"/>
        <w:spacing w:after="0" w:line="241" w:lineRule="auto"/>
        <w:tabs>
          <w:tab w:leader="none" w:pos="1274" w:val="left"/>
        </w:tabs>
        <w:numPr>
          <w:ilvl w:val="0"/>
          <w:numId w:val="245"/>
        </w:numPr>
        <w:rPr>
          <w:rFonts w:ascii="Arial" w:cs="Arial" w:eastAsia="Arial" w:hAnsi="Arial"/>
          <w:sz w:val="19"/>
          <w:szCs w:val="19"/>
          <w:color w:val="auto"/>
        </w:rPr>
      </w:pPr>
      <w:r>
        <w:rPr>
          <w:rFonts w:ascii="Arial" w:cs="Arial" w:eastAsia="Arial" w:hAnsi="Arial"/>
          <w:sz w:val="19"/>
          <w:szCs w:val="19"/>
          <w:color w:val="auto"/>
        </w:rPr>
        <w:t>Indebtedness in respect of Commercial Letters of Credit (and reimbursement obligations with respect thereto) in an aggregate outstanding principal amount not to exceed the greater of $17,500,000 and 20% of Consolidated Adjusted EBITDA as of the last day of the most recently ended Test Period;</w:t>
      </w:r>
    </w:p>
    <w:p>
      <w:pPr>
        <w:spacing w:after="0" w:line="178" w:lineRule="exact"/>
        <w:rPr>
          <w:rFonts w:ascii="Arial" w:cs="Arial" w:eastAsia="Arial" w:hAnsi="Arial"/>
          <w:sz w:val="19"/>
          <w:szCs w:val="19"/>
          <w:color w:val="auto"/>
        </w:rPr>
      </w:pPr>
    </w:p>
    <w:p>
      <w:pPr>
        <w:ind w:left="100" w:right="60" w:firstLine="741"/>
        <w:spacing w:after="0" w:line="246" w:lineRule="auto"/>
        <w:tabs>
          <w:tab w:leader="none" w:pos="1177" w:val="left"/>
        </w:tabs>
        <w:numPr>
          <w:ilvl w:val="0"/>
          <w:numId w:val="245"/>
        </w:numPr>
        <w:rPr>
          <w:rFonts w:ascii="Arial" w:cs="Arial" w:eastAsia="Arial" w:hAnsi="Arial"/>
          <w:sz w:val="19"/>
          <w:szCs w:val="19"/>
          <w:color w:val="auto"/>
        </w:rPr>
      </w:pPr>
      <w:r>
        <w:rPr>
          <w:rFonts w:ascii="Arial" w:cs="Arial" w:eastAsia="Arial" w:hAnsi="Arial"/>
          <w:sz w:val="19"/>
          <w:szCs w:val="19"/>
          <w:color w:val="auto"/>
        </w:rPr>
        <w:t xml:space="preserve">Indebtedness in respect of any Receivables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outstanding principal amount of any Indebtedness permitted by this </w:t>
      </w:r>
      <w:r>
        <w:rPr>
          <w:rFonts w:ascii="Arial" w:cs="Arial" w:eastAsia="Arial" w:hAnsi="Arial"/>
          <w:sz w:val="19"/>
          <w:szCs w:val="19"/>
          <w:u w:val="single" w:color="auto"/>
          <w:color w:val="auto"/>
        </w:rPr>
        <w:t>Section 6.01(ii)</w:t>
      </w:r>
      <w:r>
        <w:rPr>
          <w:rFonts w:ascii="Arial" w:cs="Arial" w:eastAsia="Arial" w:hAnsi="Arial"/>
          <w:sz w:val="19"/>
          <w:szCs w:val="19"/>
          <w:color w:val="auto"/>
        </w:rPr>
        <w:t xml:space="preserve"> shall not exceed $25,000,000;</w:t>
      </w:r>
    </w:p>
    <w:p>
      <w:pPr>
        <w:spacing w:after="0" w:line="186" w:lineRule="exact"/>
        <w:rPr>
          <w:rFonts w:ascii="Arial" w:cs="Arial" w:eastAsia="Arial" w:hAnsi="Arial"/>
          <w:sz w:val="19"/>
          <w:szCs w:val="19"/>
          <w:color w:val="auto"/>
        </w:rPr>
      </w:pPr>
    </w:p>
    <w:p>
      <w:pPr>
        <w:ind w:left="100" w:right="60" w:firstLine="741"/>
        <w:spacing w:after="0" w:line="246" w:lineRule="auto"/>
        <w:tabs>
          <w:tab w:leader="none" w:pos="1174" w:val="left"/>
        </w:tabs>
        <w:numPr>
          <w:ilvl w:val="0"/>
          <w:numId w:val="245"/>
        </w:numPr>
        <w:rPr>
          <w:rFonts w:ascii="Arial" w:cs="Arial" w:eastAsia="Arial" w:hAnsi="Arial"/>
          <w:sz w:val="19"/>
          <w:szCs w:val="19"/>
          <w:color w:val="auto"/>
        </w:rPr>
      </w:pPr>
      <w:r>
        <w:rPr>
          <w:rFonts w:ascii="Arial" w:cs="Arial" w:eastAsia="Arial" w:hAnsi="Arial"/>
          <w:sz w:val="19"/>
          <w:szCs w:val="19"/>
          <w:color w:val="auto"/>
        </w:rPr>
        <w:t>Indebtedness owed on a short-term basis to banks and other financial institutions in the ordinary course of business to manage cash balances; and</w:t>
      </w:r>
    </w:p>
    <w:p>
      <w:pPr>
        <w:spacing w:after="0" w:line="173" w:lineRule="exact"/>
        <w:rPr>
          <w:rFonts w:ascii="Arial" w:cs="Arial" w:eastAsia="Arial" w:hAnsi="Arial"/>
          <w:sz w:val="19"/>
          <w:szCs w:val="19"/>
          <w:color w:val="auto"/>
        </w:rPr>
      </w:pPr>
    </w:p>
    <w:p>
      <w:pPr>
        <w:ind w:left="100" w:right="60" w:firstLine="741"/>
        <w:spacing w:after="0" w:line="261" w:lineRule="auto"/>
        <w:tabs>
          <w:tab w:leader="none" w:pos="1356" w:val="left"/>
        </w:tabs>
        <w:numPr>
          <w:ilvl w:val="0"/>
          <w:numId w:val="245"/>
        </w:numPr>
        <w:rPr>
          <w:rFonts w:ascii="Arial" w:cs="Arial" w:eastAsia="Arial" w:hAnsi="Arial"/>
          <w:sz w:val="19"/>
          <w:szCs w:val="19"/>
          <w:color w:val="auto"/>
        </w:rPr>
      </w:pPr>
      <w:r>
        <w:rPr>
          <w:rFonts w:ascii="Arial" w:cs="Arial" w:eastAsia="Arial" w:hAnsi="Arial"/>
          <w:sz w:val="19"/>
          <w:szCs w:val="19"/>
          <w:color w:val="auto"/>
        </w:rPr>
        <w:t>Indebtedness in respect of earn-outs, seller notes or similar deferred purchase price obligations incurred in connection with any acquisition or other Investment permitted hereby.</w:t>
      </w:r>
    </w:p>
    <w:p>
      <w:pPr>
        <w:spacing w:after="0" w:line="159" w:lineRule="exact"/>
        <w:rPr>
          <w:sz w:val="20"/>
          <w:szCs w:val="20"/>
          <w:color w:val="auto"/>
        </w:rPr>
      </w:pPr>
    </w:p>
    <w:p>
      <w:pPr>
        <w:jc w:val="both"/>
        <w:ind w:left="100" w:right="60" w:firstLine="749"/>
        <w:spacing w:after="0" w:line="241" w:lineRule="auto"/>
        <w:rPr>
          <w:sz w:val="20"/>
          <w:szCs w:val="20"/>
          <w:color w:val="auto"/>
        </w:rPr>
      </w:pPr>
      <w:r>
        <w:rPr>
          <w:rFonts w:ascii="Arial" w:cs="Arial" w:eastAsia="Arial" w:hAnsi="Arial"/>
          <w:sz w:val="19"/>
          <w:szCs w:val="19"/>
          <w:color w:val="auto"/>
        </w:rPr>
        <w:t xml:space="preserve">Section 6.02. </w:t>
      </w:r>
      <w:r>
        <w:rPr>
          <w:rFonts w:ascii="Arial" w:cs="Arial" w:eastAsia="Arial" w:hAnsi="Arial"/>
          <w:sz w:val="19"/>
          <w:szCs w:val="19"/>
          <w:u w:val="single" w:color="auto"/>
          <w:color w:val="auto"/>
        </w:rPr>
        <w:t>Liens</w:t>
      </w:r>
      <w:r>
        <w:rPr>
          <w:rFonts w:ascii="Arial" w:cs="Arial" w:eastAsia="Arial" w:hAnsi="Arial"/>
          <w:sz w:val="19"/>
          <w:szCs w:val="19"/>
          <w:color w:val="auto"/>
        </w:rPr>
        <w:t>. The Borrower shall not, nor shall it permit any of its Restricted Subsidiaries to, create, incur, assume or permit or suffer to exist any Lien on or with respect to any property of any kind owned by it, whether now owned or hereafter acquired, or any income or profits therefrom, except:</w:t>
      </w:r>
    </w:p>
    <w:p>
      <w:pPr>
        <w:spacing w:after="0" w:line="179" w:lineRule="exact"/>
        <w:rPr>
          <w:sz w:val="20"/>
          <w:szCs w:val="20"/>
          <w:color w:val="auto"/>
        </w:rPr>
      </w:pPr>
    </w:p>
    <w:p>
      <w:pPr>
        <w:ind w:left="1600" w:hanging="758"/>
        <w:spacing w:after="0"/>
        <w:tabs>
          <w:tab w:leader="none" w:pos="1600" w:val="left"/>
        </w:tabs>
        <w:numPr>
          <w:ilvl w:val="0"/>
          <w:numId w:val="246"/>
        </w:numPr>
        <w:rPr>
          <w:rFonts w:ascii="Arial" w:cs="Arial" w:eastAsia="Arial" w:hAnsi="Arial"/>
          <w:sz w:val="19"/>
          <w:szCs w:val="19"/>
          <w:color w:val="auto"/>
        </w:rPr>
      </w:pPr>
      <w:r>
        <w:rPr>
          <w:rFonts w:ascii="Arial" w:cs="Arial" w:eastAsia="Arial" w:hAnsi="Arial"/>
          <w:sz w:val="19"/>
          <w:szCs w:val="19"/>
          <w:color w:val="auto"/>
        </w:rPr>
        <w:t>Liens securing the Secured Obligations;</w:t>
      </w:r>
    </w:p>
    <w:p>
      <w:pPr>
        <w:spacing w:after="0" w:line="213" w:lineRule="exact"/>
        <w:rPr>
          <w:rFonts w:ascii="Arial" w:cs="Arial" w:eastAsia="Arial" w:hAnsi="Arial"/>
          <w:sz w:val="19"/>
          <w:szCs w:val="19"/>
          <w:color w:val="auto"/>
        </w:rPr>
      </w:pPr>
    </w:p>
    <w:p>
      <w:pPr>
        <w:ind w:left="100" w:right="60" w:firstLine="742"/>
        <w:spacing w:after="0" w:line="261" w:lineRule="auto"/>
        <w:tabs>
          <w:tab w:leader="none" w:pos="1520" w:val="left"/>
        </w:tabs>
        <w:numPr>
          <w:ilvl w:val="0"/>
          <w:numId w:val="246"/>
        </w:numPr>
        <w:rPr>
          <w:rFonts w:ascii="Arial" w:cs="Arial" w:eastAsia="Arial" w:hAnsi="Arial"/>
          <w:sz w:val="19"/>
          <w:szCs w:val="19"/>
          <w:color w:val="auto"/>
        </w:rPr>
      </w:pPr>
      <w:r>
        <w:rPr>
          <w:rFonts w:ascii="Arial" w:cs="Arial" w:eastAsia="Arial" w:hAnsi="Arial"/>
          <w:sz w:val="19"/>
          <w:szCs w:val="19"/>
          <w:color w:val="auto"/>
        </w:rPr>
        <w:t xml:space="preserve">Liens for Taxes which (i) are not then due, (ii) if due, are not at such time required to be paid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5.03</w:t>
      </w:r>
      <w:r>
        <w:rPr>
          <w:rFonts w:ascii="Arial" w:cs="Arial" w:eastAsia="Arial" w:hAnsi="Arial"/>
          <w:sz w:val="19"/>
          <w:szCs w:val="19"/>
          <w:color w:val="auto"/>
        </w:rPr>
        <w:t xml:space="preserve"> or (iii) are being contested in accordance with </w:t>
      </w:r>
      <w:r>
        <w:rPr>
          <w:rFonts w:ascii="Arial" w:cs="Arial" w:eastAsia="Arial" w:hAnsi="Arial"/>
          <w:sz w:val="19"/>
          <w:szCs w:val="19"/>
          <w:u w:val="single" w:color="auto"/>
          <w:color w:val="auto"/>
        </w:rPr>
        <w:t>Section 5.03</w:t>
      </w:r>
      <w:r>
        <w:rPr>
          <w:rFonts w:ascii="Arial" w:cs="Arial" w:eastAsia="Arial" w:hAnsi="Arial"/>
          <w:sz w:val="19"/>
          <w:szCs w:val="19"/>
          <w:color w:val="auto"/>
        </w:rPr>
        <w:t>;</w:t>
      </w:r>
    </w:p>
    <w:p>
      <w:pPr>
        <w:spacing w:after="0" w:line="172" w:lineRule="exact"/>
        <w:rPr>
          <w:rFonts w:ascii="Arial" w:cs="Arial" w:eastAsia="Arial" w:hAnsi="Arial"/>
          <w:sz w:val="19"/>
          <w:szCs w:val="19"/>
          <w:color w:val="auto"/>
        </w:rPr>
      </w:pPr>
    </w:p>
    <w:p>
      <w:pPr>
        <w:jc w:val="both"/>
        <w:ind w:left="100" w:right="60" w:firstLine="741"/>
        <w:spacing w:after="0" w:line="261" w:lineRule="auto"/>
        <w:tabs>
          <w:tab w:leader="none" w:pos="15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statutory Liens (and rights of set-off) of landlords, banks, carriers, warehousemen, mechanics, repairmen, workmen and materialmen, and other Liens imposed by applicable Requirements of Law, in each case incurred in the ordinary course of business (i) for amounts not yet overdue by more than 60 days, (ii) for amounts that are overdue by more than 60 days and that are being contested in good faith by appropriate proceedings, so long as any reserves or other appropriate provisions required by GAAP have been made for any such contested amounts or (iii) for amounts with respect to which the failure to make payment would not reasonably be expected to have a Material Adverse Effect;</w:t>
      </w:r>
    </w:p>
    <w:p>
      <w:pPr>
        <w:spacing w:after="0" w:line="174" w:lineRule="exact"/>
        <w:rPr>
          <w:rFonts w:ascii="Arial" w:cs="Arial" w:eastAsia="Arial" w:hAnsi="Arial"/>
          <w:sz w:val="18"/>
          <w:szCs w:val="18"/>
          <w:color w:val="auto"/>
        </w:rPr>
      </w:pPr>
    </w:p>
    <w:p>
      <w:pPr>
        <w:jc w:val="both"/>
        <w:ind w:left="100" w:right="20" w:firstLine="741"/>
        <w:spacing w:after="0" w:line="245" w:lineRule="auto"/>
        <w:tabs>
          <w:tab w:leader="none" w:pos="1523" w:val="left"/>
        </w:tabs>
        <w:numPr>
          <w:ilvl w:val="0"/>
          <w:numId w:val="246"/>
        </w:numPr>
        <w:rPr>
          <w:rFonts w:ascii="Arial" w:cs="Arial" w:eastAsia="Arial" w:hAnsi="Arial"/>
          <w:sz w:val="19"/>
          <w:szCs w:val="19"/>
          <w:color w:val="auto"/>
        </w:rPr>
      </w:pPr>
      <w:r>
        <w:rPr>
          <w:rFonts w:ascii="Arial" w:cs="Arial" w:eastAsia="Arial" w:hAnsi="Arial"/>
          <w:sz w:val="19"/>
          <w:szCs w:val="19"/>
          <w:color w:val="auto"/>
        </w:rPr>
        <w:t>Liens granted or arising (i) in the ordinary course of business in connection with workers’ compensation, unemployment insurance and other types of social security laws and regulations, (ii) in the ordinary course of business to secure the performance of tenders, statutory obligations, surety, stay, customs and appeal bonds, bids, leases, government contracts, trade contracts, performance and return-of-money bonds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141</w:t>
      </w:r>
      <w:r>
        <w:rPr>
          <w:rFonts w:ascii="Arial" w:cs="Arial" w:eastAsia="Arial" w:hAnsi="Arial"/>
          <w:sz w:val="18"/>
          <w:szCs w:val="18"/>
          <w:u w:val="single" w:color="auto"/>
          <w:color w:val="0000FF"/>
          <w:strike w:val="1"/>
        </w:rPr>
        <w:t>141</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85" w:right="1439" w:bottom="1440" w:gutter="0" w:footer="0" w:header="0"/>
        </w:sectPr>
      </w:pPr>
    </w:p>
    <w:bookmarkStart w:id="209" w:name="page210"/>
    <w:bookmarkEnd w:id="209"/>
    <w:p>
      <w:pPr>
        <w:jc w:val="both"/>
        <w:ind w:left="100" w:right="59"/>
        <w:spacing w:after="0" w:line="259" w:lineRule="auto"/>
        <w:rPr>
          <w:sz w:val="20"/>
          <w:szCs w:val="20"/>
          <w:color w:val="auto"/>
        </w:rPr>
      </w:pPr>
      <w:r>
        <w:rPr>
          <w:rFonts w:ascii="Arial" w:cs="Arial" w:eastAsia="Arial" w:hAnsi="Arial"/>
          <w:sz w:val="17"/>
          <w:szCs w:val="17"/>
          <w:color w:val="auto"/>
        </w:rPr>
        <w:t xml:space="preserve">and other similar obligations (exclusive of obligations for the payment of borrowed money), (iii) pursuant to pledges and deposits of Cash or Cash Equivalents in the ordinary course of business securing (A) any liability for reimbursement or indemnification obligations of insurance carriers providing property, casualty, liability or other insurance to the Borrower and its subsidiaries or (B) leases or licenses of property otherwise permitted by this Agreement and (iv) to secure obligations in respect of letters of credit, bank guaranties, surety bonds, performance bonds or similar instruments posted with respect to the items described in </w:t>
      </w:r>
      <w:r>
        <w:rPr>
          <w:rFonts w:ascii="Arial" w:cs="Arial" w:eastAsia="Arial" w:hAnsi="Arial"/>
          <w:sz w:val="17"/>
          <w:szCs w:val="17"/>
          <w:u w:val="single" w:color="auto"/>
          <w:color w:val="auto"/>
        </w:rPr>
        <w:t>clauses</w:t>
      </w:r>
    </w:p>
    <w:p>
      <w:pPr>
        <w:spacing w:after="0" w:line="1" w:lineRule="exact"/>
        <w:rPr>
          <w:sz w:val="20"/>
          <w:szCs w:val="20"/>
          <w:color w:val="auto"/>
        </w:rPr>
      </w:pPr>
    </w:p>
    <w:p>
      <w:pPr>
        <w:ind w:left="360" w:hanging="268"/>
        <w:spacing w:after="0"/>
        <w:tabs>
          <w:tab w:leader="none" w:pos="360" w:val="left"/>
        </w:tabs>
        <w:numPr>
          <w:ilvl w:val="0"/>
          <w:numId w:val="247"/>
        </w:numPr>
        <w:rPr>
          <w:rFonts w:ascii="Arial" w:cs="Arial" w:eastAsia="Arial" w:hAnsi="Arial"/>
          <w:sz w:val="19"/>
          <w:szCs w:val="19"/>
          <w:u w:val="single" w:color="auto"/>
          <w:color w:val="auto"/>
        </w:rPr>
      </w:pPr>
      <w:r>
        <w:rPr>
          <w:rFonts w:ascii="Arial" w:cs="Arial" w:eastAsia="Arial" w:hAnsi="Arial"/>
          <w:sz w:val="19"/>
          <w:szCs w:val="19"/>
          <w:color w:val="auto"/>
        </w:rPr>
        <w:t xml:space="preserve">through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above;</w:t>
      </w:r>
    </w:p>
    <w:p>
      <w:pPr>
        <w:spacing w:after="0" w:line="197" w:lineRule="exact"/>
        <w:rPr>
          <w:rFonts w:ascii="Arial" w:cs="Arial" w:eastAsia="Arial" w:hAnsi="Arial"/>
          <w:sz w:val="19"/>
          <w:szCs w:val="19"/>
          <w:u w:val="single" w:color="auto"/>
          <w:color w:val="auto"/>
        </w:rPr>
      </w:pPr>
    </w:p>
    <w:p>
      <w:pPr>
        <w:jc w:val="both"/>
        <w:ind w:left="100" w:right="39" w:firstLine="742"/>
        <w:spacing w:after="0" w:line="242" w:lineRule="auto"/>
        <w:tabs>
          <w:tab w:leader="none" w:pos="1569" w:val="left"/>
        </w:tabs>
        <w:numPr>
          <w:ilvl w:val="2"/>
          <w:numId w:val="247"/>
        </w:numPr>
        <w:rPr>
          <w:rFonts w:ascii="Arial" w:cs="Arial" w:eastAsia="Arial" w:hAnsi="Arial"/>
          <w:sz w:val="19"/>
          <w:szCs w:val="19"/>
          <w:color w:val="auto"/>
        </w:rPr>
      </w:pPr>
      <w:r>
        <w:rPr>
          <w:rFonts w:ascii="Arial" w:cs="Arial" w:eastAsia="Arial" w:hAnsi="Arial"/>
          <w:sz w:val="19"/>
          <w:szCs w:val="19"/>
          <w:color w:val="auto"/>
        </w:rPr>
        <w:t>Liens consisting of survey exceptions, easements, rights-of-way, restrictions, encroachments, servitudes for railways, sewers, drains, gas and oil and other pipelines, gas and water mains, electric light and power and telecommunication, telephone or telegraph or cable television conduits, poles, wires and cables, covenants, conditions, declarations, encroachments, zoning restrictions and other defects or irregularities in title or environmental deed restrictions, in each case, which do not, in the aggregate, materially interfere with the ordinary conduct of the business of the Borrower and/or its Restricted Subsidiaries, taken as a whole;</w:t>
      </w:r>
    </w:p>
    <w:p>
      <w:pPr>
        <w:spacing w:after="0" w:line="190" w:lineRule="exact"/>
        <w:rPr>
          <w:rFonts w:ascii="Arial" w:cs="Arial" w:eastAsia="Arial" w:hAnsi="Arial"/>
          <w:sz w:val="19"/>
          <w:szCs w:val="19"/>
          <w:color w:val="auto"/>
        </w:rPr>
      </w:pPr>
    </w:p>
    <w:p>
      <w:pPr>
        <w:jc w:val="both"/>
        <w:ind w:left="100" w:right="59" w:firstLine="741"/>
        <w:spacing w:after="0" w:line="250" w:lineRule="auto"/>
        <w:tabs>
          <w:tab w:leader="none" w:pos="1568" w:val="left"/>
        </w:tabs>
        <w:numPr>
          <w:ilvl w:val="2"/>
          <w:numId w:val="247"/>
        </w:numPr>
        <w:rPr>
          <w:rFonts w:ascii="Arial" w:cs="Arial" w:eastAsia="Arial" w:hAnsi="Arial"/>
          <w:sz w:val="19"/>
          <w:szCs w:val="19"/>
          <w:color w:val="auto"/>
        </w:rPr>
      </w:pPr>
      <w:r>
        <w:rPr>
          <w:rFonts w:ascii="Arial" w:cs="Arial" w:eastAsia="Arial" w:hAnsi="Arial"/>
          <w:sz w:val="19"/>
          <w:szCs w:val="19"/>
          <w:color w:val="auto"/>
        </w:rPr>
        <w:t xml:space="preserve">Liens consisting of any (i) interest or title of a lessor or sub-lessor under any lease of real estate permitted hereunder, (ii) landlord lien permitted by the terms of any lease, (iii) restriction or encumbrance to which the interest or title of such lessor or sub-lessor may be subject or (iv) subordination of the interest of the lessee or sub-lessee under such lease to any restriction or encumbrance referred to in the preceding </w:t>
      </w:r>
      <w:r>
        <w:rPr>
          <w:rFonts w:ascii="Arial" w:cs="Arial" w:eastAsia="Arial" w:hAnsi="Arial"/>
          <w:sz w:val="19"/>
          <w:szCs w:val="19"/>
          <w:u w:val="single" w:color="auto"/>
          <w:color w:val="auto"/>
        </w:rPr>
        <w:t>clause (iii)</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jc w:val="both"/>
        <w:ind w:left="100" w:right="59" w:firstLine="741"/>
        <w:spacing w:after="0" w:line="243" w:lineRule="auto"/>
        <w:tabs>
          <w:tab w:leader="none" w:pos="1568" w:val="left"/>
        </w:tabs>
        <w:numPr>
          <w:ilvl w:val="2"/>
          <w:numId w:val="247"/>
        </w:numPr>
        <w:rPr>
          <w:rFonts w:ascii="Arial" w:cs="Arial" w:eastAsia="Arial" w:hAnsi="Arial"/>
          <w:sz w:val="19"/>
          <w:szCs w:val="19"/>
          <w:color w:val="auto"/>
        </w:rPr>
      </w:pPr>
      <w:r>
        <w:rPr>
          <w:rFonts w:ascii="Arial" w:cs="Arial" w:eastAsia="Arial" w:hAnsi="Arial"/>
          <w:sz w:val="19"/>
          <w:szCs w:val="19"/>
          <w:color w:val="auto"/>
        </w:rPr>
        <w:t xml:space="preserve">Liens (i) solely on any Cash earnest money deposits and/or arising in connection with any escrow arrangement made by the Borrower and/or any of its Restricted Subsidiaries in connection with any letter of intent or purchase agreement with respect to any Investment permitted hereunder and (ii) consisting of (A) an agreement to Dispose of any property in a Disposition permitted under </w:t>
      </w:r>
      <w:r>
        <w:rPr>
          <w:rFonts w:ascii="Arial" w:cs="Arial" w:eastAsia="Arial" w:hAnsi="Arial"/>
          <w:sz w:val="19"/>
          <w:szCs w:val="19"/>
          <w:u w:val="single" w:color="auto"/>
          <w:color w:val="auto"/>
        </w:rPr>
        <w:t>Section 6.07</w:t>
      </w:r>
      <w:r>
        <w:rPr>
          <w:rFonts w:ascii="Arial" w:cs="Arial" w:eastAsia="Arial" w:hAnsi="Arial"/>
          <w:sz w:val="19"/>
          <w:szCs w:val="19"/>
          <w:color w:val="auto"/>
        </w:rPr>
        <w:t xml:space="preserve"> and/or (B) the pledge of Cash as part of an escrow arrangement required in any Disposition permitted under </w:t>
      </w:r>
      <w:r>
        <w:rPr>
          <w:rFonts w:ascii="Arial" w:cs="Arial" w:eastAsia="Arial" w:hAnsi="Arial"/>
          <w:sz w:val="19"/>
          <w:szCs w:val="19"/>
          <w:u w:val="single" w:color="auto"/>
          <w:color w:val="auto"/>
        </w:rPr>
        <w:t>Section 6.07</w:t>
      </w:r>
      <w:r>
        <w:rPr>
          <w:rFonts w:ascii="Arial" w:cs="Arial" w:eastAsia="Arial" w:hAnsi="Arial"/>
          <w:sz w:val="19"/>
          <w:szCs w:val="19"/>
          <w:color w:val="auto"/>
        </w:rPr>
        <w:t>;</w:t>
      </w:r>
    </w:p>
    <w:p>
      <w:pPr>
        <w:spacing w:after="0" w:line="189" w:lineRule="exact"/>
        <w:rPr>
          <w:rFonts w:ascii="Arial" w:cs="Arial" w:eastAsia="Arial" w:hAnsi="Arial"/>
          <w:sz w:val="19"/>
          <w:szCs w:val="19"/>
          <w:color w:val="auto"/>
        </w:rPr>
      </w:pPr>
    </w:p>
    <w:p>
      <w:pPr>
        <w:jc w:val="both"/>
        <w:ind w:left="100" w:right="59" w:firstLine="741"/>
        <w:spacing w:after="0" w:line="289" w:lineRule="auto"/>
        <w:tabs>
          <w:tab w:leader="none" w:pos="1568" w:val="left"/>
        </w:tabs>
        <w:numPr>
          <w:ilvl w:val="2"/>
          <w:numId w:val="247"/>
        </w:numPr>
        <w:rPr>
          <w:rFonts w:ascii="Arial" w:cs="Arial" w:eastAsia="Arial" w:hAnsi="Arial"/>
          <w:sz w:val="17"/>
          <w:szCs w:val="17"/>
          <w:color w:val="auto"/>
        </w:rPr>
      </w:pPr>
      <w:r>
        <w:rPr>
          <w:rFonts w:ascii="Arial" w:cs="Arial" w:eastAsia="Arial" w:hAnsi="Arial"/>
          <w:sz w:val="17"/>
          <w:szCs w:val="17"/>
          <w:color w:val="auto"/>
        </w:rPr>
        <w:t>(i) purported Liens evidenced by the filing of UCC financing statements or similar financing statements under applicable Requirements of Law relating solely to operating leases or consignment or bailee arrangements entered into in the ordinary course of business, (ii) Liens arising from precautionary UCC financing statements or similar filings and (iii) any Lien relating to the sale of accounts receivable for which a UCC financing statement or similar financing statement is required;</w:t>
      </w:r>
    </w:p>
    <w:p>
      <w:pPr>
        <w:spacing w:after="0" w:line="151" w:lineRule="exact"/>
        <w:rPr>
          <w:rFonts w:ascii="Arial" w:cs="Arial" w:eastAsia="Arial" w:hAnsi="Arial"/>
          <w:sz w:val="17"/>
          <w:szCs w:val="17"/>
          <w:color w:val="auto"/>
        </w:rPr>
      </w:pPr>
    </w:p>
    <w:p>
      <w:pPr>
        <w:ind w:left="100" w:right="59" w:firstLine="741"/>
        <w:spacing w:after="0" w:line="261" w:lineRule="auto"/>
        <w:tabs>
          <w:tab w:leader="none" w:pos="1568" w:val="left"/>
        </w:tabs>
        <w:numPr>
          <w:ilvl w:val="2"/>
          <w:numId w:val="247"/>
        </w:numPr>
        <w:rPr>
          <w:rFonts w:ascii="Arial" w:cs="Arial" w:eastAsia="Arial" w:hAnsi="Arial"/>
          <w:sz w:val="19"/>
          <w:szCs w:val="19"/>
          <w:color w:val="auto"/>
        </w:rPr>
      </w:pPr>
      <w:r>
        <w:rPr>
          <w:rFonts w:ascii="Arial" w:cs="Arial" w:eastAsia="Arial" w:hAnsi="Arial"/>
          <w:sz w:val="19"/>
          <w:szCs w:val="19"/>
          <w:color w:val="auto"/>
        </w:rPr>
        <w:t>Liens in favor of customs and revenue authorities arising as a matter of law to secure payment of customs duties in connection with the importation of goods;</w:t>
      </w:r>
    </w:p>
    <w:p>
      <w:pPr>
        <w:spacing w:after="0" w:line="172" w:lineRule="exact"/>
        <w:rPr>
          <w:rFonts w:ascii="Arial" w:cs="Arial" w:eastAsia="Arial" w:hAnsi="Arial"/>
          <w:sz w:val="19"/>
          <w:szCs w:val="19"/>
          <w:color w:val="auto"/>
        </w:rPr>
      </w:pPr>
    </w:p>
    <w:p>
      <w:pPr>
        <w:jc w:val="both"/>
        <w:ind w:left="100" w:right="59" w:firstLine="742"/>
        <w:spacing w:after="0" w:line="292" w:lineRule="auto"/>
        <w:tabs>
          <w:tab w:leader="none" w:pos="1568" w:val="left"/>
        </w:tabs>
        <w:numPr>
          <w:ilvl w:val="2"/>
          <w:numId w:val="247"/>
        </w:numPr>
        <w:rPr>
          <w:rFonts w:ascii="Arial" w:cs="Arial" w:eastAsia="Arial" w:hAnsi="Arial"/>
          <w:sz w:val="17"/>
          <w:szCs w:val="17"/>
          <w:color w:val="auto"/>
        </w:rPr>
      </w:pPr>
      <w:r>
        <w:rPr>
          <w:rFonts w:ascii="Arial" w:cs="Arial" w:eastAsia="Arial" w:hAnsi="Arial"/>
          <w:sz w:val="17"/>
          <w:szCs w:val="17"/>
          <w:color w:val="auto"/>
        </w:rPr>
        <w:t>Liens in connection with any zoning, building, environmental or similar Requirements of Law or right reserved to or vested in any Governmental Authority to control or regulate the use or dimensions of any real property or the structures thereon, including Liens in connection with any condemnation or eminent domain proceeding or compulsory purchase order;</w:t>
      </w:r>
    </w:p>
    <w:p>
      <w:pPr>
        <w:spacing w:after="0" w:line="150" w:lineRule="exact"/>
        <w:rPr>
          <w:rFonts w:ascii="Arial" w:cs="Arial" w:eastAsia="Arial" w:hAnsi="Arial"/>
          <w:sz w:val="17"/>
          <w:szCs w:val="17"/>
          <w:color w:val="auto"/>
        </w:rPr>
      </w:pPr>
    </w:p>
    <w:p>
      <w:pPr>
        <w:jc w:val="both"/>
        <w:ind w:left="100" w:right="19" w:firstLine="741"/>
        <w:spacing w:after="0" w:line="275" w:lineRule="auto"/>
        <w:tabs>
          <w:tab w:leader="none" w:pos="1571" w:val="left"/>
        </w:tabs>
        <w:numPr>
          <w:ilvl w:val="2"/>
          <w:numId w:val="247"/>
        </w:numPr>
        <w:rPr>
          <w:rFonts w:ascii="Arial" w:cs="Arial" w:eastAsia="Arial" w:hAnsi="Arial"/>
          <w:sz w:val="17"/>
          <w:szCs w:val="17"/>
          <w:color w:val="auto"/>
        </w:rPr>
      </w:pPr>
      <w:r>
        <w:rPr>
          <w:rFonts w:ascii="Arial" w:cs="Arial" w:eastAsia="Arial" w:hAnsi="Arial"/>
          <w:sz w:val="17"/>
          <w:szCs w:val="17"/>
          <w:color w:val="auto"/>
        </w:rPr>
        <w:t xml:space="preserve">Liens securing Indebtedness permitted pursuant to </w:t>
      </w:r>
      <w:r>
        <w:rPr>
          <w:rFonts w:ascii="Arial" w:cs="Arial" w:eastAsia="Arial" w:hAnsi="Arial"/>
          <w:sz w:val="17"/>
          <w:szCs w:val="17"/>
          <w:u w:val="single" w:color="auto"/>
          <w:color w:val="auto"/>
        </w:rPr>
        <w:t>Section 6.01(p)</w:t>
      </w:r>
      <w:r>
        <w:rPr>
          <w:rFonts w:ascii="Arial" w:cs="Arial" w:eastAsia="Arial" w:hAnsi="Arial"/>
          <w:sz w:val="17"/>
          <w:szCs w:val="17"/>
          <w:color w:val="auto"/>
        </w:rPr>
        <w:t xml:space="preserve"> (solely with respect to the permitted refinancing of (1) secured Indebtedness permitted pursuant to </w:t>
      </w:r>
      <w:r>
        <w:rPr>
          <w:rFonts w:ascii="Arial" w:cs="Arial" w:eastAsia="Arial" w:hAnsi="Arial"/>
          <w:sz w:val="17"/>
          <w:szCs w:val="17"/>
          <w:u w:val="single" w:color="auto"/>
          <w:color w:val="auto"/>
        </w:rPr>
        <w:t>Sections 6.01(a)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w:t>
      </w:r>
      <w:r>
        <w:rPr>
          <w:rFonts w:ascii="Arial" w:cs="Arial" w:eastAsia="Arial" w:hAnsi="Arial"/>
          <w:sz w:val="17"/>
          <w:szCs w:val="17"/>
          <w:u w:val="single" w:color="auto"/>
          <w:color w:val="auto"/>
        </w:rPr>
        <w:t>(j)</w:t>
      </w:r>
      <w:r>
        <w:rPr>
          <w:rFonts w:ascii="Arial" w:cs="Arial" w:eastAsia="Arial" w:hAnsi="Arial"/>
          <w:sz w:val="17"/>
          <w:szCs w:val="17"/>
          <w:color w:val="auto"/>
        </w:rPr>
        <w:t xml:space="preserve">, </w:t>
      </w:r>
      <w:r>
        <w:rPr>
          <w:rFonts w:ascii="Arial" w:cs="Arial" w:eastAsia="Arial" w:hAnsi="Arial"/>
          <w:sz w:val="17"/>
          <w:szCs w:val="17"/>
          <w:u w:val="single" w:color="auto"/>
          <w:color w:val="auto"/>
        </w:rPr>
        <w:t>(m)</w:t>
      </w:r>
      <w:r>
        <w:rPr>
          <w:rFonts w:ascii="Arial" w:cs="Arial" w:eastAsia="Arial" w:hAnsi="Arial"/>
          <w:sz w:val="17"/>
          <w:szCs w:val="17"/>
          <w:color w:val="auto"/>
        </w:rPr>
        <w:t xml:space="preserve">, </w:t>
      </w:r>
      <w:r>
        <w:rPr>
          <w:rFonts w:ascii="Arial" w:cs="Arial" w:eastAsia="Arial" w:hAnsi="Arial"/>
          <w:sz w:val="17"/>
          <w:szCs w:val="17"/>
          <w:u w:val="single" w:color="auto"/>
          <w:color w:val="auto"/>
        </w:rPr>
        <w:t>(n)</w:t>
      </w:r>
      <w:r>
        <w:rPr>
          <w:rFonts w:ascii="Arial" w:cs="Arial" w:eastAsia="Arial" w:hAnsi="Arial"/>
          <w:sz w:val="17"/>
          <w:szCs w:val="17"/>
          <w:color w:val="auto"/>
        </w:rPr>
        <w:t xml:space="preserve">, </w:t>
      </w:r>
      <w:r>
        <w:rPr>
          <w:rFonts w:ascii="Arial" w:cs="Arial" w:eastAsia="Arial" w:hAnsi="Arial"/>
          <w:sz w:val="17"/>
          <w:szCs w:val="17"/>
          <w:u w:val="single" w:color="auto"/>
          <w:color w:val="auto"/>
        </w:rPr>
        <w:t>(u)</w:t>
      </w:r>
      <w:r>
        <w:rPr>
          <w:rFonts w:ascii="Arial" w:cs="Arial" w:eastAsia="Arial" w:hAnsi="Arial"/>
          <w:sz w:val="17"/>
          <w:szCs w:val="17"/>
          <w:color w:val="auto"/>
        </w:rPr>
        <w:t xml:space="preserve">, </w:t>
      </w:r>
      <w:r>
        <w:rPr>
          <w:rFonts w:ascii="Arial" w:cs="Arial" w:eastAsia="Arial" w:hAnsi="Arial"/>
          <w:sz w:val="17"/>
          <w:szCs w:val="17"/>
          <w:u w:val="single" w:color="auto"/>
          <w:color w:val="auto"/>
        </w:rPr>
        <w:t>(w)</w:t>
      </w:r>
      <w:r>
        <w:rPr>
          <w:rFonts w:ascii="Arial" w:cs="Arial" w:eastAsia="Arial" w:hAnsi="Arial"/>
          <w:sz w:val="17"/>
          <w:szCs w:val="17"/>
          <w:color w:val="auto"/>
        </w:rPr>
        <w:t xml:space="preserve">, </w:t>
      </w:r>
      <w:r>
        <w:rPr>
          <w:rFonts w:ascii="Arial" w:cs="Arial" w:eastAsia="Arial" w:hAnsi="Arial"/>
          <w:sz w:val="17"/>
          <w:szCs w:val="17"/>
          <w:u w:val="single" w:color="auto"/>
          <w:color w:val="auto"/>
        </w:rPr>
        <w:t>(y)</w:t>
      </w:r>
      <w:r>
        <w:rPr>
          <w:rFonts w:ascii="Arial" w:cs="Arial" w:eastAsia="Arial" w:hAnsi="Arial"/>
          <w:sz w:val="17"/>
          <w:szCs w:val="17"/>
          <w:color w:val="auto"/>
        </w:rPr>
        <w:t xml:space="preserve">, </w:t>
      </w:r>
      <w:r>
        <w:rPr>
          <w:rFonts w:ascii="Arial" w:cs="Arial" w:eastAsia="Arial" w:hAnsi="Arial"/>
          <w:sz w:val="17"/>
          <w:szCs w:val="17"/>
          <w:u w:val="single" w:color="auto"/>
          <w:color w:val="auto"/>
        </w:rPr>
        <w:t>(z)</w:t>
      </w:r>
      <w:r>
        <w:rPr>
          <w:rFonts w:ascii="Arial" w:cs="Arial" w:eastAsia="Arial" w:hAnsi="Arial"/>
          <w:sz w:val="17"/>
          <w:szCs w:val="17"/>
          <w:color w:val="auto"/>
        </w:rPr>
        <w:t xml:space="preserve">, </w:t>
      </w:r>
      <w:r>
        <w:rPr>
          <w:rFonts w:ascii="Arial" w:cs="Arial" w:eastAsia="Arial" w:hAnsi="Arial"/>
          <w:sz w:val="17"/>
          <w:szCs w:val="17"/>
          <w:u w:val="single" w:color="auto"/>
          <w:color w:val="auto"/>
        </w:rPr>
        <w:t>(gg)</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and</w:t>
      </w:r>
    </w:p>
    <w:p>
      <w:pPr>
        <w:jc w:val="both"/>
        <w:ind w:left="100" w:right="19" w:hanging="7"/>
        <w:spacing w:after="0" w:line="239" w:lineRule="auto"/>
        <w:tabs>
          <w:tab w:leader="none" w:pos="391" w:val="left"/>
        </w:tabs>
        <w:numPr>
          <w:ilvl w:val="1"/>
          <w:numId w:val="247"/>
        </w:numPr>
        <w:rPr>
          <w:rFonts w:ascii="Arial" w:cs="Arial" w:eastAsia="Arial" w:hAnsi="Arial"/>
          <w:sz w:val="19"/>
          <w:szCs w:val="19"/>
          <w:color w:val="auto"/>
        </w:rPr>
      </w:pPr>
      <w:r>
        <w:rPr>
          <w:rFonts w:ascii="Arial" w:cs="Arial" w:eastAsia="Arial" w:hAnsi="Arial"/>
          <w:sz w:val="19"/>
          <w:szCs w:val="19"/>
          <w:color w:val="auto"/>
        </w:rPr>
        <w:t xml:space="preserve">Indebtedness that is secured in reliance on </w:t>
      </w:r>
      <w:r>
        <w:rPr>
          <w:rFonts w:ascii="Arial" w:cs="Arial" w:eastAsia="Arial" w:hAnsi="Arial"/>
          <w:sz w:val="19"/>
          <w:szCs w:val="19"/>
          <w:u w:val="single" w:color="auto"/>
          <w:color w:val="auto"/>
        </w:rPr>
        <w:t>Section 6.02(u)</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granting of the relevant Lien shall be without duplication of any Lien outstanding under </w:t>
      </w:r>
      <w:r>
        <w:rPr>
          <w:rFonts w:ascii="Arial" w:cs="Arial" w:eastAsia="Arial" w:hAnsi="Arial"/>
          <w:sz w:val="19"/>
          <w:szCs w:val="19"/>
          <w:u w:val="single" w:color="auto"/>
          <w:color w:val="auto"/>
        </w:rPr>
        <w:t>Section 6.02(u)</w:t>
      </w:r>
      <w:r>
        <w:rPr>
          <w:rFonts w:ascii="Arial" w:cs="Arial" w:eastAsia="Arial" w:hAnsi="Arial"/>
          <w:sz w:val="19"/>
          <w:szCs w:val="19"/>
          <w:color w:val="auto"/>
        </w:rPr>
        <w:t xml:space="preserve"> such that the amount available under </w:t>
      </w:r>
      <w:r>
        <w:rPr>
          <w:rFonts w:ascii="Arial" w:cs="Arial" w:eastAsia="Arial" w:hAnsi="Arial"/>
          <w:sz w:val="19"/>
          <w:szCs w:val="19"/>
          <w:u w:val="single" w:color="auto"/>
          <w:color w:val="auto"/>
        </w:rPr>
        <w:t>Section 6.02(u)</w:t>
      </w:r>
      <w:r>
        <w:rPr>
          <w:rFonts w:ascii="Arial" w:cs="Arial" w:eastAsia="Arial" w:hAnsi="Arial"/>
          <w:sz w:val="19"/>
          <w:szCs w:val="19"/>
          <w:color w:val="auto"/>
        </w:rPr>
        <w:t xml:space="preserve"> shall be reduced by the amount secured by the applicable Lien granted in reliance on this </w:t>
      </w:r>
      <w:r>
        <w:rPr>
          <w:rFonts w:ascii="Arial" w:cs="Arial" w:eastAsia="Arial" w:hAnsi="Arial"/>
          <w:sz w:val="19"/>
          <w:szCs w:val="19"/>
          <w:u w:val="single" w:color="auto"/>
          <w:color w:val="auto"/>
        </w:rPr>
        <w:t>clause (2)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such Lien extends to any asset not covered by the Lien securing (or permitted to secure) the Indebtedness that is being refinanced (it being understood that individual financings of the type permitted under </w:t>
      </w:r>
      <w:r>
        <w:rPr>
          <w:rFonts w:ascii="Arial" w:cs="Arial" w:eastAsia="Arial" w:hAnsi="Arial"/>
          <w:sz w:val="19"/>
          <w:szCs w:val="19"/>
          <w:u w:val="single" w:color="auto"/>
          <w:color w:val="auto"/>
        </w:rPr>
        <w:t>Section 6.01(m)</w:t>
      </w:r>
      <w:r>
        <w:rPr>
          <w:rFonts w:ascii="Arial" w:cs="Arial" w:eastAsia="Arial" w:hAnsi="Arial"/>
          <w:sz w:val="19"/>
          <w:szCs w:val="19"/>
          <w:color w:val="auto"/>
        </w:rPr>
        <w:t xml:space="preserve"> provided by any lender may be cross-collateralized to other financings of such type provided by such lender or its affiliates), (ii) if the Lien securing the Indebtedness being refinanced was subject to intercreditor arrangements, then (A) the Lien securing any refinancing Indebtedness in respect thereof shall be subject to intercreditor arrangements that are not materially less favorable to the Secured Parties, taken as a whole, than the intercreditor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142</w:t>
      </w:r>
      <w:r>
        <w:rPr>
          <w:rFonts w:ascii="Arial" w:cs="Arial" w:eastAsia="Arial" w:hAnsi="Arial"/>
          <w:sz w:val="18"/>
          <w:szCs w:val="18"/>
          <w:u w:val="single" w:color="auto"/>
          <w:color w:val="0000FF"/>
          <w:strike w:val="1"/>
        </w:rPr>
        <w:t>142</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10" w:name="page211"/>
    <w:bookmarkEnd w:id="210"/>
    <w:p>
      <w:pPr>
        <w:jc w:val="both"/>
        <w:ind w:left="100" w:right="59"/>
        <w:spacing w:after="0" w:line="270" w:lineRule="auto"/>
        <w:rPr>
          <w:sz w:val="20"/>
          <w:szCs w:val="20"/>
          <w:color w:val="auto"/>
        </w:rPr>
      </w:pPr>
      <w:r>
        <w:rPr>
          <w:rFonts w:ascii="Arial" w:cs="Arial" w:eastAsia="Arial" w:hAnsi="Arial"/>
          <w:sz w:val="17"/>
          <w:szCs w:val="17"/>
          <w:color w:val="auto"/>
        </w:rPr>
        <w:t xml:space="preserve">governing the Lien securing the Indebtedness that is refinanced or (B) the intercreditor arrangements governing the Lien securing the relevant refinancing Indebtedness shall be set forth in an Intercreditor Agreement, (iii) except as permitted by another provision of this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no such Lien shall be senior in priority as compared to the Lien securing the Indebtedness being refinanced and (iv) subject to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above, any such Lien may be subject to an Intercreditor Agreement to the extent the Lien securing the Indebtedness being refinanced was permitted to be subject to an Intercreditor Agreement;</w:t>
      </w:r>
    </w:p>
    <w:p>
      <w:pPr>
        <w:spacing w:after="0" w:line="156" w:lineRule="exact"/>
        <w:rPr>
          <w:sz w:val="20"/>
          <w:szCs w:val="20"/>
          <w:color w:val="auto"/>
        </w:rPr>
      </w:pPr>
    </w:p>
    <w:p>
      <w:pPr>
        <w:jc w:val="both"/>
        <w:ind w:left="100" w:right="59" w:firstLine="742"/>
        <w:spacing w:after="0" w:line="274" w:lineRule="auto"/>
        <w:tabs>
          <w:tab w:leader="none" w:pos="1568" w:val="left"/>
        </w:tabs>
        <w:numPr>
          <w:ilvl w:val="1"/>
          <w:numId w:val="248"/>
        </w:numPr>
        <w:rPr>
          <w:rFonts w:ascii="Arial" w:cs="Arial" w:eastAsia="Arial" w:hAnsi="Arial"/>
          <w:sz w:val="17"/>
          <w:szCs w:val="17"/>
          <w:color w:val="auto"/>
        </w:rPr>
      </w:pPr>
      <w:r>
        <w:rPr>
          <w:rFonts w:ascii="Arial" w:cs="Arial" w:eastAsia="Arial" w:hAnsi="Arial"/>
          <w:sz w:val="17"/>
          <w:szCs w:val="17"/>
          <w:color w:val="auto"/>
        </w:rPr>
        <w:t xml:space="preserve">Liens in existence on the Closing Date and any modification, replacement, refinancing, renewal or extension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 such Lien extends to any additional property other than (A) after-acquired property that is affixed or incorporated into the property covered by such Lien or financed by Indebtedness permitted under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and (B) proceeds and products thereof, replacements thereof, accessions or additions thereto and improvements thereon (it being understood that individual financings of the type permitted under </w:t>
      </w:r>
      <w:r>
        <w:rPr>
          <w:rFonts w:ascii="Arial" w:cs="Arial" w:eastAsia="Arial" w:hAnsi="Arial"/>
          <w:sz w:val="17"/>
          <w:szCs w:val="17"/>
          <w:u w:val="single" w:color="auto"/>
          <w:color w:val="auto"/>
        </w:rPr>
        <w:t>Section 6.01(m)</w:t>
      </w:r>
      <w:r>
        <w:rPr>
          <w:rFonts w:ascii="Arial" w:cs="Arial" w:eastAsia="Arial" w:hAnsi="Arial"/>
          <w:sz w:val="17"/>
          <w:szCs w:val="17"/>
          <w:color w:val="auto"/>
        </w:rPr>
        <w:t xml:space="preserve"> provided by any lender may be cross-collateralized to other financings of such type provided by such lender or its affiliates) and (ii) any such modification, replacement, refinancing, renewal or extension of the obligations secured or benefited by such Liens, if constituting Indebtedness, is permitted by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1600" w:hanging="758"/>
        <w:spacing w:after="0"/>
        <w:tabs>
          <w:tab w:leader="none" w:pos="1600" w:val="left"/>
        </w:tabs>
        <w:numPr>
          <w:ilvl w:val="1"/>
          <w:numId w:val="248"/>
        </w:numPr>
        <w:rPr>
          <w:rFonts w:ascii="Arial" w:cs="Arial" w:eastAsia="Arial" w:hAnsi="Arial"/>
          <w:sz w:val="19"/>
          <w:szCs w:val="19"/>
          <w:color w:val="auto"/>
        </w:rPr>
      </w:pPr>
      <w:r>
        <w:rPr>
          <w:rFonts w:ascii="Arial" w:cs="Arial" w:eastAsia="Arial" w:hAnsi="Arial"/>
          <w:sz w:val="19"/>
          <w:szCs w:val="19"/>
          <w:color w:val="auto"/>
        </w:rPr>
        <w:t xml:space="preserve">Liens arising out of Sale and Lease-Back Transactions permitted under </w:t>
      </w:r>
      <w:r>
        <w:rPr>
          <w:rFonts w:ascii="Arial" w:cs="Arial" w:eastAsia="Arial" w:hAnsi="Arial"/>
          <w:sz w:val="19"/>
          <w:szCs w:val="19"/>
          <w:u w:val="single" w:color="auto"/>
          <w:color w:val="auto"/>
        </w:rPr>
        <w:t>Section 6.07</w:t>
      </w:r>
      <w:r>
        <w:rPr>
          <w:rFonts w:ascii="Arial" w:cs="Arial" w:eastAsia="Arial" w:hAnsi="Arial"/>
          <w:sz w:val="19"/>
          <w:szCs w:val="19"/>
          <w:color w:val="auto"/>
        </w:rPr>
        <w:t>;</w:t>
      </w:r>
    </w:p>
    <w:p>
      <w:pPr>
        <w:spacing w:after="0" w:line="227" w:lineRule="exact"/>
        <w:rPr>
          <w:rFonts w:ascii="Arial" w:cs="Arial" w:eastAsia="Arial" w:hAnsi="Arial"/>
          <w:sz w:val="19"/>
          <w:szCs w:val="19"/>
          <w:color w:val="auto"/>
        </w:rPr>
      </w:pPr>
    </w:p>
    <w:p>
      <w:pPr>
        <w:jc w:val="both"/>
        <w:ind w:left="100" w:right="19" w:firstLine="741"/>
        <w:spacing w:after="0" w:line="243" w:lineRule="auto"/>
        <w:tabs>
          <w:tab w:leader="none" w:pos="1571" w:val="left"/>
        </w:tabs>
        <w:numPr>
          <w:ilvl w:val="1"/>
          <w:numId w:val="248"/>
        </w:numPr>
        <w:rPr>
          <w:rFonts w:ascii="Arial" w:cs="Arial" w:eastAsia="Arial" w:hAnsi="Arial"/>
          <w:sz w:val="19"/>
          <w:szCs w:val="19"/>
          <w:color w:val="auto"/>
        </w:rPr>
      </w:pPr>
      <w:r>
        <w:rPr>
          <w:rFonts w:ascii="Arial" w:cs="Arial" w:eastAsia="Arial" w:hAnsi="Arial"/>
          <w:sz w:val="19"/>
          <w:szCs w:val="19"/>
          <w:color w:val="auto"/>
        </w:rPr>
        <w:t xml:space="preserve">Liens securing Indebtedness permitted pursuant to </w:t>
      </w:r>
      <w:r>
        <w:rPr>
          <w:rFonts w:ascii="Arial" w:cs="Arial" w:eastAsia="Arial" w:hAnsi="Arial"/>
          <w:sz w:val="19"/>
          <w:szCs w:val="19"/>
          <w:u w:val="single" w:color="auto"/>
          <w:color w:val="auto"/>
        </w:rPr>
        <w:t>Section 6.01(m)</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Lien shall encumber only the asset acquired with the proceeds of such Indebtedness and proceeds and products thereof, replacements, accessions or additions thereto and improvements thereon (it being understood that individual financings of the type permitted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6.01(m)</w:t>
      </w:r>
      <w:r>
        <w:rPr>
          <w:rFonts w:ascii="Arial" w:cs="Arial" w:eastAsia="Arial" w:hAnsi="Arial"/>
          <w:sz w:val="19"/>
          <w:szCs w:val="19"/>
          <w:color w:val="auto"/>
        </w:rPr>
        <w:t xml:space="preserve"> provided by any lender may be cross-collateralized to other financings of such type provided by such lender or its affiliates);</w:t>
      </w:r>
    </w:p>
    <w:p>
      <w:pPr>
        <w:spacing w:after="0" w:line="189" w:lineRule="exact"/>
        <w:rPr>
          <w:rFonts w:ascii="Arial" w:cs="Arial" w:eastAsia="Arial" w:hAnsi="Arial"/>
          <w:sz w:val="19"/>
          <w:szCs w:val="19"/>
          <w:color w:val="auto"/>
        </w:rPr>
      </w:pPr>
    </w:p>
    <w:p>
      <w:pPr>
        <w:jc w:val="both"/>
        <w:ind w:left="100" w:right="59" w:firstLine="742"/>
        <w:spacing w:after="0" w:line="275" w:lineRule="auto"/>
        <w:tabs>
          <w:tab w:leader="none" w:pos="1568" w:val="left"/>
        </w:tabs>
        <w:numPr>
          <w:ilvl w:val="1"/>
          <w:numId w:val="248"/>
        </w:numPr>
        <w:rPr>
          <w:rFonts w:ascii="Arial" w:cs="Arial" w:eastAsia="Arial" w:hAnsi="Arial"/>
          <w:sz w:val="17"/>
          <w:szCs w:val="17"/>
          <w:color w:val="auto"/>
        </w:rPr>
      </w:pPr>
      <w:r>
        <w:rPr>
          <w:rFonts w:ascii="Arial" w:cs="Arial" w:eastAsia="Arial" w:hAnsi="Arial"/>
          <w:sz w:val="17"/>
          <w:szCs w:val="17"/>
          <w:color w:val="auto"/>
        </w:rPr>
        <w:t xml:space="preserve">Liens securing Indebtedness permitted pursuant to </w:t>
      </w:r>
      <w:r>
        <w:rPr>
          <w:rFonts w:ascii="Arial" w:cs="Arial" w:eastAsia="Arial" w:hAnsi="Arial"/>
          <w:sz w:val="17"/>
          <w:szCs w:val="17"/>
          <w:u w:val="single" w:color="auto"/>
          <w:color w:val="auto"/>
        </w:rPr>
        <w:t>Section 6.01(n)</w:t>
      </w:r>
      <w:r>
        <w:rPr>
          <w:rFonts w:ascii="Arial" w:cs="Arial" w:eastAsia="Arial" w:hAnsi="Arial"/>
          <w:sz w:val="17"/>
          <w:szCs w:val="17"/>
          <w:color w:val="auto"/>
        </w:rPr>
        <w:t xml:space="preserve"> on the relevant acquired assets or on the Capital Stock and assets of the relevant newly acquired Restricted Subsidiary and/or any future subsidiary of such Restricted Subsidiary (including, for the avoidance of doubt, any after-acquired property of any such newly acquired subsidiary and/or any such subsidiary of such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Lien (i) extends to or covers any other assets (other than the proceeds or products thereof, replacements thereof, accessions or additions thereto and improvements thereon) (it being understood that (A) individual financings of the type permitted under </w:t>
      </w:r>
      <w:r>
        <w:rPr>
          <w:rFonts w:ascii="Arial" w:cs="Arial" w:eastAsia="Arial" w:hAnsi="Arial"/>
          <w:sz w:val="17"/>
          <w:szCs w:val="17"/>
          <w:u w:val="single" w:color="auto"/>
          <w:color w:val="auto"/>
        </w:rPr>
        <w:t>Section 6.01(m)</w:t>
      </w:r>
      <w:r>
        <w:rPr>
          <w:rFonts w:ascii="Arial" w:cs="Arial" w:eastAsia="Arial" w:hAnsi="Arial"/>
          <w:sz w:val="17"/>
          <w:szCs w:val="17"/>
          <w:color w:val="auto"/>
        </w:rPr>
        <w:t xml:space="preserve"> provided by any lender may be cross collateralized to other financings of such type provided by such lender or its affiliates and (B) any such Lien may extend to after-acquired property of any such Person) or (ii) was created in contemplation of the applicable acquisition of assets or Capital Stock;</w:t>
      </w:r>
    </w:p>
    <w:p>
      <w:pPr>
        <w:spacing w:after="0" w:line="165" w:lineRule="exact"/>
        <w:rPr>
          <w:rFonts w:ascii="Arial" w:cs="Arial" w:eastAsia="Arial" w:hAnsi="Arial"/>
          <w:sz w:val="17"/>
          <w:szCs w:val="17"/>
          <w:color w:val="auto"/>
        </w:rPr>
      </w:pPr>
    </w:p>
    <w:p>
      <w:pPr>
        <w:jc w:val="both"/>
        <w:ind w:left="100" w:right="59" w:firstLine="741"/>
        <w:spacing w:after="0" w:line="241" w:lineRule="auto"/>
        <w:tabs>
          <w:tab w:leader="none" w:pos="1568" w:val="left"/>
        </w:tabs>
        <w:numPr>
          <w:ilvl w:val="1"/>
          <w:numId w:val="248"/>
        </w:numPr>
        <w:rPr>
          <w:rFonts w:ascii="Arial" w:cs="Arial" w:eastAsia="Arial" w:hAnsi="Arial"/>
          <w:sz w:val="19"/>
          <w:szCs w:val="19"/>
          <w:color w:val="auto"/>
        </w:rPr>
      </w:pPr>
      <w:r>
        <w:rPr>
          <w:rFonts w:ascii="Arial" w:cs="Arial" w:eastAsia="Arial" w:hAnsi="Arial"/>
          <w:sz w:val="19"/>
          <w:szCs w:val="19"/>
          <w:color w:val="auto"/>
        </w:rPr>
        <w:t>(i) Liens that are contractual rights of setoff or netting relating to (A) the establishment of depositary relations with banks not granted in connection with the issuance of Indebtedness, (B) pooled deposit or sweep accounts of the Borrower or any Restricted Subsidiary to permit satisfaction of overdraft or similar obligations incurred in the ordinary course of business of the Borrower or any Restricted Subsidiary,</w:t>
      </w:r>
    </w:p>
    <w:p>
      <w:pPr>
        <w:spacing w:after="0" w:line="2" w:lineRule="exact"/>
        <w:rPr>
          <w:rFonts w:ascii="Arial" w:cs="Arial" w:eastAsia="Arial" w:hAnsi="Arial"/>
          <w:sz w:val="19"/>
          <w:szCs w:val="19"/>
          <w:color w:val="auto"/>
        </w:rPr>
      </w:pPr>
    </w:p>
    <w:p>
      <w:pPr>
        <w:jc w:val="both"/>
        <w:ind w:left="100" w:right="19" w:hanging="7"/>
        <w:spacing w:after="0" w:line="239" w:lineRule="auto"/>
        <w:tabs>
          <w:tab w:leader="none" w:pos="40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purchase orders and other agreements entered into with customers of the Borrower or any Restricted Subsidiary in the ordinary course of business and (D) commodity trading or other brokerage accounts incurred in the ordinary course of business, (ii) Liens encumbering reasonable customary initial deposits and margin deposits, (iii) bankers Liens and rights and remedies as to Deposit Accounts, (iv) Liens of a collection bank arising under Section 4-208 of the UCC on items in the ordinary course of business, (v) Liens in favor of banking or other financial institutions arising as a matter of Law or under customary general terms and conditions encumbering deposits or other funds maintained with a financial institution and that are within the general parameters customary in the banking industry or arising pursuant to such banking institution’s general terms and conditions, (vi) Liens on the proceeds of any Indebtedness incurred in connection with any transaction permitted hereunder, which proceeds have been deposited into an escrow account on customary terms to secure such Indebtedness pending the application of such proceeds to finance such transaction and</w:t>
      </w:r>
    </w:p>
    <w:p>
      <w:pPr>
        <w:spacing w:after="0" w:line="4"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9"/>
          <w:szCs w:val="19"/>
          <w:color w:val="auto"/>
        </w:rPr>
        <w:t>(vii) any general banking Lien over any bank account arising in the ordinary course of business;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143</w:t>
      </w:r>
      <w:r>
        <w:rPr>
          <w:rFonts w:ascii="Arial" w:cs="Arial" w:eastAsia="Arial" w:hAnsi="Arial"/>
          <w:sz w:val="18"/>
          <w:szCs w:val="18"/>
          <w:u w:val="single" w:color="auto"/>
          <w:color w:val="0000FF"/>
          <w:strike w:val="1"/>
        </w:rPr>
        <w:t>143</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11" w:name="page212"/>
    <w:bookmarkEnd w:id="211"/>
    <w:p>
      <w:pPr>
        <w:jc w:val="both"/>
        <w:ind w:left="100" w:right="39" w:firstLine="741"/>
        <w:spacing w:after="0" w:line="256" w:lineRule="auto"/>
        <w:tabs>
          <w:tab w:leader="none" w:pos="1569" w:val="left"/>
        </w:tabs>
        <w:numPr>
          <w:ilvl w:val="1"/>
          <w:numId w:val="250"/>
        </w:numPr>
        <w:rPr>
          <w:rFonts w:ascii="Arial" w:cs="Arial" w:eastAsia="Arial" w:hAnsi="Arial"/>
          <w:sz w:val="19"/>
          <w:szCs w:val="19"/>
          <w:color w:val="auto"/>
        </w:rPr>
      </w:pPr>
      <w:r>
        <w:rPr>
          <w:rFonts w:ascii="Arial" w:cs="Arial" w:eastAsia="Arial" w:hAnsi="Arial"/>
          <w:sz w:val="19"/>
          <w:szCs w:val="19"/>
          <w:color w:val="auto"/>
        </w:rPr>
        <w:t xml:space="preserve">Liens on assets owned by, and/or Capital Stock of, Restricted Subsidiaries that are not Loan Parties (including Capital Stock owned by such Persons) securing Indebtedness of Restricted Subsidiaries that are not Loan Parties permitted pursuant to </w:t>
      </w:r>
      <w:r>
        <w:rPr>
          <w:rFonts w:ascii="Arial" w:cs="Arial" w:eastAsia="Arial" w:hAnsi="Arial"/>
          <w:sz w:val="19"/>
          <w:szCs w:val="19"/>
          <w:u w:val="single" w:color="auto"/>
          <w:color w:val="auto"/>
        </w:rPr>
        <w:t>Section 6.01</w:t>
      </w:r>
      <w:r>
        <w:rPr>
          <w:rFonts w:ascii="Arial" w:cs="Arial" w:eastAsia="Arial" w:hAnsi="Arial"/>
          <w:sz w:val="19"/>
          <w:szCs w:val="19"/>
          <w:color w:val="auto"/>
        </w:rPr>
        <w:t>;</w:t>
      </w:r>
    </w:p>
    <w:p>
      <w:pPr>
        <w:spacing w:after="0" w:line="178" w:lineRule="exact"/>
        <w:rPr>
          <w:rFonts w:ascii="Arial" w:cs="Arial" w:eastAsia="Arial" w:hAnsi="Arial"/>
          <w:sz w:val="19"/>
          <w:szCs w:val="19"/>
          <w:color w:val="auto"/>
        </w:rPr>
      </w:pPr>
    </w:p>
    <w:p>
      <w:pPr>
        <w:jc w:val="both"/>
        <w:ind w:left="100" w:right="59" w:firstLine="741"/>
        <w:spacing w:after="0" w:line="249" w:lineRule="auto"/>
        <w:tabs>
          <w:tab w:leader="none" w:pos="1568" w:val="left"/>
        </w:tabs>
        <w:numPr>
          <w:ilvl w:val="1"/>
          <w:numId w:val="250"/>
        </w:numPr>
        <w:rPr>
          <w:rFonts w:ascii="Arial" w:cs="Arial" w:eastAsia="Arial" w:hAnsi="Arial"/>
          <w:sz w:val="19"/>
          <w:szCs w:val="19"/>
          <w:color w:val="auto"/>
        </w:rPr>
      </w:pPr>
      <w:r>
        <w:rPr>
          <w:rFonts w:ascii="Arial" w:cs="Arial" w:eastAsia="Arial" w:hAnsi="Arial"/>
          <w:sz w:val="19"/>
          <w:szCs w:val="19"/>
          <w:color w:val="auto"/>
        </w:rPr>
        <w:t>Liens securing obligations (other than obligations representing Indebtedness for borrowed money) under operating, reciprocal easement or similar agreements entered into in the ordinary course of business of the Borrower and/or its Restricted Subsidiaries;</w:t>
      </w:r>
    </w:p>
    <w:p>
      <w:pPr>
        <w:spacing w:after="0" w:line="183" w:lineRule="exact"/>
        <w:rPr>
          <w:rFonts w:ascii="Arial" w:cs="Arial" w:eastAsia="Arial" w:hAnsi="Arial"/>
          <w:sz w:val="19"/>
          <w:szCs w:val="19"/>
          <w:color w:val="auto"/>
        </w:rPr>
      </w:pPr>
    </w:p>
    <w:p>
      <w:pPr>
        <w:ind w:left="100" w:right="19" w:firstLine="742"/>
        <w:spacing w:after="0" w:line="246" w:lineRule="auto"/>
        <w:tabs>
          <w:tab w:leader="none" w:pos="1572" w:val="left"/>
        </w:tabs>
        <w:numPr>
          <w:ilvl w:val="1"/>
          <w:numId w:val="250"/>
        </w:numPr>
        <w:rPr>
          <w:rFonts w:ascii="Arial" w:cs="Arial" w:eastAsia="Arial" w:hAnsi="Arial"/>
          <w:sz w:val="19"/>
          <w:szCs w:val="19"/>
          <w:color w:val="auto"/>
        </w:rPr>
      </w:pPr>
      <w:r>
        <w:rPr>
          <w:rFonts w:ascii="Arial" w:cs="Arial" w:eastAsia="Arial" w:hAnsi="Arial"/>
          <w:sz w:val="19"/>
          <w:szCs w:val="19"/>
          <w:color w:val="auto"/>
        </w:rPr>
        <w:t xml:space="preserve">Liens securing Indebtedness incurred in reliance on, and subject to the provisions set forth in, </w:t>
      </w:r>
      <w:r>
        <w:rPr>
          <w:rFonts w:ascii="Arial" w:cs="Arial" w:eastAsia="Arial" w:hAnsi="Arial"/>
          <w:sz w:val="19"/>
          <w:szCs w:val="19"/>
          <w:u w:val="single" w:color="auto"/>
          <w:color w:val="auto"/>
        </w:rPr>
        <w:t>Sections 6.01(w)</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(z)</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Lien that is granted on the Collateral in reliance on this </w:t>
      </w:r>
      <w:r>
        <w:rPr>
          <w:rFonts w:ascii="Arial" w:cs="Arial" w:eastAsia="Arial" w:hAnsi="Arial"/>
          <w:sz w:val="19"/>
          <w:szCs w:val="19"/>
          <w:u w:val="single" w:color="auto"/>
          <w:color w:val="auto"/>
        </w:rPr>
        <w:t>clause</w:t>
      </w:r>
    </w:p>
    <w:p>
      <w:pPr>
        <w:jc w:val="both"/>
        <w:ind w:left="100" w:right="39" w:hanging="7"/>
        <w:spacing w:after="0"/>
        <w:tabs>
          <w:tab w:leader="none" w:pos="772" w:val="left"/>
        </w:tabs>
        <w:numPr>
          <w:ilvl w:val="0"/>
          <w:numId w:val="251"/>
        </w:numPr>
        <w:rPr>
          <w:rFonts w:ascii="Arial" w:cs="Arial" w:eastAsia="Arial" w:hAnsi="Arial"/>
          <w:sz w:val="19"/>
          <w:szCs w:val="19"/>
          <w:u w:val="single" w:color="auto"/>
          <w:color w:val="auto"/>
        </w:rPr>
      </w:pPr>
      <w:r>
        <w:rPr>
          <w:rFonts w:ascii="Arial" w:cs="Arial" w:eastAsia="Arial" w:hAnsi="Arial"/>
          <w:sz w:val="19"/>
          <w:szCs w:val="19"/>
          <w:color w:val="auto"/>
        </w:rPr>
        <w:t xml:space="preserve">shall be subject to an Intercreditor Agreement unless, in the case of any Lien granted to secure Indebtedness incurred in reliance on </w:t>
      </w:r>
      <w:r>
        <w:rPr>
          <w:rFonts w:ascii="Arial" w:cs="Arial" w:eastAsia="Arial" w:hAnsi="Arial"/>
          <w:sz w:val="19"/>
          <w:szCs w:val="19"/>
          <w:u w:val="single" w:color="auto"/>
          <w:color w:val="auto"/>
        </w:rPr>
        <w:t>Section 6.01(w)</w:t>
      </w:r>
      <w:r>
        <w:rPr>
          <w:rFonts w:ascii="Arial" w:cs="Arial" w:eastAsia="Arial" w:hAnsi="Arial"/>
          <w:sz w:val="19"/>
          <w:szCs w:val="19"/>
          <w:color w:val="auto"/>
        </w:rPr>
        <w:t>, the holders of such Indebtedness and the Administrative Agent have not requested or required an intercreditor arrangement;</w:t>
      </w:r>
    </w:p>
    <w:p>
      <w:pPr>
        <w:spacing w:after="0" w:line="192" w:lineRule="exact"/>
        <w:rPr>
          <w:rFonts w:ascii="Arial" w:cs="Arial" w:eastAsia="Arial" w:hAnsi="Arial"/>
          <w:sz w:val="19"/>
          <w:szCs w:val="19"/>
          <w:u w:val="single" w:color="auto"/>
          <w:color w:val="auto"/>
        </w:rPr>
      </w:pPr>
    </w:p>
    <w:p>
      <w:pPr>
        <w:ind w:left="1600" w:hanging="758"/>
        <w:spacing w:after="0"/>
        <w:tabs>
          <w:tab w:leader="none" w:pos="1600" w:val="left"/>
        </w:tabs>
        <w:numPr>
          <w:ilvl w:val="1"/>
          <w:numId w:val="251"/>
        </w:numPr>
        <w:rPr>
          <w:rFonts w:ascii="Arial" w:cs="Arial" w:eastAsia="Arial" w:hAnsi="Arial"/>
          <w:sz w:val="19"/>
          <w:szCs w:val="19"/>
          <w:u w:val="single" w:color="auto"/>
          <w:color w:val="auto"/>
        </w:rPr>
      </w:pPr>
      <w:r>
        <w:rPr>
          <w:rFonts w:ascii="Arial" w:cs="Arial" w:eastAsia="Arial" w:hAnsi="Arial"/>
          <w:sz w:val="19"/>
          <w:szCs w:val="19"/>
          <w:color w:val="auto"/>
        </w:rPr>
        <w:t>[reserved];</w:t>
      </w:r>
    </w:p>
    <w:p>
      <w:pPr>
        <w:spacing w:after="0" w:line="213" w:lineRule="exact"/>
        <w:rPr>
          <w:rFonts w:ascii="Arial" w:cs="Arial" w:eastAsia="Arial" w:hAnsi="Arial"/>
          <w:sz w:val="19"/>
          <w:szCs w:val="19"/>
          <w:u w:val="single" w:color="auto"/>
          <w:color w:val="auto"/>
        </w:rPr>
      </w:pPr>
    </w:p>
    <w:p>
      <w:pPr>
        <w:jc w:val="both"/>
        <w:ind w:left="100" w:right="59" w:firstLine="741"/>
        <w:spacing w:after="0" w:line="250" w:lineRule="auto"/>
        <w:tabs>
          <w:tab w:leader="none" w:pos="1519" w:val="left"/>
        </w:tabs>
        <w:numPr>
          <w:ilvl w:val="1"/>
          <w:numId w:val="251"/>
        </w:numPr>
        <w:rPr>
          <w:rFonts w:ascii="Arial" w:cs="Arial" w:eastAsia="Arial" w:hAnsi="Arial"/>
          <w:sz w:val="19"/>
          <w:szCs w:val="19"/>
          <w:u w:val="single" w:color="auto"/>
          <w:color w:val="auto"/>
        </w:rPr>
      </w:pPr>
      <w:r>
        <w:rPr>
          <w:rFonts w:ascii="Arial" w:cs="Arial" w:eastAsia="Arial" w:hAnsi="Arial"/>
          <w:sz w:val="19"/>
          <w:szCs w:val="19"/>
          <w:color w:val="auto"/>
        </w:rPr>
        <w:t>Liens on assets securing Indebtedness or other obligations in an aggregate principal amount at any time outstanding not to exceed the greater of $42,500,000 and 50% of Consolidated Adjusted EBITDA as of the last day of the most recently ended Test Period, in each case, subject, in the case of any Lien on the Collateral, at the request of the relevant lender, to an Intercreditor Agreement;</w:t>
      </w:r>
    </w:p>
    <w:p>
      <w:pPr>
        <w:spacing w:after="0" w:line="183" w:lineRule="exact"/>
        <w:rPr>
          <w:rFonts w:ascii="Arial" w:cs="Arial" w:eastAsia="Arial" w:hAnsi="Arial"/>
          <w:sz w:val="19"/>
          <w:szCs w:val="19"/>
          <w:u w:val="single" w:color="auto"/>
          <w:color w:val="auto"/>
        </w:rPr>
      </w:pPr>
    </w:p>
    <w:p>
      <w:pPr>
        <w:jc w:val="both"/>
        <w:ind w:left="100" w:right="59" w:firstLine="741"/>
        <w:spacing w:after="0" w:line="275" w:lineRule="auto"/>
        <w:tabs>
          <w:tab w:leader="none" w:pos="1519" w:val="left"/>
        </w:tabs>
        <w:numPr>
          <w:ilvl w:val="1"/>
          <w:numId w:val="251"/>
        </w:numPr>
        <w:rPr>
          <w:rFonts w:ascii="Arial" w:cs="Arial" w:eastAsia="Arial" w:hAnsi="Arial"/>
          <w:sz w:val="17"/>
          <w:szCs w:val="17"/>
          <w:color w:val="auto"/>
        </w:rPr>
      </w:pPr>
      <w:r>
        <w:rPr>
          <w:rFonts w:ascii="Arial" w:cs="Arial" w:eastAsia="Arial" w:hAnsi="Arial"/>
          <w:sz w:val="17"/>
          <w:szCs w:val="17"/>
          <w:color w:val="auto"/>
        </w:rPr>
        <w:t xml:space="preserve">(i) Liens on assets securing judgments, awards, attachments and/or decrees and notices of </w:t>
      </w:r>
      <w:r>
        <w:rPr>
          <w:rFonts w:ascii="Arial" w:cs="Arial" w:eastAsia="Arial" w:hAnsi="Arial"/>
          <w:sz w:val="17"/>
          <w:szCs w:val="17"/>
          <w:i w:val="1"/>
          <w:iCs w:val="1"/>
          <w:color w:val="auto"/>
        </w:rPr>
        <w:t>lis pendens</w:t>
      </w:r>
      <w:r>
        <w:rPr>
          <w:rFonts w:ascii="Arial" w:cs="Arial" w:eastAsia="Arial" w:hAnsi="Arial"/>
          <w:sz w:val="17"/>
          <w:szCs w:val="17"/>
          <w:color w:val="auto"/>
        </w:rPr>
        <w:t xml:space="preserve"> and associated rights relating to litigation being contested in good faith not constituting an Event of Default under </w:t>
      </w:r>
      <w:r>
        <w:rPr>
          <w:rFonts w:ascii="Arial" w:cs="Arial" w:eastAsia="Arial" w:hAnsi="Arial"/>
          <w:sz w:val="17"/>
          <w:szCs w:val="17"/>
          <w:u w:val="single" w:color="auto"/>
          <w:color w:val="auto"/>
        </w:rPr>
        <w:t>Section 7.01(h)</w:t>
      </w:r>
      <w:r>
        <w:rPr>
          <w:rFonts w:ascii="Arial" w:cs="Arial" w:eastAsia="Arial" w:hAnsi="Arial"/>
          <w:sz w:val="17"/>
          <w:szCs w:val="17"/>
          <w:color w:val="auto"/>
        </w:rPr>
        <w:t xml:space="preserve"> and</w:t>
      </w:r>
    </w:p>
    <w:p>
      <w:pPr>
        <w:ind w:left="380" w:hanging="287"/>
        <w:spacing w:after="0"/>
        <w:tabs>
          <w:tab w:leader="none" w:pos="380" w:val="left"/>
        </w:tabs>
        <w:numPr>
          <w:ilvl w:val="0"/>
          <w:numId w:val="252"/>
        </w:numPr>
        <w:rPr>
          <w:rFonts w:ascii="Arial" w:cs="Arial" w:eastAsia="Arial" w:hAnsi="Arial"/>
          <w:sz w:val="19"/>
          <w:szCs w:val="19"/>
          <w:color w:val="auto"/>
        </w:rPr>
      </w:pPr>
      <w:r>
        <w:rPr>
          <w:rFonts w:ascii="Arial" w:cs="Arial" w:eastAsia="Arial" w:hAnsi="Arial"/>
          <w:sz w:val="19"/>
          <w:szCs w:val="19"/>
          <w:color w:val="auto"/>
        </w:rPr>
        <w:t>any pledge and/or deposit securing any settlement of litigation;</w:t>
      </w:r>
    </w:p>
    <w:p>
      <w:pPr>
        <w:spacing w:after="0" w:line="197" w:lineRule="exact"/>
        <w:rPr>
          <w:rFonts w:ascii="Arial" w:cs="Arial" w:eastAsia="Arial" w:hAnsi="Arial"/>
          <w:sz w:val="19"/>
          <w:szCs w:val="19"/>
          <w:color w:val="auto"/>
        </w:rPr>
      </w:pPr>
    </w:p>
    <w:p>
      <w:pPr>
        <w:jc w:val="both"/>
        <w:ind w:left="100" w:right="59" w:firstLine="741"/>
        <w:spacing w:after="0" w:line="249" w:lineRule="auto"/>
        <w:tabs>
          <w:tab w:leader="none" w:pos="1519" w:val="left"/>
        </w:tabs>
        <w:numPr>
          <w:ilvl w:val="1"/>
          <w:numId w:val="252"/>
        </w:numPr>
        <w:rPr>
          <w:rFonts w:ascii="Arial" w:cs="Arial" w:eastAsia="Arial" w:hAnsi="Arial"/>
          <w:sz w:val="19"/>
          <w:szCs w:val="19"/>
          <w:color w:val="auto"/>
        </w:rPr>
      </w:pPr>
      <w:r>
        <w:rPr>
          <w:rFonts w:ascii="Arial" w:cs="Arial" w:eastAsia="Arial" w:hAnsi="Arial"/>
          <w:sz w:val="19"/>
          <w:szCs w:val="19"/>
          <w:color w:val="auto"/>
        </w:rPr>
        <w:t>(i) leases, licenses, subleases or sublicenses in the ordinary course of business which do not secure any Indebtedness and (ii) ground leases in respect of real property on which facilities owned or leased by the Borrower or any of its subsidiaries are located;</w:t>
      </w:r>
    </w:p>
    <w:p>
      <w:pPr>
        <w:spacing w:after="0" w:line="183" w:lineRule="exact"/>
        <w:rPr>
          <w:rFonts w:ascii="Arial" w:cs="Arial" w:eastAsia="Arial" w:hAnsi="Arial"/>
          <w:sz w:val="19"/>
          <w:szCs w:val="19"/>
          <w:color w:val="auto"/>
        </w:rPr>
      </w:pPr>
    </w:p>
    <w:p>
      <w:pPr>
        <w:ind w:left="100" w:right="59" w:firstLine="742"/>
        <w:spacing w:after="0" w:line="261" w:lineRule="auto"/>
        <w:tabs>
          <w:tab w:leader="none" w:pos="1520" w:val="left"/>
        </w:tabs>
        <w:numPr>
          <w:ilvl w:val="1"/>
          <w:numId w:val="252"/>
        </w:numPr>
        <w:rPr>
          <w:rFonts w:ascii="Arial" w:cs="Arial" w:eastAsia="Arial" w:hAnsi="Arial"/>
          <w:sz w:val="19"/>
          <w:szCs w:val="19"/>
          <w:color w:val="auto"/>
        </w:rPr>
      </w:pPr>
      <w:r>
        <w:rPr>
          <w:rFonts w:ascii="Arial" w:cs="Arial" w:eastAsia="Arial" w:hAnsi="Arial"/>
          <w:sz w:val="19"/>
          <w:szCs w:val="19"/>
          <w:color w:val="auto"/>
        </w:rPr>
        <w:t xml:space="preserve">Liens on Securities that are the subject of repurchase agreements constituting Investments permitted under </w:t>
      </w:r>
      <w:r>
        <w:rPr>
          <w:rFonts w:ascii="Arial" w:cs="Arial" w:eastAsia="Arial" w:hAnsi="Arial"/>
          <w:sz w:val="19"/>
          <w:szCs w:val="19"/>
          <w:u w:val="single" w:color="auto"/>
          <w:color w:val="auto"/>
        </w:rPr>
        <w:t>Section 6.06</w:t>
      </w:r>
      <w:r>
        <w:rPr>
          <w:rFonts w:ascii="Arial" w:cs="Arial" w:eastAsia="Arial" w:hAnsi="Arial"/>
          <w:sz w:val="19"/>
          <w:szCs w:val="19"/>
          <w:color w:val="auto"/>
        </w:rPr>
        <w:t xml:space="preserve"> arising out of such repurchase transaction;</w:t>
      </w:r>
    </w:p>
    <w:p>
      <w:pPr>
        <w:spacing w:after="0" w:line="172" w:lineRule="exact"/>
        <w:rPr>
          <w:rFonts w:ascii="Arial" w:cs="Arial" w:eastAsia="Arial" w:hAnsi="Arial"/>
          <w:sz w:val="19"/>
          <w:szCs w:val="19"/>
          <w:color w:val="auto"/>
        </w:rPr>
      </w:pPr>
    </w:p>
    <w:p>
      <w:pPr>
        <w:ind w:left="100" w:right="59" w:firstLine="742"/>
        <w:spacing w:after="0" w:line="261" w:lineRule="auto"/>
        <w:tabs>
          <w:tab w:leader="none" w:pos="1520" w:val="left"/>
        </w:tabs>
        <w:numPr>
          <w:ilvl w:val="1"/>
          <w:numId w:val="252"/>
        </w:numPr>
        <w:rPr>
          <w:rFonts w:ascii="Arial" w:cs="Arial" w:eastAsia="Arial" w:hAnsi="Arial"/>
          <w:sz w:val="19"/>
          <w:szCs w:val="19"/>
          <w:color w:val="auto"/>
        </w:rPr>
      </w:pPr>
      <w:r>
        <w:rPr>
          <w:rFonts w:ascii="Arial" w:cs="Arial" w:eastAsia="Arial" w:hAnsi="Arial"/>
          <w:sz w:val="19"/>
          <w:szCs w:val="19"/>
          <w:color w:val="auto"/>
        </w:rPr>
        <w:t xml:space="preserve">Liens securing obligations in respect of letters of credit, bank guaranties, surety bonds, performance bonds or similar instruments permitted under </w:t>
      </w:r>
      <w:r>
        <w:rPr>
          <w:rFonts w:ascii="Arial" w:cs="Arial" w:eastAsia="Arial" w:hAnsi="Arial"/>
          <w:sz w:val="19"/>
          <w:szCs w:val="19"/>
          <w:u w:val="single" w:color="auto"/>
          <w:color w:val="auto"/>
        </w:rPr>
        <w:t>Sections 6.01(d)</w:t>
      </w:r>
      <w:r>
        <w:rPr>
          <w:rFonts w:ascii="Arial" w:cs="Arial" w:eastAsia="Arial" w:hAnsi="Arial"/>
          <w:sz w:val="19"/>
          <w:szCs w:val="19"/>
          <w:color w:val="auto"/>
        </w:rPr>
        <w:t xml:space="preserv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w:t>
      </w:r>
      <w:r>
        <w:rPr>
          <w:rFonts w:ascii="Arial" w:cs="Arial" w:eastAsia="Arial" w:hAnsi="Arial"/>
          <w:sz w:val="19"/>
          <w:szCs w:val="19"/>
          <w:u w:val="single" w:color="auto"/>
          <w:color w:val="auto"/>
        </w:rPr>
        <w:t>(g)</w:t>
      </w:r>
      <w:r>
        <w:rPr>
          <w:rFonts w:ascii="Arial" w:cs="Arial" w:eastAsia="Arial" w:hAnsi="Arial"/>
          <w:sz w:val="19"/>
          <w:szCs w:val="19"/>
          <w:color w:val="auto"/>
        </w:rPr>
        <w:t xml:space="preserve">, </w:t>
      </w:r>
      <w:r>
        <w:rPr>
          <w:rFonts w:ascii="Arial" w:cs="Arial" w:eastAsia="Arial" w:hAnsi="Arial"/>
          <w:sz w:val="19"/>
          <w:szCs w:val="19"/>
          <w:u w:val="single" w:color="auto"/>
          <w:color w:val="auto"/>
        </w:rPr>
        <w:t>(aa)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(cc)</w:t>
      </w:r>
      <w:r>
        <w:rPr>
          <w:rFonts w:ascii="Arial" w:cs="Arial" w:eastAsia="Arial" w:hAnsi="Arial"/>
          <w:sz w:val="19"/>
          <w:szCs w:val="19"/>
          <w:color w:val="auto"/>
        </w:rPr>
        <w:t>;</w:t>
      </w:r>
    </w:p>
    <w:p>
      <w:pPr>
        <w:spacing w:after="0" w:line="172" w:lineRule="exact"/>
        <w:rPr>
          <w:rFonts w:ascii="Arial" w:cs="Arial" w:eastAsia="Arial" w:hAnsi="Arial"/>
          <w:sz w:val="19"/>
          <w:szCs w:val="19"/>
          <w:color w:val="auto"/>
        </w:rPr>
      </w:pPr>
    </w:p>
    <w:p>
      <w:pPr>
        <w:jc w:val="both"/>
        <w:ind w:left="100" w:right="59" w:firstLine="742"/>
        <w:spacing w:after="0" w:line="256" w:lineRule="auto"/>
        <w:tabs>
          <w:tab w:leader="none" w:pos="1520" w:val="left"/>
        </w:tabs>
        <w:numPr>
          <w:ilvl w:val="1"/>
          <w:numId w:val="252"/>
        </w:numPr>
        <w:rPr>
          <w:rFonts w:ascii="Arial" w:cs="Arial" w:eastAsia="Arial" w:hAnsi="Arial"/>
          <w:sz w:val="19"/>
          <w:szCs w:val="19"/>
          <w:color w:val="auto"/>
        </w:rPr>
      </w:pPr>
      <w:r>
        <w:rPr>
          <w:rFonts w:ascii="Arial" w:cs="Arial" w:eastAsia="Arial" w:hAnsi="Arial"/>
          <w:sz w:val="19"/>
          <w:szCs w:val="19"/>
          <w:color w:val="auto"/>
        </w:rPr>
        <w:t>Liens arising (i) out of conditional sale, title retention, consignment or similar arrangements for the sale of any asset in the ordinary course of business and permitted by this Agreement or (ii) by operation of law under Article 2 of the UCC (or similar Requirement of Law under any jurisdiction);</w:t>
      </w:r>
    </w:p>
    <w:p>
      <w:pPr>
        <w:spacing w:after="0" w:line="178" w:lineRule="exact"/>
        <w:rPr>
          <w:rFonts w:ascii="Arial" w:cs="Arial" w:eastAsia="Arial" w:hAnsi="Arial"/>
          <w:sz w:val="19"/>
          <w:szCs w:val="19"/>
          <w:color w:val="auto"/>
        </w:rPr>
      </w:pPr>
    </w:p>
    <w:p>
      <w:pPr>
        <w:jc w:val="both"/>
        <w:ind w:left="100" w:right="19" w:firstLine="741"/>
        <w:spacing w:after="0" w:line="236" w:lineRule="auto"/>
        <w:tabs>
          <w:tab w:leader="none" w:pos="1249" w:val="left"/>
        </w:tabs>
        <w:numPr>
          <w:ilvl w:val="1"/>
          <w:numId w:val="252"/>
        </w:numPr>
        <w:rPr>
          <w:rFonts w:ascii="Arial" w:cs="Arial" w:eastAsia="Arial" w:hAnsi="Arial"/>
          <w:sz w:val="19"/>
          <w:szCs w:val="19"/>
          <w:color w:val="auto"/>
        </w:rPr>
      </w:pPr>
      <w:r>
        <w:rPr>
          <w:rFonts w:ascii="Arial" w:cs="Arial" w:eastAsia="Arial" w:hAnsi="Arial"/>
          <w:sz w:val="19"/>
          <w:szCs w:val="19"/>
          <w:color w:val="auto"/>
        </w:rPr>
        <w:t xml:space="preserve">Liens (i) in favor of any Loan Party and/or (ii) granted by any non-Loan Party in favor of any Restricted Subsidiary that is not a Loan Party, in the case of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securing intercompany Indebtedness permitted (or not restricted) under </w:t>
      </w:r>
      <w:r>
        <w:rPr>
          <w:rFonts w:ascii="Arial" w:cs="Arial" w:eastAsia="Arial" w:hAnsi="Arial"/>
          <w:sz w:val="19"/>
          <w:szCs w:val="19"/>
          <w:u w:val="single" w:color="auto"/>
          <w:color w:val="auto"/>
        </w:rPr>
        <w:t>Section 5.16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6.01</w:t>
      </w:r>
      <w:r>
        <w:rPr>
          <w:rFonts w:ascii="Arial" w:cs="Arial" w:eastAsia="Arial" w:hAnsi="Arial"/>
          <w:sz w:val="19"/>
          <w:szCs w:val="19"/>
          <w:color w:val="auto"/>
        </w:rPr>
        <w:t>;</w:t>
      </w:r>
    </w:p>
    <w:p>
      <w:pPr>
        <w:spacing w:after="0" w:line="192" w:lineRule="exact"/>
        <w:rPr>
          <w:rFonts w:ascii="Arial" w:cs="Arial" w:eastAsia="Arial" w:hAnsi="Arial"/>
          <w:sz w:val="19"/>
          <w:szCs w:val="19"/>
          <w:color w:val="auto"/>
        </w:rPr>
      </w:pPr>
    </w:p>
    <w:p>
      <w:pPr>
        <w:ind w:left="1260" w:hanging="419"/>
        <w:spacing w:after="0"/>
        <w:tabs>
          <w:tab w:leader="none" w:pos="1260" w:val="left"/>
        </w:tabs>
        <w:numPr>
          <w:ilvl w:val="1"/>
          <w:numId w:val="252"/>
        </w:numPr>
        <w:rPr>
          <w:rFonts w:ascii="Arial" w:cs="Arial" w:eastAsia="Arial" w:hAnsi="Arial"/>
          <w:sz w:val="17"/>
          <w:szCs w:val="17"/>
          <w:color w:val="auto"/>
        </w:rPr>
      </w:pPr>
      <w:r>
        <w:rPr>
          <w:rFonts w:ascii="Arial" w:cs="Arial" w:eastAsia="Arial" w:hAnsi="Arial"/>
          <w:sz w:val="17"/>
          <w:szCs w:val="17"/>
          <w:color w:val="auto"/>
        </w:rPr>
        <w:t>Liens on insurance policies and the proceeds thereof securing the financing of the premiums with respect thereto;</w:t>
      </w:r>
    </w:p>
    <w:p>
      <w:pPr>
        <w:spacing w:after="0" w:line="223" w:lineRule="exact"/>
        <w:rPr>
          <w:rFonts w:ascii="Arial" w:cs="Arial" w:eastAsia="Arial" w:hAnsi="Arial"/>
          <w:sz w:val="17"/>
          <w:szCs w:val="17"/>
          <w:color w:val="auto"/>
        </w:rPr>
      </w:pPr>
    </w:p>
    <w:p>
      <w:pPr>
        <w:jc w:val="both"/>
        <w:ind w:left="100" w:right="59" w:firstLine="741"/>
        <w:spacing w:after="0" w:line="272" w:lineRule="auto"/>
        <w:tabs>
          <w:tab w:leader="none" w:pos="1265" w:val="left"/>
        </w:tabs>
        <w:numPr>
          <w:ilvl w:val="1"/>
          <w:numId w:val="252"/>
        </w:numPr>
        <w:rPr>
          <w:rFonts w:ascii="Arial" w:cs="Arial" w:eastAsia="Arial" w:hAnsi="Arial"/>
          <w:sz w:val="17"/>
          <w:szCs w:val="17"/>
          <w:color w:val="auto"/>
        </w:rPr>
      </w:pPr>
      <w:r>
        <w:rPr>
          <w:rFonts w:ascii="Arial" w:cs="Arial" w:eastAsia="Arial" w:hAnsi="Arial"/>
          <w:sz w:val="17"/>
          <w:szCs w:val="17"/>
          <w:color w:val="auto"/>
        </w:rPr>
        <w:t>(i) receipt of progress payments and advances from customers in the ordinary course of business to the extent the same creates a Lien on the related inventory and proceeds thereof and (ii) Liens on specific items of inventory or other goods and the proceeds thereof securing the relevant Person’s obligations in respect of documentary letters of credit or banker’s acceptances issued or created for the account of such Person to facilitate the purchase, shipment or storage of such inventory or goods;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144</w:t>
      </w:r>
      <w:r>
        <w:rPr>
          <w:rFonts w:ascii="Arial" w:cs="Arial" w:eastAsia="Arial" w:hAnsi="Arial"/>
          <w:sz w:val="18"/>
          <w:szCs w:val="18"/>
          <w:u w:val="single" w:color="auto"/>
          <w:color w:val="0000FF"/>
          <w:strike w:val="1"/>
        </w:rPr>
        <w:t>144</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12" w:name="page213"/>
    <w:bookmarkEnd w:id="212"/>
    <w:p>
      <w:pPr>
        <w:ind w:left="100" w:right="59" w:firstLine="741"/>
        <w:spacing w:after="0" w:line="261" w:lineRule="auto"/>
        <w:tabs>
          <w:tab w:leader="none" w:pos="1263" w:val="left"/>
        </w:tabs>
        <w:numPr>
          <w:ilvl w:val="0"/>
          <w:numId w:val="253"/>
        </w:numPr>
        <w:rPr>
          <w:rFonts w:ascii="Arial" w:cs="Arial" w:eastAsia="Arial" w:hAnsi="Arial"/>
          <w:sz w:val="19"/>
          <w:szCs w:val="19"/>
          <w:color w:val="auto"/>
        </w:rPr>
      </w:pPr>
      <w:r>
        <w:rPr>
          <w:rFonts w:ascii="Arial" w:cs="Arial" w:eastAsia="Arial" w:hAnsi="Arial"/>
          <w:sz w:val="19"/>
          <w:szCs w:val="19"/>
          <w:color w:val="auto"/>
        </w:rPr>
        <w:t xml:space="preserve">Liens securing (i) obligations of the type described in </w:t>
      </w:r>
      <w:r>
        <w:rPr>
          <w:rFonts w:ascii="Arial" w:cs="Arial" w:eastAsia="Arial" w:hAnsi="Arial"/>
          <w:sz w:val="19"/>
          <w:szCs w:val="19"/>
          <w:u w:val="single" w:color="auto"/>
          <w:color w:val="auto"/>
        </w:rPr>
        <w:t>Section 6.01(f)</w:t>
      </w:r>
      <w:r>
        <w:rPr>
          <w:rFonts w:ascii="Arial" w:cs="Arial" w:eastAsia="Arial" w:hAnsi="Arial"/>
          <w:sz w:val="19"/>
          <w:szCs w:val="19"/>
          <w:color w:val="auto"/>
        </w:rPr>
        <w:t xml:space="preserve"> and/or (ii) obligations of the type described in </w:t>
      </w:r>
      <w:r>
        <w:rPr>
          <w:rFonts w:ascii="Arial" w:cs="Arial" w:eastAsia="Arial" w:hAnsi="Arial"/>
          <w:sz w:val="19"/>
          <w:szCs w:val="19"/>
          <w:u w:val="single" w:color="auto"/>
          <w:color w:val="auto"/>
        </w:rPr>
        <w:t>Section 6.01(s)</w:t>
      </w:r>
      <w:r>
        <w:rPr>
          <w:rFonts w:ascii="Arial" w:cs="Arial" w:eastAsia="Arial" w:hAnsi="Arial"/>
          <w:sz w:val="19"/>
          <w:szCs w:val="19"/>
          <w:color w:val="auto"/>
        </w:rPr>
        <w:t>;</w:t>
      </w:r>
    </w:p>
    <w:p>
      <w:pPr>
        <w:spacing w:after="0" w:line="159" w:lineRule="exact"/>
        <w:rPr>
          <w:rFonts w:ascii="Arial" w:cs="Arial" w:eastAsia="Arial" w:hAnsi="Arial"/>
          <w:sz w:val="19"/>
          <w:szCs w:val="19"/>
          <w:color w:val="auto"/>
        </w:rPr>
      </w:pPr>
    </w:p>
    <w:p>
      <w:pPr>
        <w:jc w:val="both"/>
        <w:ind w:left="100" w:right="59" w:firstLine="741"/>
        <w:spacing w:after="0" w:line="241" w:lineRule="auto"/>
        <w:tabs>
          <w:tab w:leader="none" w:pos="1277" w:val="left"/>
        </w:tabs>
        <w:numPr>
          <w:ilvl w:val="0"/>
          <w:numId w:val="253"/>
        </w:numPr>
        <w:rPr>
          <w:rFonts w:ascii="Arial" w:cs="Arial" w:eastAsia="Arial" w:hAnsi="Arial"/>
          <w:sz w:val="19"/>
          <w:szCs w:val="19"/>
          <w:color w:val="auto"/>
        </w:rPr>
      </w:pPr>
      <w:r>
        <w:rPr>
          <w:rFonts w:ascii="Arial" w:cs="Arial" w:eastAsia="Arial" w:hAnsi="Arial"/>
          <w:sz w:val="19"/>
          <w:szCs w:val="19"/>
          <w:color w:val="auto"/>
        </w:rPr>
        <w:t>(i) Liens on Capital Stock of (A) joint ventures securing capital contributions to, or obligations of, such Persons and/or (B) Unrestricted Subsidiaries and (ii) customary rights of first refusal and tag, drag and similar rights in joint venture agreements and agreements with respect to non-Wholly-Owned Subsidiaries;</w:t>
      </w:r>
    </w:p>
    <w:p>
      <w:pPr>
        <w:spacing w:after="0" w:line="178" w:lineRule="exact"/>
        <w:rPr>
          <w:rFonts w:ascii="Arial" w:cs="Arial" w:eastAsia="Arial" w:hAnsi="Arial"/>
          <w:sz w:val="19"/>
          <w:szCs w:val="19"/>
          <w:color w:val="auto"/>
        </w:rPr>
      </w:pPr>
    </w:p>
    <w:p>
      <w:pPr>
        <w:ind w:left="1300" w:hanging="459"/>
        <w:spacing w:after="0"/>
        <w:tabs>
          <w:tab w:leader="none" w:pos="13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Liens on cash or Cash Equivalents arising in connection with the defeasance, discharge or redemption of</w:t>
      </w:r>
    </w:p>
    <w:p>
      <w:pPr>
        <w:spacing w:after="0" w:line="11"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9"/>
          <w:szCs w:val="19"/>
          <w:color w:val="auto"/>
        </w:rPr>
        <w:t>Indebtedness;</w:t>
      </w:r>
    </w:p>
    <w:p>
      <w:pPr>
        <w:spacing w:after="0" w:line="184" w:lineRule="exact"/>
        <w:rPr>
          <w:rFonts w:ascii="Arial" w:cs="Arial" w:eastAsia="Arial" w:hAnsi="Arial"/>
          <w:sz w:val="18"/>
          <w:szCs w:val="18"/>
          <w:color w:val="auto"/>
        </w:rPr>
      </w:pPr>
    </w:p>
    <w:p>
      <w:pPr>
        <w:ind w:left="100" w:right="59" w:firstLine="741"/>
        <w:spacing w:after="0" w:line="261" w:lineRule="auto"/>
        <w:tabs>
          <w:tab w:leader="none" w:pos="1221" w:val="left"/>
        </w:tabs>
        <w:numPr>
          <w:ilvl w:val="0"/>
          <w:numId w:val="253"/>
        </w:numPr>
        <w:rPr>
          <w:rFonts w:ascii="Arial" w:cs="Arial" w:eastAsia="Arial" w:hAnsi="Arial"/>
          <w:sz w:val="19"/>
          <w:szCs w:val="19"/>
          <w:color w:val="auto"/>
        </w:rPr>
      </w:pPr>
      <w:r>
        <w:rPr>
          <w:rFonts w:ascii="Arial" w:cs="Arial" w:eastAsia="Arial" w:hAnsi="Arial"/>
          <w:sz w:val="19"/>
          <w:szCs w:val="19"/>
          <w:color w:val="auto"/>
        </w:rPr>
        <w:t>Liens consisting of the prior rights of consignees and their lenders under consignment arrangements entered into in the ordinary course of business;</w:t>
      </w:r>
    </w:p>
    <w:p>
      <w:pPr>
        <w:spacing w:after="0" w:line="159" w:lineRule="exact"/>
        <w:rPr>
          <w:rFonts w:ascii="Arial" w:cs="Arial" w:eastAsia="Arial" w:hAnsi="Arial"/>
          <w:sz w:val="19"/>
          <w:szCs w:val="19"/>
          <w:color w:val="auto"/>
        </w:rPr>
      </w:pPr>
    </w:p>
    <w:p>
      <w:pPr>
        <w:ind w:left="100" w:right="59" w:firstLine="741"/>
        <w:spacing w:after="0" w:line="246" w:lineRule="auto"/>
        <w:tabs>
          <w:tab w:leader="none" w:pos="1263" w:val="left"/>
        </w:tabs>
        <w:numPr>
          <w:ilvl w:val="0"/>
          <w:numId w:val="253"/>
        </w:numPr>
        <w:rPr>
          <w:rFonts w:ascii="Arial" w:cs="Arial" w:eastAsia="Arial" w:hAnsi="Arial"/>
          <w:sz w:val="19"/>
          <w:szCs w:val="19"/>
          <w:color w:val="auto"/>
        </w:rPr>
      </w:pPr>
      <w:r>
        <w:rPr>
          <w:rFonts w:ascii="Arial" w:cs="Arial" w:eastAsia="Arial" w:hAnsi="Arial"/>
          <w:sz w:val="19"/>
          <w:szCs w:val="19"/>
          <w:color w:val="auto"/>
        </w:rPr>
        <w:t xml:space="preserve">Liens securing obligations under </w:t>
      </w:r>
      <w:r>
        <w:rPr>
          <w:rFonts w:ascii="Arial" w:cs="Arial" w:eastAsia="Arial" w:hAnsi="Arial"/>
          <w:sz w:val="19"/>
          <w:szCs w:val="19"/>
          <w:u w:val="single" w:color="auto"/>
          <w:color w:val="auto"/>
        </w:rPr>
        <w:t>Section 6.01(hh)</w:t>
      </w:r>
      <w:r>
        <w:rPr>
          <w:rFonts w:ascii="Arial" w:cs="Arial" w:eastAsia="Arial" w:hAnsi="Arial"/>
          <w:sz w:val="19"/>
          <w:szCs w:val="19"/>
          <w:color w:val="auto"/>
        </w:rPr>
        <w:t>, in each case, subject, in the case of any Lien on the Collateral, at the request of the relevant issuing bank, to an Intercreditor Agreement;</w:t>
      </w:r>
    </w:p>
    <w:p>
      <w:pPr>
        <w:spacing w:after="0" w:line="186" w:lineRule="exact"/>
        <w:rPr>
          <w:rFonts w:ascii="Arial" w:cs="Arial" w:eastAsia="Arial" w:hAnsi="Arial"/>
          <w:sz w:val="19"/>
          <w:szCs w:val="19"/>
          <w:color w:val="auto"/>
        </w:rPr>
      </w:pPr>
    </w:p>
    <w:p>
      <w:pPr>
        <w:ind w:left="100" w:right="899" w:firstLine="741"/>
        <w:spacing w:after="0" w:line="246" w:lineRule="auto"/>
        <w:tabs>
          <w:tab w:leader="none" w:pos="1227" w:val="left"/>
        </w:tabs>
        <w:numPr>
          <w:ilvl w:val="0"/>
          <w:numId w:val="253"/>
        </w:numPr>
        <w:rPr>
          <w:rFonts w:ascii="Arial" w:cs="Arial" w:eastAsia="Arial" w:hAnsi="Arial"/>
          <w:sz w:val="19"/>
          <w:szCs w:val="19"/>
          <w:color w:val="auto"/>
        </w:rPr>
      </w:pPr>
      <w:r>
        <w:rPr>
          <w:rFonts w:ascii="Arial" w:cs="Arial" w:eastAsia="Arial" w:hAnsi="Arial"/>
          <w:sz w:val="19"/>
          <w:szCs w:val="19"/>
          <w:color w:val="auto"/>
        </w:rPr>
        <w:t>ground leases in respect of real property on which facilities owned or leased by the Borrower or any of its Subsidiaries are located;</w:t>
      </w:r>
    </w:p>
    <w:p>
      <w:pPr>
        <w:spacing w:after="0" w:line="173" w:lineRule="exact"/>
        <w:rPr>
          <w:rFonts w:ascii="Arial" w:cs="Arial" w:eastAsia="Arial" w:hAnsi="Arial"/>
          <w:sz w:val="19"/>
          <w:szCs w:val="19"/>
          <w:color w:val="auto"/>
        </w:rPr>
      </w:pPr>
    </w:p>
    <w:p>
      <w:pPr>
        <w:jc w:val="both"/>
        <w:ind w:left="100" w:right="59" w:firstLine="741"/>
        <w:spacing w:after="0" w:line="241" w:lineRule="auto"/>
        <w:tabs>
          <w:tab w:leader="none" w:pos="1260" w:val="left"/>
        </w:tabs>
        <w:numPr>
          <w:ilvl w:val="0"/>
          <w:numId w:val="253"/>
        </w:numPr>
        <w:rPr>
          <w:rFonts w:ascii="Arial" w:cs="Arial" w:eastAsia="Arial" w:hAnsi="Arial"/>
          <w:sz w:val="19"/>
          <w:szCs w:val="19"/>
          <w:color w:val="auto"/>
        </w:rPr>
      </w:pPr>
      <w:r>
        <w:rPr>
          <w:rFonts w:ascii="Arial" w:cs="Arial" w:eastAsia="Arial" w:hAnsi="Arial"/>
          <w:sz w:val="19"/>
          <w:szCs w:val="19"/>
          <w:color w:val="auto"/>
        </w:rPr>
        <w:t>Liens consisting of (i) any reservation, limitation, proviso and/or condition, if any, expressed in any original grant from the Crown of any real property or any interest therein and/or (ii) any right of expropriation, access, or user or any other right conferred or vested by statutes of Canada or any applicable province;</w:t>
      </w:r>
    </w:p>
    <w:p>
      <w:pPr>
        <w:spacing w:after="0" w:line="178" w:lineRule="exact"/>
        <w:rPr>
          <w:rFonts w:ascii="Arial" w:cs="Arial" w:eastAsia="Arial" w:hAnsi="Arial"/>
          <w:sz w:val="19"/>
          <w:szCs w:val="19"/>
          <w:color w:val="auto"/>
        </w:rPr>
      </w:pPr>
    </w:p>
    <w:p>
      <w:pPr>
        <w:ind w:left="100" w:right="59" w:firstLine="741"/>
        <w:spacing w:after="0" w:line="246" w:lineRule="auto"/>
        <w:tabs>
          <w:tab w:leader="none" w:pos="1263" w:val="left"/>
        </w:tabs>
        <w:numPr>
          <w:ilvl w:val="0"/>
          <w:numId w:val="253"/>
        </w:numPr>
        <w:rPr>
          <w:rFonts w:ascii="Arial" w:cs="Arial" w:eastAsia="Arial" w:hAnsi="Arial"/>
          <w:sz w:val="19"/>
          <w:szCs w:val="19"/>
          <w:color w:val="auto"/>
        </w:rPr>
      </w:pPr>
      <w:r>
        <w:rPr>
          <w:rFonts w:ascii="Arial" w:cs="Arial" w:eastAsia="Arial" w:hAnsi="Arial"/>
          <w:sz w:val="19"/>
          <w:szCs w:val="19"/>
          <w:color w:val="auto"/>
        </w:rPr>
        <w:t>Liens that do not secure Indebtedness for borrowed money and are customary in the operation of the business of the Borrower and its Restricted Subsidiaries;</w:t>
      </w:r>
    </w:p>
    <w:p>
      <w:pPr>
        <w:spacing w:after="0" w:line="186" w:lineRule="exact"/>
        <w:rPr>
          <w:rFonts w:ascii="Arial" w:cs="Arial" w:eastAsia="Arial" w:hAnsi="Arial"/>
          <w:sz w:val="19"/>
          <w:szCs w:val="19"/>
          <w:color w:val="auto"/>
        </w:rPr>
      </w:pPr>
    </w:p>
    <w:p>
      <w:pPr>
        <w:jc w:val="both"/>
        <w:ind w:left="100" w:right="59" w:firstLine="741"/>
        <w:spacing w:after="0" w:line="236" w:lineRule="auto"/>
        <w:tabs>
          <w:tab w:leader="none" w:pos="1264" w:val="left"/>
        </w:tabs>
        <w:numPr>
          <w:ilvl w:val="0"/>
          <w:numId w:val="253"/>
        </w:numPr>
        <w:rPr>
          <w:rFonts w:ascii="Arial" w:cs="Arial" w:eastAsia="Arial" w:hAnsi="Arial"/>
          <w:sz w:val="19"/>
          <w:szCs w:val="19"/>
          <w:color w:val="auto"/>
        </w:rPr>
      </w:pPr>
      <w:r>
        <w:rPr>
          <w:rFonts w:ascii="Arial" w:cs="Arial" w:eastAsia="Arial" w:hAnsi="Arial"/>
          <w:sz w:val="19"/>
          <w:szCs w:val="19"/>
          <w:color w:val="auto"/>
        </w:rPr>
        <w:t>Liens on specific items of inventory or other goods and the proceeds thereof securing the relevant Person’s obligations in respect of documentary letters of credit or banker’s acceptances issued or created for the account of such Person to facilitate the purchase, shipment or storage of such inventory or goods;</w:t>
      </w:r>
    </w:p>
    <w:p>
      <w:pPr>
        <w:spacing w:after="0" w:line="192" w:lineRule="exact"/>
        <w:rPr>
          <w:rFonts w:ascii="Arial" w:cs="Arial" w:eastAsia="Arial" w:hAnsi="Arial"/>
          <w:sz w:val="19"/>
          <w:szCs w:val="19"/>
          <w:color w:val="auto"/>
        </w:rPr>
      </w:pPr>
    </w:p>
    <w:p>
      <w:pPr>
        <w:jc w:val="both"/>
        <w:ind w:left="100" w:right="19" w:firstLine="741"/>
        <w:spacing w:after="0" w:line="254" w:lineRule="auto"/>
        <w:tabs>
          <w:tab w:leader="none" w:pos="138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Liens on Receivables Facility Assets or the equity interest of any Receivables Subsidiary that are granted or arise (or are deemed to have been granted or arisen) in connection with any Receivables Facility; </w:t>
      </w:r>
      <w:r>
        <w:rPr>
          <w:rFonts w:ascii="Arial" w:cs="Arial" w:eastAsia="Arial" w:hAnsi="Arial"/>
          <w:sz w:val="18"/>
          <w:szCs w:val="18"/>
          <w:u w:val="single" w:color="auto"/>
          <w:color w:val="auto"/>
        </w:rPr>
        <w:t>provided</w:t>
      </w:r>
      <w:r>
        <w:rPr>
          <w:rFonts w:ascii="Arial" w:cs="Arial" w:eastAsia="Arial" w:hAnsi="Arial"/>
          <w:sz w:val="18"/>
          <w:szCs w:val="18"/>
          <w:color w:val="auto"/>
        </w:rPr>
        <w:t>, that the aggregate outstanding principal amount of the obligations secured by such Liens shall not exceed $25,000,000; and</w:t>
      </w:r>
    </w:p>
    <w:p>
      <w:pPr>
        <w:spacing w:after="0" w:line="179" w:lineRule="exact"/>
        <w:rPr>
          <w:rFonts w:ascii="Arial" w:cs="Arial" w:eastAsia="Arial" w:hAnsi="Arial"/>
          <w:sz w:val="18"/>
          <w:szCs w:val="18"/>
          <w:color w:val="auto"/>
        </w:rPr>
      </w:pPr>
    </w:p>
    <w:p>
      <w:pPr>
        <w:ind w:left="1200" w:hanging="359"/>
        <w:spacing w:after="0"/>
        <w:tabs>
          <w:tab w:leader="none" w:pos="1200" w:val="left"/>
        </w:tabs>
        <w:numPr>
          <w:ilvl w:val="0"/>
          <w:numId w:val="253"/>
        </w:numPr>
        <w:rPr>
          <w:rFonts w:ascii="Arial" w:cs="Arial" w:eastAsia="Arial" w:hAnsi="Arial"/>
          <w:sz w:val="19"/>
          <w:szCs w:val="19"/>
          <w:color w:val="auto"/>
        </w:rPr>
      </w:pPr>
      <w:r>
        <w:rPr>
          <w:rFonts w:ascii="Arial" w:cs="Arial" w:eastAsia="Arial" w:hAnsi="Arial"/>
          <w:sz w:val="19"/>
          <w:szCs w:val="19"/>
          <w:color w:val="auto"/>
        </w:rPr>
        <w:t>Liens arising in connection with escrow arrangements established in connection with the Transactions.</w:t>
      </w:r>
    </w:p>
    <w:p>
      <w:pPr>
        <w:spacing w:after="0" w:line="200" w:lineRule="exact"/>
        <w:rPr>
          <w:sz w:val="20"/>
          <w:szCs w:val="20"/>
          <w:color w:val="auto"/>
        </w:rPr>
      </w:pPr>
    </w:p>
    <w:p>
      <w:pPr>
        <w:jc w:val="both"/>
        <w:ind w:left="100" w:right="19" w:firstLine="749"/>
        <w:spacing w:after="0" w:line="245" w:lineRule="auto"/>
        <w:rPr>
          <w:sz w:val="20"/>
          <w:szCs w:val="20"/>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6.02</w:t>
      </w:r>
      <w:r>
        <w:rPr>
          <w:rFonts w:ascii="Arial" w:cs="Arial" w:eastAsia="Arial" w:hAnsi="Arial"/>
          <w:sz w:val="18"/>
          <w:szCs w:val="18"/>
          <w:color w:val="auto"/>
        </w:rPr>
        <w:t>, if the proceeds of any Indebtedness the Liens securing which are required or permitted to be subject to an Intercreditor Agreement are funded into Escrow, at the election of the Borrower, either (x) the relevant Intercreditor Agreement shall not be required to be entered into or become effective until the release and/or termination of the relevant Escrow arrangement, so long as, prior to such release and/or termination, the relevant Indebtedness is secured only by a Lien on such proceeds so funded into Escrow or (y) the property subject to the applicable Escrow arrangement is not required to be subject to the relevant Intercreditor Agreement.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145</w:t>
      </w:r>
      <w:r>
        <w:rPr>
          <w:rFonts w:ascii="Arial" w:cs="Arial" w:eastAsia="Arial" w:hAnsi="Arial"/>
          <w:sz w:val="18"/>
          <w:szCs w:val="18"/>
          <w:u w:val="single" w:color="auto"/>
          <w:color w:val="0000FF"/>
          <w:strike w:val="1"/>
        </w:rPr>
        <w:t>145</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13" w:name="page214"/>
    <w:bookmarkEnd w:id="213"/>
    <w:p>
      <w:pPr>
        <w:ind w:left="840"/>
        <w:spacing w:after="0"/>
        <w:rPr>
          <w:sz w:val="20"/>
          <w:szCs w:val="20"/>
          <w:color w:val="auto"/>
        </w:rPr>
      </w:pPr>
      <w:r>
        <w:rPr>
          <w:rFonts w:ascii="Arial" w:cs="Arial" w:eastAsia="Arial" w:hAnsi="Arial"/>
          <w:sz w:val="19"/>
          <w:szCs w:val="19"/>
          <w:color w:val="auto"/>
        </w:rPr>
        <w:t xml:space="preserve">Section 6.03.  </w:t>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14"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6.04.  </w:t>
      </w:r>
      <w:r>
        <w:rPr>
          <w:rFonts w:ascii="Arial" w:cs="Arial" w:eastAsia="Arial" w:hAnsi="Arial"/>
          <w:sz w:val="19"/>
          <w:szCs w:val="19"/>
          <w:u w:val="single" w:color="auto"/>
          <w:color w:val="auto"/>
        </w:rPr>
        <w:t>Restricted Payments; Restricted Debt Payments</w:t>
      </w:r>
      <w:r>
        <w:rPr>
          <w:rFonts w:ascii="Arial" w:cs="Arial" w:eastAsia="Arial" w:hAnsi="Arial"/>
          <w:sz w:val="19"/>
          <w:szCs w:val="19"/>
          <w:color w:val="auto"/>
        </w:rPr>
        <w:t>.</w:t>
      </w:r>
    </w:p>
    <w:p>
      <w:pPr>
        <w:spacing w:after="0" w:line="200" w:lineRule="exact"/>
        <w:rPr>
          <w:sz w:val="20"/>
          <w:szCs w:val="20"/>
          <w:color w:val="auto"/>
        </w:rPr>
      </w:pPr>
    </w:p>
    <w:p>
      <w:pPr>
        <w:ind w:left="1600" w:hanging="758"/>
        <w:spacing w:after="0"/>
        <w:tabs>
          <w:tab w:leader="none" w:pos="1600" w:val="left"/>
        </w:tabs>
        <w:numPr>
          <w:ilvl w:val="0"/>
          <w:numId w:val="254"/>
        </w:numPr>
        <w:rPr>
          <w:rFonts w:ascii="Arial" w:cs="Arial" w:eastAsia="Arial" w:hAnsi="Arial"/>
          <w:sz w:val="19"/>
          <w:szCs w:val="19"/>
          <w:color w:val="auto"/>
        </w:rPr>
      </w:pPr>
      <w:r>
        <w:rPr>
          <w:rFonts w:ascii="Arial" w:cs="Arial" w:eastAsia="Arial" w:hAnsi="Arial"/>
          <w:sz w:val="19"/>
          <w:szCs w:val="19"/>
          <w:color w:val="auto"/>
        </w:rPr>
        <w:t>The Borrower shall not pay or make any Restricted Payment, except that:</w:t>
      </w:r>
    </w:p>
    <w:p>
      <w:pPr>
        <w:spacing w:after="0" w:line="213" w:lineRule="exact"/>
        <w:rPr>
          <w:rFonts w:ascii="Arial" w:cs="Arial" w:eastAsia="Arial" w:hAnsi="Arial"/>
          <w:sz w:val="19"/>
          <w:szCs w:val="19"/>
          <w:color w:val="auto"/>
        </w:rPr>
      </w:pPr>
    </w:p>
    <w:p>
      <w:pPr>
        <w:ind w:left="840" w:right="260" w:firstLine="751"/>
        <w:spacing w:after="0" w:line="261" w:lineRule="auto"/>
        <w:tabs>
          <w:tab w:leader="none" w:pos="2254" w:val="left"/>
        </w:tabs>
        <w:numPr>
          <w:ilvl w:val="1"/>
          <w:numId w:val="254"/>
        </w:numPr>
        <w:rPr>
          <w:rFonts w:ascii="Arial" w:cs="Arial" w:eastAsia="Arial" w:hAnsi="Arial"/>
          <w:sz w:val="19"/>
          <w:szCs w:val="19"/>
          <w:color w:val="auto"/>
        </w:rPr>
      </w:pPr>
      <w:r>
        <w:rPr>
          <w:rFonts w:ascii="Arial" w:cs="Arial" w:eastAsia="Arial" w:hAnsi="Arial"/>
          <w:sz w:val="19"/>
          <w:szCs w:val="19"/>
          <w:color w:val="auto"/>
        </w:rPr>
        <w:t>the Borrower may make, directly or indirectly, Restricted Payments to the extent necessary to permit any Parent Company:</w:t>
      </w:r>
    </w:p>
    <w:p>
      <w:pPr>
        <w:spacing w:after="0" w:line="172" w:lineRule="exact"/>
        <w:rPr>
          <w:rFonts w:ascii="Arial" w:cs="Arial" w:eastAsia="Arial" w:hAnsi="Arial"/>
          <w:sz w:val="19"/>
          <w:szCs w:val="19"/>
          <w:color w:val="auto"/>
        </w:rPr>
      </w:pPr>
    </w:p>
    <w:p>
      <w:pPr>
        <w:jc w:val="both"/>
        <w:ind w:left="1600" w:right="20" w:firstLine="741"/>
        <w:spacing w:after="0" w:line="255" w:lineRule="auto"/>
        <w:tabs>
          <w:tab w:leader="none" w:pos="3011" w:val="left"/>
        </w:tabs>
        <w:numPr>
          <w:ilvl w:val="3"/>
          <w:numId w:val="254"/>
        </w:numPr>
        <w:rPr>
          <w:rFonts w:ascii="Arial" w:cs="Arial" w:eastAsia="Arial" w:hAnsi="Arial"/>
          <w:sz w:val="18"/>
          <w:szCs w:val="18"/>
          <w:color w:val="auto"/>
        </w:rPr>
      </w:pPr>
      <w:r>
        <w:rPr>
          <w:rFonts w:ascii="Arial" w:cs="Arial" w:eastAsia="Arial" w:hAnsi="Arial"/>
          <w:sz w:val="18"/>
          <w:szCs w:val="18"/>
          <w:color w:val="auto"/>
        </w:rPr>
        <w:t xml:space="preserve">to pay general administrative and operating costs and expenses (including corporate overhead, legal or similar expenses and customary salary, bonus and other benefits payable to any director, officer, employee, member of management, manager and/or consultant of any Parent Company) and franchise Taxes, and similar fees and expenses required to maintain the organizational existence or qualification to do business of such Parent Company, in each case, which are reasonable and customary and incurred in the ordinary course of business,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amount of any reasonable and customary indemnification claim made by any director, officer, member of management, manager, employee and/or consultant of any Parent Company, in each case, to the extent attributable to the ownership or operations of any Parent Company and/or its subsidiaries (but excluding, for the avoidance of doubt, the portion of any such amount, if any, that is attributable to the ownership or operations of any subsidiary of any Parent Company other than Holdings, the Borrower and/or its subsidiaries);</w:t>
      </w:r>
    </w:p>
    <w:p>
      <w:pPr>
        <w:spacing w:after="0" w:line="186" w:lineRule="exact"/>
        <w:rPr>
          <w:rFonts w:ascii="Arial" w:cs="Arial" w:eastAsia="Arial" w:hAnsi="Arial"/>
          <w:sz w:val="18"/>
          <w:szCs w:val="18"/>
          <w:color w:val="auto"/>
        </w:rPr>
      </w:pPr>
    </w:p>
    <w:p>
      <w:pPr>
        <w:jc w:val="both"/>
        <w:ind w:left="1600" w:firstLine="741"/>
        <w:spacing w:after="0" w:line="253" w:lineRule="auto"/>
        <w:tabs>
          <w:tab w:leader="none" w:pos="3011" w:val="left"/>
        </w:tabs>
        <w:numPr>
          <w:ilvl w:val="3"/>
          <w:numId w:val="254"/>
        </w:numPr>
        <w:rPr>
          <w:rFonts w:ascii="Arial" w:cs="Arial" w:eastAsia="Arial" w:hAnsi="Arial"/>
          <w:sz w:val="18"/>
          <w:szCs w:val="18"/>
          <w:color w:val="auto"/>
        </w:rPr>
      </w:pPr>
      <w:r>
        <w:rPr>
          <w:rFonts w:ascii="Arial" w:cs="Arial" w:eastAsia="Arial" w:hAnsi="Arial"/>
          <w:sz w:val="18"/>
          <w:szCs w:val="18"/>
          <w:color w:val="auto"/>
        </w:rPr>
        <w:t>(i) for any taxable period (or part thereof) for which Holdings is a corporation (or a disregarded entity directly or indirectly owned by a corporation) for U.S. federal income tax purposes that is included in a consolidated, combined, unitary or similar group tax return, any distribution to Holdings to pay (or to make any distribution to any direct or indirect parent of Holdings to pay) the aggregate amount of consolidated, combined, unitary or similar group tax liabilities attributable to the income of Holdings, the Borrower and its subsidiaries; provided, that the amount of such payments does not exceed the amounts that Holdings, the Borrower, and its subsidiaries would have been required to pay had Holdings, the Borrower, and its subsidiaries been a stand-alone group for applicable tax purposes; (ii) for any taxable period (or part thereof) for which Holdings is a partnership or disregarded entity (other than wholly-owned by a corporation) for US federal income tax purposes, any distributions from the Borrower and Holdings in an amount sufficient to permit AIDH TopCo, LLC, a Delaware limited liability company (or such other direct or indirect parent partnership), to make pro rata distributions (in accordance with percentage interests) to its equity owners in an amount sufficient for each of them (or their direct or indirect owners) to pay their U.S. federal, state, and local taxes (including estimated taxes) with respect to income of the Borrower and its subsidiaries for such taxable period or part thereof (determined without regard to any adjustments under Section 743(b) or 734(b) of the Code), based on an assumed tax rate equal to the highest combined U.S. federal, state, and local tax rate applicable to an individual or corporation (whichever is higher) resident in New York, taking into account (A) the character and type of income earned (and for the avoidance of doubt, without regard to any reduction in rate attributable to Section 199A of the Code),</w:t>
      </w:r>
    </w:p>
    <w:p>
      <w:pPr>
        <w:spacing w:after="0" w:line="1" w:lineRule="exact"/>
        <w:rPr>
          <w:rFonts w:ascii="Arial" w:cs="Arial" w:eastAsia="Arial" w:hAnsi="Arial"/>
          <w:sz w:val="18"/>
          <w:szCs w:val="18"/>
          <w:color w:val="auto"/>
        </w:rPr>
      </w:pPr>
    </w:p>
    <w:p>
      <w:pPr>
        <w:jc w:val="both"/>
        <w:ind w:left="1600" w:hanging="7"/>
        <w:spacing w:after="0" w:line="271" w:lineRule="auto"/>
        <w:tabs>
          <w:tab w:leader="none" w:pos="1905" w:val="left"/>
        </w:tabs>
        <w:numPr>
          <w:ilvl w:val="2"/>
          <w:numId w:val="254"/>
        </w:numPr>
        <w:rPr>
          <w:rFonts w:ascii="Arial" w:cs="Arial" w:eastAsia="Arial" w:hAnsi="Arial"/>
          <w:sz w:val="17"/>
          <w:szCs w:val="17"/>
          <w:color w:val="auto"/>
        </w:rPr>
      </w:pPr>
      <w:r>
        <w:rPr>
          <w:rFonts w:ascii="Arial" w:cs="Arial" w:eastAsia="Arial" w:hAnsi="Arial"/>
          <w:sz w:val="17"/>
          <w:szCs w:val="17"/>
          <w:color w:val="auto"/>
        </w:rPr>
        <w:t xml:space="preserve">Medicare taxes, and (C) any applicable limitations with respect to any deductions and not taking into account any allocations under Section 704(c) of the Code and the Treasury Regulations thereunder to the extent such allocations are made under a remedial allocation method; provided, that any amounts distributed under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as applicable, in respect of any taxes attributable to the income of Unrestricted Subsidiaries may be made only to the extent that (x) such subsidiaries have made cash payments to any Loan Party or Restricted Subsidiary in at least the amount of such taxes or (y) the Borrower and its Restricted Subsidiaries with respect to making such a distribution are deemed to have made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146</w:t>
      </w:r>
      <w:r>
        <w:rPr>
          <w:rFonts w:ascii="Arial" w:cs="Arial" w:eastAsia="Arial" w:hAnsi="Arial"/>
          <w:sz w:val="18"/>
          <w:szCs w:val="18"/>
          <w:u w:val="single" w:color="auto"/>
          <w:color w:val="0000FF"/>
          <w:strike w:val="1"/>
        </w:rPr>
        <w:t>146</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85" w:right="1439" w:bottom="1440" w:gutter="0" w:footer="0" w:header="0"/>
        </w:sectPr>
      </w:pPr>
    </w:p>
    <w:bookmarkStart w:id="214" w:name="page215"/>
    <w:bookmarkEnd w:id="214"/>
    <w:p>
      <w:pPr>
        <w:jc w:val="both"/>
        <w:ind w:left="1600" w:right="59"/>
        <w:spacing w:after="0" w:line="263" w:lineRule="auto"/>
        <w:rPr>
          <w:sz w:val="20"/>
          <w:szCs w:val="20"/>
          <w:color w:val="auto"/>
        </w:rPr>
      </w:pPr>
      <w:r>
        <w:rPr>
          <w:rFonts w:ascii="Arial" w:cs="Arial" w:eastAsia="Arial" w:hAnsi="Arial"/>
          <w:sz w:val="17"/>
          <w:szCs w:val="17"/>
          <w:color w:val="auto"/>
        </w:rPr>
        <w:t xml:space="preserve">an Investment in the amount of such taxes in the relevant Unrestricted Subsidiary and such Investment complies with the requirements of </w:t>
      </w:r>
      <w:r>
        <w:rPr>
          <w:rFonts w:ascii="Arial" w:cs="Arial" w:eastAsia="Arial" w:hAnsi="Arial"/>
          <w:sz w:val="17"/>
          <w:szCs w:val="17"/>
          <w:u w:val="single" w:color="auto"/>
          <w:color w:val="auto"/>
        </w:rPr>
        <w:t>Section 6.06</w:t>
      </w:r>
      <w:r>
        <w:rPr>
          <w:rFonts w:ascii="Arial" w:cs="Arial" w:eastAsia="Arial" w:hAnsi="Arial"/>
          <w:sz w:val="17"/>
          <w:szCs w:val="17"/>
          <w:color w:val="auto"/>
        </w:rPr>
        <w:t xml:space="preserve">; and (iii) distributions by the Borrower and Holdings to fund payments to satisfy obligations of the Parent under the tax receivable agreement entered into in connection with the IPO;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distributions under this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shall be permitted with respect to such taxable period (or part thereof) only to the extent that the payments under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as applicable, with respect to such taxable period (or part thereof) are insufficient for the Parent to comply with its obligations under such tax receivable agreement after the payment of the actual income tax liability of the Parent;</w:t>
      </w:r>
    </w:p>
    <w:p>
      <w:pPr>
        <w:spacing w:after="0" w:line="161" w:lineRule="exact"/>
        <w:rPr>
          <w:sz w:val="20"/>
          <w:szCs w:val="20"/>
          <w:color w:val="auto"/>
        </w:rPr>
      </w:pPr>
    </w:p>
    <w:p>
      <w:pPr>
        <w:jc w:val="both"/>
        <w:ind w:left="1600" w:right="59" w:firstLine="741"/>
        <w:spacing w:after="0" w:line="289" w:lineRule="auto"/>
        <w:tabs>
          <w:tab w:leader="none" w:pos="2652"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to pay audit and other accounting and reporting expenses of any Parent Company to the extent such expenses are attributable to such Parent Company, the Borrower and its subsidiaries (but excluding, for the avoidance of doubt, the portion of any such expenses, if any, that is attributable to the ownership or operations of any subsidiary of any Parent Company other than Holdings, the Borrower and/or its subsidiaries);</w:t>
      </w:r>
    </w:p>
    <w:p>
      <w:pPr>
        <w:spacing w:after="0" w:line="151" w:lineRule="exact"/>
        <w:rPr>
          <w:rFonts w:ascii="Arial" w:cs="Arial" w:eastAsia="Arial" w:hAnsi="Arial"/>
          <w:sz w:val="17"/>
          <w:szCs w:val="17"/>
          <w:color w:val="auto"/>
        </w:rPr>
      </w:pPr>
    </w:p>
    <w:p>
      <w:pPr>
        <w:jc w:val="both"/>
        <w:ind w:left="1600" w:right="59" w:firstLine="741"/>
        <w:spacing w:after="0" w:line="245" w:lineRule="auto"/>
        <w:tabs>
          <w:tab w:leader="none" w:pos="2652" w:val="left"/>
        </w:tabs>
        <w:numPr>
          <w:ilvl w:val="0"/>
          <w:numId w:val="255"/>
        </w:numPr>
        <w:rPr>
          <w:rFonts w:ascii="Arial" w:cs="Arial" w:eastAsia="Arial" w:hAnsi="Arial"/>
          <w:sz w:val="19"/>
          <w:szCs w:val="19"/>
          <w:color w:val="auto"/>
        </w:rPr>
      </w:pPr>
      <w:r>
        <w:rPr>
          <w:rFonts w:ascii="Arial" w:cs="Arial" w:eastAsia="Arial" w:hAnsi="Arial"/>
          <w:sz w:val="19"/>
          <w:szCs w:val="19"/>
          <w:color w:val="auto"/>
        </w:rPr>
        <w:t>for the payment of any insurance premium that is payable by or attributable to any Parent Company, the Borrower and/or its subsidiaries (but excluding, for the avoidance of doubt, the portion of any such premium, if any, that is attributable to the ownership or operations of any subsidiary of any Parent Company other than Holdings, the Borrower and/or its subsidiaries);</w:t>
      </w:r>
    </w:p>
    <w:p>
      <w:pPr>
        <w:spacing w:after="0" w:line="187" w:lineRule="exact"/>
        <w:rPr>
          <w:rFonts w:ascii="Arial" w:cs="Arial" w:eastAsia="Arial" w:hAnsi="Arial"/>
          <w:sz w:val="19"/>
          <w:szCs w:val="19"/>
          <w:color w:val="auto"/>
        </w:rPr>
      </w:pPr>
    </w:p>
    <w:p>
      <w:pPr>
        <w:jc w:val="both"/>
        <w:ind w:left="1600" w:right="59" w:firstLine="741"/>
        <w:spacing w:after="0" w:line="292" w:lineRule="auto"/>
        <w:tabs>
          <w:tab w:leader="none" w:pos="2652"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to pay (1) any fee and/or expense related to any debt and/or equity offering and/or the IPO, investment or acquisition (whether or not consummated) and/or any expense of, or indemnification obligation in favor of, any trustee, agent, arranger, underwriter or similar role, and (2) Public Company Costs;</w:t>
      </w:r>
    </w:p>
    <w:p>
      <w:pPr>
        <w:spacing w:after="0" w:line="150" w:lineRule="exact"/>
        <w:rPr>
          <w:rFonts w:ascii="Arial" w:cs="Arial" w:eastAsia="Arial" w:hAnsi="Arial"/>
          <w:sz w:val="17"/>
          <w:szCs w:val="17"/>
          <w:color w:val="auto"/>
        </w:rPr>
      </w:pPr>
    </w:p>
    <w:p>
      <w:pPr>
        <w:jc w:val="both"/>
        <w:ind w:left="1600" w:right="19" w:firstLine="741"/>
        <w:spacing w:after="0" w:line="256" w:lineRule="auto"/>
        <w:tabs>
          <w:tab w:leader="none" w:pos="2653"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to finance any Investment permitted under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6.06(t)</w:t>
      </w:r>
      <w:r>
        <w:rPr>
          <w:rFonts w:ascii="Arial" w:cs="Arial" w:eastAsia="Arial" w:hAnsi="Arial"/>
          <w:sz w:val="18"/>
          <w:szCs w:val="18"/>
          <w:color w:val="auto"/>
        </w:rPr>
        <w: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any Restricted Payment under this </w:t>
      </w:r>
      <w:r>
        <w:rPr>
          <w:rFonts w:ascii="Arial" w:cs="Arial" w:eastAsia="Arial" w:hAnsi="Arial"/>
          <w:sz w:val="18"/>
          <w:szCs w:val="18"/>
          <w:u w:val="single" w:color="auto"/>
          <w:color w:val="auto"/>
        </w:rPr>
        <w:t>clause (a)(i)(F)</w:t>
      </w:r>
      <w:r>
        <w:rPr>
          <w:rFonts w:ascii="Arial" w:cs="Arial" w:eastAsia="Arial" w:hAnsi="Arial"/>
          <w:sz w:val="18"/>
          <w:szCs w:val="18"/>
          <w:color w:val="auto"/>
        </w:rPr>
        <w:t xml:space="preserve"> shall be made substantially concurrently with the closing of such Investment (except with respect to any deferred purchase price or other contingent consideration, the Restricted Payments in respect of which may be made after the closing of such Investment) and (y) the relevant Parent Company shall, promptly following the closing thereof, cause (I) all property acquired to be contributed to the Borrower or one or more of its Restricted Subsidiaries, or (II) the merger, consolidation or amalgamation of the Person formed or acquired into the Borrower or one or more of its Restricted Subsidiaries, in order to consummate such Investment in compliance with the applicable requirements of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as if the relevant Investment was undertaken as a direct Investment by the Borrower or the relevant Restricted Subsidiary); and</w:t>
      </w:r>
    </w:p>
    <w:p>
      <w:pPr>
        <w:spacing w:after="0" w:line="181" w:lineRule="exact"/>
        <w:rPr>
          <w:rFonts w:ascii="Arial" w:cs="Arial" w:eastAsia="Arial" w:hAnsi="Arial"/>
          <w:sz w:val="18"/>
          <w:szCs w:val="18"/>
          <w:color w:val="auto"/>
        </w:rPr>
      </w:pPr>
    </w:p>
    <w:p>
      <w:pPr>
        <w:jc w:val="both"/>
        <w:ind w:left="1600" w:right="59" w:firstLine="741"/>
        <w:spacing w:after="0" w:line="289" w:lineRule="auto"/>
        <w:tabs>
          <w:tab w:leader="none" w:pos="2652"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to pay customary salary, bonus, severance and other benefits payable to current or former directors, officers, members of management, managers, employees or consultants of any Parent Company (or any Immediate Family Member of any of the foregoing) to the extent such salary, bonuses, severance and other benefits are attributable and reasonably allocated to the operations of the Borrower and/or its subsidiaries,</w:t>
      </w:r>
    </w:p>
    <w:p>
      <w:pPr>
        <w:spacing w:after="0" w:line="152"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in each case, so long as such Parent Company applies the amount of any such Restricted Payment for such</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9"/>
          <w:szCs w:val="19"/>
          <w:color w:val="auto"/>
        </w:rPr>
        <w:t>purpose;</w:t>
      </w:r>
    </w:p>
    <w:p>
      <w:pPr>
        <w:spacing w:after="0" w:line="184" w:lineRule="exact"/>
        <w:rPr>
          <w:sz w:val="20"/>
          <w:szCs w:val="20"/>
          <w:color w:val="auto"/>
        </w:rPr>
      </w:pPr>
    </w:p>
    <w:p>
      <w:pPr>
        <w:jc w:val="both"/>
        <w:ind w:left="840" w:right="59" w:firstLine="752"/>
        <w:spacing w:after="0" w:line="249" w:lineRule="auto"/>
        <w:tabs>
          <w:tab w:leader="none" w:pos="2254" w:val="left"/>
        </w:tabs>
        <w:numPr>
          <w:ilvl w:val="0"/>
          <w:numId w:val="256"/>
        </w:numPr>
        <w:rPr>
          <w:rFonts w:ascii="Arial" w:cs="Arial" w:eastAsia="Arial" w:hAnsi="Arial"/>
          <w:sz w:val="19"/>
          <w:szCs w:val="19"/>
          <w:color w:val="auto"/>
        </w:rPr>
      </w:pPr>
      <w:r>
        <w:rPr>
          <w:rFonts w:ascii="Arial" w:cs="Arial" w:eastAsia="Arial" w:hAnsi="Arial"/>
          <w:sz w:val="19"/>
          <w:szCs w:val="19"/>
          <w:color w:val="auto"/>
        </w:rPr>
        <w:t>the Borrower may pay (or make Restricted Payments to allow any Parent Company) to repurchase, redeem, retire or otherwise acquire or retire for value the Capital Stock of any Parent Company or any subsidiary held by any future, present or former employee, director, member of</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147</w:t>
      </w:r>
      <w:r>
        <w:rPr>
          <w:rFonts w:ascii="Arial" w:cs="Arial" w:eastAsia="Arial" w:hAnsi="Arial"/>
          <w:sz w:val="18"/>
          <w:szCs w:val="18"/>
          <w:u w:val="single" w:color="auto"/>
          <w:color w:val="0000FF"/>
          <w:strike w:val="1"/>
        </w:rPr>
        <w:t>147</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15" w:name="page216"/>
    <w:bookmarkEnd w:id="215"/>
    <w:p>
      <w:pPr>
        <w:ind w:left="840" w:right="639"/>
        <w:spacing w:after="0" w:line="261" w:lineRule="auto"/>
        <w:rPr>
          <w:sz w:val="20"/>
          <w:szCs w:val="20"/>
          <w:color w:val="auto"/>
        </w:rPr>
      </w:pPr>
      <w:r>
        <w:rPr>
          <w:rFonts w:ascii="Arial" w:cs="Arial" w:eastAsia="Arial" w:hAnsi="Arial"/>
          <w:sz w:val="19"/>
          <w:szCs w:val="19"/>
          <w:color w:val="auto"/>
        </w:rPr>
        <w:t>management, officer, manager or consultant (or any Affiliate or Immediate Family Member thereof) of any Parent Company, the Borrower or any subsidiary:</w:t>
      </w:r>
    </w:p>
    <w:p>
      <w:pPr>
        <w:spacing w:after="0" w:line="159" w:lineRule="exact"/>
        <w:rPr>
          <w:sz w:val="20"/>
          <w:szCs w:val="20"/>
          <w:color w:val="auto"/>
        </w:rPr>
      </w:pPr>
    </w:p>
    <w:p>
      <w:pPr>
        <w:jc w:val="both"/>
        <w:ind w:left="1600" w:right="19" w:firstLine="741"/>
        <w:spacing w:after="0" w:line="275" w:lineRule="auto"/>
        <w:tabs>
          <w:tab w:leader="none" w:pos="3010" w:val="left"/>
        </w:tabs>
        <w:numPr>
          <w:ilvl w:val="2"/>
          <w:numId w:val="257"/>
        </w:numPr>
        <w:rPr>
          <w:rFonts w:ascii="Arial" w:cs="Arial" w:eastAsia="Arial" w:hAnsi="Arial"/>
          <w:sz w:val="17"/>
          <w:szCs w:val="17"/>
          <w:color w:val="auto"/>
        </w:rPr>
      </w:pPr>
      <w:r>
        <w:rPr>
          <w:rFonts w:ascii="Arial" w:cs="Arial" w:eastAsia="Arial" w:hAnsi="Arial"/>
          <w:sz w:val="17"/>
          <w:szCs w:val="17"/>
          <w:color w:val="auto"/>
        </w:rPr>
        <w:t>with Cash and Cash Equivalents (and including, to the extent constituting a Restricted Payment, amounts paid in respect of promissory notes issued to evidence any obligation to repurchase, redeem, retire or otherwise acquire or retire for value the Capital Stock of any Parent Company, the Borrower or any subsidiary held by any future, present or former employee, director, member of management, officer, manager or consultant (or any Affiliate or Immediate Family Member thereof) of any Parent Company, the Borrower or any subsidiary) in an amount not to exceed, in any Fiscal Year, the greater of $17,500,000 and 20% of Consolidated Adjusted EBITDA as of the last day of the most recently ended Test Period, in each case, which, if not used in such Fiscal Year, shall be carried forward to the next Fiscal Year;</w:t>
      </w:r>
    </w:p>
    <w:p>
      <w:pPr>
        <w:spacing w:after="0" w:line="165" w:lineRule="exact"/>
        <w:rPr>
          <w:rFonts w:ascii="Arial" w:cs="Arial" w:eastAsia="Arial" w:hAnsi="Arial"/>
          <w:sz w:val="17"/>
          <w:szCs w:val="17"/>
          <w:color w:val="auto"/>
        </w:rPr>
      </w:pPr>
    </w:p>
    <w:p>
      <w:pPr>
        <w:jc w:val="both"/>
        <w:ind w:left="1600" w:right="59" w:firstLine="741"/>
        <w:spacing w:after="0" w:line="245" w:lineRule="auto"/>
        <w:tabs>
          <w:tab w:leader="none" w:pos="3008" w:val="left"/>
        </w:tabs>
        <w:numPr>
          <w:ilvl w:val="2"/>
          <w:numId w:val="257"/>
        </w:numPr>
        <w:rPr>
          <w:rFonts w:ascii="Arial" w:cs="Arial" w:eastAsia="Arial" w:hAnsi="Arial"/>
          <w:sz w:val="19"/>
          <w:szCs w:val="19"/>
          <w:color w:val="auto"/>
        </w:rPr>
      </w:pPr>
      <w:r>
        <w:rPr>
          <w:rFonts w:ascii="Arial" w:cs="Arial" w:eastAsia="Arial" w:hAnsi="Arial"/>
          <w:sz w:val="19"/>
          <w:szCs w:val="19"/>
          <w:color w:val="auto"/>
        </w:rPr>
        <w:t>with the proceeds of any sale or issuance of, or any capital contribution in respect of, the Capital Stock of the Borrower or any Parent Company that are Not Otherwise Applied (to the extent such proceeds are contributed in respect of Qualified Capital Stock to the Borrower or any Restricted Subsidiary); and/or</w:t>
      </w:r>
    </w:p>
    <w:p>
      <w:pPr>
        <w:spacing w:after="0" w:line="187" w:lineRule="exact"/>
        <w:rPr>
          <w:rFonts w:ascii="Arial" w:cs="Arial" w:eastAsia="Arial" w:hAnsi="Arial"/>
          <w:sz w:val="19"/>
          <w:szCs w:val="19"/>
          <w:color w:val="auto"/>
        </w:rPr>
      </w:pPr>
    </w:p>
    <w:p>
      <w:pPr>
        <w:ind w:left="3100" w:hanging="760"/>
        <w:spacing w:after="0"/>
        <w:tabs>
          <w:tab w:leader="none" w:pos="3100" w:val="left"/>
        </w:tabs>
        <w:numPr>
          <w:ilvl w:val="2"/>
          <w:numId w:val="257"/>
        </w:numPr>
        <w:rPr>
          <w:rFonts w:ascii="Arial" w:cs="Arial" w:eastAsia="Arial" w:hAnsi="Arial"/>
          <w:sz w:val="19"/>
          <w:szCs w:val="19"/>
          <w:color w:val="auto"/>
        </w:rPr>
      </w:pPr>
      <w:r>
        <w:rPr>
          <w:rFonts w:ascii="Arial" w:cs="Arial" w:eastAsia="Arial" w:hAnsi="Arial"/>
          <w:sz w:val="19"/>
          <w:szCs w:val="19"/>
          <w:color w:val="auto"/>
        </w:rPr>
        <w:t>with the net proceeds of any key-man life insurance policy;</w:t>
      </w:r>
    </w:p>
    <w:p>
      <w:pPr>
        <w:spacing w:after="0" w:line="213" w:lineRule="exact"/>
        <w:rPr>
          <w:rFonts w:ascii="Arial" w:cs="Arial" w:eastAsia="Arial" w:hAnsi="Arial"/>
          <w:sz w:val="19"/>
          <w:szCs w:val="19"/>
          <w:color w:val="auto"/>
        </w:rPr>
      </w:pPr>
    </w:p>
    <w:p>
      <w:pPr>
        <w:jc w:val="both"/>
        <w:ind w:left="840" w:right="59" w:firstLine="751"/>
        <w:spacing w:after="0" w:line="292" w:lineRule="auto"/>
        <w:tabs>
          <w:tab w:leader="none" w:pos="2254" w:val="left"/>
        </w:tabs>
        <w:numPr>
          <w:ilvl w:val="0"/>
          <w:numId w:val="258"/>
        </w:numPr>
        <w:rPr>
          <w:rFonts w:ascii="Arial" w:cs="Arial" w:eastAsia="Arial" w:hAnsi="Arial"/>
          <w:sz w:val="17"/>
          <w:szCs w:val="17"/>
          <w:color w:val="auto"/>
        </w:rPr>
      </w:pPr>
      <w:r>
        <w:rPr>
          <w:rFonts w:ascii="Arial" w:cs="Arial" w:eastAsia="Arial" w:hAnsi="Arial"/>
          <w:sz w:val="17"/>
          <w:szCs w:val="17"/>
          <w:color w:val="auto"/>
        </w:rPr>
        <w:t xml:space="preserve">the Borrower may make Restricted Payments in an amount not to exceed (A) the portion, if any, of the Available Amount on such date that the Borrower elects to apply to this </w:t>
      </w:r>
      <w:r>
        <w:rPr>
          <w:rFonts w:ascii="Arial" w:cs="Arial" w:eastAsia="Arial" w:hAnsi="Arial"/>
          <w:sz w:val="17"/>
          <w:szCs w:val="17"/>
          <w:u w:val="single" w:color="auto"/>
          <w:color w:val="auto"/>
        </w:rPr>
        <w:t>clause (iii)(A)</w:t>
      </w:r>
      <w:r>
        <w:rPr>
          <w:rFonts w:ascii="Arial" w:cs="Arial" w:eastAsia="Arial" w:hAnsi="Arial"/>
          <w:sz w:val="17"/>
          <w:szCs w:val="17"/>
          <w:color w:val="auto"/>
        </w:rPr>
        <w:t xml:space="preserve"> and/or (B) the portion, if any, of the Available Excluded Contribution Amount on such date that the Borrower elects to apply to this </w:t>
      </w:r>
      <w:r>
        <w:rPr>
          <w:rFonts w:ascii="Arial" w:cs="Arial" w:eastAsia="Arial" w:hAnsi="Arial"/>
          <w:sz w:val="17"/>
          <w:szCs w:val="17"/>
          <w:u w:val="single" w:color="auto"/>
          <w:color w:val="auto"/>
        </w:rPr>
        <w:t>clause (iii)(B)</w:t>
      </w:r>
      <w:r>
        <w:rPr>
          <w:rFonts w:ascii="Arial" w:cs="Arial" w:eastAsia="Arial" w:hAnsi="Arial"/>
          <w:sz w:val="17"/>
          <w:szCs w:val="17"/>
          <w:color w:val="auto"/>
        </w:rPr>
        <w:t>;</w:t>
      </w:r>
    </w:p>
    <w:p>
      <w:pPr>
        <w:spacing w:after="0" w:line="150" w:lineRule="exact"/>
        <w:rPr>
          <w:rFonts w:ascii="Arial" w:cs="Arial" w:eastAsia="Arial" w:hAnsi="Arial"/>
          <w:sz w:val="17"/>
          <w:szCs w:val="17"/>
          <w:color w:val="auto"/>
        </w:rPr>
      </w:pPr>
    </w:p>
    <w:p>
      <w:pPr>
        <w:ind w:left="2340" w:hanging="748"/>
        <w:spacing w:after="0"/>
        <w:tabs>
          <w:tab w:leader="none" w:pos="2340" w:val="left"/>
        </w:tabs>
        <w:numPr>
          <w:ilvl w:val="0"/>
          <w:numId w:val="258"/>
        </w:numPr>
        <w:rPr>
          <w:rFonts w:ascii="Arial" w:cs="Arial" w:eastAsia="Arial" w:hAnsi="Arial"/>
          <w:sz w:val="19"/>
          <w:szCs w:val="19"/>
          <w:color w:val="auto"/>
        </w:rPr>
      </w:pPr>
      <w:r>
        <w:rPr>
          <w:rFonts w:ascii="Arial" w:cs="Arial" w:eastAsia="Arial" w:hAnsi="Arial"/>
          <w:sz w:val="19"/>
          <w:szCs w:val="19"/>
          <w:color w:val="auto"/>
        </w:rPr>
        <w:t>the Borrower may make Restricted Payments:</w:t>
      </w:r>
    </w:p>
    <w:p>
      <w:pPr>
        <w:spacing w:after="0" w:line="213" w:lineRule="exact"/>
        <w:rPr>
          <w:rFonts w:ascii="Arial" w:cs="Arial" w:eastAsia="Arial" w:hAnsi="Arial"/>
          <w:sz w:val="19"/>
          <w:szCs w:val="19"/>
          <w:color w:val="auto"/>
        </w:rPr>
      </w:pPr>
    </w:p>
    <w:p>
      <w:pPr>
        <w:jc w:val="both"/>
        <w:ind w:left="1600" w:right="39" w:firstLine="741"/>
        <w:spacing w:after="0" w:line="283" w:lineRule="auto"/>
        <w:tabs>
          <w:tab w:leader="none" w:pos="3008" w:val="left"/>
        </w:tabs>
        <w:numPr>
          <w:ilvl w:val="2"/>
          <w:numId w:val="258"/>
        </w:numPr>
        <w:rPr>
          <w:rFonts w:ascii="Arial" w:cs="Arial" w:eastAsia="Arial" w:hAnsi="Arial"/>
          <w:sz w:val="17"/>
          <w:szCs w:val="17"/>
          <w:color w:val="auto"/>
        </w:rPr>
      </w:pPr>
      <w:r>
        <w:rPr>
          <w:rFonts w:ascii="Arial" w:cs="Arial" w:eastAsia="Arial" w:hAnsi="Arial"/>
          <w:sz w:val="17"/>
          <w:szCs w:val="17"/>
          <w:color w:val="auto"/>
        </w:rPr>
        <w:t>to any Parent Company to enable such Parent Company to make Cash payments in lieu of the issuance of fractional shares in connection with any dividend, split or combination thereof in connection with any Investment permitted hereunder or the exercise or vesting of warrants, options, restricted stock units or similar incentive interests or other securities convertible into or exchangeable for Capital Stock of such Parent Company or otherwise to honor a conversion requested by a holder thereof or</w:t>
      </w:r>
    </w:p>
    <w:p>
      <w:pPr>
        <w:spacing w:after="0" w:line="157" w:lineRule="exact"/>
        <w:rPr>
          <w:rFonts w:ascii="Arial" w:cs="Arial" w:eastAsia="Arial" w:hAnsi="Arial"/>
          <w:sz w:val="17"/>
          <w:szCs w:val="17"/>
          <w:color w:val="auto"/>
        </w:rPr>
      </w:pPr>
    </w:p>
    <w:p>
      <w:pPr>
        <w:jc w:val="both"/>
        <w:ind w:left="1600" w:right="19" w:firstLine="741"/>
        <w:spacing w:after="0" w:line="268" w:lineRule="auto"/>
        <w:tabs>
          <w:tab w:leader="none" w:pos="3010" w:val="left"/>
        </w:tabs>
        <w:numPr>
          <w:ilvl w:val="2"/>
          <w:numId w:val="258"/>
        </w:numPr>
        <w:rPr>
          <w:rFonts w:ascii="Arial" w:cs="Arial" w:eastAsia="Arial" w:hAnsi="Arial"/>
          <w:sz w:val="17"/>
          <w:szCs w:val="17"/>
          <w:color w:val="auto"/>
        </w:rPr>
      </w:pPr>
      <w:r>
        <w:rPr>
          <w:rFonts w:ascii="Arial" w:cs="Arial" w:eastAsia="Arial" w:hAnsi="Arial"/>
          <w:sz w:val="17"/>
          <w:szCs w:val="17"/>
          <w:color w:val="auto"/>
        </w:rPr>
        <w:t>consisting of (1) payments made or expected to be made in respect of withholding or similar Taxes payable by any future, present or former officers, directors, employees, members of management, managers or consultants of the Borrower, any subsidiary of the Borrower or Parent Company or any of their respective Immediate Family Members, (2) payments or other adjustments to outstanding Capital Stock in accordance with any management equity plan, stock option plan or any other similar employee benefit or incentive plan, agreement or arrangement in connection with any Restricted Payment and/or</w:t>
      </w:r>
    </w:p>
    <w:p>
      <w:pPr>
        <w:spacing w:after="0" w:line="2" w:lineRule="exact"/>
        <w:rPr>
          <w:rFonts w:ascii="Arial" w:cs="Arial" w:eastAsia="Arial" w:hAnsi="Arial"/>
          <w:sz w:val="17"/>
          <w:szCs w:val="17"/>
          <w:color w:val="auto"/>
        </w:rPr>
      </w:pPr>
    </w:p>
    <w:p>
      <w:pPr>
        <w:jc w:val="both"/>
        <w:ind w:left="1600" w:right="79" w:hanging="7"/>
        <w:spacing w:after="0" w:line="235" w:lineRule="auto"/>
        <w:tabs>
          <w:tab w:leader="none" w:pos="1889" w:val="left"/>
        </w:tabs>
        <w:numPr>
          <w:ilvl w:val="1"/>
          <w:numId w:val="258"/>
        </w:numPr>
        <w:rPr>
          <w:rFonts w:ascii="Arial" w:cs="Arial" w:eastAsia="Arial" w:hAnsi="Arial"/>
          <w:sz w:val="19"/>
          <w:szCs w:val="19"/>
          <w:color w:val="auto"/>
        </w:rPr>
      </w:pPr>
      <w:r>
        <w:rPr>
          <w:rFonts w:ascii="Arial" w:cs="Arial" w:eastAsia="Arial" w:hAnsi="Arial"/>
          <w:sz w:val="19"/>
          <w:szCs w:val="19"/>
          <w:color w:val="auto"/>
        </w:rPr>
        <w:t xml:space="preserve">repurchases of Capital Stock in consideration of the payments described in </w:t>
      </w:r>
      <w:r>
        <w:rPr>
          <w:rFonts w:ascii="Arial" w:cs="Arial" w:eastAsia="Arial" w:hAnsi="Arial"/>
          <w:sz w:val="19"/>
          <w:szCs w:val="19"/>
          <w:u w:val="single" w:color="auto"/>
          <w:color w:val="auto"/>
        </w:rPr>
        <w:t>clauses (1)</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(2)</w:t>
      </w:r>
      <w:r>
        <w:rPr>
          <w:rFonts w:ascii="Arial" w:cs="Arial" w:eastAsia="Arial" w:hAnsi="Arial"/>
          <w:sz w:val="19"/>
          <w:szCs w:val="19"/>
          <w:color w:val="auto"/>
        </w:rPr>
        <w:t xml:space="preserve"> above, including demand repurchases, in connection with the exercise or vesting of stock options, restricted stock units or similar incentive interests;</w:t>
      </w:r>
    </w:p>
    <w:p>
      <w:pPr>
        <w:spacing w:after="0" w:line="179" w:lineRule="exact"/>
        <w:rPr>
          <w:rFonts w:ascii="Arial" w:cs="Arial" w:eastAsia="Arial" w:hAnsi="Arial"/>
          <w:sz w:val="19"/>
          <w:szCs w:val="19"/>
          <w:color w:val="auto"/>
        </w:rPr>
      </w:pPr>
    </w:p>
    <w:p>
      <w:pPr>
        <w:jc w:val="both"/>
        <w:ind w:left="840" w:right="59" w:firstLine="751"/>
        <w:spacing w:after="0" w:line="283" w:lineRule="auto"/>
        <w:tabs>
          <w:tab w:leader="none" w:pos="2254"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the Borrower may repurchase (or make Restricted Payments to any Parent Company to enable it to repurchase) Capital Stock upon the exercise of warrants, options or other securities convertible into or exchangeable for Capital Stock if such Capital Stock represents all or a portion of the exercise price of, or tax withholdings with respect to, such warrants, options or other securities convertible into or exchangeable for Capital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148</w:t>
      </w:r>
      <w:r>
        <w:rPr>
          <w:rFonts w:ascii="Arial" w:cs="Arial" w:eastAsia="Arial" w:hAnsi="Arial"/>
          <w:sz w:val="18"/>
          <w:szCs w:val="18"/>
          <w:u w:val="single" w:color="auto"/>
          <w:color w:val="0000FF"/>
          <w:strike w:val="1"/>
        </w:rPr>
        <w:t>148</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16" w:name="page217"/>
    <w:bookmarkEnd w:id="216"/>
    <w:p>
      <w:pPr>
        <w:ind w:left="840" w:right="59" w:firstLine="751"/>
        <w:spacing w:after="0" w:line="261" w:lineRule="auto"/>
        <w:tabs>
          <w:tab w:leader="none" w:pos="2254" w:val="left"/>
        </w:tabs>
        <w:numPr>
          <w:ilvl w:val="2"/>
          <w:numId w:val="259"/>
        </w:numPr>
        <w:rPr>
          <w:rFonts w:ascii="Arial" w:cs="Arial" w:eastAsia="Arial" w:hAnsi="Arial"/>
          <w:sz w:val="19"/>
          <w:szCs w:val="19"/>
          <w:color w:val="auto"/>
        </w:rPr>
      </w:pPr>
      <w:r>
        <w:rPr>
          <w:rFonts w:ascii="Arial" w:cs="Arial" w:eastAsia="Arial" w:hAnsi="Arial"/>
          <w:sz w:val="19"/>
          <w:szCs w:val="19"/>
          <w:color w:val="auto"/>
        </w:rPr>
        <w:t>the Borrower may make Restricted Payments, the proceeds of which are applied (A) to effect the consummation of the Transactions and (B) to pay Transaction Costs;</w:t>
      </w:r>
    </w:p>
    <w:p>
      <w:pPr>
        <w:spacing w:after="0" w:line="186" w:lineRule="exact"/>
        <w:rPr>
          <w:rFonts w:ascii="Arial" w:cs="Arial" w:eastAsia="Arial" w:hAnsi="Arial"/>
          <w:sz w:val="19"/>
          <w:szCs w:val="19"/>
          <w:color w:val="auto"/>
        </w:rPr>
      </w:pPr>
    </w:p>
    <w:p>
      <w:pPr>
        <w:ind w:left="2340" w:hanging="748"/>
        <w:spacing w:after="0"/>
        <w:tabs>
          <w:tab w:leader="none" w:pos="2340" w:val="left"/>
        </w:tabs>
        <w:numPr>
          <w:ilvl w:val="2"/>
          <w:numId w:val="259"/>
        </w:numPr>
        <w:rPr>
          <w:rFonts w:ascii="Arial" w:cs="Arial" w:eastAsia="Arial" w:hAnsi="Arial"/>
          <w:sz w:val="19"/>
          <w:szCs w:val="19"/>
          <w:color w:val="auto"/>
        </w:rPr>
      </w:pPr>
      <w:r>
        <w:rPr>
          <w:rFonts w:ascii="Arial" w:cs="Arial" w:eastAsia="Arial" w:hAnsi="Arial"/>
          <w:sz w:val="19"/>
          <w:szCs w:val="19"/>
          <w:color w:val="auto"/>
        </w:rPr>
        <w:t>[reserved];</w:t>
      </w:r>
    </w:p>
    <w:p>
      <w:pPr>
        <w:spacing w:after="0" w:line="213" w:lineRule="exact"/>
        <w:rPr>
          <w:rFonts w:ascii="Arial" w:cs="Arial" w:eastAsia="Arial" w:hAnsi="Arial"/>
          <w:sz w:val="19"/>
          <w:szCs w:val="19"/>
          <w:color w:val="auto"/>
        </w:rPr>
      </w:pPr>
    </w:p>
    <w:p>
      <w:pPr>
        <w:ind w:left="2260" w:hanging="669"/>
        <w:spacing w:after="0"/>
        <w:tabs>
          <w:tab w:leader="none" w:pos="2260" w:val="left"/>
        </w:tabs>
        <w:numPr>
          <w:ilvl w:val="2"/>
          <w:numId w:val="259"/>
        </w:numPr>
        <w:rPr>
          <w:rFonts w:ascii="Arial" w:cs="Arial" w:eastAsia="Arial" w:hAnsi="Arial"/>
          <w:sz w:val="17"/>
          <w:szCs w:val="17"/>
          <w:color w:val="auto"/>
        </w:rPr>
      </w:pPr>
      <w:r>
        <w:rPr>
          <w:rFonts w:ascii="Arial" w:cs="Arial" w:eastAsia="Arial" w:hAnsi="Arial"/>
          <w:sz w:val="17"/>
          <w:szCs w:val="17"/>
          <w:color w:val="auto"/>
        </w:rPr>
        <w:t>the Borrower may make Restricted Payments to (i) redeem, repurchase, retire or otherwise acquire any</w:t>
      </w:r>
    </w:p>
    <w:p>
      <w:pPr>
        <w:spacing w:after="0" w:line="36" w:lineRule="exact"/>
        <w:rPr>
          <w:rFonts w:ascii="Arial" w:cs="Arial" w:eastAsia="Arial" w:hAnsi="Arial"/>
          <w:sz w:val="17"/>
          <w:szCs w:val="17"/>
          <w:color w:val="auto"/>
        </w:rPr>
      </w:pPr>
    </w:p>
    <w:p>
      <w:pPr>
        <w:ind w:left="840" w:right="59" w:firstLine="3"/>
        <w:spacing w:after="0" w:line="237" w:lineRule="auto"/>
        <w:tabs>
          <w:tab w:leader="none" w:pos="1163" w:val="left"/>
        </w:tabs>
        <w:numPr>
          <w:ilvl w:val="1"/>
          <w:numId w:val="260"/>
        </w:numPr>
        <w:rPr>
          <w:rFonts w:ascii="Arial" w:cs="Arial" w:eastAsia="Arial" w:hAnsi="Arial"/>
          <w:sz w:val="19"/>
          <w:szCs w:val="19"/>
          <w:color w:val="auto"/>
        </w:rPr>
      </w:pPr>
      <w:r>
        <w:rPr>
          <w:rFonts w:ascii="Arial" w:cs="Arial" w:eastAsia="Arial" w:hAnsi="Arial"/>
          <w:sz w:val="19"/>
          <w:szCs w:val="19"/>
          <w:color w:val="auto"/>
        </w:rPr>
        <w:t>Capital Stock (“</w:t>
      </w:r>
      <w:r>
        <w:rPr>
          <w:rFonts w:ascii="Arial" w:cs="Arial" w:eastAsia="Arial" w:hAnsi="Arial"/>
          <w:sz w:val="19"/>
          <w:szCs w:val="19"/>
          <w:u w:val="single" w:color="auto"/>
          <w:color w:val="auto"/>
        </w:rPr>
        <w:t>Treasury Capital Stock</w:t>
      </w:r>
      <w:r>
        <w:rPr>
          <w:rFonts w:ascii="Arial" w:cs="Arial" w:eastAsia="Arial" w:hAnsi="Arial"/>
          <w:sz w:val="19"/>
          <w:szCs w:val="19"/>
          <w:color w:val="auto"/>
        </w:rPr>
        <w:t xml:space="preserve">”) of the Borrower and/or any Restricted Subsidiary or (B) Capital Stock of any Parent Company, in the case of each of </w:t>
      </w:r>
      <w:r>
        <w:rPr>
          <w:rFonts w:ascii="Arial" w:cs="Arial" w:eastAsia="Arial" w:hAnsi="Arial"/>
          <w:sz w:val="19"/>
          <w:szCs w:val="19"/>
          <w:u w:val="single" w:color="auto"/>
          <w:color w:val="auto"/>
        </w:rPr>
        <w:t>subclauses</w:t>
      </w:r>
    </w:p>
    <w:p>
      <w:pPr>
        <w:jc w:val="both"/>
        <w:ind w:left="840" w:right="59" w:firstLine="3"/>
        <w:spacing w:after="0" w:line="241" w:lineRule="auto"/>
        <w:tabs>
          <w:tab w:leader="none" w:pos="1149" w:val="left"/>
        </w:tabs>
        <w:numPr>
          <w:ilvl w:val="1"/>
          <w:numId w:val="261"/>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(B)</w:t>
      </w:r>
      <w:r>
        <w:rPr>
          <w:rFonts w:ascii="Arial" w:cs="Arial" w:eastAsia="Arial" w:hAnsi="Arial"/>
          <w:sz w:val="18"/>
          <w:szCs w:val="18"/>
          <w:color w:val="auto"/>
        </w:rPr>
        <w:t>, in exchange for, or out of the proceeds of the substantially concurrent sale (other than to the Borrower and/or any Restricted Subsidiary) of, Qualified Capital Stock of the Borrower or any Parent Company to the extent any such proceeds are contributed to the capital of the Borrower and/or any Restricted Subsidiary in respect of Qualified Capital Stock (“</w:t>
      </w:r>
      <w:r>
        <w:rPr>
          <w:rFonts w:ascii="Arial" w:cs="Arial" w:eastAsia="Arial" w:hAnsi="Arial"/>
          <w:sz w:val="18"/>
          <w:szCs w:val="18"/>
          <w:u w:val="single" w:color="auto"/>
          <w:color w:val="auto"/>
        </w:rPr>
        <w:t>Refunding Capital Stock</w:t>
      </w:r>
      <w:r>
        <w:rPr>
          <w:rFonts w:ascii="Arial" w:cs="Arial" w:eastAsia="Arial" w:hAnsi="Arial"/>
          <w:sz w:val="18"/>
          <w:szCs w:val="18"/>
          <w:color w:val="auto"/>
        </w:rPr>
        <w:t>”) to the extent such proceeds are Not Otherwise Applied and (ii) declare and pay dividends on any Treasury Capital Stock out of the proceeds of the substantially concurrent sale (other than to the Borrower or a Restricted Subsidiary) of any Refunding Capital Stock;</w:t>
      </w:r>
    </w:p>
    <w:p>
      <w:pPr>
        <w:spacing w:after="0" w:line="194" w:lineRule="exact"/>
        <w:rPr>
          <w:rFonts w:ascii="Arial" w:cs="Arial" w:eastAsia="Arial" w:hAnsi="Arial"/>
          <w:sz w:val="18"/>
          <w:szCs w:val="18"/>
          <w:u w:val="single" w:color="auto"/>
          <w:color w:val="auto"/>
        </w:rPr>
      </w:pPr>
    </w:p>
    <w:p>
      <w:pPr>
        <w:jc w:val="both"/>
        <w:ind w:left="840" w:right="59" w:firstLine="751"/>
        <w:spacing w:after="0" w:line="249" w:lineRule="auto"/>
        <w:tabs>
          <w:tab w:leader="none" w:pos="2254" w:val="left"/>
        </w:tabs>
        <w:numPr>
          <w:ilvl w:val="2"/>
          <w:numId w:val="261"/>
        </w:numPr>
        <w:rPr>
          <w:rFonts w:ascii="Arial" w:cs="Arial" w:eastAsia="Arial" w:hAnsi="Arial"/>
          <w:sz w:val="19"/>
          <w:szCs w:val="19"/>
          <w:color w:val="auto"/>
        </w:rPr>
      </w:pPr>
      <w:r>
        <w:rPr>
          <w:rFonts w:ascii="Arial" w:cs="Arial" w:eastAsia="Arial" w:hAnsi="Arial"/>
          <w:sz w:val="19"/>
          <w:szCs w:val="19"/>
          <w:color w:val="auto"/>
        </w:rPr>
        <w:t xml:space="preserve">to the extent constituting a Restricted Payment, the Borrower may consummate any transaction permitted by </w:t>
      </w:r>
      <w:r>
        <w:rPr>
          <w:rFonts w:ascii="Arial" w:cs="Arial" w:eastAsia="Arial" w:hAnsi="Arial"/>
          <w:sz w:val="19"/>
          <w:szCs w:val="19"/>
          <w:u w:val="single" w:color="auto"/>
          <w:color w:val="auto"/>
        </w:rPr>
        <w:t>Section 5.16</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Sections 5.16(d)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(j)</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6.06</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Sections 6.06(j)</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(t)</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Section 6.07</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6.07(g)</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jc w:val="both"/>
        <w:ind w:left="840" w:right="59" w:firstLine="751"/>
        <w:spacing w:after="0" w:line="249" w:lineRule="auto"/>
        <w:tabs>
          <w:tab w:leader="none" w:pos="2254" w:val="left"/>
        </w:tabs>
        <w:numPr>
          <w:ilvl w:val="2"/>
          <w:numId w:val="261"/>
        </w:numPr>
        <w:rPr>
          <w:rFonts w:ascii="Arial" w:cs="Arial" w:eastAsia="Arial" w:hAnsi="Arial"/>
          <w:sz w:val="19"/>
          <w:szCs w:val="19"/>
          <w:color w:val="auto"/>
        </w:rPr>
      </w:pPr>
      <w:r>
        <w:rPr>
          <w:rFonts w:ascii="Arial" w:cs="Arial" w:eastAsia="Arial" w:hAnsi="Arial"/>
          <w:sz w:val="19"/>
          <w:szCs w:val="19"/>
          <w:color w:val="auto"/>
        </w:rPr>
        <w:t>so long as no Event of Default exists, the Borrower may make Restricted Payments in an aggregate amount not to exceed the greater of $30,000,000 and 35% of Consolidated Adjusted EBITDA as of the last day of the most recently ended Test Period;</w:t>
      </w:r>
    </w:p>
    <w:p>
      <w:pPr>
        <w:spacing w:after="0" w:line="183" w:lineRule="exact"/>
        <w:rPr>
          <w:rFonts w:ascii="Arial" w:cs="Arial" w:eastAsia="Arial" w:hAnsi="Arial"/>
          <w:sz w:val="19"/>
          <w:szCs w:val="19"/>
          <w:color w:val="auto"/>
        </w:rPr>
      </w:pPr>
    </w:p>
    <w:p>
      <w:pPr>
        <w:jc w:val="both"/>
        <w:ind w:left="840" w:right="39" w:firstLine="751"/>
        <w:spacing w:after="0" w:line="249" w:lineRule="auto"/>
        <w:tabs>
          <w:tab w:leader="none" w:pos="2254" w:val="left"/>
        </w:tabs>
        <w:numPr>
          <w:ilvl w:val="2"/>
          <w:numId w:val="261"/>
        </w:numPr>
        <w:rPr>
          <w:rFonts w:ascii="Arial" w:cs="Arial" w:eastAsia="Arial" w:hAnsi="Arial"/>
          <w:sz w:val="19"/>
          <w:szCs w:val="19"/>
          <w:color w:val="auto"/>
        </w:rPr>
      </w:pPr>
      <w:r>
        <w:rPr>
          <w:rFonts w:ascii="Arial" w:cs="Arial" w:eastAsia="Arial" w:hAnsi="Arial"/>
          <w:sz w:val="19"/>
          <w:szCs w:val="19"/>
          <w:color w:val="auto"/>
        </w:rPr>
        <w:t>so long as no Event of Default exists, the Borrower may make Restricted Payments so long as the Total Net Leverage Ratio, calculated on a Pro Forma Basis, would not exceed 2.25:1.00 as of the last day of the most recently ended Test Period;</w:t>
      </w:r>
    </w:p>
    <w:p>
      <w:pPr>
        <w:spacing w:after="0" w:line="183" w:lineRule="exact"/>
        <w:rPr>
          <w:rFonts w:ascii="Arial" w:cs="Arial" w:eastAsia="Arial" w:hAnsi="Arial"/>
          <w:sz w:val="19"/>
          <w:szCs w:val="19"/>
          <w:color w:val="auto"/>
        </w:rPr>
      </w:pPr>
    </w:p>
    <w:p>
      <w:pPr>
        <w:ind w:left="840" w:right="59" w:firstLine="751"/>
        <w:spacing w:after="0" w:line="276" w:lineRule="auto"/>
        <w:tabs>
          <w:tab w:leader="none" w:pos="2254" w:val="left"/>
        </w:tabs>
        <w:numPr>
          <w:ilvl w:val="2"/>
          <w:numId w:val="261"/>
        </w:numPr>
        <w:rPr>
          <w:rFonts w:ascii="Arial" w:cs="Arial" w:eastAsia="Arial" w:hAnsi="Arial"/>
          <w:sz w:val="19"/>
          <w:szCs w:val="19"/>
          <w:color w:val="auto"/>
        </w:rPr>
      </w:pPr>
      <w:r>
        <w:rPr>
          <w:rFonts w:ascii="Arial" w:cs="Arial" w:eastAsia="Arial" w:hAnsi="Arial"/>
          <w:sz w:val="19"/>
          <w:szCs w:val="19"/>
          <w:color w:val="auto"/>
        </w:rPr>
        <w:t>the Borrower may declare and make dividend payments or other Restricted Payments payable solely in the Capital Stock of the Borrower or of any Parent Company;</w:t>
      </w:r>
    </w:p>
    <w:p>
      <w:pPr>
        <w:spacing w:after="0" w:line="158" w:lineRule="exact"/>
        <w:rPr>
          <w:rFonts w:ascii="Arial" w:cs="Arial" w:eastAsia="Arial" w:hAnsi="Arial"/>
          <w:sz w:val="19"/>
          <w:szCs w:val="19"/>
          <w:color w:val="auto"/>
        </w:rPr>
      </w:pPr>
    </w:p>
    <w:p>
      <w:pPr>
        <w:jc w:val="both"/>
        <w:ind w:left="840" w:right="59" w:firstLine="751"/>
        <w:spacing w:after="0" w:line="292" w:lineRule="auto"/>
        <w:tabs>
          <w:tab w:leader="none" w:pos="2254" w:val="left"/>
        </w:tabs>
        <w:numPr>
          <w:ilvl w:val="2"/>
          <w:numId w:val="261"/>
        </w:numPr>
        <w:rPr>
          <w:rFonts w:ascii="Arial" w:cs="Arial" w:eastAsia="Arial" w:hAnsi="Arial"/>
          <w:sz w:val="17"/>
          <w:szCs w:val="17"/>
          <w:color w:val="auto"/>
        </w:rPr>
      </w:pPr>
      <w:r>
        <w:rPr>
          <w:rFonts w:ascii="Arial" w:cs="Arial" w:eastAsia="Arial" w:hAnsi="Arial"/>
          <w:sz w:val="17"/>
          <w:szCs w:val="17"/>
          <w:color w:val="auto"/>
        </w:rPr>
        <w:t xml:space="preserve">the Borrower may make Restricted Payments (other than in the form of Cash and Cash Equivalents) in connection with and/or relating to any internal reorganization or restructuring activities (including related to tax planning);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activities do not result in any Capital Stock of the Borrower becoming an Excluded Asset;</w:t>
      </w:r>
    </w:p>
    <w:p>
      <w:pPr>
        <w:spacing w:after="0" w:line="150" w:lineRule="exact"/>
        <w:rPr>
          <w:rFonts w:ascii="Arial" w:cs="Arial" w:eastAsia="Arial" w:hAnsi="Arial"/>
          <w:sz w:val="17"/>
          <w:szCs w:val="17"/>
          <w:color w:val="auto"/>
        </w:rPr>
      </w:pPr>
    </w:p>
    <w:p>
      <w:pPr>
        <w:ind w:left="840" w:right="59" w:firstLine="752"/>
        <w:spacing w:after="0" w:line="320" w:lineRule="auto"/>
        <w:tabs>
          <w:tab w:leader="none" w:pos="2254" w:val="left"/>
        </w:tabs>
        <w:numPr>
          <w:ilvl w:val="2"/>
          <w:numId w:val="261"/>
        </w:numPr>
        <w:rPr>
          <w:rFonts w:ascii="Arial" w:cs="Arial" w:eastAsia="Arial" w:hAnsi="Arial"/>
          <w:sz w:val="17"/>
          <w:szCs w:val="17"/>
          <w:color w:val="auto"/>
        </w:rPr>
      </w:pPr>
      <w:r>
        <w:rPr>
          <w:rFonts w:ascii="Arial" w:cs="Arial" w:eastAsia="Arial" w:hAnsi="Arial"/>
          <w:sz w:val="17"/>
          <w:szCs w:val="17"/>
          <w:color w:val="auto"/>
        </w:rPr>
        <w:t xml:space="preserve">the Borrower may make payments or distributions to satisfy dissenters’ or appraisal rights, pursuant to or in connection with a consolidation, amalgamation, merger or transfer of assets that complies with </w:t>
      </w:r>
      <w:r>
        <w:rPr>
          <w:rFonts w:ascii="Arial" w:cs="Arial" w:eastAsia="Arial" w:hAnsi="Arial"/>
          <w:sz w:val="17"/>
          <w:szCs w:val="17"/>
          <w:u w:val="single" w:color="auto"/>
          <w:color w:val="auto"/>
        </w:rPr>
        <w:t>Section 6.07</w:t>
      </w:r>
      <w:r>
        <w:rPr>
          <w:rFonts w:ascii="Arial" w:cs="Arial" w:eastAsia="Arial" w:hAnsi="Arial"/>
          <w:sz w:val="17"/>
          <w:szCs w:val="17"/>
          <w:color w:val="auto"/>
        </w:rPr>
        <w:t>;</w:t>
      </w:r>
    </w:p>
    <w:p>
      <w:pPr>
        <w:spacing w:after="0" w:line="126" w:lineRule="exact"/>
        <w:rPr>
          <w:rFonts w:ascii="Arial" w:cs="Arial" w:eastAsia="Arial" w:hAnsi="Arial"/>
          <w:sz w:val="17"/>
          <w:szCs w:val="17"/>
          <w:color w:val="auto"/>
        </w:rPr>
      </w:pPr>
    </w:p>
    <w:p>
      <w:pPr>
        <w:ind w:left="2340" w:hanging="748"/>
        <w:spacing w:after="0"/>
        <w:tabs>
          <w:tab w:leader="none" w:pos="2340" w:val="left"/>
        </w:tabs>
        <w:numPr>
          <w:ilvl w:val="2"/>
          <w:numId w:val="261"/>
        </w:numPr>
        <w:rPr>
          <w:rFonts w:ascii="Arial" w:cs="Arial" w:eastAsia="Arial" w:hAnsi="Arial"/>
          <w:sz w:val="19"/>
          <w:szCs w:val="19"/>
          <w:color w:val="auto"/>
        </w:rPr>
      </w:pPr>
      <w:r>
        <w:rPr>
          <w:rFonts w:ascii="Arial" w:cs="Arial" w:eastAsia="Arial" w:hAnsi="Arial"/>
          <w:sz w:val="19"/>
          <w:szCs w:val="19"/>
          <w:color w:val="auto"/>
        </w:rPr>
        <w:t>[reserved];</w:t>
      </w:r>
    </w:p>
    <w:p>
      <w:pPr>
        <w:spacing w:after="0" w:line="213" w:lineRule="exact"/>
        <w:rPr>
          <w:rFonts w:ascii="Arial" w:cs="Arial" w:eastAsia="Arial" w:hAnsi="Arial"/>
          <w:sz w:val="19"/>
          <w:szCs w:val="19"/>
          <w:color w:val="auto"/>
        </w:rPr>
      </w:pPr>
    </w:p>
    <w:p>
      <w:pPr>
        <w:ind w:left="2340" w:hanging="748"/>
        <w:spacing w:after="0"/>
        <w:tabs>
          <w:tab w:leader="none" w:pos="2340" w:val="left"/>
        </w:tabs>
        <w:numPr>
          <w:ilvl w:val="2"/>
          <w:numId w:val="261"/>
        </w:numPr>
        <w:rPr>
          <w:rFonts w:ascii="Arial" w:cs="Arial" w:eastAsia="Arial" w:hAnsi="Arial"/>
          <w:sz w:val="19"/>
          <w:szCs w:val="19"/>
          <w:color w:val="auto"/>
        </w:rPr>
      </w:pPr>
      <w:r>
        <w:rPr>
          <w:rFonts w:ascii="Arial" w:cs="Arial" w:eastAsia="Arial" w:hAnsi="Arial"/>
          <w:sz w:val="19"/>
          <w:szCs w:val="19"/>
          <w:color w:val="auto"/>
        </w:rPr>
        <w:t>[reserved]; and/or</w:t>
      </w:r>
    </w:p>
    <w:p>
      <w:pPr>
        <w:spacing w:after="0" w:line="213" w:lineRule="exact"/>
        <w:rPr>
          <w:rFonts w:ascii="Arial" w:cs="Arial" w:eastAsia="Arial" w:hAnsi="Arial"/>
          <w:sz w:val="19"/>
          <w:szCs w:val="19"/>
          <w:color w:val="auto"/>
        </w:rPr>
      </w:pPr>
    </w:p>
    <w:p>
      <w:pPr>
        <w:jc w:val="both"/>
        <w:ind w:left="840" w:right="59" w:firstLine="751"/>
        <w:spacing w:after="0" w:line="243" w:lineRule="auto"/>
        <w:tabs>
          <w:tab w:leader="none" w:pos="2254" w:val="left"/>
        </w:tabs>
        <w:numPr>
          <w:ilvl w:val="2"/>
          <w:numId w:val="261"/>
        </w:numPr>
        <w:rPr>
          <w:rFonts w:ascii="Arial" w:cs="Arial" w:eastAsia="Arial" w:hAnsi="Arial"/>
          <w:sz w:val="19"/>
          <w:szCs w:val="19"/>
          <w:color w:val="auto"/>
        </w:rPr>
      </w:pPr>
      <w:r>
        <w:rPr>
          <w:rFonts w:ascii="Arial" w:cs="Arial" w:eastAsia="Arial" w:hAnsi="Arial"/>
          <w:sz w:val="19"/>
          <w:szCs w:val="19"/>
          <w:color w:val="auto"/>
        </w:rPr>
        <w:t>any payment in connection with (or to allow the Parent to make any payment in connection with) (A) any Permitted Bond Hedge Transaction and/or (B) the settlement of any Permitted Warrant Transaction by (1) delivery of shares of the Parent’s common equity upon settlement thereof or (2) by (x) set-off against the related Permitted Bond Hedge Transaction or (y) payment of an early termination amount in common equity upon any early termination thereof, in each case, shall be permitted.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149</w:t>
      </w:r>
      <w:r>
        <w:rPr>
          <w:rFonts w:ascii="Arial" w:cs="Arial" w:eastAsia="Arial" w:hAnsi="Arial"/>
          <w:sz w:val="18"/>
          <w:szCs w:val="18"/>
          <w:u w:val="single" w:color="auto"/>
          <w:color w:val="0000FF"/>
          <w:strike w:val="1"/>
        </w:rPr>
        <w:t>149</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17" w:name="page218"/>
    <w:bookmarkEnd w:id="217"/>
    <w:p>
      <w:pPr>
        <w:ind w:left="100" w:right="59" w:firstLine="749"/>
        <w:spacing w:after="0" w:line="261" w:lineRule="auto"/>
        <w:rPr>
          <w:sz w:val="20"/>
          <w:szCs w:val="20"/>
          <w:color w:val="auto"/>
        </w:rPr>
      </w:pPr>
      <w:r>
        <w:rPr>
          <w:rFonts w:ascii="Arial" w:cs="Arial" w:eastAsia="Arial" w:hAnsi="Arial"/>
          <w:sz w:val="19"/>
          <w:szCs w:val="19"/>
          <w:color w:val="auto"/>
        </w:rPr>
        <w:t xml:space="preserve">It is understood and agreed that, for purposes of this </w:t>
      </w:r>
      <w:r>
        <w:rPr>
          <w:rFonts w:ascii="Arial" w:cs="Arial" w:eastAsia="Arial" w:hAnsi="Arial"/>
          <w:sz w:val="19"/>
          <w:szCs w:val="19"/>
          <w:u w:val="single" w:color="auto"/>
          <w:color w:val="auto"/>
        </w:rPr>
        <w:t>Section 6.04(a)</w:t>
      </w:r>
      <w:r>
        <w:rPr>
          <w:rFonts w:ascii="Arial" w:cs="Arial" w:eastAsia="Arial" w:hAnsi="Arial"/>
          <w:sz w:val="19"/>
          <w:szCs w:val="19"/>
          <w:color w:val="auto"/>
        </w:rPr>
        <w:t>, any determination of the value of any asset other than Cash shall be made by the Borrower in good faith.</w:t>
      </w:r>
    </w:p>
    <w:p>
      <w:pPr>
        <w:spacing w:after="0" w:line="159" w:lineRule="exact"/>
        <w:rPr>
          <w:sz w:val="20"/>
          <w:szCs w:val="20"/>
          <w:color w:val="auto"/>
        </w:rPr>
      </w:pPr>
    </w:p>
    <w:p>
      <w:pPr>
        <w:jc w:val="both"/>
        <w:ind w:left="100" w:right="59" w:firstLine="742"/>
        <w:spacing w:after="0" w:line="283" w:lineRule="auto"/>
        <w:tabs>
          <w:tab w:leader="none" w:pos="152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The Borrower shall not, nor shall it permit any Restricted Subsidiary to make any voluntary prepayment in respect of principal outstanding of Restricted Debt, including any sinking fund or similar deposit, on account of the voluntary prepayment, repurchase, purchase, redemption, retirement, acquisition, cancellation or termination of any Restricted Debt, in each case, more than one year prior to the scheduled maturity date thereof (collectively, “</w:t>
      </w:r>
      <w:r>
        <w:rPr>
          <w:rFonts w:ascii="Arial" w:cs="Arial" w:eastAsia="Arial" w:hAnsi="Arial"/>
          <w:sz w:val="17"/>
          <w:szCs w:val="17"/>
          <w:u w:val="single" w:color="auto"/>
          <w:color w:val="auto"/>
        </w:rPr>
        <w:t>Restricted Debt Payments</w:t>
      </w:r>
      <w:r>
        <w:rPr>
          <w:rFonts w:ascii="Arial" w:cs="Arial" w:eastAsia="Arial" w:hAnsi="Arial"/>
          <w:sz w:val="17"/>
          <w:szCs w:val="17"/>
          <w:color w:val="auto"/>
        </w:rPr>
        <w:t>”), except:</w:t>
      </w:r>
    </w:p>
    <w:p>
      <w:pPr>
        <w:spacing w:after="0" w:line="158" w:lineRule="exact"/>
        <w:rPr>
          <w:rFonts w:ascii="Arial" w:cs="Arial" w:eastAsia="Arial" w:hAnsi="Arial"/>
          <w:sz w:val="17"/>
          <w:szCs w:val="17"/>
          <w:color w:val="auto"/>
        </w:rPr>
      </w:pPr>
    </w:p>
    <w:p>
      <w:pPr>
        <w:jc w:val="both"/>
        <w:ind w:left="840" w:right="59" w:firstLine="751"/>
        <w:spacing w:after="0" w:line="249" w:lineRule="auto"/>
        <w:tabs>
          <w:tab w:leader="none" w:pos="2254" w:val="left"/>
        </w:tabs>
        <w:numPr>
          <w:ilvl w:val="2"/>
          <w:numId w:val="262"/>
        </w:numPr>
        <w:rPr>
          <w:rFonts w:ascii="Arial" w:cs="Arial" w:eastAsia="Arial" w:hAnsi="Arial"/>
          <w:sz w:val="19"/>
          <w:szCs w:val="19"/>
          <w:color w:val="auto"/>
        </w:rPr>
      </w:pPr>
      <w:r>
        <w:rPr>
          <w:rFonts w:ascii="Arial" w:cs="Arial" w:eastAsia="Arial" w:hAnsi="Arial"/>
          <w:sz w:val="19"/>
          <w:szCs w:val="19"/>
          <w:color w:val="auto"/>
        </w:rPr>
        <w:t xml:space="preserve">with respect to any purchase, defeasance, redemption, refinancing repurchase, repayment or other acquisition or retirement thereof made by exchange for, or out of the proceeds of, Indebtedness permitted by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that constitutes Restricted Debt;</w:t>
      </w:r>
    </w:p>
    <w:p>
      <w:pPr>
        <w:spacing w:after="0" w:line="197" w:lineRule="exact"/>
        <w:rPr>
          <w:rFonts w:ascii="Arial" w:cs="Arial" w:eastAsia="Arial" w:hAnsi="Arial"/>
          <w:sz w:val="19"/>
          <w:szCs w:val="19"/>
          <w:color w:val="auto"/>
        </w:rPr>
      </w:pPr>
    </w:p>
    <w:p>
      <w:pPr>
        <w:ind w:left="2340" w:hanging="748"/>
        <w:spacing w:after="0"/>
        <w:tabs>
          <w:tab w:leader="none" w:pos="2340" w:val="left"/>
        </w:tabs>
        <w:numPr>
          <w:ilvl w:val="2"/>
          <w:numId w:val="262"/>
        </w:numPr>
        <w:rPr>
          <w:rFonts w:ascii="Arial" w:cs="Arial" w:eastAsia="Arial" w:hAnsi="Arial"/>
          <w:sz w:val="19"/>
          <w:szCs w:val="19"/>
          <w:color w:val="auto"/>
        </w:rPr>
      </w:pPr>
      <w:r>
        <w:rPr>
          <w:rFonts w:ascii="Arial" w:cs="Arial" w:eastAsia="Arial" w:hAnsi="Arial"/>
          <w:sz w:val="19"/>
          <w:szCs w:val="19"/>
          <w:color w:val="auto"/>
        </w:rPr>
        <w:t>as part of an applicable high yield discount obligation catch-up payment;</w:t>
      </w:r>
    </w:p>
    <w:p>
      <w:pPr>
        <w:spacing w:after="0" w:line="213" w:lineRule="exact"/>
        <w:rPr>
          <w:rFonts w:ascii="Arial" w:cs="Arial" w:eastAsia="Arial" w:hAnsi="Arial"/>
          <w:sz w:val="19"/>
          <w:szCs w:val="19"/>
          <w:color w:val="auto"/>
        </w:rPr>
      </w:pPr>
    </w:p>
    <w:p>
      <w:pPr>
        <w:jc w:val="both"/>
        <w:ind w:left="840" w:right="59" w:firstLine="752"/>
        <w:spacing w:after="0" w:line="249" w:lineRule="auto"/>
        <w:tabs>
          <w:tab w:leader="none" w:pos="2254" w:val="left"/>
        </w:tabs>
        <w:numPr>
          <w:ilvl w:val="2"/>
          <w:numId w:val="262"/>
        </w:numPr>
        <w:rPr>
          <w:rFonts w:ascii="Arial" w:cs="Arial" w:eastAsia="Arial" w:hAnsi="Arial"/>
          <w:sz w:val="19"/>
          <w:szCs w:val="19"/>
          <w:color w:val="auto"/>
        </w:rPr>
      </w:pPr>
      <w:r>
        <w:rPr>
          <w:rFonts w:ascii="Arial" w:cs="Arial" w:eastAsia="Arial" w:hAnsi="Arial"/>
          <w:sz w:val="19"/>
          <w:szCs w:val="19"/>
          <w:color w:val="auto"/>
        </w:rPr>
        <w:t>payments of regularly scheduled principal or regularly scheduled interest (including any penalty interest, if applicable) and payments of fees, expenses and indemnification obligations as and when due (other than payments that are prohibited by the subordination provisions thereof);</w:t>
      </w:r>
    </w:p>
    <w:p>
      <w:pPr>
        <w:spacing w:after="0" w:line="183" w:lineRule="exact"/>
        <w:rPr>
          <w:rFonts w:ascii="Arial" w:cs="Arial" w:eastAsia="Arial" w:hAnsi="Arial"/>
          <w:sz w:val="19"/>
          <w:szCs w:val="19"/>
          <w:color w:val="auto"/>
        </w:rPr>
      </w:pPr>
    </w:p>
    <w:p>
      <w:pPr>
        <w:ind w:left="2260" w:hanging="669"/>
        <w:spacing w:after="0"/>
        <w:tabs>
          <w:tab w:leader="none" w:pos="2260" w:val="left"/>
        </w:tabs>
        <w:numPr>
          <w:ilvl w:val="2"/>
          <w:numId w:val="262"/>
        </w:numPr>
        <w:rPr>
          <w:rFonts w:ascii="Arial" w:cs="Arial" w:eastAsia="Arial" w:hAnsi="Arial"/>
          <w:sz w:val="17"/>
          <w:szCs w:val="17"/>
          <w:color w:val="auto"/>
        </w:rPr>
      </w:pPr>
      <w:r>
        <w:rPr>
          <w:rFonts w:ascii="Arial" w:cs="Arial" w:eastAsia="Arial" w:hAnsi="Arial"/>
          <w:sz w:val="17"/>
          <w:szCs w:val="17"/>
          <w:color w:val="auto"/>
        </w:rPr>
        <w:t>so long as no Event of Default exists, Restricted Debt Payments in an aggregate amount not to exceed</w:t>
      </w:r>
    </w:p>
    <w:p>
      <w:pPr>
        <w:spacing w:after="0" w:line="36" w:lineRule="exact"/>
        <w:rPr>
          <w:rFonts w:ascii="Arial" w:cs="Arial" w:eastAsia="Arial" w:hAnsi="Arial"/>
          <w:sz w:val="17"/>
          <w:szCs w:val="17"/>
          <w:color w:val="auto"/>
        </w:rPr>
      </w:pPr>
    </w:p>
    <w:p>
      <w:pPr>
        <w:jc w:val="both"/>
        <w:ind w:left="840" w:right="59" w:firstLine="3"/>
        <w:spacing w:after="0" w:line="277" w:lineRule="auto"/>
        <w:tabs>
          <w:tab w:leader="none" w:pos="1155" w:val="left"/>
        </w:tabs>
        <w:numPr>
          <w:ilvl w:val="1"/>
          <w:numId w:val="262"/>
        </w:numPr>
        <w:rPr>
          <w:rFonts w:ascii="Arial" w:cs="Arial" w:eastAsia="Arial" w:hAnsi="Arial"/>
          <w:sz w:val="17"/>
          <w:szCs w:val="17"/>
          <w:color w:val="auto"/>
        </w:rPr>
      </w:pPr>
      <w:r>
        <w:rPr>
          <w:rFonts w:ascii="Arial" w:cs="Arial" w:eastAsia="Arial" w:hAnsi="Arial"/>
          <w:sz w:val="17"/>
          <w:szCs w:val="17"/>
          <w:color w:val="auto"/>
        </w:rPr>
        <w:t xml:space="preserve">the greater of $30,000,000 and 35% of Consolidated Adjusted EBITDA as of the last day of the most recently ended Test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at the election of the Borrower, the amount of Restricted Payments then permitted to be made by the Borrower in reliance on </w:t>
      </w:r>
      <w:r>
        <w:rPr>
          <w:rFonts w:ascii="Arial" w:cs="Arial" w:eastAsia="Arial" w:hAnsi="Arial"/>
          <w:sz w:val="17"/>
          <w:szCs w:val="17"/>
          <w:u w:val="single" w:color="auto"/>
          <w:color w:val="auto"/>
        </w:rPr>
        <w:t>Section 6.04(a)(x)</w:t>
      </w:r>
      <w:r>
        <w:rPr>
          <w:rFonts w:ascii="Arial" w:cs="Arial" w:eastAsia="Arial" w:hAnsi="Arial"/>
          <w:sz w:val="17"/>
          <w:szCs w:val="17"/>
          <w:color w:val="auto"/>
        </w:rPr>
        <w:t xml:space="preserve"> (it being understood that any amount utilized under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to make a Restricted Debt Payment shall result in a reduction in the amount available under </w:t>
      </w:r>
      <w:r>
        <w:rPr>
          <w:rFonts w:ascii="Arial" w:cs="Arial" w:eastAsia="Arial" w:hAnsi="Arial"/>
          <w:sz w:val="17"/>
          <w:szCs w:val="17"/>
          <w:u w:val="single" w:color="auto"/>
          <w:color w:val="auto"/>
        </w:rPr>
        <w:t>Section 6.04(a)(x)</w:t>
      </w:r>
      <w:r>
        <w:rPr>
          <w:rFonts w:ascii="Arial" w:cs="Arial" w:eastAsia="Arial" w:hAnsi="Arial"/>
          <w:sz w:val="17"/>
          <w:szCs w:val="17"/>
          <w:color w:val="auto"/>
        </w:rPr>
        <w:t>);</w:t>
      </w:r>
    </w:p>
    <w:p>
      <w:pPr>
        <w:spacing w:after="0" w:line="161" w:lineRule="exact"/>
        <w:rPr>
          <w:rFonts w:ascii="Arial" w:cs="Arial" w:eastAsia="Arial" w:hAnsi="Arial"/>
          <w:sz w:val="17"/>
          <w:szCs w:val="17"/>
          <w:color w:val="auto"/>
        </w:rPr>
      </w:pPr>
    </w:p>
    <w:p>
      <w:pPr>
        <w:jc w:val="both"/>
        <w:ind w:left="840" w:right="19" w:firstLine="752"/>
        <w:spacing w:after="0" w:line="261" w:lineRule="auto"/>
        <w:tabs>
          <w:tab w:leader="none" w:pos="2257" w:val="left"/>
        </w:tabs>
        <w:numPr>
          <w:ilvl w:val="2"/>
          <w:numId w:val="263"/>
        </w:numPr>
        <w:rPr>
          <w:rFonts w:ascii="Arial" w:cs="Arial" w:eastAsia="Arial" w:hAnsi="Arial"/>
          <w:sz w:val="18"/>
          <w:szCs w:val="18"/>
          <w:color w:val="auto"/>
        </w:rPr>
      </w:pPr>
      <w:r>
        <w:rPr>
          <w:rFonts w:ascii="Arial" w:cs="Arial" w:eastAsia="Arial" w:hAnsi="Arial"/>
          <w:sz w:val="18"/>
          <w:szCs w:val="18"/>
          <w:color w:val="auto"/>
        </w:rPr>
        <w:t xml:space="preserve">(A) Restricted Debt Payments in exchange for, or with proceeds of any issuance of, Capital Stock of any Parent Company or Qualified Capital Stock of the Borrower and/or any capital contribution in respect of Qualified Capital Stock of the Borrower, in each case, that are Not Otherwise Applied, (B) Restricted Debt Payments as a result of the conversion of all or any portion of any Restricted Debt into Qualified Capital Stock of the Borrower or the Capital Stock of any Parent Company and (C) to the extent constituting a Restricted Debt Payment, payment-in-kind interest with respect to any Restricted Debt that is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74" w:lineRule="exact"/>
        <w:rPr>
          <w:rFonts w:ascii="Arial" w:cs="Arial" w:eastAsia="Arial" w:hAnsi="Arial"/>
          <w:sz w:val="18"/>
          <w:szCs w:val="18"/>
          <w:color w:val="auto"/>
        </w:rPr>
      </w:pPr>
    </w:p>
    <w:p>
      <w:pPr>
        <w:jc w:val="both"/>
        <w:ind w:left="840" w:right="59" w:firstLine="751"/>
        <w:spacing w:after="0" w:line="269" w:lineRule="auto"/>
        <w:tabs>
          <w:tab w:leader="none" w:pos="2254" w:val="left"/>
        </w:tabs>
        <w:numPr>
          <w:ilvl w:val="2"/>
          <w:numId w:val="263"/>
        </w:numPr>
        <w:rPr>
          <w:rFonts w:ascii="Arial" w:cs="Arial" w:eastAsia="Arial" w:hAnsi="Arial"/>
          <w:sz w:val="18"/>
          <w:szCs w:val="18"/>
          <w:color w:val="auto"/>
        </w:rPr>
      </w:pPr>
      <w:r>
        <w:rPr>
          <w:rFonts w:ascii="Arial" w:cs="Arial" w:eastAsia="Arial" w:hAnsi="Arial"/>
          <w:sz w:val="18"/>
          <w:szCs w:val="18"/>
          <w:color w:val="auto"/>
        </w:rPr>
        <w:t xml:space="preserve">Restricted Debt Payments in an aggregate amount not to exceed (A) the portion, if any, of the Available Amount on such date that the Borrower elects to apply to this </w:t>
      </w:r>
      <w:r>
        <w:rPr>
          <w:rFonts w:ascii="Arial" w:cs="Arial" w:eastAsia="Arial" w:hAnsi="Arial"/>
          <w:sz w:val="18"/>
          <w:szCs w:val="18"/>
          <w:u w:val="single" w:color="auto"/>
          <w:color w:val="auto"/>
        </w:rPr>
        <w:t>clause (vi)(A)</w:t>
      </w:r>
      <w:r>
        <w:rPr>
          <w:rFonts w:ascii="Arial" w:cs="Arial" w:eastAsia="Arial" w:hAnsi="Arial"/>
          <w:sz w:val="18"/>
          <w:szCs w:val="18"/>
          <w:color w:val="auto"/>
        </w:rPr>
        <w:t xml:space="preserve"> and/or (B) the portion, if any, of the Available Excluded Contribution Amount on such date that the Borrower elects to apply to this </w:t>
      </w:r>
      <w:r>
        <w:rPr>
          <w:rFonts w:ascii="Arial" w:cs="Arial" w:eastAsia="Arial" w:hAnsi="Arial"/>
          <w:sz w:val="18"/>
          <w:szCs w:val="18"/>
          <w:u w:val="single" w:color="auto"/>
          <w:color w:val="auto"/>
        </w:rPr>
        <w:t>clause (vi)(B)</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jc w:val="both"/>
        <w:ind w:left="840" w:right="59" w:firstLine="751"/>
        <w:spacing w:after="0" w:line="249" w:lineRule="auto"/>
        <w:tabs>
          <w:tab w:leader="none" w:pos="2254" w:val="left"/>
        </w:tabs>
        <w:numPr>
          <w:ilvl w:val="2"/>
          <w:numId w:val="263"/>
        </w:numPr>
        <w:rPr>
          <w:rFonts w:ascii="Arial" w:cs="Arial" w:eastAsia="Arial" w:hAnsi="Arial"/>
          <w:sz w:val="19"/>
          <w:szCs w:val="19"/>
          <w:color w:val="auto"/>
        </w:rPr>
      </w:pPr>
      <w:r>
        <w:rPr>
          <w:rFonts w:ascii="Arial" w:cs="Arial" w:eastAsia="Arial" w:hAnsi="Arial"/>
          <w:sz w:val="19"/>
          <w:szCs w:val="19"/>
          <w:color w:val="auto"/>
        </w:rPr>
        <w:t xml:space="preserve">so long as no Event of Default exists, Restricted Debt Payments in an unlimited amount; </w:t>
      </w:r>
      <w:r>
        <w:rPr>
          <w:rFonts w:ascii="Arial" w:cs="Arial" w:eastAsia="Arial" w:hAnsi="Arial"/>
          <w:sz w:val="19"/>
          <w:szCs w:val="19"/>
          <w:u w:val="single" w:color="auto"/>
          <w:color w:val="auto"/>
        </w:rPr>
        <w:t>provided</w:t>
      </w:r>
      <w:r>
        <w:rPr>
          <w:rFonts w:ascii="Arial" w:cs="Arial" w:eastAsia="Arial" w:hAnsi="Arial"/>
          <w:sz w:val="19"/>
          <w:szCs w:val="19"/>
          <w:color w:val="auto"/>
        </w:rPr>
        <w:t>, that after giving effect thereto the Total Net Leverage Ratio, calculated on a Pro Forma Basis, would not exceed 2.50:1.00 as of the last day of the most recently ended Test Period; and/or</w:t>
      </w:r>
    </w:p>
    <w:p>
      <w:pPr>
        <w:spacing w:after="0" w:line="183" w:lineRule="exact"/>
        <w:rPr>
          <w:rFonts w:ascii="Arial" w:cs="Arial" w:eastAsia="Arial" w:hAnsi="Arial"/>
          <w:sz w:val="19"/>
          <w:szCs w:val="19"/>
          <w:color w:val="auto"/>
        </w:rPr>
      </w:pPr>
    </w:p>
    <w:p>
      <w:pPr>
        <w:jc w:val="both"/>
        <w:ind w:left="840" w:right="59" w:firstLine="751"/>
        <w:spacing w:after="0" w:line="250" w:lineRule="auto"/>
        <w:tabs>
          <w:tab w:leader="none" w:pos="2254" w:val="left"/>
        </w:tabs>
        <w:numPr>
          <w:ilvl w:val="2"/>
          <w:numId w:val="263"/>
        </w:numPr>
        <w:rPr>
          <w:rFonts w:ascii="Arial" w:cs="Arial" w:eastAsia="Arial" w:hAnsi="Arial"/>
          <w:sz w:val="19"/>
          <w:szCs w:val="19"/>
          <w:color w:val="auto"/>
        </w:rPr>
      </w:pPr>
      <w:r>
        <w:rPr>
          <w:rFonts w:ascii="Arial" w:cs="Arial" w:eastAsia="Arial" w:hAnsi="Arial"/>
          <w:sz w:val="19"/>
          <w:szCs w:val="19"/>
          <w:color w:val="auto"/>
        </w:rPr>
        <w:t xml:space="preserve">mandatory prepayments of Restricted Debt (and related payments of interest) made with Declined Proceeds (it being understood that any Declined Proceeds applied to make Restricted Debt Payments in reliance on this </w:t>
      </w:r>
      <w:r>
        <w:rPr>
          <w:rFonts w:ascii="Arial" w:cs="Arial" w:eastAsia="Arial" w:hAnsi="Arial"/>
          <w:sz w:val="19"/>
          <w:szCs w:val="19"/>
          <w:u w:val="single" w:color="auto"/>
          <w:color w:val="auto"/>
        </w:rPr>
        <w:t>Section 6.04(b)(viii)</w:t>
      </w:r>
      <w:r>
        <w:rPr>
          <w:rFonts w:ascii="Arial" w:cs="Arial" w:eastAsia="Arial" w:hAnsi="Arial"/>
          <w:sz w:val="19"/>
          <w:szCs w:val="19"/>
          <w:color w:val="auto"/>
        </w:rPr>
        <w:t xml:space="preserve"> shall not increase the amount available under </w:t>
      </w:r>
      <w:r>
        <w:rPr>
          <w:rFonts w:ascii="Arial" w:cs="Arial" w:eastAsia="Arial" w:hAnsi="Arial"/>
          <w:sz w:val="19"/>
          <w:szCs w:val="19"/>
          <w:u w:val="single" w:color="auto"/>
          <w:color w:val="auto"/>
        </w:rPr>
        <w:t>clause (a)(ix)</w:t>
      </w:r>
      <w:r>
        <w:rPr>
          <w:rFonts w:ascii="Arial" w:cs="Arial" w:eastAsia="Arial" w:hAnsi="Arial"/>
          <w:sz w:val="19"/>
          <w:szCs w:val="19"/>
          <w:color w:val="auto"/>
        </w:rPr>
        <w:t xml:space="preserve"> of the definition of “Available Amount” to the extent so applied).</w:t>
      </w:r>
    </w:p>
    <w:p>
      <w:pPr>
        <w:spacing w:after="0" w:line="183" w:lineRule="exact"/>
        <w:rPr>
          <w:sz w:val="20"/>
          <w:szCs w:val="20"/>
          <w:color w:val="auto"/>
        </w:rPr>
      </w:pPr>
    </w:p>
    <w:p>
      <w:pPr>
        <w:jc w:val="both"/>
        <w:ind w:left="100" w:right="39" w:firstLine="749"/>
        <w:spacing w:after="0" w:line="236" w:lineRule="auto"/>
        <w:rPr>
          <w:sz w:val="20"/>
          <w:szCs w:val="20"/>
          <w:color w:val="auto"/>
        </w:rPr>
      </w:pPr>
      <w:r>
        <w:rPr>
          <w:rFonts w:ascii="Arial" w:cs="Arial" w:eastAsia="Arial" w:hAnsi="Arial"/>
          <w:sz w:val="19"/>
          <w:szCs w:val="19"/>
          <w:color w:val="auto"/>
        </w:rPr>
        <w:t xml:space="preserve">Section 6.05. </w:t>
      </w:r>
      <w:r>
        <w:rPr>
          <w:rFonts w:ascii="Arial" w:cs="Arial" w:eastAsia="Arial" w:hAnsi="Arial"/>
          <w:sz w:val="19"/>
          <w:szCs w:val="19"/>
          <w:u w:val="single" w:color="auto"/>
          <w:color w:val="auto"/>
        </w:rPr>
        <w:t>Burdensome Agreements</w:t>
      </w:r>
      <w:r>
        <w:rPr>
          <w:rFonts w:ascii="Arial" w:cs="Arial" w:eastAsia="Arial" w:hAnsi="Arial"/>
          <w:sz w:val="19"/>
          <w:szCs w:val="19"/>
          <w:color w:val="auto"/>
        </w:rPr>
        <w:t xml:space="preserve">. Except as provided herein or in any other Loan Document, any document with respect to any Incremental Equivalent Debt and/or in any agreement with respect to any refinancing, renewal or replacement of any such Indebtedness that is permitted by </w:t>
      </w:r>
      <w:r>
        <w:rPr>
          <w:rFonts w:ascii="Arial" w:cs="Arial" w:eastAsia="Arial" w:hAnsi="Arial"/>
          <w:sz w:val="19"/>
          <w:szCs w:val="19"/>
          <w:u w:val="single" w:color="auto"/>
          <w:color w:val="auto"/>
        </w:rPr>
        <w:t>Section 6.01</w:t>
      </w:r>
      <w:r>
        <w:rPr>
          <w:rFonts w:ascii="Arial" w:cs="Arial" w:eastAsia="Arial" w:hAnsi="Arial"/>
          <w:sz w:val="19"/>
          <w:szCs w:val="19"/>
          <w:color w:val="auto"/>
        </w:rPr>
        <w:t>, the Borrower shall not, nor shall it permit any of its Restricted Subsidiaries to, enter into or cause to exist any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150</w:t>
      </w:r>
      <w:r>
        <w:rPr>
          <w:rFonts w:ascii="Arial" w:cs="Arial" w:eastAsia="Arial" w:hAnsi="Arial"/>
          <w:sz w:val="18"/>
          <w:szCs w:val="18"/>
          <w:u w:val="single" w:color="auto"/>
          <w:color w:val="0000FF"/>
          <w:strike w:val="1"/>
        </w:rPr>
        <w:t>150</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18" w:name="page219"/>
    <w:bookmarkEnd w:id="218"/>
    <w:p>
      <w:pPr>
        <w:jc w:val="both"/>
        <w:ind w:left="100" w:right="59"/>
        <w:spacing w:after="0" w:line="241" w:lineRule="auto"/>
        <w:rPr>
          <w:sz w:val="20"/>
          <w:szCs w:val="20"/>
          <w:color w:val="auto"/>
        </w:rPr>
      </w:pPr>
      <w:r>
        <w:rPr>
          <w:rFonts w:ascii="Arial" w:cs="Arial" w:eastAsia="Arial" w:hAnsi="Arial"/>
          <w:sz w:val="19"/>
          <w:szCs w:val="19"/>
          <w:color w:val="auto"/>
        </w:rPr>
        <w:t>agreement (any such agreement, a “</w:t>
      </w:r>
      <w:r>
        <w:rPr>
          <w:rFonts w:ascii="Arial" w:cs="Arial" w:eastAsia="Arial" w:hAnsi="Arial"/>
          <w:sz w:val="19"/>
          <w:szCs w:val="19"/>
          <w:u w:val="single" w:color="auto"/>
          <w:color w:val="auto"/>
        </w:rPr>
        <w:t>Burdensome Agreement</w:t>
      </w:r>
      <w:r>
        <w:rPr>
          <w:rFonts w:ascii="Arial" w:cs="Arial" w:eastAsia="Arial" w:hAnsi="Arial"/>
          <w:sz w:val="19"/>
          <w:szCs w:val="19"/>
          <w:color w:val="auto"/>
        </w:rPr>
        <w:t>”) restricting the ability of any Loan Party to create, permit or grant a Lien on any of its properties or assets to secure the Secured Obligations (after giving effect to the applicable anti-assignment provisions of the UCC and/or any other applicable Requirement of Law), except restrictions:</w:t>
      </w:r>
    </w:p>
    <w:p>
      <w:pPr>
        <w:spacing w:after="0" w:line="179" w:lineRule="exact"/>
        <w:rPr>
          <w:sz w:val="20"/>
          <w:szCs w:val="20"/>
          <w:color w:val="auto"/>
        </w:rPr>
      </w:pPr>
    </w:p>
    <w:p>
      <w:pPr>
        <w:jc w:val="both"/>
        <w:ind w:left="100" w:right="39" w:firstLine="742"/>
        <w:spacing w:after="0" w:line="274" w:lineRule="auto"/>
        <w:tabs>
          <w:tab w:leader="none" w:pos="1521" w:val="left"/>
        </w:tabs>
        <w:numPr>
          <w:ilvl w:val="0"/>
          <w:numId w:val="264"/>
        </w:numPr>
        <w:rPr>
          <w:rFonts w:ascii="Arial" w:cs="Arial" w:eastAsia="Arial" w:hAnsi="Arial"/>
          <w:sz w:val="17"/>
          <w:szCs w:val="17"/>
          <w:color w:val="auto"/>
        </w:rPr>
      </w:pPr>
      <w:r>
        <w:rPr>
          <w:rFonts w:ascii="Arial" w:cs="Arial" w:eastAsia="Arial" w:hAnsi="Arial"/>
          <w:sz w:val="17"/>
          <w:szCs w:val="17"/>
          <w:color w:val="auto"/>
        </w:rPr>
        <w:t xml:space="preserve">set forth in any agreement governing (i) Indebtedness of a Restricted Subsidiary that is not a Loan Party permitted by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(ii) Indebtedness permitted by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that is secured by a Permitted Lien if the relevant restriction applies only to the Person obligated under such Indebtedness and its Restricted Subsidiaries or the assets intended to secure such Indebtedness and (iii) Indebtedness permitted pursuant to </w:t>
      </w:r>
      <w:r>
        <w:rPr>
          <w:rFonts w:ascii="Arial" w:cs="Arial" w:eastAsia="Arial" w:hAnsi="Arial"/>
          <w:sz w:val="17"/>
          <w:szCs w:val="17"/>
          <w:u w:val="single" w:color="auto"/>
          <w:color w:val="auto"/>
        </w:rPr>
        <w:t>clauses (j)</w:t>
      </w:r>
      <w:r>
        <w:rPr>
          <w:rFonts w:ascii="Arial" w:cs="Arial" w:eastAsia="Arial" w:hAnsi="Arial"/>
          <w:sz w:val="17"/>
          <w:szCs w:val="17"/>
          <w:color w:val="auto"/>
        </w:rPr>
        <w:t xml:space="preserve">, </w:t>
      </w:r>
      <w:r>
        <w:rPr>
          <w:rFonts w:ascii="Arial" w:cs="Arial" w:eastAsia="Arial" w:hAnsi="Arial"/>
          <w:sz w:val="17"/>
          <w:szCs w:val="17"/>
          <w:u w:val="single" w:color="auto"/>
          <w:color w:val="auto"/>
        </w:rPr>
        <w:t>(m)</w:t>
      </w:r>
      <w:r>
        <w:rPr>
          <w:rFonts w:ascii="Arial" w:cs="Arial" w:eastAsia="Arial" w:hAnsi="Arial"/>
          <w:sz w:val="17"/>
          <w:szCs w:val="17"/>
          <w:color w:val="auto"/>
        </w:rPr>
        <w:t xml:space="preserve">, </w:t>
      </w:r>
      <w:r>
        <w:rPr>
          <w:rFonts w:ascii="Arial" w:cs="Arial" w:eastAsia="Arial" w:hAnsi="Arial"/>
          <w:sz w:val="17"/>
          <w:szCs w:val="17"/>
          <w:u w:val="single" w:color="auto"/>
          <w:color w:val="auto"/>
        </w:rPr>
        <w:t>(p)</w:t>
      </w:r>
      <w:r>
        <w:rPr>
          <w:rFonts w:ascii="Arial" w:cs="Arial" w:eastAsia="Arial" w:hAnsi="Arial"/>
          <w:sz w:val="17"/>
          <w:szCs w:val="17"/>
          <w:color w:val="auto"/>
        </w:rPr>
        <w:t xml:space="preserve"> (as it relates to Indebtedness in respect of </w:t>
      </w:r>
      <w:r>
        <w:rPr>
          <w:rFonts w:ascii="Arial" w:cs="Arial" w:eastAsia="Arial" w:hAnsi="Arial"/>
          <w:sz w:val="17"/>
          <w:szCs w:val="17"/>
          <w:u w:val="single" w:color="auto"/>
          <w:color w:val="auto"/>
        </w:rPr>
        <w:t>clauses (a)</w:t>
      </w:r>
      <w:r>
        <w:rPr>
          <w:rFonts w:ascii="Arial" w:cs="Arial" w:eastAsia="Arial" w:hAnsi="Arial"/>
          <w:sz w:val="17"/>
          <w:szCs w:val="17"/>
          <w:color w:val="auto"/>
        </w:rPr>
        <w:t>,</w:t>
      </w:r>
    </w:p>
    <w:p>
      <w:pPr>
        <w:ind w:left="100"/>
        <w:spacing w:after="0"/>
        <w:rPr>
          <w:rFonts w:ascii="Arial" w:cs="Arial" w:eastAsia="Arial" w:hAnsi="Arial"/>
          <w:sz w:val="17"/>
          <w:szCs w:val="17"/>
          <w:color w:val="auto"/>
        </w:rPr>
      </w:pPr>
      <w:r>
        <w:rPr>
          <w:rFonts w:ascii="Arial" w:cs="Arial" w:eastAsia="Arial" w:hAnsi="Arial"/>
          <w:sz w:val="19"/>
          <w:szCs w:val="19"/>
          <w:u w:val="single" w:color="auto"/>
          <w:color w:val="auto"/>
        </w:rPr>
        <w:t>(m)</w:t>
      </w:r>
      <w:r>
        <w:rPr>
          <w:rFonts w:ascii="Arial" w:cs="Arial" w:eastAsia="Arial" w:hAnsi="Arial"/>
          <w:sz w:val="19"/>
          <w:szCs w:val="19"/>
          <w:color w:val="auto"/>
        </w:rPr>
        <w:t xml:space="preserve">, </w:t>
      </w:r>
      <w:r>
        <w:rPr>
          <w:rFonts w:ascii="Arial" w:cs="Arial" w:eastAsia="Arial" w:hAnsi="Arial"/>
          <w:sz w:val="19"/>
          <w:szCs w:val="19"/>
          <w:u w:val="single" w:color="auto"/>
          <w:color w:val="auto"/>
        </w:rPr>
        <w:t>(u)</w:t>
      </w:r>
      <w:r>
        <w:rPr>
          <w:rFonts w:ascii="Arial" w:cs="Arial" w:eastAsia="Arial" w:hAnsi="Arial"/>
          <w:sz w:val="19"/>
          <w:szCs w:val="19"/>
          <w:color w:val="auto"/>
        </w:rPr>
        <w:t xml:space="preserve">, </w:t>
      </w:r>
      <w:r>
        <w:rPr>
          <w:rFonts w:ascii="Arial" w:cs="Arial" w:eastAsia="Arial" w:hAnsi="Arial"/>
          <w:sz w:val="19"/>
          <w:szCs w:val="19"/>
          <w:u w:val="single" w:color="auto"/>
          <w:color w:val="auto"/>
        </w:rPr>
        <w:t>(w)</w:t>
      </w:r>
      <w:r>
        <w:rPr>
          <w:rFonts w:ascii="Arial" w:cs="Arial" w:eastAsia="Arial" w:hAnsi="Arial"/>
          <w:sz w:val="19"/>
          <w:szCs w:val="19"/>
          <w:color w:val="auto"/>
        </w:rPr>
        <w:t xml:space="preserve">, </w:t>
      </w:r>
      <w:r>
        <w:rPr>
          <w:rFonts w:ascii="Arial" w:cs="Arial" w:eastAsia="Arial" w:hAnsi="Arial"/>
          <w:sz w:val="19"/>
          <w:szCs w:val="19"/>
          <w:u w:val="single" w:color="auto"/>
          <w:color w:val="auto"/>
        </w:rPr>
        <w:t>(y)</w:t>
      </w:r>
      <w:r>
        <w:rPr>
          <w:rFonts w:ascii="Arial" w:cs="Arial" w:eastAsia="Arial" w:hAnsi="Arial"/>
          <w:sz w:val="19"/>
          <w:szCs w:val="19"/>
          <w:color w:val="auto"/>
        </w:rPr>
        <w:t xml:space="preserve">, </w:t>
      </w:r>
      <w:r>
        <w:rPr>
          <w:rFonts w:ascii="Arial" w:cs="Arial" w:eastAsia="Arial" w:hAnsi="Arial"/>
          <w:sz w:val="19"/>
          <w:szCs w:val="19"/>
          <w:u w:val="single" w:color="auto"/>
          <w:color w:val="auto"/>
        </w:rPr>
        <w:t>(z)</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(jj)</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w:t>
      </w:r>
      <w:r>
        <w:rPr>
          <w:rFonts w:ascii="Arial" w:cs="Arial" w:eastAsia="Arial" w:hAnsi="Arial"/>
          <w:sz w:val="19"/>
          <w:szCs w:val="19"/>
          <w:u w:val="single" w:color="auto"/>
          <w:color w:val="auto"/>
        </w:rPr>
        <w:t>(u)</w:t>
      </w:r>
      <w:r>
        <w:rPr>
          <w:rFonts w:ascii="Arial" w:cs="Arial" w:eastAsia="Arial" w:hAnsi="Arial"/>
          <w:sz w:val="19"/>
          <w:szCs w:val="19"/>
          <w:color w:val="auto"/>
        </w:rPr>
        <w:t xml:space="preserve">, </w:t>
      </w:r>
      <w:r>
        <w:rPr>
          <w:rFonts w:ascii="Arial" w:cs="Arial" w:eastAsia="Arial" w:hAnsi="Arial"/>
          <w:sz w:val="19"/>
          <w:szCs w:val="19"/>
          <w:u w:val="single" w:color="auto"/>
          <w:color w:val="auto"/>
        </w:rPr>
        <w:t>(w)</w:t>
      </w:r>
      <w:r>
        <w:rPr>
          <w:rFonts w:ascii="Arial" w:cs="Arial" w:eastAsia="Arial" w:hAnsi="Arial"/>
          <w:sz w:val="19"/>
          <w:szCs w:val="19"/>
          <w:color w:val="auto"/>
        </w:rPr>
        <w:t xml:space="preserve">, </w:t>
      </w:r>
      <w:r>
        <w:rPr>
          <w:rFonts w:ascii="Arial" w:cs="Arial" w:eastAsia="Arial" w:hAnsi="Arial"/>
          <w:sz w:val="19"/>
          <w:szCs w:val="19"/>
          <w:u w:val="single" w:color="auto"/>
          <w:color w:val="auto"/>
        </w:rPr>
        <w:t>(y)</w:t>
      </w:r>
      <w:r>
        <w:rPr>
          <w:rFonts w:ascii="Arial" w:cs="Arial" w:eastAsia="Arial" w:hAnsi="Arial"/>
          <w:sz w:val="19"/>
          <w:szCs w:val="19"/>
          <w:color w:val="auto"/>
        </w:rPr>
        <w:t xml:space="preserve">, </w:t>
      </w:r>
      <w:r>
        <w:rPr>
          <w:rFonts w:ascii="Arial" w:cs="Arial" w:eastAsia="Arial" w:hAnsi="Arial"/>
          <w:sz w:val="19"/>
          <w:szCs w:val="19"/>
          <w:u w:val="single" w:color="auto"/>
          <w:color w:val="auto"/>
        </w:rPr>
        <w:t>(z)</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(jj)</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6.01</w:t>
      </w:r>
      <w:r>
        <w:rPr>
          <w:rFonts w:ascii="Arial" w:cs="Arial" w:eastAsia="Arial" w:hAnsi="Arial"/>
          <w:sz w:val="19"/>
          <w:szCs w:val="19"/>
          <w:color w:val="auto"/>
        </w:rPr>
        <w:t>;</w:t>
      </w:r>
    </w:p>
    <w:p>
      <w:pPr>
        <w:spacing w:after="0" w:line="197" w:lineRule="exact"/>
        <w:rPr>
          <w:rFonts w:ascii="Arial" w:cs="Arial" w:eastAsia="Arial" w:hAnsi="Arial"/>
          <w:sz w:val="17"/>
          <w:szCs w:val="17"/>
          <w:color w:val="auto"/>
        </w:rPr>
      </w:pPr>
    </w:p>
    <w:p>
      <w:pPr>
        <w:jc w:val="both"/>
        <w:ind w:left="100" w:right="59" w:firstLine="742"/>
        <w:spacing w:after="0" w:line="249" w:lineRule="auto"/>
        <w:tabs>
          <w:tab w:leader="none" w:pos="152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arising under customary provisions restricting assignments, subletting or other transfers (including the granting of any Lien) contained in leases, subleases, licenses, sublicenses, joint venture agreements and other agreements entered into in the ordinary course of business;</w:t>
      </w:r>
    </w:p>
    <w:p>
      <w:pPr>
        <w:spacing w:after="0" w:line="183" w:lineRule="exact"/>
        <w:rPr>
          <w:rFonts w:ascii="Arial" w:cs="Arial" w:eastAsia="Arial" w:hAnsi="Arial"/>
          <w:sz w:val="19"/>
          <w:szCs w:val="19"/>
          <w:color w:val="auto"/>
        </w:rPr>
      </w:pPr>
    </w:p>
    <w:p>
      <w:pPr>
        <w:ind w:left="100" w:right="59" w:firstLine="742"/>
        <w:spacing w:after="0" w:line="261" w:lineRule="auto"/>
        <w:tabs>
          <w:tab w:leader="none" w:pos="152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that are or were created by virtue of any Lien granted upon, transfer of, agreement to transfer or grant of, any option or right with respect to any assets or Capital Stock not otherwise prohibited under this Agreement;</w:t>
      </w:r>
    </w:p>
    <w:p>
      <w:pPr>
        <w:spacing w:after="0" w:line="172" w:lineRule="exact"/>
        <w:rPr>
          <w:rFonts w:ascii="Arial" w:cs="Arial" w:eastAsia="Arial" w:hAnsi="Arial"/>
          <w:sz w:val="19"/>
          <w:szCs w:val="19"/>
          <w:color w:val="auto"/>
        </w:rPr>
      </w:pPr>
    </w:p>
    <w:p>
      <w:pPr>
        <w:jc w:val="both"/>
        <w:ind w:left="100" w:right="59" w:firstLine="741"/>
        <w:spacing w:after="0" w:line="292" w:lineRule="auto"/>
        <w:tabs>
          <w:tab w:leader="none" w:pos="152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that are assumed in connection with any acquisition of property or the Capital Stock of any Person, so long as the relevant encumbrance or restriction relates solely to the Person and its subsidiaries (including the Capital Stock of the relevant Person or Persons) and/or property so acquired and was not created in connection with or in anticipation of such acquisition;</w:t>
      </w:r>
    </w:p>
    <w:p>
      <w:pPr>
        <w:spacing w:after="0" w:line="150" w:lineRule="exact"/>
        <w:rPr>
          <w:rFonts w:ascii="Arial" w:cs="Arial" w:eastAsia="Arial" w:hAnsi="Arial"/>
          <w:sz w:val="17"/>
          <w:szCs w:val="17"/>
          <w:color w:val="auto"/>
        </w:rPr>
      </w:pPr>
    </w:p>
    <w:p>
      <w:pPr>
        <w:jc w:val="both"/>
        <w:ind w:left="100" w:right="59" w:firstLine="742"/>
        <w:spacing w:after="0" w:line="256" w:lineRule="auto"/>
        <w:tabs>
          <w:tab w:leader="none" w:pos="152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set forth in any agreement for any Disposition of any Restricted Subsidiary (or all or substantially all of the assets thereof) that restricts the payment of dividends or other distributions or the making of cash loans or advances by such Restricted Subsidiary pending such Disposition;</w:t>
      </w:r>
    </w:p>
    <w:p>
      <w:pPr>
        <w:spacing w:after="0" w:line="178" w:lineRule="exact"/>
        <w:rPr>
          <w:rFonts w:ascii="Arial" w:cs="Arial" w:eastAsia="Arial" w:hAnsi="Arial"/>
          <w:sz w:val="19"/>
          <w:szCs w:val="19"/>
          <w:color w:val="auto"/>
        </w:rPr>
      </w:pPr>
    </w:p>
    <w:p>
      <w:pPr>
        <w:ind w:left="100" w:right="59" w:firstLine="742"/>
        <w:spacing w:after="0" w:line="261" w:lineRule="auto"/>
        <w:tabs>
          <w:tab w:leader="none" w:pos="152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set forth in provisions in agreements or instruments which prohibit the payment of dividends or the making of other distributions with respect to any class of Capital Stock of a Person other than on a pro rata basis;</w:t>
      </w:r>
    </w:p>
    <w:p>
      <w:pPr>
        <w:spacing w:after="0" w:line="172" w:lineRule="exact"/>
        <w:rPr>
          <w:rFonts w:ascii="Arial" w:cs="Arial" w:eastAsia="Arial" w:hAnsi="Arial"/>
          <w:sz w:val="19"/>
          <w:szCs w:val="19"/>
          <w:color w:val="auto"/>
        </w:rPr>
      </w:pPr>
    </w:p>
    <w:p>
      <w:pPr>
        <w:ind w:left="100" w:right="59" w:firstLine="741"/>
        <w:spacing w:after="0" w:line="261" w:lineRule="auto"/>
        <w:tabs>
          <w:tab w:leader="none" w:pos="152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imposed by customary provisions in partnership agreements, limited liability company organizational governance documents, joint venture agreements and other similar agreements;</w:t>
      </w:r>
    </w:p>
    <w:p>
      <w:pPr>
        <w:spacing w:after="0" w:line="172" w:lineRule="exact"/>
        <w:rPr>
          <w:rFonts w:ascii="Arial" w:cs="Arial" w:eastAsia="Arial" w:hAnsi="Arial"/>
          <w:sz w:val="19"/>
          <w:szCs w:val="19"/>
          <w:color w:val="auto"/>
        </w:rPr>
      </w:pPr>
    </w:p>
    <w:p>
      <w:pPr>
        <w:ind w:left="100" w:right="59" w:firstLine="741"/>
        <w:spacing w:after="0" w:line="320" w:lineRule="auto"/>
        <w:tabs>
          <w:tab w:leader="none" w:pos="152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on Cash, other deposits or net worth or similar restrictions imposed by any Person under any contract entered into in the ordinary course of business or for whose benefit such Cash, other deposits or net worth or similar restrictions exist;</w:t>
      </w:r>
    </w:p>
    <w:p>
      <w:pPr>
        <w:spacing w:after="0" w:line="126" w:lineRule="exact"/>
        <w:rPr>
          <w:rFonts w:ascii="Arial" w:cs="Arial" w:eastAsia="Arial" w:hAnsi="Arial"/>
          <w:sz w:val="17"/>
          <w:szCs w:val="17"/>
          <w:color w:val="auto"/>
        </w:rPr>
      </w:pPr>
    </w:p>
    <w:p>
      <w:pPr>
        <w:ind w:left="1600" w:hanging="758"/>
        <w:spacing w:after="0"/>
        <w:tabs>
          <w:tab w:leader="none" w:pos="160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set forth in documents which exist on the Closing Date;</w:t>
      </w:r>
    </w:p>
    <w:p>
      <w:pPr>
        <w:spacing w:after="0" w:line="213" w:lineRule="exact"/>
        <w:rPr>
          <w:rFonts w:ascii="Arial" w:cs="Arial" w:eastAsia="Arial" w:hAnsi="Arial"/>
          <w:sz w:val="19"/>
          <w:szCs w:val="19"/>
          <w:color w:val="auto"/>
        </w:rPr>
      </w:pPr>
    </w:p>
    <w:p>
      <w:pPr>
        <w:jc w:val="both"/>
        <w:ind w:left="100" w:right="39" w:firstLine="741"/>
        <w:spacing w:after="0" w:line="249" w:lineRule="auto"/>
        <w:tabs>
          <w:tab w:leader="none" w:pos="152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arising pursuant to an agreement or instrument relating to any Indebtedness permitted to be incurred after the Closing Date if the relevant restrictions, taken as a whole, are not materially less favorable to the Lenders than the restrictions contained in this Agreement, taken as a whole (as determined in good faith by the Borrower);</w:t>
      </w:r>
    </w:p>
    <w:p>
      <w:pPr>
        <w:spacing w:after="0" w:line="183" w:lineRule="exact"/>
        <w:rPr>
          <w:rFonts w:ascii="Arial" w:cs="Arial" w:eastAsia="Arial" w:hAnsi="Arial"/>
          <w:sz w:val="19"/>
          <w:szCs w:val="19"/>
          <w:color w:val="auto"/>
        </w:rPr>
      </w:pPr>
    </w:p>
    <w:p>
      <w:pPr>
        <w:ind w:left="100" w:right="59" w:firstLine="741"/>
        <w:spacing w:after="0" w:line="261" w:lineRule="auto"/>
        <w:tabs>
          <w:tab w:leader="none" w:pos="1519" w:val="left"/>
        </w:tabs>
        <w:numPr>
          <w:ilvl w:val="0"/>
          <w:numId w:val="264"/>
        </w:numPr>
        <w:rPr>
          <w:rFonts w:ascii="Arial" w:cs="Arial" w:eastAsia="Arial" w:hAnsi="Arial"/>
          <w:sz w:val="19"/>
          <w:szCs w:val="19"/>
          <w:color w:val="auto"/>
        </w:rPr>
      </w:pPr>
      <w:r>
        <w:rPr>
          <w:rFonts w:ascii="Arial" w:cs="Arial" w:eastAsia="Arial" w:hAnsi="Arial"/>
          <w:sz w:val="19"/>
          <w:szCs w:val="19"/>
          <w:color w:val="auto"/>
        </w:rPr>
        <w:t>arising under or as a result of applicable Requirements of Law or the terms of any license, authorization, concession or permit;</w:t>
      </w:r>
    </w:p>
    <w:p>
      <w:pPr>
        <w:spacing w:after="0" w:line="186" w:lineRule="exact"/>
        <w:rPr>
          <w:rFonts w:ascii="Arial" w:cs="Arial" w:eastAsia="Arial" w:hAnsi="Arial"/>
          <w:sz w:val="19"/>
          <w:szCs w:val="19"/>
          <w:color w:val="auto"/>
        </w:rPr>
      </w:pPr>
    </w:p>
    <w:p>
      <w:pPr>
        <w:ind w:left="100" w:right="59" w:firstLine="741"/>
        <w:spacing w:after="0" w:line="261" w:lineRule="auto"/>
        <w:tabs>
          <w:tab w:leader="none" w:pos="152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 xml:space="preserve">arising in any Hedge Agreement and/or any agreement or arrangement relating to any Banking Services and/or any other obligation of the type permitted under </w:t>
      </w:r>
      <w:r>
        <w:rPr>
          <w:rFonts w:ascii="Arial" w:cs="Arial" w:eastAsia="Arial" w:hAnsi="Arial"/>
          <w:sz w:val="19"/>
          <w:szCs w:val="19"/>
          <w:u w:val="single" w:color="auto"/>
          <w:color w:val="auto"/>
        </w:rPr>
        <w:t>Section 6.01(f)</w:t>
      </w:r>
      <w:r>
        <w:rPr>
          <w:rFonts w:ascii="Arial" w:cs="Arial" w:eastAsia="Arial" w:hAnsi="Arial"/>
          <w:sz w:val="19"/>
          <w:szCs w:val="19"/>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151</w:t>
      </w:r>
      <w:r>
        <w:rPr>
          <w:rFonts w:ascii="Arial" w:cs="Arial" w:eastAsia="Arial" w:hAnsi="Arial"/>
          <w:sz w:val="18"/>
          <w:szCs w:val="18"/>
          <w:u w:val="single" w:color="auto"/>
          <w:color w:val="0000FF"/>
          <w:strike w:val="1"/>
        </w:rPr>
        <w:t>151</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19" w:name="page220"/>
    <w:bookmarkEnd w:id="219"/>
    <w:p>
      <w:pPr>
        <w:jc w:val="both"/>
        <w:ind w:left="100" w:right="60" w:firstLine="741"/>
        <w:spacing w:after="0" w:line="250" w:lineRule="auto"/>
        <w:tabs>
          <w:tab w:leader="none" w:pos="1519" w:val="left"/>
        </w:tabs>
        <w:numPr>
          <w:ilvl w:val="0"/>
          <w:numId w:val="265"/>
        </w:numPr>
        <w:rPr>
          <w:rFonts w:ascii="Arial" w:cs="Arial" w:eastAsia="Arial" w:hAnsi="Arial"/>
          <w:sz w:val="19"/>
          <w:szCs w:val="19"/>
          <w:color w:val="auto"/>
        </w:rPr>
      </w:pPr>
      <w:r>
        <w:rPr>
          <w:rFonts w:ascii="Arial" w:cs="Arial" w:eastAsia="Arial" w:hAnsi="Arial"/>
          <w:sz w:val="19"/>
          <w:szCs w:val="19"/>
          <w:color w:val="auto"/>
        </w:rPr>
        <w:t>relating to any asset (or all of the assets) of and/or the Capital Stock of the Borrower and/or any Restricted Subsidiary which is imposed pursuant to an agreement entered into in connection with any Disposition of such asset (or assets) and/or all or a portion of the Capital Stock of the relevant Person that is permitted or not restricted by this Agreement or that would result in the occurrence of the Termination Date;</w:t>
      </w:r>
    </w:p>
    <w:p>
      <w:pPr>
        <w:spacing w:after="0" w:line="183" w:lineRule="exact"/>
        <w:rPr>
          <w:rFonts w:ascii="Arial" w:cs="Arial" w:eastAsia="Arial" w:hAnsi="Arial"/>
          <w:sz w:val="19"/>
          <w:szCs w:val="19"/>
          <w:color w:val="auto"/>
        </w:rPr>
      </w:pPr>
    </w:p>
    <w:p>
      <w:pPr>
        <w:ind w:left="100" w:right="60" w:firstLine="741"/>
        <w:spacing w:after="0" w:line="261" w:lineRule="auto"/>
        <w:tabs>
          <w:tab w:leader="none" w:pos="1520" w:val="left"/>
        </w:tabs>
        <w:numPr>
          <w:ilvl w:val="0"/>
          <w:numId w:val="265"/>
        </w:numPr>
        <w:rPr>
          <w:rFonts w:ascii="Arial" w:cs="Arial" w:eastAsia="Arial" w:hAnsi="Arial"/>
          <w:sz w:val="19"/>
          <w:szCs w:val="19"/>
          <w:color w:val="auto"/>
        </w:rPr>
      </w:pPr>
      <w:r>
        <w:rPr>
          <w:rFonts w:ascii="Arial" w:cs="Arial" w:eastAsia="Arial" w:hAnsi="Arial"/>
          <w:sz w:val="19"/>
          <w:szCs w:val="19"/>
          <w:color w:val="auto"/>
        </w:rPr>
        <w:t>set forth in any agreement relating to any Permitted Lien that limits the right of the Borrower and/or any Restricted Subsidiary to Dispose of or encumber the assets subject thereto;</w:t>
      </w:r>
    </w:p>
    <w:p>
      <w:pPr>
        <w:spacing w:after="0" w:line="172" w:lineRule="exact"/>
        <w:rPr>
          <w:rFonts w:ascii="Arial" w:cs="Arial" w:eastAsia="Arial" w:hAnsi="Arial"/>
          <w:sz w:val="19"/>
          <w:szCs w:val="19"/>
          <w:color w:val="auto"/>
        </w:rPr>
      </w:pPr>
    </w:p>
    <w:p>
      <w:pPr>
        <w:ind w:left="100" w:right="20" w:firstLine="742"/>
        <w:spacing w:after="0" w:line="261" w:lineRule="auto"/>
        <w:tabs>
          <w:tab w:leader="none" w:pos="1522" w:val="left"/>
        </w:tabs>
        <w:numPr>
          <w:ilvl w:val="0"/>
          <w:numId w:val="265"/>
        </w:numPr>
        <w:rPr>
          <w:rFonts w:ascii="Arial" w:cs="Arial" w:eastAsia="Arial" w:hAnsi="Arial"/>
          <w:sz w:val="19"/>
          <w:szCs w:val="19"/>
          <w:color w:val="auto"/>
        </w:rPr>
      </w:pPr>
      <w:r>
        <w:rPr>
          <w:rFonts w:ascii="Arial" w:cs="Arial" w:eastAsia="Arial" w:hAnsi="Arial"/>
          <w:sz w:val="19"/>
          <w:szCs w:val="19"/>
          <w:color w:val="auto"/>
        </w:rPr>
        <w:t>customary subordination and/or subrogation provisions set forth in guaranty or similar documentation (not relating to Indebtedness for borrowed money) that is entered into in the ordinary course of business;</w:t>
      </w:r>
    </w:p>
    <w:p>
      <w:pPr>
        <w:spacing w:after="0" w:line="172" w:lineRule="exact"/>
        <w:rPr>
          <w:rFonts w:ascii="Arial" w:cs="Arial" w:eastAsia="Arial" w:hAnsi="Arial"/>
          <w:sz w:val="19"/>
          <w:szCs w:val="19"/>
          <w:color w:val="auto"/>
        </w:rPr>
      </w:pPr>
    </w:p>
    <w:p>
      <w:pPr>
        <w:jc w:val="both"/>
        <w:ind w:left="100" w:right="20" w:firstLine="741"/>
        <w:spacing w:after="0" w:line="249" w:lineRule="auto"/>
        <w:tabs>
          <w:tab w:leader="none" w:pos="1522" w:val="left"/>
        </w:tabs>
        <w:numPr>
          <w:ilvl w:val="0"/>
          <w:numId w:val="265"/>
        </w:numPr>
        <w:rPr>
          <w:rFonts w:ascii="Arial" w:cs="Arial" w:eastAsia="Arial" w:hAnsi="Arial"/>
          <w:sz w:val="19"/>
          <w:szCs w:val="19"/>
          <w:color w:val="auto"/>
        </w:rPr>
      </w:pPr>
      <w:r>
        <w:rPr>
          <w:rFonts w:ascii="Arial" w:cs="Arial" w:eastAsia="Arial" w:hAnsi="Arial"/>
          <w:sz w:val="19"/>
          <w:szCs w:val="19"/>
          <w:color w:val="auto"/>
        </w:rPr>
        <w:t>any restriction created in connection with any factoring program implemented in the ordinary course of business, so long as in the case of any prohibition on Liens, the relevant restriction relates solely to assets subject to such factoring program and the Capital Stock of any Person participating in such factoring program; and/or</w:t>
      </w:r>
    </w:p>
    <w:p>
      <w:pPr>
        <w:spacing w:after="0" w:line="183" w:lineRule="exact"/>
        <w:rPr>
          <w:rFonts w:ascii="Arial" w:cs="Arial" w:eastAsia="Arial" w:hAnsi="Arial"/>
          <w:sz w:val="19"/>
          <w:szCs w:val="19"/>
          <w:color w:val="auto"/>
        </w:rPr>
      </w:pPr>
    </w:p>
    <w:p>
      <w:pPr>
        <w:jc w:val="both"/>
        <w:ind w:left="100" w:right="40" w:firstLine="741"/>
        <w:spacing w:after="0" w:line="283" w:lineRule="auto"/>
        <w:tabs>
          <w:tab w:leader="none" w:pos="1521" w:val="left"/>
        </w:tabs>
        <w:numPr>
          <w:ilvl w:val="0"/>
          <w:numId w:val="265"/>
        </w:numPr>
        <w:rPr>
          <w:rFonts w:ascii="Arial" w:cs="Arial" w:eastAsia="Arial" w:hAnsi="Arial"/>
          <w:sz w:val="17"/>
          <w:szCs w:val="17"/>
          <w:color w:val="auto"/>
        </w:rPr>
      </w:pPr>
      <w:r>
        <w:rPr>
          <w:rFonts w:ascii="Arial" w:cs="Arial" w:eastAsia="Arial" w:hAnsi="Arial"/>
          <w:sz w:val="17"/>
          <w:szCs w:val="17"/>
          <w:color w:val="auto"/>
        </w:rPr>
        <w:t xml:space="preserve">imposed by any amendment, modification, restatement, renewal, increase, supplement, refunding, replacement or refinancing of any contract, instrument or obligation referred to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(p)</w:t>
      </w:r>
      <w:r>
        <w:rPr>
          <w:rFonts w:ascii="Arial" w:cs="Arial" w:eastAsia="Arial" w:hAnsi="Arial"/>
          <w:sz w:val="17"/>
          <w:szCs w:val="17"/>
          <w:color w:val="auto"/>
        </w:rPr>
        <w:t xml:space="preserve">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amendment, modification, restatement, renewal, increase, supplement, refunding, replacement or refinancing is, in the good faith judgment of the Borrower, more restrictive with respect to such restrictions, taken as a whole, than those in existence prior to such amendment, modification, restatement, renewal, increase, supplement, refunding, replacement or refinancing.</w:t>
      </w:r>
    </w:p>
    <w:p>
      <w:pPr>
        <w:spacing w:after="0" w:line="157" w:lineRule="exact"/>
        <w:rPr>
          <w:sz w:val="20"/>
          <w:szCs w:val="20"/>
          <w:color w:val="auto"/>
        </w:rPr>
      </w:pPr>
    </w:p>
    <w:p>
      <w:pPr>
        <w:ind w:left="100" w:right="360" w:firstLine="749"/>
        <w:spacing w:after="0" w:line="246" w:lineRule="auto"/>
        <w:rPr>
          <w:sz w:val="20"/>
          <w:szCs w:val="20"/>
          <w:color w:val="auto"/>
        </w:rPr>
      </w:pPr>
      <w:r>
        <w:rPr>
          <w:rFonts w:ascii="Arial" w:cs="Arial" w:eastAsia="Arial" w:hAnsi="Arial"/>
          <w:sz w:val="19"/>
          <w:szCs w:val="19"/>
          <w:color w:val="auto"/>
        </w:rPr>
        <w:t xml:space="preserve">Section 6.06. </w:t>
      </w:r>
      <w:r>
        <w:rPr>
          <w:rFonts w:ascii="Arial" w:cs="Arial" w:eastAsia="Arial" w:hAnsi="Arial"/>
          <w:sz w:val="19"/>
          <w:szCs w:val="19"/>
          <w:u w:val="single" w:color="auto"/>
          <w:color w:val="auto"/>
        </w:rPr>
        <w:t>Investments</w:t>
      </w:r>
      <w:r>
        <w:rPr>
          <w:rFonts w:ascii="Arial" w:cs="Arial" w:eastAsia="Arial" w:hAnsi="Arial"/>
          <w:sz w:val="19"/>
          <w:szCs w:val="19"/>
          <w:color w:val="auto"/>
        </w:rPr>
        <w:t>. The Borrower shall not, nor shall it permit any of its Restricted Subsidiaries to, make or own any Investment in any other Person except:</w:t>
      </w:r>
    </w:p>
    <w:p>
      <w:pPr>
        <w:spacing w:after="0" w:line="173" w:lineRule="exact"/>
        <w:rPr>
          <w:sz w:val="20"/>
          <w:szCs w:val="20"/>
          <w:color w:val="auto"/>
        </w:rPr>
      </w:pPr>
    </w:p>
    <w:p>
      <w:pPr>
        <w:ind w:left="1600" w:hanging="758"/>
        <w:spacing w:after="0"/>
        <w:tabs>
          <w:tab w:leader="none" w:pos="1600" w:val="left"/>
        </w:tabs>
        <w:numPr>
          <w:ilvl w:val="1"/>
          <w:numId w:val="266"/>
        </w:numPr>
        <w:rPr>
          <w:rFonts w:ascii="Arial" w:cs="Arial" w:eastAsia="Arial" w:hAnsi="Arial"/>
          <w:sz w:val="19"/>
          <w:szCs w:val="19"/>
          <w:color w:val="auto"/>
        </w:rPr>
      </w:pPr>
      <w:r>
        <w:rPr>
          <w:rFonts w:ascii="Arial" w:cs="Arial" w:eastAsia="Arial" w:hAnsi="Arial"/>
          <w:sz w:val="19"/>
          <w:szCs w:val="19"/>
          <w:color w:val="auto"/>
        </w:rPr>
        <w:t>Cash or Investments that were Cash Equivalents at the time made;</w:t>
      </w:r>
    </w:p>
    <w:p>
      <w:pPr>
        <w:spacing w:after="0" w:line="213" w:lineRule="exact"/>
        <w:rPr>
          <w:rFonts w:ascii="Arial" w:cs="Arial" w:eastAsia="Arial" w:hAnsi="Arial"/>
          <w:sz w:val="19"/>
          <w:szCs w:val="19"/>
          <w:color w:val="auto"/>
        </w:rPr>
      </w:pPr>
    </w:p>
    <w:p>
      <w:pPr>
        <w:jc w:val="both"/>
        <w:ind w:left="100" w:right="60" w:firstLine="742"/>
        <w:spacing w:after="0" w:line="245" w:lineRule="auto"/>
        <w:tabs>
          <w:tab w:leader="none" w:pos="1520" w:val="left"/>
        </w:tabs>
        <w:numPr>
          <w:ilvl w:val="1"/>
          <w:numId w:val="266"/>
        </w:numPr>
        <w:rPr>
          <w:rFonts w:ascii="Arial" w:cs="Arial" w:eastAsia="Arial" w:hAnsi="Arial"/>
          <w:sz w:val="19"/>
          <w:szCs w:val="19"/>
          <w:color w:val="auto"/>
        </w:rPr>
      </w:pPr>
      <w:r>
        <w:rPr>
          <w:rFonts w:ascii="Arial" w:cs="Arial" w:eastAsia="Arial" w:hAnsi="Arial"/>
          <w:sz w:val="19"/>
          <w:szCs w:val="19"/>
          <w:color w:val="auto"/>
        </w:rPr>
        <w:t xml:space="preserve">(i) Investments existing on the Closing Date in the Borrower or in any subsidiary, (ii) Investments made after the Closing Date among the Borrower and/or one or more Restricted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outstanding amount of Investments by any Loan Party in any Restricted Subsidiary that is not a Loan Party in reliance on this </w:t>
      </w:r>
      <w:r>
        <w:rPr>
          <w:rFonts w:ascii="Arial" w:cs="Arial" w:eastAsia="Arial" w:hAnsi="Arial"/>
          <w:sz w:val="19"/>
          <w:szCs w:val="19"/>
          <w:u w:val="single" w:color="auto"/>
          <w:color w:val="auto"/>
        </w:rPr>
        <w:t>Section 6.06(b)(ii)</w:t>
      </w:r>
      <w:r>
        <w:rPr>
          <w:rFonts w:ascii="Arial" w:cs="Arial" w:eastAsia="Arial" w:hAnsi="Arial"/>
          <w:sz w:val="19"/>
          <w:szCs w:val="19"/>
          <w:color w:val="auto"/>
        </w:rPr>
        <w:t xml:space="preserve"> shall not exceed the greater of</w:t>
      </w:r>
    </w:p>
    <w:p>
      <w:pPr>
        <w:spacing w:after="0" w:line="1" w:lineRule="exact"/>
        <w:rPr>
          <w:rFonts w:ascii="Arial" w:cs="Arial" w:eastAsia="Arial" w:hAnsi="Arial"/>
          <w:sz w:val="19"/>
          <w:szCs w:val="19"/>
          <w:color w:val="auto"/>
        </w:rPr>
      </w:pPr>
    </w:p>
    <w:p>
      <w:pPr>
        <w:jc w:val="both"/>
        <w:ind w:left="100" w:right="60"/>
        <w:spacing w:after="0" w:line="259" w:lineRule="auto"/>
        <w:rPr>
          <w:rFonts w:ascii="Arial" w:cs="Arial" w:eastAsia="Arial" w:hAnsi="Arial"/>
          <w:sz w:val="19"/>
          <w:szCs w:val="19"/>
          <w:color w:val="auto"/>
        </w:rPr>
      </w:pPr>
      <w:r>
        <w:rPr>
          <w:rFonts w:ascii="Arial" w:cs="Arial" w:eastAsia="Arial" w:hAnsi="Arial"/>
          <w:sz w:val="17"/>
          <w:szCs w:val="17"/>
          <w:color w:val="auto"/>
        </w:rPr>
        <w:t xml:space="preserve">$32,500,000 and 50% of Consolidated Adjusted EBITDA as of the last day of the most recently ended Test Period, (iii) any Investment made after the Closing Date among the Borrower and/or one or more Restricted Subsidiaries in connection with cash management and (iv) Investments in any Restricted Subsidiary in the form of any contribution or Disposition of the Capital Stock of any Person that is not a Loan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there is a bona fide business purpose for such contribution or Disposition or (y) such contribution or Disposition is not consummated solely for the purpose of obtaining a release of the Collateral in respect of the Capital Stock in such Person, in the case of the foregoing </w:t>
      </w:r>
      <w:r>
        <w:rPr>
          <w:rFonts w:ascii="Arial" w:cs="Arial" w:eastAsia="Arial" w:hAnsi="Arial"/>
          <w:sz w:val="17"/>
          <w:szCs w:val="17"/>
          <w:u w:val="single" w:color="auto"/>
          <w:color w:val="auto"/>
        </w:rPr>
        <w:t>clauses (x)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(y)</w:t>
      </w:r>
      <w:r>
        <w:rPr>
          <w:rFonts w:ascii="Arial" w:cs="Arial" w:eastAsia="Arial" w:hAnsi="Arial"/>
          <w:sz w:val="17"/>
          <w:szCs w:val="17"/>
          <w:color w:val="auto"/>
        </w:rPr>
        <w:t>, as determined in good faith by the Borrower;</w:t>
      </w:r>
    </w:p>
    <w:p>
      <w:pPr>
        <w:spacing w:after="0" w:line="176" w:lineRule="exact"/>
        <w:rPr>
          <w:rFonts w:ascii="Arial" w:cs="Arial" w:eastAsia="Arial" w:hAnsi="Arial"/>
          <w:sz w:val="19"/>
          <w:szCs w:val="19"/>
          <w:color w:val="auto"/>
        </w:rPr>
      </w:pPr>
    </w:p>
    <w:p>
      <w:pPr>
        <w:ind w:left="1600" w:hanging="758"/>
        <w:spacing w:after="0"/>
        <w:tabs>
          <w:tab w:leader="none" w:pos="1600" w:val="left"/>
        </w:tabs>
        <w:numPr>
          <w:ilvl w:val="1"/>
          <w:numId w:val="266"/>
        </w:numPr>
        <w:rPr>
          <w:rFonts w:ascii="Arial" w:cs="Arial" w:eastAsia="Arial" w:hAnsi="Arial"/>
          <w:sz w:val="19"/>
          <w:szCs w:val="19"/>
          <w:color w:val="auto"/>
        </w:rPr>
      </w:pPr>
      <w:r>
        <w:rPr>
          <w:rFonts w:ascii="Arial" w:cs="Arial" w:eastAsia="Arial" w:hAnsi="Arial"/>
          <w:sz w:val="19"/>
          <w:szCs w:val="19"/>
          <w:color w:val="auto"/>
        </w:rPr>
        <w:t>Investments (i) constituting deposits, prepayments, trade credits and/or credits to suppliers,</w:t>
      </w:r>
    </w:p>
    <w:p>
      <w:pPr>
        <w:spacing w:after="0" w:line="13" w:lineRule="exact"/>
        <w:rPr>
          <w:rFonts w:ascii="Arial" w:cs="Arial" w:eastAsia="Arial" w:hAnsi="Arial"/>
          <w:sz w:val="19"/>
          <w:szCs w:val="19"/>
          <w:color w:val="auto"/>
        </w:rPr>
      </w:pPr>
    </w:p>
    <w:p>
      <w:pPr>
        <w:jc w:val="both"/>
        <w:ind w:left="100" w:right="80" w:hanging="7"/>
        <w:spacing w:after="0" w:line="244" w:lineRule="auto"/>
        <w:tabs>
          <w:tab w:leader="none" w:pos="419"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made in connection with obtaining, maintaining or renewing client and customer contracts or (iii) made in distributors, suppliers, licensors and licensees, in each case, in the ordinary course of business or, in the case of </w:t>
      </w:r>
      <w:r>
        <w:rPr>
          <w:rFonts w:ascii="Arial" w:cs="Arial" w:eastAsia="Arial" w:hAnsi="Arial"/>
          <w:sz w:val="18"/>
          <w:szCs w:val="18"/>
          <w:u w:val="single" w:color="auto"/>
          <w:color w:val="auto"/>
        </w:rPr>
        <w:t>clause (iii)</w:t>
      </w:r>
      <w:r>
        <w:rPr>
          <w:rFonts w:ascii="Arial" w:cs="Arial" w:eastAsia="Arial" w:hAnsi="Arial"/>
          <w:sz w:val="18"/>
          <w:szCs w:val="18"/>
          <w:color w:val="auto"/>
        </w:rPr>
        <w:t>, to the extent necessary to maintain the ordinary course of supplies to the Borrower or any Restricted Subsidiary;</w:t>
      </w:r>
    </w:p>
    <w:p>
      <w:pPr>
        <w:spacing w:after="0" w:line="176" w:lineRule="exact"/>
        <w:rPr>
          <w:rFonts w:ascii="Arial" w:cs="Arial" w:eastAsia="Arial" w:hAnsi="Arial"/>
          <w:sz w:val="18"/>
          <w:szCs w:val="18"/>
          <w:color w:val="auto"/>
        </w:rPr>
      </w:pPr>
    </w:p>
    <w:p>
      <w:pPr>
        <w:jc w:val="both"/>
        <w:ind w:left="100" w:firstLine="741"/>
        <w:spacing w:after="0" w:line="256" w:lineRule="auto"/>
        <w:tabs>
          <w:tab w:leader="none" w:pos="1523" w:val="left"/>
        </w:tabs>
        <w:numPr>
          <w:ilvl w:val="1"/>
          <w:numId w:val="267"/>
        </w:numPr>
        <w:rPr>
          <w:rFonts w:ascii="Arial" w:cs="Arial" w:eastAsia="Arial" w:hAnsi="Arial"/>
          <w:sz w:val="19"/>
          <w:szCs w:val="19"/>
          <w:color w:val="auto"/>
        </w:rPr>
      </w:pPr>
      <w:r>
        <w:rPr>
          <w:rFonts w:ascii="Arial" w:cs="Arial" w:eastAsia="Arial" w:hAnsi="Arial"/>
          <w:sz w:val="19"/>
          <w:szCs w:val="19"/>
          <w:color w:val="auto"/>
        </w:rPr>
        <w:t xml:space="preserve">(i) Investments in joint ventures in an aggregate outstanding amount not to exceed the greater of $30,000,000 and 35% of Consolidated Adjusted EBITDA as of the last day of the most recently ended Test Period and (ii) so long as no Event of Default under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exists, Investments in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152</w:t>
      </w:r>
      <w:r>
        <w:rPr>
          <w:rFonts w:ascii="Arial" w:cs="Arial" w:eastAsia="Arial" w:hAnsi="Arial"/>
          <w:sz w:val="18"/>
          <w:szCs w:val="18"/>
          <w:u w:val="single" w:color="auto"/>
          <w:color w:val="0000FF"/>
          <w:strike w:val="1"/>
        </w:rPr>
        <w:t>152</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85" w:right="1439" w:bottom="1440" w:gutter="0" w:footer="0" w:header="0"/>
        </w:sectPr>
      </w:pPr>
    </w:p>
    <w:bookmarkStart w:id="220" w:name="page221"/>
    <w:bookmarkEnd w:id="220"/>
    <w:p>
      <w:pPr>
        <w:ind w:left="100" w:right="319"/>
        <w:spacing w:after="0" w:line="261" w:lineRule="auto"/>
        <w:rPr>
          <w:sz w:val="20"/>
          <w:szCs w:val="20"/>
          <w:color w:val="auto"/>
        </w:rPr>
      </w:pPr>
      <w:r>
        <w:rPr>
          <w:rFonts w:ascii="Arial" w:cs="Arial" w:eastAsia="Arial" w:hAnsi="Arial"/>
          <w:sz w:val="19"/>
          <w:szCs w:val="19"/>
          <w:color w:val="auto"/>
        </w:rPr>
        <w:t>Unrestricted Subsidiaries in an aggregate outstanding amount not to exceed the greater of $30,000,000 and 35% of Consolidated Adjusted EBITDA as of the last day of the most recently ended Test Period;</w:t>
      </w:r>
    </w:p>
    <w:p>
      <w:pPr>
        <w:spacing w:after="0" w:line="159" w:lineRule="exact"/>
        <w:rPr>
          <w:sz w:val="20"/>
          <w:szCs w:val="20"/>
          <w:color w:val="auto"/>
        </w:rPr>
      </w:pPr>
    </w:p>
    <w:p>
      <w:pPr>
        <w:jc w:val="both"/>
        <w:ind w:left="100" w:right="39" w:firstLine="741"/>
        <w:spacing w:after="0" w:line="245" w:lineRule="auto"/>
        <w:tabs>
          <w:tab w:leader="none" w:pos="1522" w:val="left"/>
        </w:tabs>
        <w:numPr>
          <w:ilvl w:val="0"/>
          <w:numId w:val="268"/>
        </w:numPr>
        <w:rPr>
          <w:rFonts w:ascii="Arial" w:cs="Arial" w:eastAsia="Arial" w:hAnsi="Arial"/>
          <w:sz w:val="19"/>
          <w:szCs w:val="19"/>
          <w:color w:val="auto"/>
        </w:rPr>
      </w:pPr>
      <w:r>
        <w:rPr>
          <w:rFonts w:ascii="Arial" w:cs="Arial" w:eastAsia="Arial" w:hAnsi="Arial"/>
          <w:sz w:val="19"/>
          <w:szCs w:val="19"/>
          <w:color w:val="auto"/>
        </w:rPr>
        <w:t>(i) Permitted Acquisitions and (ii) any Investment in any Restricted Subsidiary that is not a Loan Party in an amount required to permit such Restricted Subsidiary to directly, or indirectly through one or more other Restricted Subsidiaries, consummate a Permitted Acquisition, which amount is applied, by such Restricted Subsidiary, directly or indirectly, through one or more other Restricted Subsidiaries to consummate such Permitted Acquisition;</w:t>
      </w:r>
    </w:p>
    <w:p>
      <w:pPr>
        <w:spacing w:after="0" w:line="187" w:lineRule="exact"/>
        <w:rPr>
          <w:rFonts w:ascii="Arial" w:cs="Arial" w:eastAsia="Arial" w:hAnsi="Arial"/>
          <w:sz w:val="19"/>
          <w:szCs w:val="19"/>
          <w:color w:val="auto"/>
        </w:rPr>
      </w:pPr>
    </w:p>
    <w:p>
      <w:pPr>
        <w:jc w:val="both"/>
        <w:ind w:left="100" w:right="59" w:firstLine="741"/>
        <w:spacing w:after="0" w:line="250" w:lineRule="auto"/>
        <w:tabs>
          <w:tab w:leader="none" w:pos="1519" w:val="left"/>
        </w:tabs>
        <w:numPr>
          <w:ilvl w:val="0"/>
          <w:numId w:val="268"/>
        </w:numPr>
        <w:rPr>
          <w:rFonts w:ascii="Arial" w:cs="Arial" w:eastAsia="Arial" w:hAnsi="Arial"/>
          <w:sz w:val="19"/>
          <w:szCs w:val="19"/>
          <w:color w:val="auto"/>
        </w:rPr>
      </w:pPr>
      <w:r>
        <w:rPr>
          <w:rFonts w:ascii="Arial" w:cs="Arial" w:eastAsia="Arial" w:hAnsi="Arial"/>
          <w:sz w:val="19"/>
          <w:szCs w:val="19"/>
          <w:color w:val="auto"/>
        </w:rPr>
        <w:t xml:space="preserve">(i) Investments existing on, or contractually committed to or contemplated as of, the Closing Date and (ii) any modification, replacement, renewal or extension of any Investment described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so long as no such modification, renewal or extension increases the amount of such Investment except by the terms thereof or as otherwise permitted by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6.06</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ind w:left="100" w:right="59" w:firstLine="741"/>
        <w:spacing w:after="0" w:line="261" w:lineRule="auto"/>
        <w:tabs>
          <w:tab w:leader="none" w:pos="1520" w:val="left"/>
        </w:tabs>
        <w:numPr>
          <w:ilvl w:val="0"/>
          <w:numId w:val="268"/>
        </w:numPr>
        <w:rPr>
          <w:rFonts w:ascii="Arial" w:cs="Arial" w:eastAsia="Arial" w:hAnsi="Arial"/>
          <w:sz w:val="19"/>
          <w:szCs w:val="19"/>
          <w:color w:val="auto"/>
        </w:rPr>
      </w:pPr>
      <w:r>
        <w:rPr>
          <w:rFonts w:ascii="Arial" w:cs="Arial" w:eastAsia="Arial" w:hAnsi="Arial"/>
          <w:sz w:val="19"/>
          <w:szCs w:val="19"/>
          <w:color w:val="auto"/>
        </w:rPr>
        <w:t xml:space="preserve">Investments received in lieu of Cash in connection with any Disposition permitted by </w:t>
      </w:r>
      <w:r>
        <w:rPr>
          <w:rFonts w:ascii="Arial" w:cs="Arial" w:eastAsia="Arial" w:hAnsi="Arial"/>
          <w:sz w:val="19"/>
          <w:szCs w:val="19"/>
          <w:u w:val="single" w:color="auto"/>
          <w:color w:val="auto"/>
        </w:rPr>
        <w:t>Section 6.07</w:t>
      </w:r>
      <w:r>
        <w:rPr>
          <w:rFonts w:ascii="Arial" w:cs="Arial" w:eastAsia="Arial" w:hAnsi="Arial"/>
          <w:sz w:val="19"/>
          <w:szCs w:val="19"/>
          <w:color w:val="auto"/>
        </w:rPr>
        <w:t xml:space="preserve"> or any other disposition of assets not constituting a Disposition;</w:t>
      </w:r>
    </w:p>
    <w:p>
      <w:pPr>
        <w:spacing w:after="0" w:line="172" w:lineRule="exact"/>
        <w:rPr>
          <w:rFonts w:ascii="Arial" w:cs="Arial" w:eastAsia="Arial" w:hAnsi="Arial"/>
          <w:sz w:val="19"/>
          <w:szCs w:val="19"/>
          <w:color w:val="auto"/>
        </w:rPr>
      </w:pPr>
    </w:p>
    <w:p>
      <w:pPr>
        <w:jc w:val="both"/>
        <w:ind w:left="100" w:right="59" w:firstLine="741"/>
        <w:spacing w:after="0" w:line="276" w:lineRule="auto"/>
        <w:tabs>
          <w:tab w:leader="none" w:pos="152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loans or advances to present or former employees, directors, members of management, officers, managers or consultants or independent contractors (or their respective Immediate Family Members) of any Parent Company, the Borrower, its subsidiaries and/or any joint venture to the extent permitted by Requirements of Law, in connection with such Person’s purchase of Capital Stock of any Parent Company or the Borrower, either (i) in an aggregate principal amount not to exceed $2,500,000 at any one time outstanding or (ii) so long as the proceeds of such loan or advance are substantially contemporaneously contributed (or deemed to have been contributed) to the Borrower for the purchase of such Capital Stock;</w:t>
      </w:r>
    </w:p>
    <w:p>
      <w:pPr>
        <w:spacing w:after="0" w:line="163" w:lineRule="exact"/>
        <w:rPr>
          <w:rFonts w:ascii="Arial" w:cs="Arial" w:eastAsia="Arial" w:hAnsi="Arial"/>
          <w:sz w:val="17"/>
          <w:szCs w:val="17"/>
          <w:color w:val="auto"/>
        </w:rPr>
      </w:pPr>
    </w:p>
    <w:p>
      <w:pPr>
        <w:ind w:left="100" w:right="79" w:firstLine="741"/>
        <w:spacing w:after="0" w:line="261" w:lineRule="auto"/>
        <w:tabs>
          <w:tab w:leader="none" w:pos="1519" w:val="left"/>
        </w:tabs>
        <w:numPr>
          <w:ilvl w:val="0"/>
          <w:numId w:val="268"/>
        </w:numPr>
        <w:rPr>
          <w:rFonts w:ascii="Arial" w:cs="Arial" w:eastAsia="Arial" w:hAnsi="Arial"/>
          <w:sz w:val="19"/>
          <w:szCs w:val="19"/>
          <w:color w:val="auto"/>
        </w:rPr>
      </w:pPr>
      <w:r>
        <w:rPr>
          <w:rFonts w:ascii="Arial" w:cs="Arial" w:eastAsia="Arial" w:hAnsi="Arial"/>
          <w:sz w:val="19"/>
          <w:szCs w:val="19"/>
          <w:color w:val="auto"/>
        </w:rPr>
        <w:t>Investments consisting of extensions of credit in the nature of accounts receivable or notes receivable arising from the grant of trade credit in the ordinary course of business;</w:t>
      </w:r>
    </w:p>
    <w:p>
      <w:pPr>
        <w:spacing w:after="0" w:line="172" w:lineRule="exact"/>
        <w:rPr>
          <w:rFonts w:ascii="Arial" w:cs="Arial" w:eastAsia="Arial" w:hAnsi="Arial"/>
          <w:sz w:val="19"/>
          <w:szCs w:val="19"/>
          <w:color w:val="auto"/>
        </w:rPr>
      </w:pPr>
    </w:p>
    <w:p>
      <w:pPr>
        <w:jc w:val="both"/>
        <w:ind w:left="100" w:right="59" w:firstLine="742"/>
        <w:spacing w:after="0" w:line="283" w:lineRule="auto"/>
        <w:tabs>
          <w:tab w:leader="none" w:pos="152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 xml:space="preserve">Investments consisting of (or resulting from) Indebtedness permitted under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(other than Indebtedness permitted under </w:t>
      </w:r>
      <w:r>
        <w:rPr>
          <w:rFonts w:ascii="Arial" w:cs="Arial" w:eastAsia="Arial" w:hAnsi="Arial"/>
          <w:sz w:val="17"/>
          <w:szCs w:val="17"/>
          <w:u w:val="single" w:color="auto"/>
          <w:color w:val="auto"/>
        </w:rPr>
        <w:t>Sections 6.01(b)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(h)</w:t>
      </w:r>
      <w:r>
        <w:rPr>
          <w:rFonts w:ascii="Arial" w:cs="Arial" w:eastAsia="Arial" w:hAnsi="Arial"/>
          <w:sz w:val="17"/>
          <w:szCs w:val="17"/>
          <w:color w:val="auto"/>
        </w:rPr>
        <w:t xml:space="preserve">), Permitted Liens, Restricted Payments permitted under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6.04(a)(ix)</w:t>
      </w:r>
      <w:r>
        <w:rPr>
          <w:rFonts w:ascii="Arial" w:cs="Arial" w:eastAsia="Arial" w:hAnsi="Arial"/>
          <w:sz w:val="17"/>
          <w:szCs w:val="17"/>
          <w:color w:val="auto"/>
        </w:rPr>
        <w:t xml:space="preserve">), Restricted Debt Payments permitted by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and mergers, consolidations, amalgamations, liquidations, windings up, dissolutions or Dispositions permitted by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6.07(a)</w:t>
      </w:r>
      <w:r>
        <w:rPr>
          <w:rFonts w:ascii="Arial" w:cs="Arial" w:eastAsia="Arial" w:hAnsi="Arial"/>
          <w:sz w:val="17"/>
          <w:szCs w:val="17"/>
          <w:color w:val="auto"/>
        </w:rPr>
        <w:t xml:space="preserve"> (if made in reliance on </w:t>
      </w:r>
      <w:r>
        <w:rPr>
          <w:rFonts w:ascii="Arial" w:cs="Arial" w:eastAsia="Arial" w:hAnsi="Arial"/>
          <w:sz w:val="17"/>
          <w:szCs w:val="17"/>
          <w:u w:val="single" w:color="auto"/>
          <w:color w:val="auto"/>
        </w:rPr>
        <w:t>subclause (ii)(B)</w:t>
      </w:r>
      <w:r>
        <w:rPr>
          <w:rFonts w:ascii="Arial" w:cs="Arial" w:eastAsia="Arial" w:hAnsi="Arial"/>
          <w:sz w:val="17"/>
          <w:szCs w:val="17"/>
          <w:color w:val="auto"/>
        </w:rPr>
        <w:t xml:space="preserve"> of the proviso thereto), </w:t>
      </w:r>
      <w:r>
        <w:rPr>
          <w:rFonts w:ascii="Arial" w:cs="Arial" w:eastAsia="Arial" w:hAnsi="Arial"/>
          <w:sz w:val="17"/>
          <w:szCs w:val="17"/>
          <w:u w:val="single" w:color="auto"/>
          <w:color w:val="auto"/>
        </w:rPr>
        <w:t>Section 6.07(c)(ii)</w:t>
      </w:r>
      <w:r>
        <w:rPr>
          <w:rFonts w:ascii="Arial" w:cs="Arial" w:eastAsia="Arial" w:hAnsi="Arial"/>
          <w:sz w:val="17"/>
          <w:szCs w:val="17"/>
          <w:color w:val="auto"/>
        </w:rPr>
        <w:t xml:space="preserve"> (if made in reliance on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therein) and </w:t>
      </w:r>
      <w:r>
        <w:rPr>
          <w:rFonts w:ascii="Arial" w:cs="Arial" w:eastAsia="Arial" w:hAnsi="Arial"/>
          <w:sz w:val="17"/>
          <w:szCs w:val="17"/>
          <w:u w:val="single" w:color="auto"/>
          <w:color w:val="auto"/>
        </w:rPr>
        <w:t>Section 6.07(g)</w:t>
      </w:r>
      <w:r>
        <w:rPr>
          <w:rFonts w:ascii="Arial" w:cs="Arial" w:eastAsia="Arial" w:hAnsi="Arial"/>
          <w:sz w:val="17"/>
          <w:szCs w:val="17"/>
          <w:color w:val="auto"/>
        </w:rPr>
        <w:t>);</w:t>
      </w:r>
    </w:p>
    <w:p>
      <w:pPr>
        <w:spacing w:after="0" w:line="157" w:lineRule="exact"/>
        <w:rPr>
          <w:rFonts w:ascii="Arial" w:cs="Arial" w:eastAsia="Arial" w:hAnsi="Arial"/>
          <w:sz w:val="17"/>
          <w:szCs w:val="17"/>
          <w:color w:val="auto"/>
        </w:rPr>
      </w:pPr>
    </w:p>
    <w:p>
      <w:pPr>
        <w:jc w:val="both"/>
        <w:ind w:left="100" w:right="59" w:firstLine="741"/>
        <w:spacing w:after="0" w:line="269" w:lineRule="auto"/>
        <w:tabs>
          <w:tab w:leader="none" w:pos="1519"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Investments (i) in the ordinary course of business consisting of endorsements for collection or deposit and customary trade arrangements with customers, (ii) in the ordinary course of business and/or consistent with industry practice consisting of loans or advances made to distributors and/or (iii) consisting of residual equity in any Receivables Subsidiary;</w:t>
      </w:r>
    </w:p>
    <w:p>
      <w:pPr>
        <w:spacing w:after="0" w:line="168" w:lineRule="exact"/>
        <w:rPr>
          <w:rFonts w:ascii="Arial" w:cs="Arial" w:eastAsia="Arial" w:hAnsi="Arial"/>
          <w:sz w:val="18"/>
          <w:szCs w:val="18"/>
          <w:color w:val="auto"/>
        </w:rPr>
      </w:pPr>
    </w:p>
    <w:p>
      <w:pPr>
        <w:jc w:val="both"/>
        <w:ind w:left="100" w:right="59" w:firstLine="741"/>
        <w:spacing w:after="0" w:line="246" w:lineRule="auto"/>
        <w:tabs>
          <w:tab w:leader="none" w:pos="1519" w:val="left"/>
        </w:tabs>
        <w:numPr>
          <w:ilvl w:val="0"/>
          <w:numId w:val="268"/>
        </w:numPr>
        <w:rPr>
          <w:rFonts w:ascii="Arial" w:cs="Arial" w:eastAsia="Arial" w:hAnsi="Arial"/>
          <w:sz w:val="19"/>
          <w:szCs w:val="19"/>
          <w:color w:val="auto"/>
        </w:rPr>
      </w:pPr>
      <w:r>
        <w:rPr>
          <w:rFonts w:ascii="Arial" w:cs="Arial" w:eastAsia="Arial" w:hAnsi="Arial"/>
          <w:sz w:val="19"/>
          <w:szCs w:val="19"/>
          <w:color w:val="auto"/>
        </w:rPr>
        <w:t>Investments (including debt obligations and Capital Stock) received (i) in connection with the bankruptcy or reorganization of any Person, (ii) in settlement of delinquent obligations of, or other disputes with, customers, suppliers and other account debtors arising in the ordinary course of business, (iii) upon foreclosure with respect to any secured Investment or other transfer of title with respect to any secured Investment and/or (iv) as a result of the settlement, compromise, resolution of litigation, arbitration or other disputes;</w:t>
      </w:r>
    </w:p>
    <w:p>
      <w:pPr>
        <w:spacing w:after="0" w:line="189" w:lineRule="exact"/>
        <w:rPr>
          <w:rFonts w:ascii="Arial" w:cs="Arial" w:eastAsia="Arial" w:hAnsi="Arial"/>
          <w:sz w:val="19"/>
          <w:szCs w:val="19"/>
          <w:color w:val="auto"/>
        </w:rPr>
      </w:pPr>
    </w:p>
    <w:p>
      <w:pPr>
        <w:jc w:val="both"/>
        <w:ind w:left="100" w:right="59" w:firstLine="741"/>
        <w:spacing w:after="0" w:line="245" w:lineRule="auto"/>
        <w:tabs>
          <w:tab w:leader="none" w:pos="1520" w:val="left"/>
        </w:tabs>
        <w:numPr>
          <w:ilvl w:val="0"/>
          <w:numId w:val="268"/>
        </w:numPr>
        <w:rPr>
          <w:rFonts w:ascii="Arial" w:cs="Arial" w:eastAsia="Arial" w:hAnsi="Arial"/>
          <w:sz w:val="19"/>
          <w:szCs w:val="19"/>
          <w:color w:val="auto"/>
        </w:rPr>
      </w:pPr>
      <w:r>
        <w:rPr>
          <w:rFonts w:ascii="Arial" w:cs="Arial" w:eastAsia="Arial" w:hAnsi="Arial"/>
          <w:sz w:val="19"/>
          <w:szCs w:val="19"/>
          <w:color w:val="auto"/>
        </w:rPr>
        <w:t>loans and advances of payroll payments or other compensation (including deferred compensation) to present or former employees, directors, members of management, officers, managers or consultants of any Parent Company (to the extent such payments or other compensation relate to services provided to such Parent Company (but excluding, for the avoidance of doubt, the portion of any such amount,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153</w:t>
      </w:r>
      <w:r>
        <w:rPr>
          <w:rFonts w:ascii="Arial" w:cs="Arial" w:eastAsia="Arial" w:hAnsi="Arial"/>
          <w:sz w:val="18"/>
          <w:szCs w:val="18"/>
          <w:u w:val="single" w:color="auto"/>
          <w:color w:val="0000FF"/>
          <w:strike w:val="1"/>
        </w:rPr>
        <w:t>153</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21" w:name="page222"/>
    <w:bookmarkEnd w:id="221"/>
    <w:p>
      <w:pPr>
        <w:ind w:left="100" w:right="500"/>
        <w:spacing w:after="0" w:line="261" w:lineRule="auto"/>
        <w:rPr>
          <w:sz w:val="20"/>
          <w:szCs w:val="20"/>
          <w:color w:val="auto"/>
        </w:rPr>
      </w:pPr>
      <w:r>
        <w:rPr>
          <w:rFonts w:ascii="Arial" w:cs="Arial" w:eastAsia="Arial" w:hAnsi="Arial"/>
          <w:sz w:val="19"/>
          <w:szCs w:val="19"/>
          <w:color w:val="auto"/>
        </w:rPr>
        <w:t>if any, attributable to the ownership or operations of any subsidiary of any Parent Company other than the Borrower and/or its subsidiaries)), the Borrower and/or any subsidiary in the ordinary course of business;</w:t>
      </w:r>
    </w:p>
    <w:p>
      <w:pPr>
        <w:spacing w:after="0" w:line="159" w:lineRule="exact"/>
        <w:rPr>
          <w:sz w:val="20"/>
          <w:szCs w:val="20"/>
          <w:color w:val="auto"/>
        </w:rPr>
      </w:pPr>
    </w:p>
    <w:p>
      <w:pPr>
        <w:jc w:val="both"/>
        <w:ind w:left="100" w:right="60" w:firstLine="741"/>
        <w:spacing w:after="0" w:line="243" w:lineRule="auto"/>
        <w:tabs>
          <w:tab w:leader="none" w:pos="1520" w:val="left"/>
        </w:tabs>
        <w:numPr>
          <w:ilvl w:val="0"/>
          <w:numId w:val="269"/>
        </w:numPr>
        <w:rPr>
          <w:rFonts w:ascii="Arial" w:cs="Arial" w:eastAsia="Arial" w:hAnsi="Arial"/>
          <w:sz w:val="19"/>
          <w:szCs w:val="19"/>
          <w:color w:val="auto"/>
        </w:rPr>
      </w:pPr>
      <w:r>
        <w:rPr>
          <w:rFonts w:ascii="Arial" w:cs="Arial" w:eastAsia="Arial" w:hAnsi="Arial"/>
          <w:sz w:val="19"/>
          <w:szCs w:val="19"/>
          <w:color w:val="auto"/>
        </w:rPr>
        <w:t xml:space="preserve">Investments to the extent that payment therefor is made with Capital Stock of any Parent Company or Qualified Capital Stock of the Borrower or any Restricted Subsidiary that are Not Otherwise Applied, in each case, to the extent not resulting in a Change of Control;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connection with any such Investment, any payment (or portion thereof) not made with Capital Stock of any Parent Company or Qualified Capital Stock of the Borrower or any Restricted Subsidiary must otherwise be permitted under this </w:t>
      </w:r>
      <w:r>
        <w:rPr>
          <w:rFonts w:ascii="Arial" w:cs="Arial" w:eastAsia="Arial" w:hAnsi="Arial"/>
          <w:sz w:val="19"/>
          <w:szCs w:val="19"/>
          <w:u w:val="single" w:color="auto"/>
          <w:color w:val="auto"/>
        </w:rPr>
        <w:t>Section 6.06</w:t>
      </w:r>
      <w:r>
        <w:rPr>
          <w:rFonts w:ascii="Arial" w:cs="Arial" w:eastAsia="Arial" w:hAnsi="Arial"/>
          <w:sz w:val="19"/>
          <w:szCs w:val="19"/>
          <w:color w:val="auto"/>
        </w:rPr>
        <w:t>;</w:t>
      </w:r>
    </w:p>
    <w:p>
      <w:pPr>
        <w:spacing w:after="0" w:line="189" w:lineRule="exact"/>
        <w:rPr>
          <w:rFonts w:ascii="Arial" w:cs="Arial" w:eastAsia="Arial" w:hAnsi="Arial"/>
          <w:sz w:val="19"/>
          <w:szCs w:val="19"/>
          <w:color w:val="auto"/>
        </w:rPr>
      </w:pPr>
    </w:p>
    <w:p>
      <w:pPr>
        <w:jc w:val="both"/>
        <w:ind w:left="100" w:right="60" w:firstLine="742"/>
        <w:spacing w:after="0" w:line="277" w:lineRule="auto"/>
        <w:tabs>
          <w:tab w:leader="none" w:pos="152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 xml:space="preserve">(i) Investments of any Restricted Subsidiary acquired after the Closing Date, or of any Person acquired by, or merged into or consolidated or amalgamated with, the Borrower or any Restricted Subsidiary after the Closing Date, in each case as part of an Investment otherwise permitted by this </w:t>
      </w:r>
      <w:r>
        <w:rPr>
          <w:rFonts w:ascii="Arial" w:cs="Arial" w:eastAsia="Arial" w:hAnsi="Arial"/>
          <w:sz w:val="17"/>
          <w:szCs w:val="17"/>
          <w:u w:val="single" w:color="auto"/>
          <w:color w:val="auto"/>
        </w:rPr>
        <w:t>Section 6.06</w:t>
      </w:r>
      <w:r>
        <w:rPr>
          <w:rFonts w:ascii="Arial" w:cs="Arial" w:eastAsia="Arial" w:hAnsi="Arial"/>
          <w:sz w:val="17"/>
          <w:szCs w:val="17"/>
          <w:color w:val="auto"/>
        </w:rPr>
        <w:t xml:space="preserve"> to the extent that such acquired Investments were not made in contemplation of or in connection with such acquisition, merger, amalgamation or consolidation and were in existence on the date of the relevant acquisition, merger, amalgamation or consolidation and (ii) any modification, replacement, renewal or extension of any Investment permitted under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6.06(o)</w:t>
      </w:r>
      <w:r>
        <w:rPr>
          <w:rFonts w:ascii="Arial" w:cs="Arial" w:eastAsia="Arial" w:hAnsi="Arial"/>
          <w:sz w:val="17"/>
          <w:szCs w:val="17"/>
          <w:color w:val="auto"/>
        </w:rPr>
        <w:t xml:space="preserve"> so long as no such modification, replacement, renewal or extension thereof increases the original amount of such Investment, except as otherwise permitted by this </w:t>
      </w:r>
      <w:r>
        <w:rPr>
          <w:rFonts w:ascii="Arial" w:cs="Arial" w:eastAsia="Arial" w:hAnsi="Arial"/>
          <w:sz w:val="17"/>
          <w:szCs w:val="17"/>
          <w:u w:val="single" w:color="auto"/>
          <w:color w:val="auto"/>
        </w:rPr>
        <w:t>Section 6.06</w:t>
      </w:r>
      <w:r>
        <w:rPr>
          <w:rFonts w:ascii="Arial" w:cs="Arial" w:eastAsia="Arial" w:hAnsi="Arial"/>
          <w:sz w:val="17"/>
          <w:szCs w:val="17"/>
          <w:color w:val="auto"/>
        </w:rPr>
        <w:t>;</w:t>
      </w:r>
    </w:p>
    <w:p>
      <w:pPr>
        <w:spacing w:after="0" w:line="162" w:lineRule="exact"/>
        <w:rPr>
          <w:rFonts w:ascii="Arial" w:cs="Arial" w:eastAsia="Arial" w:hAnsi="Arial"/>
          <w:sz w:val="17"/>
          <w:szCs w:val="17"/>
          <w:color w:val="auto"/>
        </w:rPr>
      </w:pPr>
    </w:p>
    <w:p>
      <w:pPr>
        <w:ind w:left="1600" w:hanging="758"/>
        <w:spacing w:after="0"/>
        <w:tabs>
          <w:tab w:leader="none" w:pos="1600" w:val="left"/>
        </w:tabs>
        <w:numPr>
          <w:ilvl w:val="0"/>
          <w:numId w:val="269"/>
        </w:numPr>
        <w:rPr>
          <w:rFonts w:ascii="Arial" w:cs="Arial" w:eastAsia="Arial" w:hAnsi="Arial"/>
          <w:sz w:val="19"/>
          <w:szCs w:val="19"/>
          <w:color w:val="auto"/>
        </w:rPr>
      </w:pPr>
      <w:r>
        <w:rPr>
          <w:rFonts w:ascii="Arial" w:cs="Arial" w:eastAsia="Arial" w:hAnsi="Arial"/>
          <w:sz w:val="19"/>
          <w:szCs w:val="19"/>
          <w:color w:val="auto"/>
        </w:rPr>
        <w:t>Investments made in connection with the Transactions;</w:t>
      </w:r>
    </w:p>
    <w:p>
      <w:pPr>
        <w:spacing w:after="0" w:line="213" w:lineRule="exact"/>
        <w:rPr>
          <w:rFonts w:ascii="Arial" w:cs="Arial" w:eastAsia="Arial" w:hAnsi="Arial"/>
          <w:sz w:val="19"/>
          <w:szCs w:val="19"/>
          <w:color w:val="auto"/>
        </w:rPr>
      </w:pPr>
    </w:p>
    <w:p>
      <w:pPr>
        <w:ind w:left="100" w:right="60" w:firstLine="742"/>
        <w:spacing w:after="0" w:line="261" w:lineRule="auto"/>
        <w:tabs>
          <w:tab w:leader="none" w:pos="1520" w:val="left"/>
        </w:tabs>
        <w:numPr>
          <w:ilvl w:val="0"/>
          <w:numId w:val="269"/>
        </w:numPr>
        <w:rPr>
          <w:rFonts w:ascii="Arial" w:cs="Arial" w:eastAsia="Arial" w:hAnsi="Arial"/>
          <w:sz w:val="19"/>
          <w:szCs w:val="19"/>
          <w:color w:val="auto"/>
        </w:rPr>
      </w:pPr>
      <w:r>
        <w:rPr>
          <w:rFonts w:ascii="Arial" w:cs="Arial" w:eastAsia="Arial" w:hAnsi="Arial"/>
          <w:sz w:val="19"/>
          <w:szCs w:val="19"/>
          <w:color w:val="auto"/>
        </w:rPr>
        <w:t>Investments made after the Closing Date by the Borrower and/or any of its Restricted Subsidiaries in an aggregate amount at any time outstanding not to exceed:</w:t>
      </w:r>
    </w:p>
    <w:p>
      <w:pPr>
        <w:spacing w:after="0" w:line="172" w:lineRule="exact"/>
        <w:rPr>
          <w:rFonts w:ascii="Arial" w:cs="Arial" w:eastAsia="Arial" w:hAnsi="Arial"/>
          <w:sz w:val="19"/>
          <w:szCs w:val="19"/>
          <w:color w:val="auto"/>
        </w:rPr>
      </w:pPr>
    </w:p>
    <w:p>
      <w:pPr>
        <w:jc w:val="both"/>
        <w:ind w:left="840" w:firstLine="751"/>
        <w:spacing w:after="0" w:line="275" w:lineRule="auto"/>
        <w:tabs>
          <w:tab w:leader="none" w:pos="2370" w:val="left"/>
        </w:tabs>
        <w:numPr>
          <w:ilvl w:val="1"/>
          <w:numId w:val="269"/>
        </w:numPr>
        <w:rPr>
          <w:rFonts w:ascii="Arial" w:cs="Arial" w:eastAsia="Arial" w:hAnsi="Arial"/>
          <w:sz w:val="17"/>
          <w:szCs w:val="17"/>
          <w:color w:val="auto"/>
        </w:rPr>
      </w:pPr>
      <w:r>
        <w:rPr>
          <w:rFonts w:ascii="Arial" w:cs="Arial" w:eastAsia="Arial" w:hAnsi="Arial"/>
          <w:sz w:val="17"/>
          <w:szCs w:val="17"/>
          <w:color w:val="auto"/>
        </w:rPr>
        <w:t xml:space="preserve">so long as no Event of Default under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(g)</w:t>
      </w:r>
      <w:r>
        <w:rPr>
          <w:rFonts w:ascii="Arial" w:cs="Arial" w:eastAsia="Arial" w:hAnsi="Arial"/>
          <w:sz w:val="17"/>
          <w:szCs w:val="17"/>
          <w:color w:val="auto"/>
        </w:rPr>
        <w:t xml:space="preserve"> exists, (A) the greater of $30,000,000 and 35% of Consolidated Adjusted EBITDA as of the last day of the most recently ended Test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at the election of the Borrower, the amount of Restricted Payments then permitted to be made by the Borrower in reliance on </w:t>
      </w:r>
      <w:r>
        <w:rPr>
          <w:rFonts w:ascii="Arial" w:cs="Arial" w:eastAsia="Arial" w:hAnsi="Arial"/>
          <w:sz w:val="17"/>
          <w:szCs w:val="17"/>
          <w:u w:val="single" w:color="auto"/>
          <w:color w:val="auto"/>
        </w:rPr>
        <w:t>Section 6.04(a)(x)</w:t>
      </w:r>
      <w:r>
        <w:rPr>
          <w:rFonts w:ascii="Arial" w:cs="Arial" w:eastAsia="Arial" w:hAnsi="Arial"/>
          <w:sz w:val="17"/>
          <w:szCs w:val="17"/>
          <w:color w:val="auto"/>
        </w:rPr>
        <w:t xml:space="preserve"> (it being understood that any amount utilized under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to make an Investment shall result in a reduction in the amount available under </w:t>
      </w:r>
      <w:r>
        <w:rPr>
          <w:rFonts w:ascii="Arial" w:cs="Arial" w:eastAsia="Arial" w:hAnsi="Arial"/>
          <w:sz w:val="17"/>
          <w:szCs w:val="17"/>
          <w:u w:val="single" w:color="auto"/>
          <w:color w:val="auto"/>
        </w:rPr>
        <w:t>Section 6.04(a)(x)</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(C) at the election of the Borrower, the amount of Restricted Debt Payments then permitted to be made by the Borrower or any Restricted Subsidiary in reliance on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6.04(b)(iv)(A)</w:t>
      </w:r>
      <w:r>
        <w:rPr>
          <w:rFonts w:ascii="Arial" w:cs="Arial" w:eastAsia="Arial" w:hAnsi="Arial"/>
          <w:sz w:val="17"/>
          <w:szCs w:val="17"/>
          <w:color w:val="auto"/>
        </w:rPr>
        <w:t xml:space="preserve"> (it being understood that any amount utilized under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to make an Investment shall result in a reduction in the amount available under </w:t>
      </w:r>
      <w:r>
        <w:rPr>
          <w:rFonts w:ascii="Arial" w:cs="Arial" w:eastAsia="Arial" w:hAnsi="Arial"/>
          <w:sz w:val="17"/>
          <w:szCs w:val="17"/>
          <w:u w:val="single" w:color="auto"/>
          <w:color w:val="auto"/>
        </w:rPr>
        <w:t>Section 6.04(b)(iv)(A)</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p>
    <w:p>
      <w:pPr>
        <w:spacing w:after="0" w:line="246" w:lineRule="exact"/>
        <w:rPr>
          <w:rFonts w:ascii="Arial" w:cs="Arial" w:eastAsia="Arial" w:hAnsi="Arial"/>
          <w:sz w:val="17"/>
          <w:szCs w:val="17"/>
          <w:color w:val="auto"/>
        </w:rPr>
      </w:pPr>
    </w:p>
    <w:p>
      <w:pPr>
        <w:jc w:val="both"/>
        <w:ind w:left="840" w:right="60" w:firstLine="751"/>
        <w:spacing w:after="0" w:line="245" w:lineRule="auto"/>
        <w:tabs>
          <w:tab w:leader="none" w:pos="2366" w:val="left"/>
        </w:tabs>
        <w:numPr>
          <w:ilvl w:val="1"/>
          <w:numId w:val="269"/>
        </w:numPr>
        <w:rPr>
          <w:rFonts w:ascii="Arial" w:cs="Arial" w:eastAsia="Arial" w:hAnsi="Arial"/>
          <w:sz w:val="19"/>
          <w:szCs w:val="19"/>
          <w:color w:val="auto"/>
        </w:rPr>
      </w:pPr>
      <w:r>
        <w:rPr>
          <w:rFonts w:ascii="Arial" w:cs="Arial" w:eastAsia="Arial" w:hAnsi="Arial"/>
          <w:sz w:val="19"/>
          <w:szCs w:val="19"/>
          <w:color w:val="auto"/>
        </w:rPr>
        <w:t>in the event that (A) the Borrower or any of its Restricted Subsidiaries makes any Investment after the Closing Date in any Person that is not a Restricted Subsidiary and (B) such Person subsequently becomes a Restricted Subsidiary, an amount equal to 100% of the fair market value of such Investment as of the date on which such Person becomes a Restricted Subsidiary;</w:t>
      </w:r>
    </w:p>
    <w:p>
      <w:pPr>
        <w:spacing w:after="0" w:line="187" w:lineRule="exact"/>
        <w:rPr>
          <w:rFonts w:ascii="Arial" w:cs="Arial" w:eastAsia="Arial" w:hAnsi="Arial"/>
          <w:sz w:val="19"/>
          <w:szCs w:val="19"/>
          <w:color w:val="auto"/>
        </w:rPr>
      </w:pPr>
    </w:p>
    <w:p>
      <w:pPr>
        <w:jc w:val="both"/>
        <w:ind w:left="100" w:right="40" w:firstLine="741"/>
        <w:spacing w:after="0" w:line="250" w:lineRule="auto"/>
        <w:tabs>
          <w:tab w:leader="none" w:pos="1521" w:val="left"/>
        </w:tabs>
        <w:numPr>
          <w:ilvl w:val="0"/>
          <w:numId w:val="269"/>
        </w:numPr>
        <w:rPr>
          <w:rFonts w:ascii="Arial" w:cs="Arial" w:eastAsia="Arial" w:hAnsi="Arial"/>
          <w:sz w:val="19"/>
          <w:szCs w:val="19"/>
          <w:color w:val="auto"/>
        </w:rPr>
      </w:pPr>
      <w:r>
        <w:rPr>
          <w:rFonts w:ascii="Arial" w:cs="Arial" w:eastAsia="Arial" w:hAnsi="Arial"/>
          <w:sz w:val="19"/>
          <w:szCs w:val="19"/>
          <w:color w:val="auto"/>
        </w:rPr>
        <w:t xml:space="preserve">Investments made after the Closing Date by the Borrower and/or any of its Restricted Subsidiaries in an aggregate outstanding amount not to exceed (i) the portion, if any, of the Available Amount on such date that the Borrower elects to apply to this </w:t>
      </w:r>
      <w:r>
        <w:rPr>
          <w:rFonts w:ascii="Arial" w:cs="Arial" w:eastAsia="Arial" w:hAnsi="Arial"/>
          <w:sz w:val="19"/>
          <w:szCs w:val="19"/>
          <w:u w:val="single" w:color="auto"/>
          <w:color w:val="auto"/>
        </w:rPr>
        <w:t>clause (r)(i)</w:t>
      </w:r>
      <w:r>
        <w:rPr>
          <w:rFonts w:ascii="Arial" w:cs="Arial" w:eastAsia="Arial" w:hAnsi="Arial"/>
          <w:sz w:val="19"/>
          <w:szCs w:val="19"/>
          <w:color w:val="auto"/>
        </w:rPr>
        <w:t xml:space="preserve"> and/or (ii) the portion, if any, of the Available Excluded Contribution Amount on such date that the Borrower elects to apply to this </w:t>
      </w:r>
      <w:r>
        <w:rPr>
          <w:rFonts w:ascii="Arial" w:cs="Arial" w:eastAsia="Arial" w:hAnsi="Arial"/>
          <w:sz w:val="19"/>
          <w:szCs w:val="19"/>
          <w:u w:val="single" w:color="auto"/>
          <w:color w:val="auto"/>
        </w:rPr>
        <w:t>clause (r)(ii)</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jc w:val="both"/>
        <w:ind w:left="100" w:right="60" w:firstLine="742"/>
        <w:spacing w:after="0" w:line="249" w:lineRule="auto"/>
        <w:tabs>
          <w:tab w:leader="none" w:pos="1520" w:val="left"/>
        </w:tabs>
        <w:numPr>
          <w:ilvl w:val="0"/>
          <w:numId w:val="269"/>
        </w:numPr>
        <w:rPr>
          <w:rFonts w:ascii="Arial" w:cs="Arial" w:eastAsia="Arial" w:hAnsi="Arial"/>
          <w:sz w:val="19"/>
          <w:szCs w:val="19"/>
          <w:color w:val="auto"/>
        </w:rPr>
      </w:pPr>
      <w:r>
        <w:rPr>
          <w:rFonts w:ascii="Arial" w:cs="Arial" w:eastAsia="Arial" w:hAnsi="Arial"/>
          <w:sz w:val="19"/>
          <w:szCs w:val="19"/>
          <w:color w:val="auto"/>
        </w:rPr>
        <w:t>(i) Guarantees of leases (other than Capital Leases) or of other obligations not constituting Indebtedness and (ii) Guarantees of the lease obligations of suppliers, customers, franchisees and licensees of the Borrower and/or its Restricted Subsidiaries, in each case, in the ordinary course of business;</w:t>
      </w:r>
    </w:p>
    <w:p>
      <w:pPr>
        <w:spacing w:after="0" w:line="183" w:lineRule="exact"/>
        <w:rPr>
          <w:rFonts w:ascii="Arial" w:cs="Arial" w:eastAsia="Arial" w:hAnsi="Arial"/>
          <w:sz w:val="19"/>
          <w:szCs w:val="19"/>
          <w:color w:val="auto"/>
        </w:rPr>
      </w:pPr>
    </w:p>
    <w:p>
      <w:pPr>
        <w:ind w:left="100" w:right="60" w:firstLine="742"/>
        <w:spacing w:after="0" w:line="261" w:lineRule="auto"/>
        <w:tabs>
          <w:tab w:leader="none" w:pos="1520" w:val="left"/>
        </w:tabs>
        <w:numPr>
          <w:ilvl w:val="0"/>
          <w:numId w:val="269"/>
        </w:numPr>
        <w:rPr>
          <w:rFonts w:ascii="Arial" w:cs="Arial" w:eastAsia="Arial" w:hAnsi="Arial"/>
          <w:sz w:val="19"/>
          <w:szCs w:val="19"/>
          <w:color w:val="auto"/>
        </w:rPr>
      </w:pPr>
      <w:r>
        <w:rPr>
          <w:rFonts w:ascii="Arial" w:cs="Arial" w:eastAsia="Arial" w:hAnsi="Arial"/>
          <w:sz w:val="19"/>
          <w:szCs w:val="19"/>
          <w:color w:val="auto"/>
        </w:rPr>
        <w:t xml:space="preserve">Investments in any Parent Company in amounts and for purposes for which Restricted Payments to such Parent Company are permitted under </w:t>
      </w:r>
      <w:r>
        <w:rPr>
          <w:rFonts w:ascii="Arial" w:cs="Arial" w:eastAsia="Arial" w:hAnsi="Arial"/>
          <w:sz w:val="19"/>
          <w:szCs w:val="19"/>
          <w:u w:val="single" w:color="auto"/>
          <w:color w:val="auto"/>
        </w:rPr>
        <w:t>Section 6.04(a)</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6.04(a)(i)(F)</w:t>
      </w:r>
      <w:r>
        <w:rPr>
          <w:rFonts w:ascii="Arial" w:cs="Arial" w:eastAsia="Arial" w:hAnsi="Arial"/>
          <w:sz w:val="19"/>
          <w:szCs w:val="19"/>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154</w:t>
      </w:r>
      <w:r>
        <w:rPr>
          <w:rFonts w:ascii="Arial" w:cs="Arial" w:eastAsia="Arial" w:hAnsi="Arial"/>
          <w:sz w:val="18"/>
          <w:szCs w:val="18"/>
          <w:u w:val="single" w:color="auto"/>
          <w:color w:val="0000FF"/>
          <w:strike w:val="1"/>
        </w:rPr>
        <w:t>154</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85" w:right="1439" w:bottom="1440" w:gutter="0" w:footer="0" w:header="0"/>
        </w:sectPr>
      </w:pPr>
    </w:p>
    <w:bookmarkStart w:id="222" w:name="page223"/>
    <w:bookmarkEnd w:id="222"/>
    <w:p>
      <w:pPr>
        <w:ind w:left="100" w:right="359"/>
        <w:spacing w:after="0" w:line="261"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Investment made as provided above in lieu of any such Restricted Payment shall reduce availability under the applicable Restricted Payment basket under Section 6.04(a);</w:t>
      </w:r>
    </w:p>
    <w:p>
      <w:pPr>
        <w:spacing w:after="0" w:line="159" w:lineRule="exact"/>
        <w:rPr>
          <w:sz w:val="20"/>
          <w:szCs w:val="20"/>
          <w:color w:val="auto"/>
        </w:rPr>
      </w:pPr>
    </w:p>
    <w:p>
      <w:pPr>
        <w:ind w:left="100" w:right="59" w:firstLine="741"/>
        <w:spacing w:after="0" w:line="261" w:lineRule="auto"/>
        <w:tabs>
          <w:tab w:leader="none" w:pos="1520" w:val="left"/>
        </w:tabs>
        <w:numPr>
          <w:ilvl w:val="0"/>
          <w:numId w:val="270"/>
        </w:numPr>
        <w:rPr>
          <w:rFonts w:ascii="Arial" w:cs="Arial" w:eastAsia="Arial" w:hAnsi="Arial"/>
          <w:sz w:val="19"/>
          <w:szCs w:val="19"/>
          <w:color w:val="auto"/>
        </w:rPr>
      </w:pPr>
      <w:r>
        <w:rPr>
          <w:rFonts w:ascii="Arial" w:cs="Arial" w:eastAsia="Arial" w:hAnsi="Arial"/>
          <w:sz w:val="19"/>
          <w:szCs w:val="19"/>
          <w:color w:val="auto"/>
        </w:rPr>
        <w:t>Investments in Similar Businesses in an aggregate outstanding amount not to exceed the greater of $30,000,000 and 35% of Consolidated Adjusted EBITDA as of the last day of the most recently ended Test Period;</w:t>
      </w:r>
    </w:p>
    <w:p>
      <w:pPr>
        <w:spacing w:after="0" w:line="172" w:lineRule="exact"/>
        <w:rPr>
          <w:rFonts w:ascii="Arial" w:cs="Arial" w:eastAsia="Arial" w:hAnsi="Arial"/>
          <w:sz w:val="19"/>
          <w:szCs w:val="19"/>
          <w:color w:val="auto"/>
        </w:rPr>
      </w:pPr>
    </w:p>
    <w:p>
      <w:pPr>
        <w:jc w:val="both"/>
        <w:ind w:left="100" w:right="59" w:firstLine="741"/>
        <w:spacing w:after="0" w:line="263" w:lineRule="auto"/>
        <w:tabs>
          <w:tab w:leader="none" w:pos="15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Investments in the Borrower and/or any Restricted Subsidiary in connection with internal reorganizations and/or restructurings and/or activities related to tax planning; provided, that, after giving effect to any such reorganization, restructuring or activity, in the good faith determination of the Borrower, neither the Loan Guaranty, taken as a whole, nor the security interest of the Administrative Agent in the Collateral, taken as a whole, is materially impaired;</w:t>
      </w:r>
    </w:p>
    <w:p>
      <w:pPr>
        <w:spacing w:after="0" w:line="172" w:lineRule="exact"/>
        <w:rPr>
          <w:rFonts w:ascii="Arial" w:cs="Arial" w:eastAsia="Arial" w:hAnsi="Arial"/>
          <w:sz w:val="18"/>
          <w:szCs w:val="18"/>
          <w:color w:val="auto"/>
        </w:rPr>
      </w:pPr>
    </w:p>
    <w:p>
      <w:pPr>
        <w:ind w:left="1600" w:hanging="758"/>
        <w:spacing w:after="0"/>
        <w:tabs>
          <w:tab w:leader="none" w:pos="1600" w:val="left"/>
        </w:tabs>
        <w:numPr>
          <w:ilvl w:val="0"/>
          <w:numId w:val="270"/>
        </w:numPr>
        <w:rPr>
          <w:rFonts w:ascii="Arial" w:cs="Arial" w:eastAsia="Arial" w:hAnsi="Arial"/>
          <w:sz w:val="19"/>
          <w:szCs w:val="19"/>
          <w:color w:val="auto"/>
        </w:rPr>
      </w:pPr>
      <w:r>
        <w:rPr>
          <w:rFonts w:ascii="Arial" w:cs="Arial" w:eastAsia="Arial" w:hAnsi="Arial"/>
          <w:sz w:val="19"/>
          <w:szCs w:val="19"/>
          <w:color w:val="auto"/>
        </w:rPr>
        <w:t xml:space="preserve">Investments under Derivative Transactions of the type permitted under </w:t>
      </w:r>
      <w:r>
        <w:rPr>
          <w:rFonts w:ascii="Arial" w:cs="Arial" w:eastAsia="Arial" w:hAnsi="Arial"/>
          <w:sz w:val="19"/>
          <w:szCs w:val="19"/>
          <w:u w:val="single" w:color="auto"/>
          <w:color w:val="auto"/>
        </w:rPr>
        <w:t>Section 6.01(s)</w:t>
      </w:r>
      <w:r>
        <w:rPr>
          <w:rFonts w:ascii="Arial" w:cs="Arial" w:eastAsia="Arial" w:hAnsi="Arial"/>
          <w:sz w:val="19"/>
          <w:szCs w:val="19"/>
          <w:color w:val="auto"/>
        </w:rPr>
        <w:t>;</w:t>
      </w:r>
    </w:p>
    <w:p>
      <w:pPr>
        <w:spacing w:after="0" w:line="227" w:lineRule="exact"/>
        <w:rPr>
          <w:rFonts w:ascii="Arial" w:cs="Arial" w:eastAsia="Arial" w:hAnsi="Arial"/>
          <w:sz w:val="19"/>
          <w:szCs w:val="19"/>
          <w:color w:val="auto"/>
        </w:rPr>
      </w:pPr>
    </w:p>
    <w:p>
      <w:pPr>
        <w:ind w:left="1600" w:hanging="758"/>
        <w:spacing w:after="0"/>
        <w:tabs>
          <w:tab w:leader="none" w:pos="1600" w:val="left"/>
        </w:tabs>
        <w:numPr>
          <w:ilvl w:val="0"/>
          <w:numId w:val="270"/>
        </w:numPr>
        <w:rPr>
          <w:rFonts w:ascii="Arial" w:cs="Arial" w:eastAsia="Arial" w:hAnsi="Arial"/>
          <w:sz w:val="19"/>
          <w:szCs w:val="19"/>
          <w:color w:val="auto"/>
        </w:rPr>
      </w:pPr>
      <w:r>
        <w:rPr>
          <w:rFonts w:ascii="Arial" w:cs="Arial" w:eastAsia="Arial" w:hAnsi="Arial"/>
          <w:sz w:val="19"/>
          <w:szCs w:val="19"/>
          <w:color w:val="auto"/>
        </w:rPr>
        <w:t>[reserved];</w:t>
      </w:r>
    </w:p>
    <w:p>
      <w:pPr>
        <w:spacing w:after="0" w:line="213" w:lineRule="exact"/>
        <w:rPr>
          <w:rFonts w:ascii="Arial" w:cs="Arial" w:eastAsia="Arial" w:hAnsi="Arial"/>
          <w:sz w:val="19"/>
          <w:szCs w:val="19"/>
          <w:color w:val="auto"/>
        </w:rPr>
      </w:pPr>
    </w:p>
    <w:p>
      <w:pPr>
        <w:jc w:val="both"/>
        <w:ind w:left="100" w:right="59" w:firstLine="741"/>
        <w:spacing w:after="0" w:line="249" w:lineRule="auto"/>
        <w:tabs>
          <w:tab w:leader="none" w:pos="1519" w:val="left"/>
        </w:tabs>
        <w:numPr>
          <w:ilvl w:val="0"/>
          <w:numId w:val="270"/>
        </w:numPr>
        <w:rPr>
          <w:rFonts w:ascii="Arial" w:cs="Arial" w:eastAsia="Arial" w:hAnsi="Arial"/>
          <w:sz w:val="19"/>
          <w:szCs w:val="19"/>
          <w:color w:val="auto"/>
        </w:rPr>
      </w:pPr>
      <w:r>
        <w:rPr>
          <w:rFonts w:ascii="Arial" w:cs="Arial" w:eastAsia="Arial" w:hAnsi="Arial"/>
          <w:sz w:val="19"/>
          <w:szCs w:val="19"/>
          <w:color w:val="auto"/>
        </w:rPr>
        <w:t>Investments made in joint ventures as required by, or made pursuant to, customary buy/sell arrangements between the joint venture parties set forth in joint venture agreements and similar binding arrangements entered into in the ordinary course of business;</w:t>
      </w:r>
    </w:p>
    <w:p>
      <w:pPr>
        <w:spacing w:after="0" w:line="183" w:lineRule="exact"/>
        <w:rPr>
          <w:rFonts w:ascii="Arial" w:cs="Arial" w:eastAsia="Arial" w:hAnsi="Arial"/>
          <w:sz w:val="19"/>
          <w:szCs w:val="19"/>
          <w:color w:val="auto"/>
        </w:rPr>
      </w:pPr>
    </w:p>
    <w:p>
      <w:pPr>
        <w:jc w:val="both"/>
        <w:ind w:left="100" w:right="59" w:firstLine="741"/>
        <w:spacing w:after="0" w:line="269" w:lineRule="auto"/>
        <w:tabs>
          <w:tab w:leader="none" w:pos="15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Investments made in connection with any nonqualified deferred compensation plan or arrangement for any present or former employee, director, member of management, officer, manager or consultant or independent contractor (or any Immediate Family Member thereof) of any Parent Company, the Borrower, its subsidiaries and/or any joint venture;</w:t>
      </w:r>
    </w:p>
    <w:p>
      <w:pPr>
        <w:spacing w:after="0" w:line="168" w:lineRule="exact"/>
        <w:rPr>
          <w:rFonts w:ascii="Arial" w:cs="Arial" w:eastAsia="Arial" w:hAnsi="Arial"/>
          <w:sz w:val="18"/>
          <w:szCs w:val="18"/>
          <w:color w:val="auto"/>
        </w:rPr>
      </w:pPr>
    </w:p>
    <w:p>
      <w:pPr>
        <w:ind w:left="100" w:right="59" w:firstLine="741"/>
        <w:spacing w:after="0" w:line="246" w:lineRule="auto"/>
        <w:tabs>
          <w:tab w:leader="none" w:pos="1259" w:val="left"/>
        </w:tabs>
        <w:numPr>
          <w:ilvl w:val="0"/>
          <w:numId w:val="270"/>
        </w:numPr>
        <w:rPr>
          <w:rFonts w:ascii="Arial" w:cs="Arial" w:eastAsia="Arial" w:hAnsi="Arial"/>
          <w:sz w:val="19"/>
          <w:szCs w:val="19"/>
          <w:color w:val="auto"/>
        </w:rPr>
      </w:pPr>
      <w:r>
        <w:rPr>
          <w:rFonts w:ascii="Arial" w:cs="Arial" w:eastAsia="Arial" w:hAnsi="Arial"/>
          <w:sz w:val="19"/>
          <w:szCs w:val="19"/>
          <w:color w:val="auto"/>
        </w:rPr>
        <w:t>Investments in the Borrower, any Restricted Subsidiary and/or joint venture in connection with intercompany cash management arrangements and related activities in the ordinary course of business;</w:t>
      </w:r>
    </w:p>
    <w:p>
      <w:pPr>
        <w:spacing w:after="0" w:line="186" w:lineRule="exact"/>
        <w:rPr>
          <w:rFonts w:ascii="Arial" w:cs="Arial" w:eastAsia="Arial" w:hAnsi="Arial"/>
          <w:sz w:val="19"/>
          <w:szCs w:val="19"/>
          <w:color w:val="auto"/>
        </w:rPr>
      </w:pPr>
    </w:p>
    <w:p>
      <w:pPr>
        <w:jc w:val="both"/>
        <w:ind w:left="100" w:right="19" w:firstLine="741"/>
        <w:spacing w:after="0" w:line="236" w:lineRule="auto"/>
        <w:tabs>
          <w:tab w:leader="none" w:pos="1269" w:val="left"/>
        </w:tabs>
        <w:numPr>
          <w:ilvl w:val="0"/>
          <w:numId w:val="270"/>
        </w:numPr>
        <w:rPr>
          <w:rFonts w:ascii="Arial" w:cs="Arial" w:eastAsia="Arial" w:hAnsi="Arial"/>
          <w:sz w:val="19"/>
          <w:szCs w:val="19"/>
          <w:color w:val="auto"/>
        </w:rPr>
      </w:pPr>
      <w:r>
        <w:rPr>
          <w:rFonts w:ascii="Arial" w:cs="Arial" w:eastAsia="Arial" w:hAnsi="Arial"/>
          <w:sz w:val="19"/>
          <w:szCs w:val="19"/>
          <w:color w:val="auto"/>
        </w:rPr>
        <w:t xml:space="preserve">so long as no Event of Default under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exists, any Investment so long as, after giving effect thereto on a Pro Forma Basis, the Total Net Leverage Ratio does not exceed 2.75:1.00 as of the last day of the most recently ended Test Period;</w:t>
      </w:r>
    </w:p>
    <w:p>
      <w:pPr>
        <w:spacing w:after="0" w:line="192" w:lineRule="exact"/>
        <w:rPr>
          <w:rFonts w:ascii="Arial" w:cs="Arial" w:eastAsia="Arial" w:hAnsi="Arial"/>
          <w:sz w:val="19"/>
          <w:szCs w:val="19"/>
          <w:color w:val="auto"/>
        </w:rPr>
      </w:pPr>
    </w:p>
    <w:p>
      <w:pPr>
        <w:jc w:val="both"/>
        <w:ind w:left="100" w:right="59" w:firstLine="741"/>
        <w:spacing w:after="0" w:line="254" w:lineRule="auto"/>
        <w:tabs>
          <w:tab w:leader="none" w:pos="1287"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any Investment made or committed to be made by any Unrestricted Subsidiary prior to the date on which such Unrestricted Subsidiary is designated as a Restricted Subsidiary so long as the relevant Investment was not made or committed to be made in contemplation of the designation of such Unrestricted Subsidiary as a Restricted Subsidiary;</w:t>
      </w:r>
    </w:p>
    <w:p>
      <w:pPr>
        <w:spacing w:after="0" w:line="166" w:lineRule="exact"/>
        <w:rPr>
          <w:rFonts w:ascii="Arial" w:cs="Arial" w:eastAsia="Arial" w:hAnsi="Arial"/>
          <w:sz w:val="18"/>
          <w:szCs w:val="18"/>
          <w:color w:val="auto"/>
        </w:rPr>
      </w:pPr>
    </w:p>
    <w:p>
      <w:pPr>
        <w:ind w:left="100" w:right="59" w:firstLine="741"/>
        <w:spacing w:after="0" w:line="289" w:lineRule="auto"/>
        <w:tabs>
          <w:tab w:leader="none" w:pos="133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Investments consisting of the licensing, sublicensing or contribution of IP Rights, including pursuant to joint marketing, collaboration or joint development arrangements with other Persons in the ordinary course of business;</w:t>
      </w:r>
    </w:p>
    <w:p>
      <w:pPr>
        <w:spacing w:after="0" w:line="136" w:lineRule="exact"/>
        <w:rPr>
          <w:rFonts w:ascii="Arial" w:cs="Arial" w:eastAsia="Arial" w:hAnsi="Arial"/>
          <w:sz w:val="18"/>
          <w:szCs w:val="18"/>
          <w:color w:val="auto"/>
        </w:rPr>
      </w:pPr>
    </w:p>
    <w:p>
      <w:pPr>
        <w:jc w:val="both"/>
        <w:ind w:left="100" w:right="59" w:firstLine="741"/>
        <w:spacing w:after="0" w:line="252" w:lineRule="auto"/>
        <w:tabs>
          <w:tab w:leader="none" w:pos="125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any loan and/or advance to any Parent Company not in excess of the amount (after giving effect to any other loan, advance or Restricted Payment in respect thereof) of Restricted Payments that are permitted to be made to such Parent Company in accordance with </w:t>
      </w:r>
      <w:r>
        <w:rPr>
          <w:rFonts w:ascii="Arial" w:cs="Arial" w:eastAsia="Arial" w:hAnsi="Arial"/>
          <w:sz w:val="18"/>
          <w:szCs w:val="18"/>
          <w:u w:val="single" w:color="auto"/>
          <w:color w:val="auto"/>
        </w:rPr>
        <w:t>Section 6.04(a)(i)</w:t>
      </w:r>
      <w:r>
        <w:rPr>
          <w:rFonts w:ascii="Arial" w:cs="Arial" w:eastAsia="Arial" w:hAnsi="Arial"/>
          <w:sz w:val="18"/>
          <w:szCs w:val="18"/>
          <w:color w:val="auto"/>
        </w:rPr>
        <w:t xml:space="preserve">, such Investment being treated for purposes of the applicable provision of </w:t>
      </w:r>
      <w:r>
        <w:rPr>
          <w:rFonts w:ascii="Arial" w:cs="Arial" w:eastAsia="Arial" w:hAnsi="Arial"/>
          <w:sz w:val="18"/>
          <w:szCs w:val="18"/>
          <w:u w:val="single" w:color="auto"/>
          <w:color w:val="auto"/>
        </w:rPr>
        <w:t>Section 6.04(a)</w:t>
      </w:r>
      <w:r>
        <w:rPr>
          <w:rFonts w:ascii="Arial" w:cs="Arial" w:eastAsia="Arial" w:hAnsi="Arial"/>
          <w:sz w:val="18"/>
          <w:szCs w:val="18"/>
          <w:color w:val="auto"/>
        </w:rPr>
        <w:t>, including any limitation, as a Restricted Payment made pursuant to such clause;</w:t>
      </w:r>
    </w:p>
    <w:p>
      <w:pPr>
        <w:spacing w:after="0" w:line="170" w:lineRule="exact"/>
        <w:rPr>
          <w:rFonts w:ascii="Arial" w:cs="Arial" w:eastAsia="Arial" w:hAnsi="Arial"/>
          <w:sz w:val="18"/>
          <w:szCs w:val="18"/>
          <w:color w:val="auto"/>
        </w:rPr>
      </w:pPr>
    </w:p>
    <w:p>
      <w:pPr>
        <w:ind w:left="1220" w:hanging="377"/>
        <w:spacing w:after="0"/>
        <w:tabs>
          <w:tab w:leader="none" w:pos="1220" w:val="left"/>
        </w:tabs>
        <w:numPr>
          <w:ilvl w:val="0"/>
          <w:numId w:val="270"/>
        </w:numPr>
        <w:rPr>
          <w:rFonts w:ascii="Arial" w:cs="Arial" w:eastAsia="Arial" w:hAnsi="Arial"/>
          <w:sz w:val="19"/>
          <w:szCs w:val="19"/>
          <w:color w:val="auto"/>
        </w:rPr>
      </w:pPr>
      <w:r>
        <w:rPr>
          <w:rFonts w:ascii="Arial" w:cs="Arial" w:eastAsia="Arial" w:hAnsi="Arial"/>
          <w:sz w:val="19"/>
          <w:szCs w:val="19"/>
          <w:color w:val="auto"/>
        </w:rPr>
        <w:t>[reserved];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155</w:t>
      </w:r>
      <w:r>
        <w:rPr>
          <w:rFonts w:ascii="Arial" w:cs="Arial" w:eastAsia="Arial" w:hAnsi="Arial"/>
          <w:sz w:val="18"/>
          <w:szCs w:val="18"/>
          <w:u w:val="single" w:color="auto"/>
          <w:color w:val="0000FF"/>
          <w:strike w:val="1"/>
        </w:rPr>
        <w:t>155</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23" w:name="page224"/>
    <w:bookmarkEnd w:id="223"/>
    <w:p>
      <w:pPr>
        <w:jc w:val="both"/>
        <w:ind w:left="100" w:right="59" w:firstLine="741"/>
        <w:spacing w:after="0" w:line="241" w:lineRule="auto"/>
        <w:tabs>
          <w:tab w:leader="none" w:pos="1280" w:val="left"/>
        </w:tabs>
        <w:numPr>
          <w:ilvl w:val="0"/>
          <w:numId w:val="271"/>
        </w:numPr>
        <w:rPr>
          <w:rFonts w:ascii="Arial" w:cs="Arial" w:eastAsia="Arial" w:hAnsi="Arial"/>
          <w:sz w:val="19"/>
          <w:szCs w:val="19"/>
          <w:color w:val="auto"/>
        </w:rPr>
      </w:pPr>
      <w:r>
        <w:rPr>
          <w:rFonts w:ascii="Arial" w:cs="Arial" w:eastAsia="Arial" w:hAnsi="Arial"/>
          <w:sz w:val="19"/>
          <w:szCs w:val="19"/>
          <w:color w:val="auto"/>
        </w:rPr>
        <w:t>Investments (i) of Receivables Facility Assets in connection with any Receivables Facility and/or (ii) necessary to permit the payment of fees, expenses and/or indemnification obligations and/or the satisfaction of any repurchase obligation in connection with any Receivables Facility;</w:t>
      </w:r>
    </w:p>
    <w:p>
      <w:pPr>
        <w:spacing w:after="0" w:line="178" w:lineRule="exact"/>
        <w:rPr>
          <w:rFonts w:ascii="Arial" w:cs="Arial" w:eastAsia="Arial" w:hAnsi="Arial"/>
          <w:sz w:val="19"/>
          <w:szCs w:val="19"/>
          <w:color w:val="auto"/>
        </w:rPr>
      </w:pPr>
    </w:p>
    <w:p>
      <w:pPr>
        <w:jc w:val="both"/>
        <w:ind w:left="100" w:right="59" w:firstLine="741"/>
        <w:spacing w:after="0" w:line="252" w:lineRule="auto"/>
        <w:tabs>
          <w:tab w:leader="none" w:pos="1334"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Investments made by any Restricted Subsidiary that is not a Loan Party with the proceeds received by such Restricted Subsidiary from an Investment permitted to be made by any Loan Party in such Restricted Subsidiary pursuant to this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(other than any Investment made pursuant to (x) </w:t>
      </w:r>
      <w:r>
        <w:rPr>
          <w:rFonts w:ascii="Arial" w:cs="Arial" w:eastAsia="Arial" w:hAnsi="Arial"/>
          <w:sz w:val="18"/>
          <w:szCs w:val="18"/>
          <w:u w:val="single" w:color="auto"/>
          <w:color w:val="auto"/>
        </w:rPr>
        <w:t>Section 6.06(b)(ii)</w:t>
      </w:r>
      <w:r>
        <w:rPr>
          <w:rFonts w:ascii="Arial" w:cs="Arial" w:eastAsia="Arial" w:hAnsi="Arial"/>
          <w:sz w:val="18"/>
          <w:szCs w:val="18"/>
          <w:color w:val="auto"/>
        </w:rPr>
        <w:t xml:space="preserve">, solely to the extent the proceeds thereof are to be used to make an Investment in any Unrestricted Subsidiary and/or (y) </w:t>
      </w:r>
      <w:r>
        <w:rPr>
          <w:rFonts w:ascii="Arial" w:cs="Arial" w:eastAsia="Arial" w:hAnsi="Arial"/>
          <w:sz w:val="18"/>
          <w:szCs w:val="18"/>
          <w:u w:val="single" w:color="auto"/>
          <w:color w:val="auto"/>
        </w:rPr>
        <w:t>Section 6.06(e)(ii)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20" w:hanging="377"/>
        <w:spacing w:after="0"/>
        <w:tabs>
          <w:tab w:leader="none" w:pos="1220" w:val="left"/>
        </w:tabs>
        <w:numPr>
          <w:ilvl w:val="0"/>
          <w:numId w:val="271"/>
        </w:numPr>
        <w:rPr>
          <w:rFonts w:ascii="Arial" w:cs="Arial" w:eastAsia="Arial" w:hAnsi="Arial"/>
          <w:sz w:val="19"/>
          <w:szCs w:val="19"/>
          <w:color w:val="auto"/>
        </w:rPr>
      </w:pPr>
      <w:r>
        <w:rPr>
          <w:rFonts w:ascii="Arial" w:cs="Arial" w:eastAsia="Arial" w:hAnsi="Arial"/>
          <w:sz w:val="19"/>
          <w:szCs w:val="19"/>
          <w:color w:val="auto"/>
        </w:rPr>
        <w:t>[reserved]; and/or</w:t>
      </w:r>
    </w:p>
    <w:p>
      <w:pPr>
        <w:spacing w:after="0" w:line="213" w:lineRule="exact"/>
        <w:rPr>
          <w:rFonts w:ascii="Arial" w:cs="Arial" w:eastAsia="Arial" w:hAnsi="Arial"/>
          <w:sz w:val="19"/>
          <w:szCs w:val="19"/>
          <w:color w:val="auto"/>
        </w:rPr>
      </w:pPr>
    </w:p>
    <w:p>
      <w:pPr>
        <w:ind w:left="1220" w:hanging="377"/>
        <w:spacing w:after="0"/>
        <w:tabs>
          <w:tab w:leader="none" w:pos="1220" w:val="left"/>
        </w:tabs>
        <w:numPr>
          <w:ilvl w:val="0"/>
          <w:numId w:val="271"/>
        </w:numPr>
        <w:rPr>
          <w:rFonts w:ascii="Arial" w:cs="Arial" w:eastAsia="Arial" w:hAnsi="Arial"/>
          <w:sz w:val="19"/>
          <w:szCs w:val="19"/>
          <w:color w:val="auto"/>
        </w:rPr>
      </w:pPr>
      <w:r>
        <w:rPr>
          <w:rFonts w:ascii="Arial" w:cs="Arial" w:eastAsia="Arial" w:hAnsi="Arial"/>
          <w:sz w:val="19"/>
          <w:szCs w:val="19"/>
          <w:color w:val="auto"/>
        </w:rPr>
        <w:t>any Permitted Bond Hedge Transaction;</w:t>
      </w:r>
    </w:p>
    <w:p>
      <w:pPr>
        <w:spacing w:after="0" w:line="200" w:lineRule="exact"/>
        <w:rPr>
          <w:rFonts w:ascii="Arial" w:cs="Arial" w:eastAsia="Arial" w:hAnsi="Arial"/>
          <w:sz w:val="19"/>
          <w:szCs w:val="19"/>
          <w:color w:val="auto"/>
        </w:rPr>
      </w:pPr>
    </w:p>
    <w:p>
      <w:pPr>
        <w:ind w:left="100" w:right="59" w:firstLine="741"/>
        <w:spacing w:after="0" w:line="246" w:lineRule="auto"/>
        <w:tabs>
          <w:tab w:leader="none" w:pos="1348" w:val="left"/>
        </w:tabs>
        <w:numPr>
          <w:ilvl w:val="0"/>
          <w:numId w:val="271"/>
        </w:numPr>
        <w:rPr>
          <w:rFonts w:ascii="Arial" w:cs="Arial" w:eastAsia="Arial" w:hAnsi="Arial"/>
          <w:sz w:val="19"/>
          <w:szCs w:val="19"/>
          <w:color w:val="auto"/>
        </w:rPr>
      </w:pPr>
      <w:r>
        <w:rPr>
          <w:rFonts w:ascii="Arial" w:cs="Arial" w:eastAsia="Arial" w:hAnsi="Arial"/>
          <w:sz w:val="19"/>
          <w:szCs w:val="19"/>
          <w:color w:val="auto"/>
        </w:rPr>
        <w:t>Investments consisting of prepaid expenses, negotiable instruments held for collection and lease, utility and workers’ compensation, performance and other similar deposits;</w:t>
      </w:r>
    </w:p>
    <w:p>
      <w:pPr>
        <w:spacing w:after="0" w:line="186" w:lineRule="exact"/>
        <w:rPr>
          <w:rFonts w:ascii="Arial" w:cs="Arial" w:eastAsia="Arial" w:hAnsi="Arial"/>
          <w:sz w:val="19"/>
          <w:szCs w:val="19"/>
          <w:color w:val="auto"/>
        </w:rPr>
      </w:pPr>
    </w:p>
    <w:p>
      <w:pPr>
        <w:jc w:val="both"/>
        <w:ind w:left="100" w:right="59" w:firstLine="741"/>
        <w:spacing w:after="0" w:line="236" w:lineRule="auto"/>
        <w:tabs>
          <w:tab w:leader="none" w:pos="1176" w:val="left"/>
        </w:tabs>
        <w:numPr>
          <w:ilvl w:val="0"/>
          <w:numId w:val="271"/>
        </w:numPr>
        <w:rPr>
          <w:rFonts w:ascii="Arial" w:cs="Arial" w:eastAsia="Arial" w:hAnsi="Arial"/>
          <w:sz w:val="19"/>
          <w:szCs w:val="19"/>
          <w:color w:val="auto"/>
        </w:rPr>
      </w:pPr>
      <w:r>
        <w:rPr>
          <w:rFonts w:ascii="Arial" w:cs="Arial" w:eastAsia="Arial" w:hAnsi="Arial"/>
          <w:sz w:val="19"/>
          <w:szCs w:val="19"/>
          <w:color w:val="auto"/>
        </w:rPr>
        <w:t>Investments in receivables owing to the Borrower and/or any Restricted Subsidiary in the ordinary course of business on customary trade terms, including such concessionary trade terms as the Borrower or the relevant Restricted Subsidiary may deem reasonable under the applicable circumstances; and/or</w:t>
      </w:r>
    </w:p>
    <w:p>
      <w:pPr>
        <w:spacing w:after="0" w:line="192" w:lineRule="exact"/>
        <w:rPr>
          <w:rFonts w:ascii="Arial" w:cs="Arial" w:eastAsia="Arial" w:hAnsi="Arial"/>
          <w:sz w:val="19"/>
          <w:szCs w:val="19"/>
          <w:color w:val="auto"/>
        </w:rPr>
      </w:pPr>
    </w:p>
    <w:p>
      <w:pPr>
        <w:ind w:left="100" w:right="99" w:firstLine="741"/>
        <w:spacing w:after="0" w:line="246" w:lineRule="auto"/>
        <w:tabs>
          <w:tab w:leader="none" w:pos="1325" w:val="left"/>
        </w:tabs>
        <w:numPr>
          <w:ilvl w:val="0"/>
          <w:numId w:val="271"/>
        </w:numPr>
        <w:rPr>
          <w:rFonts w:ascii="Arial" w:cs="Arial" w:eastAsia="Arial" w:hAnsi="Arial"/>
          <w:sz w:val="19"/>
          <w:szCs w:val="19"/>
          <w:color w:val="auto"/>
        </w:rPr>
      </w:pPr>
      <w:r>
        <w:rPr>
          <w:rFonts w:ascii="Arial" w:cs="Arial" w:eastAsia="Arial" w:hAnsi="Arial"/>
          <w:sz w:val="19"/>
          <w:szCs w:val="19"/>
          <w:color w:val="auto"/>
        </w:rPr>
        <w:t>any contribution to a “rabbi” trust for the benefit of any employee, director, consultant, independent contractor or other service provider or any other grantor trust.</w:t>
      </w:r>
    </w:p>
    <w:p>
      <w:pPr>
        <w:spacing w:after="0" w:line="173" w:lineRule="exact"/>
        <w:rPr>
          <w:sz w:val="20"/>
          <w:szCs w:val="20"/>
          <w:color w:val="auto"/>
        </w:rPr>
      </w:pPr>
    </w:p>
    <w:p>
      <w:pPr>
        <w:ind w:left="100" w:right="79" w:firstLine="749"/>
        <w:spacing w:after="0" w:line="246" w:lineRule="auto"/>
        <w:rPr>
          <w:sz w:val="20"/>
          <w:szCs w:val="20"/>
          <w:color w:val="auto"/>
        </w:rPr>
      </w:pPr>
      <w:r>
        <w:rPr>
          <w:rFonts w:ascii="Arial" w:cs="Arial" w:eastAsia="Arial" w:hAnsi="Arial"/>
          <w:sz w:val="19"/>
          <w:szCs w:val="19"/>
          <w:color w:val="auto"/>
        </w:rPr>
        <w:t xml:space="preserve">Notwithstanding the foregoing, it is understood and agreed that this </w:t>
      </w:r>
      <w:r>
        <w:rPr>
          <w:rFonts w:ascii="Arial" w:cs="Arial" w:eastAsia="Arial" w:hAnsi="Arial"/>
          <w:sz w:val="19"/>
          <w:szCs w:val="19"/>
          <w:u w:val="single" w:color="auto"/>
          <w:color w:val="auto"/>
        </w:rPr>
        <w:t>Section 6.06</w:t>
      </w:r>
      <w:r>
        <w:rPr>
          <w:rFonts w:ascii="Arial" w:cs="Arial" w:eastAsia="Arial" w:hAnsi="Arial"/>
          <w:sz w:val="19"/>
          <w:szCs w:val="19"/>
          <w:color w:val="auto"/>
        </w:rPr>
        <w:t xml:space="preserve"> shall not permit an IP Separation Transaction.</w:t>
      </w:r>
    </w:p>
    <w:p>
      <w:pPr>
        <w:spacing w:after="0" w:line="187" w:lineRule="exact"/>
        <w:rPr>
          <w:sz w:val="20"/>
          <w:szCs w:val="20"/>
          <w:color w:val="auto"/>
        </w:rPr>
      </w:pPr>
    </w:p>
    <w:p>
      <w:pPr>
        <w:jc w:val="both"/>
        <w:ind w:left="100" w:right="59" w:firstLine="749"/>
        <w:spacing w:after="0" w:line="231" w:lineRule="auto"/>
        <w:rPr>
          <w:sz w:val="20"/>
          <w:szCs w:val="20"/>
          <w:color w:val="auto"/>
        </w:rPr>
      </w:pPr>
      <w:r>
        <w:rPr>
          <w:rFonts w:ascii="Arial" w:cs="Arial" w:eastAsia="Arial" w:hAnsi="Arial"/>
          <w:sz w:val="19"/>
          <w:szCs w:val="19"/>
          <w:color w:val="auto"/>
        </w:rPr>
        <w:t xml:space="preserve">Section 6.07. </w:t>
      </w:r>
      <w:r>
        <w:rPr>
          <w:rFonts w:ascii="Arial" w:cs="Arial" w:eastAsia="Arial" w:hAnsi="Arial"/>
          <w:sz w:val="19"/>
          <w:szCs w:val="19"/>
          <w:u w:val="single" w:color="auto"/>
          <w:color w:val="auto"/>
        </w:rPr>
        <w:t>Fundamental Changes; Disposition of Assets</w:t>
      </w:r>
      <w:r>
        <w:rPr>
          <w:rFonts w:ascii="Arial" w:cs="Arial" w:eastAsia="Arial" w:hAnsi="Arial"/>
          <w:sz w:val="19"/>
          <w:szCs w:val="19"/>
          <w:color w:val="auto"/>
        </w:rPr>
        <w:t>. The Borrower shall not, nor shall it permit any of its Restricted Subsidiaries to, merge, consolidate, amalgamate, or liquidate, wind up or dissolve themselves (or suffer any liquidation or dissolution), or make any voluntary Disposition of assets outside the ordinary course of business having a fair market value in excess of the greater of $17,500,000 and 20% of Consolidated Adjusted EBITDA as of the last day of the most recently ended Test Period in any single transaction or series of related transactions (including, in each case, pursuant to a Delaware LLC Division), except:</w:t>
      </w:r>
    </w:p>
    <w:p>
      <w:pPr>
        <w:spacing w:after="0" w:line="196" w:lineRule="exact"/>
        <w:rPr>
          <w:sz w:val="20"/>
          <w:szCs w:val="20"/>
          <w:color w:val="auto"/>
        </w:rPr>
      </w:pPr>
    </w:p>
    <w:p>
      <w:pPr>
        <w:jc w:val="both"/>
        <w:ind w:left="100" w:right="39" w:firstLine="742"/>
        <w:spacing w:after="0" w:line="292" w:lineRule="auto"/>
        <w:tabs>
          <w:tab w:leader="none" w:pos="152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 xml:space="preserve">the Borrower or any Subsidiary Guarantor may be merged, consolidated or amalgamated with another Person or, if applicable, effect a Delaware LLC Division, or any Restricted Subsidiary may be merged, consolidated or amalgamated with or into the Borrower or any Restricted Subsidiary or, if applicable, effect a Delaware LLC Division;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50" w:lineRule="exact"/>
        <w:rPr>
          <w:rFonts w:ascii="Arial" w:cs="Arial" w:eastAsia="Arial" w:hAnsi="Arial"/>
          <w:sz w:val="17"/>
          <w:szCs w:val="17"/>
          <w:color w:val="auto"/>
        </w:rPr>
      </w:pPr>
    </w:p>
    <w:p>
      <w:pPr>
        <w:jc w:val="both"/>
        <w:ind w:left="840" w:right="59" w:firstLine="751"/>
        <w:spacing w:after="0" w:line="274" w:lineRule="auto"/>
        <w:tabs>
          <w:tab w:leader="none" w:pos="2366" w:val="left"/>
        </w:tabs>
        <w:numPr>
          <w:ilvl w:val="1"/>
          <w:numId w:val="272"/>
        </w:numPr>
        <w:rPr>
          <w:rFonts w:ascii="Arial" w:cs="Arial" w:eastAsia="Arial" w:hAnsi="Arial"/>
          <w:sz w:val="17"/>
          <w:szCs w:val="17"/>
          <w:color w:val="auto"/>
        </w:rPr>
      </w:pPr>
      <w:r>
        <w:rPr>
          <w:rFonts w:ascii="Arial" w:cs="Arial" w:eastAsia="Arial" w:hAnsi="Arial"/>
          <w:sz w:val="17"/>
          <w:szCs w:val="17"/>
          <w:color w:val="auto"/>
        </w:rPr>
        <w:t>in the case of any such merger, consolidation or amalgamation with or into the Borrower or any Delaware LLC Division relating to the Borrower, (A) the Borrower shall be the continuing or surviving Person or (B) if the Person formed by or surviving any such merger, consolidation, amalgamation or Delaware LLC Division is not the Borrower (any such Person, the “</w:t>
      </w:r>
      <w:r>
        <w:rPr>
          <w:rFonts w:ascii="Arial" w:cs="Arial" w:eastAsia="Arial" w:hAnsi="Arial"/>
          <w:sz w:val="17"/>
          <w:szCs w:val="17"/>
          <w:u w:val="single" w:color="auto"/>
          <w:color w:val="auto"/>
        </w:rPr>
        <w:t>Successor Borrower</w:t>
      </w:r>
      <w:r>
        <w:rPr>
          <w:rFonts w:ascii="Arial" w:cs="Arial" w:eastAsia="Arial" w:hAnsi="Arial"/>
          <w:sz w:val="17"/>
          <w:szCs w:val="17"/>
          <w:color w:val="auto"/>
        </w:rPr>
        <w:t>”), (1) the Successor Borrower shall be an entity organized or existing under the law of the US, any state thereof or the District of Columbia, (2) the Successor Borrower shall expressly assume the Obligations of the Borrower in a manner reasonably satisfactory to the Administrative Agent and (3) except as the Administrative Agent may otherwise agree, each Guarantor, unless it is the other party to such merger, consolidation or amalgamation, shall have executed and delivered a reaffirmation agreement with respect to its obligations under the Loan Guaranty and the other Loan Documents; it being understood and agreed that if the foregoing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156</w:t>
      </w:r>
      <w:r>
        <w:rPr>
          <w:rFonts w:ascii="Arial" w:cs="Arial" w:eastAsia="Arial" w:hAnsi="Arial"/>
          <w:sz w:val="18"/>
          <w:szCs w:val="18"/>
          <w:u w:val="single" w:color="auto"/>
          <w:color w:val="0000FF"/>
          <w:strike w:val="1"/>
        </w:rPr>
        <w:t>156</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24" w:name="page225"/>
    <w:bookmarkEnd w:id="224"/>
    <w:p>
      <w:pPr>
        <w:ind w:left="840" w:right="159"/>
        <w:spacing w:after="0" w:line="261" w:lineRule="auto"/>
        <w:rPr>
          <w:sz w:val="20"/>
          <w:szCs w:val="20"/>
          <w:color w:val="auto"/>
        </w:rPr>
      </w:pPr>
      <w:r>
        <w:rPr>
          <w:rFonts w:ascii="Arial" w:cs="Arial" w:eastAsia="Arial" w:hAnsi="Arial"/>
          <w:sz w:val="19"/>
          <w:szCs w:val="19"/>
          <w:color w:val="auto"/>
        </w:rPr>
        <w:t xml:space="preserve">conditions under </w:t>
      </w:r>
      <w:r>
        <w:rPr>
          <w:rFonts w:ascii="Arial" w:cs="Arial" w:eastAsia="Arial" w:hAnsi="Arial"/>
          <w:sz w:val="19"/>
          <w:szCs w:val="19"/>
          <w:u w:val="single" w:color="auto"/>
          <w:color w:val="auto"/>
        </w:rPr>
        <w:t>clauses (1)</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(3)</w:t>
      </w:r>
      <w:r>
        <w:rPr>
          <w:rFonts w:ascii="Arial" w:cs="Arial" w:eastAsia="Arial" w:hAnsi="Arial"/>
          <w:sz w:val="19"/>
          <w:szCs w:val="19"/>
          <w:color w:val="auto"/>
        </w:rPr>
        <w:t xml:space="preserve"> are satisfied, the Successor Borrower will succeed to, and be substituted for, the Borrower under this Agreement and the other Loan Documents, and</w:t>
      </w:r>
    </w:p>
    <w:p>
      <w:pPr>
        <w:spacing w:after="0" w:line="159" w:lineRule="exact"/>
        <w:rPr>
          <w:sz w:val="20"/>
          <w:szCs w:val="20"/>
          <w:color w:val="auto"/>
        </w:rPr>
      </w:pPr>
    </w:p>
    <w:p>
      <w:pPr>
        <w:jc w:val="both"/>
        <w:ind w:left="840" w:right="59" w:firstLine="751"/>
        <w:spacing w:after="0" w:line="242" w:lineRule="auto"/>
        <w:tabs>
          <w:tab w:leader="none" w:pos="2366" w:val="left"/>
        </w:tabs>
        <w:numPr>
          <w:ilvl w:val="2"/>
          <w:numId w:val="273"/>
        </w:numPr>
        <w:rPr>
          <w:rFonts w:ascii="Arial" w:cs="Arial" w:eastAsia="Arial" w:hAnsi="Arial"/>
          <w:sz w:val="19"/>
          <w:szCs w:val="19"/>
          <w:color w:val="auto"/>
        </w:rPr>
      </w:pPr>
      <w:r>
        <w:rPr>
          <w:rFonts w:ascii="Arial" w:cs="Arial" w:eastAsia="Arial" w:hAnsi="Arial"/>
          <w:sz w:val="19"/>
          <w:szCs w:val="19"/>
          <w:color w:val="auto"/>
        </w:rPr>
        <w:t xml:space="preserve">in the case of any such merger, consolidation or amalgamation with or into any Subsidiary Guarantor or any Delaware LLC Division relating to any Subsidiary Guarantor, either (A) the Borrower or a Subsidiary Guarantor shall be the continuing or surviving Person or the continuing or surviving Person (or, in the case of an amalgamation, the Person formed as a result thereof) shall expressly assume the obligations of such Subsidiary Guarantor in a manner reasonably satisfactory to the Administrative Agent or (B) the relevant transaction shall be treated as an Investment and shall comply with </w:t>
      </w:r>
      <w:r>
        <w:rPr>
          <w:rFonts w:ascii="Arial" w:cs="Arial" w:eastAsia="Arial" w:hAnsi="Arial"/>
          <w:sz w:val="19"/>
          <w:szCs w:val="19"/>
          <w:u w:val="single" w:color="auto"/>
          <w:color w:val="auto"/>
        </w:rPr>
        <w:t>Section 6.06</w:t>
      </w:r>
      <w:r>
        <w:rPr>
          <w:rFonts w:ascii="Arial" w:cs="Arial" w:eastAsia="Arial" w:hAnsi="Arial"/>
          <w:sz w:val="19"/>
          <w:szCs w:val="19"/>
          <w:color w:val="auto"/>
        </w:rPr>
        <w:t>;</w:t>
      </w:r>
    </w:p>
    <w:p>
      <w:pPr>
        <w:spacing w:after="0" w:line="190" w:lineRule="exact"/>
        <w:rPr>
          <w:rFonts w:ascii="Arial" w:cs="Arial" w:eastAsia="Arial" w:hAnsi="Arial"/>
          <w:sz w:val="19"/>
          <w:szCs w:val="19"/>
          <w:color w:val="auto"/>
        </w:rPr>
      </w:pPr>
    </w:p>
    <w:p>
      <w:pPr>
        <w:jc w:val="both"/>
        <w:ind w:left="100" w:right="59" w:firstLine="741"/>
        <w:spacing w:after="0" w:line="256" w:lineRule="auto"/>
        <w:tabs>
          <w:tab w:leader="none" w:pos="1520" w:val="left"/>
        </w:tabs>
        <w:numPr>
          <w:ilvl w:val="1"/>
          <w:numId w:val="274"/>
        </w:numPr>
        <w:rPr>
          <w:rFonts w:ascii="Arial" w:cs="Arial" w:eastAsia="Arial" w:hAnsi="Arial"/>
          <w:sz w:val="19"/>
          <w:szCs w:val="19"/>
          <w:color w:val="auto"/>
        </w:rPr>
      </w:pPr>
      <w:r>
        <w:rPr>
          <w:rFonts w:ascii="Arial" w:cs="Arial" w:eastAsia="Arial" w:hAnsi="Arial"/>
          <w:sz w:val="19"/>
          <w:szCs w:val="19"/>
          <w:color w:val="auto"/>
        </w:rPr>
        <w:t xml:space="preserve">Dispositions (including of Capital Stock) among the Borrower and/or any Restricted Subsidiary (upon voluntary liquidation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relevant Disposition is to a Restricted Subsidiary that is not a Loan Party, the relevant transaction shall be treated as an Investment and shall comply with </w:t>
      </w:r>
      <w:r>
        <w:rPr>
          <w:rFonts w:ascii="Arial" w:cs="Arial" w:eastAsia="Arial" w:hAnsi="Arial"/>
          <w:sz w:val="19"/>
          <w:szCs w:val="19"/>
          <w:u w:val="single" w:color="auto"/>
          <w:color w:val="auto"/>
        </w:rPr>
        <w:t>Section 6.06</w:t>
      </w:r>
      <w:r>
        <w:rPr>
          <w:rFonts w:ascii="Arial" w:cs="Arial" w:eastAsia="Arial" w:hAnsi="Arial"/>
          <w:sz w:val="19"/>
          <w:szCs w:val="19"/>
          <w:color w:val="auto"/>
        </w:rPr>
        <w:t>;</w:t>
      </w:r>
    </w:p>
    <w:p>
      <w:pPr>
        <w:spacing w:after="0" w:line="178" w:lineRule="exact"/>
        <w:rPr>
          <w:rFonts w:ascii="Arial" w:cs="Arial" w:eastAsia="Arial" w:hAnsi="Arial"/>
          <w:sz w:val="19"/>
          <w:szCs w:val="19"/>
          <w:color w:val="auto"/>
        </w:rPr>
      </w:pPr>
    </w:p>
    <w:p>
      <w:pPr>
        <w:jc w:val="both"/>
        <w:ind w:left="100" w:right="59" w:firstLine="741"/>
        <w:spacing w:after="0" w:line="243" w:lineRule="auto"/>
        <w:tabs>
          <w:tab w:leader="none" w:pos="1520" w:val="left"/>
        </w:tabs>
        <w:numPr>
          <w:ilvl w:val="1"/>
          <w:numId w:val="274"/>
        </w:numPr>
        <w:rPr>
          <w:rFonts w:ascii="Arial" w:cs="Arial" w:eastAsia="Arial" w:hAnsi="Arial"/>
          <w:sz w:val="19"/>
          <w:szCs w:val="19"/>
          <w:color w:val="auto"/>
        </w:rPr>
      </w:pPr>
      <w:r>
        <w:rPr>
          <w:rFonts w:ascii="Arial" w:cs="Arial" w:eastAsia="Arial" w:hAnsi="Arial"/>
          <w:sz w:val="19"/>
          <w:szCs w:val="19"/>
          <w:color w:val="auto"/>
        </w:rPr>
        <w:t>(i) the liquidation, dissolution or Delaware LLC Division of any Restricted Subsidiary if the Borrower determines in good faith that (A) such liquidation, dissolution or Delaware LLC Division is in the best interests of the Borrower and (B) is not materially disadvantageous to the Lenders (taken as a whole) and</w:t>
      </w:r>
    </w:p>
    <w:p>
      <w:pPr>
        <w:jc w:val="both"/>
        <w:ind w:left="100" w:right="19" w:hanging="7"/>
        <w:spacing w:after="0" w:line="239" w:lineRule="auto"/>
        <w:tabs>
          <w:tab w:leader="none" w:pos="396" w:val="left"/>
        </w:tabs>
        <w:numPr>
          <w:ilvl w:val="0"/>
          <w:numId w:val="275"/>
        </w:numPr>
        <w:rPr>
          <w:rFonts w:ascii="Arial" w:cs="Arial" w:eastAsia="Arial" w:hAnsi="Arial"/>
          <w:sz w:val="19"/>
          <w:szCs w:val="19"/>
          <w:color w:val="auto"/>
        </w:rPr>
      </w:pPr>
      <w:r>
        <w:rPr>
          <w:rFonts w:ascii="Arial" w:cs="Arial" w:eastAsia="Arial" w:hAnsi="Arial"/>
          <w:sz w:val="19"/>
          <w:szCs w:val="19"/>
          <w:color w:val="auto"/>
        </w:rPr>
        <w:t xml:space="preserve">the Borrower or any Restricted Subsidiary receives the assets (if any) of the relevant liquidated, dissolved or divided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any liquidation, dissolution or Delaware LLC Division of any Loan Party that results in a distribution of assets to any Restricted Subsidiary that is not a Loan Party, such distribution shall be treated as an Investment and shall comply with </w:t>
      </w:r>
      <w:r>
        <w:rPr>
          <w:rFonts w:ascii="Arial" w:cs="Arial" w:eastAsia="Arial" w:hAnsi="Arial"/>
          <w:sz w:val="19"/>
          <w:szCs w:val="19"/>
          <w:u w:val="single" w:color="auto"/>
          <w:color w:val="auto"/>
        </w:rPr>
        <w:t>Section 6.06</w:t>
      </w:r>
      <w:r>
        <w:rPr>
          <w:rFonts w:ascii="Arial" w:cs="Arial" w:eastAsia="Arial" w:hAnsi="Arial"/>
          <w:sz w:val="19"/>
          <w:szCs w:val="19"/>
          <w:color w:val="auto"/>
        </w:rPr>
        <w:t xml:space="preserve"> (other than in reliance on </w:t>
      </w:r>
      <w:r>
        <w:rPr>
          <w:rFonts w:ascii="Arial" w:cs="Arial" w:eastAsia="Arial" w:hAnsi="Arial"/>
          <w:sz w:val="19"/>
          <w:szCs w:val="19"/>
          <w:u w:val="single" w:color="auto"/>
          <w:color w:val="auto"/>
        </w:rPr>
        <w:t>clause (j)</w:t>
      </w:r>
      <w:r>
        <w:rPr>
          <w:rFonts w:ascii="Arial" w:cs="Arial" w:eastAsia="Arial" w:hAnsi="Arial"/>
          <w:sz w:val="19"/>
          <w:szCs w:val="19"/>
          <w:color w:val="auto"/>
        </w:rPr>
        <w:t xml:space="preserve"> thereof); (ii) any merger, amalgamation, dissolution, liquidation, consolidation or Delaware LLC Division, the purpose of which is to effect (A) any Disposition otherwise permitted under this </w:t>
      </w:r>
      <w:r>
        <w:rPr>
          <w:rFonts w:ascii="Arial" w:cs="Arial" w:eastAsia="Arial" w:hAnsi="Arial"/>
          <w:sz w:val="19"/>
          <w:szCs w:val="19"/>
          <w:u w:val="single" w:color="auto"/>
          <w:color w:val="auto"/>
        </w:rPr>
        <w:t>Section 6.07</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or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or (B) any Investment permitted under </w:t>
      </w:r>
      <w:r>
        <w:rPr>
          <w:rFonts w:ascii="Arial" w:cs="Arial" w:eastAsia="Arial" w:hAnsi="Arial"/>
          <w:sz w:val="19"/>
          <w:szCs w:val="19"/>
          <w:u w:val="single" w:color="auto"/>
          <w:color w:val="auto"/>
        </w:rPr>
        <w:t>Section 6.06</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6.06(j)</w:t>
      </w:r>
      <w:r>
        <w:rPr>
          <w:rFonts w:ascii="Arial" w:cs="Arial" w:eastAsia="Arial" w:hAnsi="Arial"/>
          <w:sz w:val="19"/>
          <w:szCs w:val="19"/>
          <w:color w:val="auto"/>
        </w:rPr>
        <w:t>); and (iii) the conversion of the Borrower or any Restricted Subsidiary into another form of entity, so long as such conversion does not, in the good faith determination of the Borrower, adversely affect the value of the Loan Guaranty or Collateral, if any;</w:t>
      </w:r>
    </w:p>
    <w:p>
      <w:pPr>
        <w:spacing w:after="0" w:line="199" w:lineRule="exact"/>
        <w:rPr>
          <w:rFonts w:ascii="Arial" w:cs="Arial" w:eastAsia="Arial" w:hAnsi="Arial"/>
          <w:sz w:val="19"/>
          <w:szCs w:val="19"/>
          <w:color w:val="auto"/>
        </w:rPr>
      </w:pPr>
    </w:p>
    <w:p>
      <w:pPr>
        <w:ind w:left="100" w:right="59" w:firstLine="741"/>
        <w:spacing w:after="0" w:line="289" w:lineRule="auto"/>
        <w:tabs>
          <w:tab w:leader="none" w:pos="152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(i) Dispositions of inventory or equipment or immaterial assets in the ordinary course of business (including on an intercompany basis) and (ii) the leasing or subleasing of real property in the ordinary course of business;</w:t>
      </w:r>
    </w:p>
    <w:p>
      <w:pPr>
        <w:spacing w:after="0" w:line="149" w:lineRule="exact"/>
        <w:rPr>
          <w:rFonts w:ascii="Arial" w:cs="Arial" w:eastAsia="Arial" w:hAnsi="Arial"/>
          <w:sz w:val="18"/>
          <w:szCs w:val="18"/>
          <w:color w:val="auto"/>
        </w:rPr>
      </w:pPr>
    </w:p>
    <w:p>
      <w:pPr>
        <w:jc w:val="both"/>
        <w:ind w:left="100" w:right="59" w:firstLine="741"/>
        <w:spacing w:after="0" w:line="245" w:lineRule="auto"/>
        <w:tabs>
          <w:tab w:leader="none" w:pos="1519" w:val="left"/>
        </w:tabs>
        <w:numPr>
          <w:ilvl w:val="1"/>
          <w:numId w:val="275"/>
        </w:numPr>
        <w:rPr>
          <w:rFonts w:ascii="Arial" w:cs="Arial" w:eastAsia="Arial" w:hAnsi="Arial"/>
          <w:sz w:val="19"/>
          <w:szCs w:val="19"/>
          <w:color w:val="auto"/>
        </w:rPr>
      </w:pPr>
      <w:r>
        <w:rPr>
          <w:rFonts w:ascii="Arial" w:cs="Arial" w:eastAsia="Arial" w:hAnsi="Arial"/>
          <w:sz w:val="19"/>
          <w:szCs w:val="19"/>
          <w:color w:val="auto"/>
        </w:rPr>
        <w:t>Dispositions of surplus, obsolete, used or worn out property or other property that, in the good faith judgment of the Borrower, is (i) no longer useful in its business (or in the business of any Restricted Subsidiary of the Borrower) or (ii) otherwise economically impracticable to maintain, including any property abandoned in connection with the termination of any lease;</w:t>
      </w:r>
    </w:p>
    <w:p>
      <w:pPr>
        <w:spacing w:after="0" w:line="187" w:lineRule="exact"/>
        <w:rPr>
          <w:rFonts w:ascii="Arial" w:cs="Arial" w:eastAsia="Arial" w:hAnsi="Arial"/>
          <w:sz w:val="19"/>
          <w:szCs w:val="19"/>
          <w:color w:val="auto"/>
        </w:rPr>
      </w:pPr>
    </w:p>
    <w:p>
      <w:pPr>
        <w:ind w:left="100" w:right="39" w:firstLine="741"/>
        <w:spacing w:after="0" w:line="261" w:lineRule="auto"/>
        <w:tabs>
          <w:tab w:leader="none" w:pos="1520" w:val="left"/>
        </w:tabs>
        <w:numPr>
          <w:ilvl w:val="1"/>
          <w:numId w:val="275"/>
        </w:numPr>
        <w:rPr>
          <w:rFonts w:ascii="Arial" w:cs="Arial" w:eastAsia="Arial" w:hAnsi="Arial"/>
          <w:sz w:val="19"/>
          <w:szCs w:val="19"/>
          <w:color w:val="auto"/>
        </w:rPr>
      </w:pPr>
      <w:r>
        <w:rPr>
          <w:rFonts w:ascii="Arial" w:cs="Arial" w:eastAsia="Arial" w:hAnsi="Arial"/>
          <w:sz w:val="19"/>
          <w:szCs w:val="19"/>
          <w:color w:val="auto"/>
        </w:rPr>
        <w:t>Dispositions of Cash and/or Cash Equivalents and/or other assets that were Cash Equivalents when the relevant original Investment was made;</w:t>
      </w:r>
    </w:p>
    <w:p>
      <w:pPr>
        <w:spacing w:after="0" w:line="172" w:lineRule="exact"/>
        <w:rPr>
          <w:rFonts w:ascii="Arial" w:cs="Arial" w:eastAsia="Arial" w:hAnsi="Arial"/>
          <w:sz w:val="19"/>
          <w:szCs w:val="19"/>
          <w:color w:val="auto"/>
        </w:rPr>
      </w:pPr>
    </w:p>
    <w:p>
      <w:pPr>
        <w:jc w:val="both"/>
        <w:ind w:left="100" w:right="59" w:firstLine="741"/>
        <w:spacing w:after="0" w:line="256" w:lineRule="auto"/>
        <w:tabs>
          <w:tab w:leader="none" w:pos="1520" w:val="left"/>
        </w:tabs>
        <w:numPr>
          <w:ilvl w:val="1"/>
          <w:numId w:val="275"/>
        </w:numPr>
        <w:rPr>
          <w:rFonts w:ascii="Arial" w:cs="Arial" w:eastAsia="Arial" w:hAnsi="Arial"/>
          <w:sz w:val="19"/>
          <w:szCs w:val="19"/>
          <w:color w:val="auto"/>
        </w:rPr>
      </w:pPr>
      <w:r>
        <w:rPr>
          <w:rFonts w:ascii="Arial" w:cs="Arial" w:eastAsia="Arial" w:hAnsi="Arial"/>
          <w:sz w:val="19"/>
          <w:szCs w:val="19"/>
          <w:color w:val="auto"/>
        </w:rPr>
        <w:t xml:space="preserve">Dispositions, mergers, amalgamations, consolidations or conveyances that constitute (or would result in) (i) Investments permitted pursuant to </w:t>
      </w:r>
      <w:r>
        <w:rPr>
          <w:rFonts w:ascii="Arial" w:cs="Arial" w:eastAsia="Arial" w:hAnsi="Arial"/>
          <w:sz w:val="19"/>
          <w:szCs w:val="19"/>
          <w:u w:val="single" w:color="auto"/>
          <w:color w:val="auto"/>
        </w:rPr>
        <w:t>Section 6.06</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6.06(j)</w:t>
      </w:r>
      <w:r>
        <w:rPr>
          <w:rFonts w:ascii="Arial" w:cs="Arial" w:eastAsia="Arial" w:hAnsi="Arial"/>
          <w:sz w:val="19"/>
          <w:szCs w:val="19"/>
          <w:color w:val="auto"/>
        </w:rPr>
        <w:t xml:space="preserve">), (ii) Permitted Liens and (iii) Restricted Payments permitted by </w:t>
      </w:r>
      <w:r>
        <w:rPr>
          <w:rFonts w:ascii="Arial" w:cs="Arial" w:eastAsia="Arial" w:hAnsi="Arial"/>
          <w:sz w:val="19"/>
          <w:szCs w:val="19"/>
          <w:u w:val="single" w:color="auto"/>
          <w:color w:val="auto"/>
        </w:rPr>
        <w:t>Section 6.04(a)</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6.04(a)(ix)</w:t>
      </w:r>
      <w:r>
        <w:rPr>
          <w:rFonts w:ascii="Arial" w:cs="Arial" w:eastAsia="Arial" w:hAnsi="Arial"/>
          <w:sz w:val="19"/>
          <w:szCs w:val="19"/>
          <w:color w:val="auto"/>
        </w:rPr>
        <w:t>);</w:t>
      </w:r>
    </w:p>
    <w:p>
      <w:pPr>
        <w:spacing w:after="0" w:line="178" w:lineRule="exact"/>
        <w:rPr>
          <w:rFonts w:ascii="Arial" w:cs="Arial" w:eastAsia="Arial" w:hAnsi="Arial"/>
          <w:sz w:val="19"/>
          <w:szCs w:val="19"/>
          <w:color w:val="auto"/>
        </w:rPr>
      </w:pPr>
    </w:p>
    <w:p>
      <w:pPr>
        <w:ind w:left="1600" w:hanging="758"/>
        <w:spacing w:after="0"/>
        <w:tabs>
          <w:tab w:leader="none" w:pos="1600" w:val="left"/>
        </w:tabs>
        <w:numPr>
          <w:ilvl w:val="1"/>
          <w:numId w:val="275"/>
        </w:numPr>
        <w:rPr>
          <w:rFonts w:ascii="Arial" w:cs="Arial" w:eastAsia="Arial" w:hAnsi="Arial"/>
          <w:sz w:val="19"/>
          <w:szCs w:val="19"/>
          <w:color w:val="auto"/>
        </w:rPr>
      </w:pPr>
      <w:r>
        <w:rPr>
          <w:rFonts w:ascii="Arial" w:cs="Arial" w:eastAsia="Arial" w:hAnsi="Arial"/>
          <w:sz w:val="19"/>
          <w:szCs w:val="19"/>
          <w:color w:val="auto"/>
        </w:rPr>
        <w:t xml:space="preserve">Dispositions for fair market value; </w:t>
      </w:r>
      <w:r>
        <w:rPr>
          <w:rFonts w:ascii="Arial" w:cs="Arial" w:eastAsia="Arial" w:hAnsi="Arial"/>
          <w:sz w:val="19"/>
          <w:szCs w:val="19"/>
          <w:u w:val="single" w:color="auto"/>
          <w:color w:val="auto"/>
        </w:rPr>
        <w:t>provided</w:t>
      </w:r>
      <w:r>
        <w:rPr>
          <w:rFonts w:ascii="Arial" w:cs="Arial" w:eastAsia="Arial" w:hAnsi="Arial"/>
          <w:sz w:val="19"/>
          <w:szCs w:val="19"/>
          <w:color w:val="auto"/>
        </w:rPr>
        <w:t>, that</w:t>
      </w:r>
    </w:p>
    <w:p>
      <w:pPr>
        <w:spacing w:after="0" w:line="213" w:lineRule="exact"/>
        <w:rPr>
          <w:rFonts w:ascii="Arial" w:cs="Arial" w:eastAsia="Arial" w:hAnsi="Arial"/>
          <w:sz w:val="19"/>
          <w:szCs w:val="19"/>
          <w:color w:val="auto"/>
        </w:rPr>
      </w:pPr>
    </w:p>
    <w:p>
      <w:pPr>
        <w:jc w:val="both"/>
        <w:ind w:left="840" w:right="59" w:firstLine="751"/>
        <w:spacing w:after="0" w:line="249" w:lineRule="auto"/>
        <w:tabs>
          <w:tab w:leader="none" w:pos="2209" w:val="left"/>
        </w:tabs>
        <w:numPr>
          <w:ilvl w:val="2"/>
          <w:numId w:val="275"/>
        </w:numPr>
        <w:rPr>
          <w:rFonts w:ascii="Arial" w:cs="Arial" w:eastAsia="Arial" w:hAnsi="Arial"/>
          <w:sz w:val="19"/>
          <w:szCs w:val="19"/>
          <w:color w:val="auto"/>
        </w:rPr>
      </w:pPr>
      <w:r>
        <w:rPr>
          <w:rFonts w:ascii="Arial" w:cs="Arial" w:eastAsia="Arial" w:hAnsi="Arial"/>
          <w:sz w:val="19"/>
          <w:szCs w:val="19"/>
          <w:color w:val="auto"/>
        </w:rPr>
        <w:t>with respect to any such Disposition (other than any Permitted Asset Swap) with a purchase price in excess of the greater of $10,000,000 and 10% of Consolidated Adjusted EBITDA as of the last day of the most recently ended Test Period, at least 75% of the consideration for such</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157</w:t>
      </w:r>
      <w:r>
        <w:rPr>
          <w:rFonts w:ascii="Arial" w:cs="Arial" w:eastAsia="Arial" w:hAnsi="Arial"/>
          <w:sz w:val="18"/>
          <w:szCs w:val="18"/>
          <w:u w:val="single" w:color="auto"/>
          <w:color w:val="0000FF"/>
          <w:strike w:val="1"/>
        </w:rPr>
        <w:t>157</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25" w:name="page226"/>
    <w:bookmarkEnd w:id="225"/>
    <w:p>
      <w:pPr>
        <w:ind w:left="840" w:right="79"/>
        <w:spacing w:after="0" w:line="261" w:lineRule="auto"/>
        <w:rPr>
          <w:sz w:val="20"/>
          <w:szCs w:val="20"/>
          <w:color w:val="auto"/>
        </w:rPr>
      </w:pPr>
      <w:r>
        <w:rPr>
          <w:rFonts w:ascii="Arial" w:cs="Arial" w:eastAsia="Arial" w:hAnsi="Arial"/>
          <w:sz w:val="19"/>
          <w:szCs w:val="19"/>
          <w:color w:val="auto"/>
        </w:rPr>
        <w:t>Disposition (other than the portion of any such Disposition consisting of a Permitted Asset Swap) shall consist of Cash or Cash Equivalents;</w:t>
      </w:r>
    </w:p>
    <w:p>
      <w:pPr>
        <w:spacing w:after="0" w:line="240" w:lineRule="exact"/>
        <w:rPr>
          <w:sz w:val="20"/>
          <w:szCs w:val="20"/>
          <w:color w:val="auto"/>
        </w:rPr>
      </w:pPr>
    </w:p>
    <w:p>
      <w:pPr>
        <w:ind w:left="2340" w:hanging="748"/>
        <w:spacing w:after="0"/>
        <w:tabs>
          <w:tab w:leader="none" w:pos="2340" w:val="left"/>
        </w:tabs>
        <w:numPr>
          <w:ilvl w:val="0"/>
          <w:numId w:val="276"/>
        </w:numPr>
        <w:rPr>
          <w:rFonts w:ascii="Arial" w:cs="Arial" w:eastAsia="Arial" w:hAnsi="Arial"/>
          <w:sz w:val="19"/>
          <w:szCs w:val="19"/>
          <w:color w:val="auto"/>
        </w:rPr>
      </w:pPr>
      <w:r>
        <w:rPr>
          <w:rFonts w:ascii="Arial" w:cs="Arial" w:eastAsia="Arial" w:hAnsi="Arial"/>
          <w:sz w:val="19"/>
          <w:szCs w:val="19"/>
          <w:color w:val="auto"/>
        </w:rPr>
        <w:t>for purposes of the 75% Cash consideration requirement described immediately</w:t>
      </w:r>
    </w:p>
    <w:p>
      <w:pPr>
        <w:spacing w:after="0" w:line="14" w:lineRule="exact"/>
        <w:rPr>
          <w:sz w:val="20"/>
          <w:szCs w:val="20"/>
          <w:color w:val="auto"/>
        </w:rPr>
      </w:pPr>
    </w:p>
    <w:p>
      <w:pPr>
        <w:ind w:left="840"/>
        <w:spacing w:after="0"/>
        <w:rPr>
          <w:sz w:val="20"/>
          <w:szCs w:val="20"/>
          <w:color w:val="auto"/>
        </w:rPr>
      </w:pPr>
      <w:r>
        <w:rPr>
          <w:rFonts w:ascii="Arial" w:cs="Arial" w:eastAsia="Arial" w:hAnsi="Arial"/>
          <w:sz w:val="19"/>
          <w:szCs w:val="19"/>
          <w:color w:val="auto"/>
        </w:rPr>
        <w:t>above:</w:t>
      </w:r>
    </w:p>
    <w:p>
      <w:pPr>
        <w:spacing w:after="0" w:line="279" w:lineRule="exact"/>
        <w:rPr>
          <w:sz w:val="20"/>
          <w:szCs w:val="20"/>
          <w:color w:val="auto"/>
        </w:rPr>
      </w:pPr>
    </w:p>
    <w:p>
      <w:pPr>
        <w:jc w:val="both"/>
        <w:ind w:left="1600" w:right="39" w:firstLine="741"/>
        <w:spacing w:after="0" w:line="241" w:lineRule="auto"/>
        <w:tabs>
          <w:tab w:leader="none" w:pos="3009" w:val="left"/>
        </w:tabs>
        <w:numPr>
          <w:ilvl w:val="0"/>
          <w:numId w:val="277"/>
        </w:numPr>
        <w:rPr>
          <w:rFonts w:ascii="Arial" w:cs="Arial" w:eastAsia="Arial" w:hAnsi="Arial"/>
          <w:sz w:val="19"/>
          <w:szCs w:val="19"/>
          <w:color w:val="auto"/>
        </w:rPr>
      </w:pPr>
      <w:r>
        <w:rPr>
          <w:rFonts w:ascii="Arial" w:cs="Arial" w:eastAsia="Arial" w:hAnsi="Arial"/>
          <w:sz w:val="19"/>
          <w:szCs w:val="19"/>
          <w:color w:val="auto"/>
        </w:rPr>
        <w:t>the amount of any Indebtedness or other liabilities (other than Indebtedness or other liabilities that are subordinated to the Obligations or that are owed to the Borrower or any Restricted Subsidiary) of the Borrower or any Restricted Subsidiary (as shown on such Person’s most recent balance sheet or statement of financial position (or in the notes thereto)) that are assumed by the transferee of any such assets (or that are otherwise terminated or cancelled in connection with the transaction with such transferee) and for which the Borrower and/or its applicable Restricted Subsidiary have been validly released by all relevant creditors in writing,</w:t>
      </w:r>
    </w:p>
    <w:p>
      <w:pPr>
        <w:spacing w:after="0" w:line="192" w:lineRule="exact"/>
        <w:rPr>
          <w:rFonts w:ascii="Arial" w:cs="Arial" w:eastAsia="Arial" w:hAnsi="Arial"/>
          <w:sz w:val="19"/>
          <w:szCs w:val="19"/>
          <w:color w:val="auto"/>
        </w:rPr>
      </w:pPr>
    </w:p>
    <w:p>
      <w:pPr>
        <w:ind w:left="1600" w:right="39" w:firstLine="741"/>
        <w:spacing w:after="0" w:line="261" w:lineRule="auto"/>
        <w:tabs>
          <w:tab w:leader="none" w:pos="3008" w:val="left"/>
        </w:tabs>
        <w:numPr>
          <w:ilvl w:val="0"/>
          <w:numId w:val="277"/>
        </w:numPr>
        <w:rPr>
          <w:rFonts w:ascii="Arial" w:cs="Arial" w:eastAsia="Arial" w:hAnsi="Arial"/>
          <w:sz w:val="19"/>
          <w:szCs w:val="19"/>
          <w:color w:val="auto"/>
        </w:rPr>
      </w:pPr>
      <w:r>
        <w:rPr>
          <w:rFonts w:ascii="Arial" w:cs="Arial" w:eastAsia="Arial" w:hAnsi="Arial"/>
          <w:sz w:val="19"/>
          <w:szCs w:val="19"/>
          <w:color w:val="auto"/>
        </w:rPr>
        <w:t>the amount of any trade-in value applied to the purchase price of any replacement assets acquired in connection with such Disposition,</w:t>
      </w:r>
    </w:p>
    <w:p>
      <w:pPr>
        <w:spacing w:after="0" w:line="172" w:lineRule="exact"/>
        <w:rPr>
          <w:rFonts w:ascii="Arial" w:cs="Arial" w:eastAsia="Arial" w:hAnsi="Arial"/>
          <w:sz w:val="19"/>
          <w:szCs w:val="19"/>
          <w:color w:val="auto"/>
        </w:rPr>
      </w:pPr>
    </w:p>
    <w:p>
      <w:pPr>
        <w:jc w:val="both"/>
        <w:ind w:left="1600" w:right="39" w:firstLine="741"/>
        <w:spacing w:after="0" w:line="277" w:lineRule="auto"/>
        <w:tabs>
          <w:tab w:leader="none" w:pos="3008"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any Security received by the Borrower or any Restricted Subsidiary from such transferee that will be converted by such Person into Cash or Cash Equivalents (to the extent of the Cash or Cash Equivalents received) within 180 days following the closing of the applicable Disposition, and</w:t>
      </w:r>
    </w:p>
    <w:p>
      <w:pPr>
        <w:spacing w:after="0" w:line="160" w:lineRule="exact"/>
        <w:rPr>
          <w:rFonts w:ascii="Arial" w:cs="Arial" w:eastAsia="Arial" w:hAnsi="Arial"/>
          <w:sz w:val="18"/>
          <w:szCs w:val="18"/>
          <w:color w:val="auto"/>
        </w:rPr>
      </w:pPr>
    </w:p>
    <w:p>
      <w:pPr>
        <w:jc w:val="both"/>
        <w:ind w:left="1600" w:right="19" w:firstLine="741"/>
        <w:spacing w:after="0" w:line="263" w:lineRule="auto"/>
        <w:tabs>
          <w:tab w:leader="none" w:pos="3012"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any Designated Non-Cash Consideration received in respect of such Disposition having an aggregate fair market value, taken together with all other Designated Non-Cash Consideration received pursuant to this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that is at that time outstanding, not in excess of the greater of $25,000,000 and 30% of Consolidated Adjusted EBITDA as of the last day of the most recently ended Test Period,</w:t>
      </w:r>
    </w:p>
    <w:p>
      <w:pPr>
        <w:spacing w:after="0" w:line="173"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in each case, shall be deemed to be Cash.</w:t>
      </w:r>
    </w:p>
    <w:p>
      <w:pPr>
        <w:spacing w:after="0" w:line="200" w:lineRule="exact"/>
        <w:rPr>
          <w:sz w:val="20"/>
          <w:szCs w:val="20"/>
          <w:color w:val="auto"/>
        </w:rPr>
      </w:pPr>
    </w:p>
    <w:p>
      <w:pPr>
        <w:jc w:val="both"/>
        <w:ind w:left="100" w:right="59" w:firstLine="742"/>
        <w:spacing w:after="0" w:line="249" w:lineRule="auto"/>
        <w:tabs>
          <w:tab w:leader="none" w:pos="1520" w:val="left"/>
        </w:tabs>
        <w:numPr>
          <w:ilvl w:val="0"/>
          <w:numId w:val="278"/>
        </w:numPr>
        <w:rPr>
          <w:rFonts w:ascii="Arial" w:cs="Arial" w:eastAsia="Arial" w:hAnsi="Arial"/>
          <w:sz w:val="19"/>
          <w:szCs w:val="19"/>
          <w:color w:val="auto"/>
        </w:rPr>
      </w:pPr>
      <w:r>
        <w:rPr>
          <w:rFonts w:ascii="Arial" w:cs="Arial" w:eastAsia="Arial" w:hAnsi="Arial"/>
          <w:sz w:val="19"/>
          <w:szCs w:val="19"/>
          <w:color w:val="auto"/>
        </w:rPr>
        <w:t>Dispositions to the extent that (i) the relevant property is exchanged for credit against the purchase price of similar replacement property or (ii) the proceeds of the relevant Disposition are promptly applied to the purchase price of such replacement property;</w:t>
      </w:r>
    </w:p>
    <w:p>
      <w:pPr>
        <w:spacing w:after="0" w:line="183" w:lineRule="exact"/>
        <w:rPr>
          <w:rFonts w:ascii="Arial" w:cs="Arial" w:eastAsia="Arial" w:hAnsi="Arial"/>
          <w:sz w:val="19"/>
          <w:szCs w:val="19"/>
          <w:color w:val="auto"/>
        </w:rPr>
      </w:pPr>
    </w:p>
    <w:p>
      <w:pPr>
        <w:jc w:val="both"/>
        <w:ind w:left="100" w:right="59" w:firstLine="742"/>
        <w:spacing w:after="0" w:line="256" w:lineRule="auto"/>
        <w:tabs>
          <w:tab w:leader="none" w:pos="1520" w:val="left"/>
        </w:tabs>
        <w:numPr>
          <w:ilvl w:val="0"/>
          <w:numId w:val="278"/>
        </w:numPr>
        <w:rPr>
          <w:rFonts w:ascii="Arial" w:cs="Arial" w:eastAsia="Arial" w:hAnsi="Arial"/>
          <w:sz w:val="19"/>
          <w:szCs w:val="19"/>
          <w:color w:val="auto"/>
        </w:rPr>
      </w:pPr>
      <w:r>
        <w:rPr>
          <w:rFonts w:ascii="Arial" w:cs="Arial" w:eastAsia="Arial" w:hAnsi="Arial"/>
          <w:sz w:val="19"/>
          <w:szCs w:val="19"/>
          <w:color w:val="auto"/>
        </w:rPr>
        <w:t>Dispositions of Investments in joint ventures to the extent required by, or made pursuant to, buy/sell arrangements between joint venture or similar parties set forth in the relevant joint venture arrangements and/or similar binding arrangements;</w:t>
      </w:r>
    </w:p>
    <w:p>
      <w:pPr>
        <w:spacing w:after="0" w:line="178" w:lineRule="exact"/>
        <w:rPr>
          <w:rFonts w:ascii="Arial" w:cs="Arial" w:eastAsia="Arial" w:hAnsi="Arial"/>
          <w:sz w:val="19"/>
          <w:szCs w:val="19"/>
          <w:color w:val="auto"/>
        </w:rPr>
      </w:pPr>
    </w:p>
    <w:p>
      <w:pPr>
        <w:jc w:val="both"/>
        <w:ind w:left="100" w:right="59" w:firstLine="741"/>
        <w:spacing w:after="0" w:line="249" w:lineRule="auto"/>
        <w:tabs>
          <w:tab w:leader="none" w:pos="1519" w:val="left"/>
        </w:tabs>
        <w:numPr>
          <w:ilvl w:val="0"/>
          <w:numId w:val="278"/>
        </w:numPr>
        <w:rPr>
          <w:rFonts w:ascii="Arial" w:cs="Arial" w:eastAsia="Arial" w:hAnsi="Arial"/>
          <w:sz w:val="19"/>
          <w:szCs w:val="19"/>
          <w:color w:val="auto"/>
        </w:rPr>
      </w:pPr>
      <w:r>
        <w:rPr>
          <w:rFonts w:ascii="Arial" w:cs="Arial" w:eastAsia="Arial" w:hAnsi="Arial"/>
          <w:sz w:val="19"/>
          <w:szCs w:val="19"/>
          <w:color w:val="auto"/>
        </w:rPr>
        <w:t>Dispositions, discounting or forgiveness of notes receivable or accounts receivable in the ordinary course of business (including to insurers which have provided insurance as to the collection thereof) or in connection with the collection or compromise thereof (including sales to factors);</w:t>
      </w:r>
    </w:p>
    <w:p>
      <w:pPr>
        <w:spacing w:after="0" w:line="183" w:lineRule="exact"/>
        <w:rPr>
          <w:rFonts w:ascii="Arial" w:cs="Arial" w:eastAsia="Arial" w:hAnsi="Arial"/>
          <w:sz w:val="19"/>
          <w:szCs w:val="19"/>
          <w:color w:val="auto"/>
        </w:rPr>
      </w:pPr>
    </w:p>
    <w:p>
      <w:pPr>
        <w:jc w:val="both"/>
        <w:ind w:left="100" w:right="59" w:firstLine="741"/>
        <w:spacing w:after="0" w:line="245" w:lineRule="auto"/>
        <w:tabs>
          <w:tab w:leader="none" w:pos="1519" w:val="left"/>
        </w:tabs>
        <w:numPr>
          <w:ilvl w:val="0"/>
          <w:numId w:val="278"/>
        </w:numPr>
        <w:rPr>
          <w:rFonts w:ascii="Arial" w:cs="Arial" w:eastAsia="Arial" w:hAnsi="Arial"/>
          <w:sz w:val="19"/>
          <w:szCs w:val="19"/>
          <w:color w:val="auto"/>
        </w:rPr>
      </w:pPr>
      <w:r>
        <w:rPr>
          <w:rFonts w:ascii="Arial" w:cs="Arial" w:eastAsia="Arial" w:hAnsi="Arial"/>
          <w:sz w:val="19"/>
          <w:szCs w:val="19"/>
          <w:color w:val="auto"/>
        </w:rPr>
        <w:t>Dispositions and/or terminations of leases, subleases, licenses or sublicenses (including the provision of software under any open source license), (i) the Disposition or termination of which will not materially interfere with the business of the Borrower and its Restricted Subsidiaries (taken as a whole) or (ii) which relate to closed facilities or the discontinuation of any product line;</w:t>
      </w:r>
    </w:p>
    <w:p>
      <w:pPr>
        <w:spacing w:after="0" w:line="187" w:lineRule="exact"/>
        <w:rPr>
          <w:rFonts w:ascii="Arial" w:cs="Arial" w:eastAsia="Arial" w:hAnsi="Arial"/>
          <w:sz w:val="19"/>
          <w:szCs w:val="19"/>
          <w:color w:val="auto"/>
        </w:rPr>
      </w:pPr>
    </w:p>
    <w:p>
      <w:pPr>
        <w:jc w:val="both"/>
        <w:ind w:left="100" w:right="59" w:firstLine="741"/>
        <w:spacing w:after="0" w:line="269" w:lineRule="auto"/>
        <w:tabs>
          <w:tab w:leader="none" w:pos="1519"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 any termination of any lease in the ordinary course of business, (ii) any expiration of any option agreement in respect of real or personal property and (iii) any surrender or waiver of contractual rights or the settlement, release or surrender of contractual rights or litigation claims (including in tort) in the ordinary course of 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158</w:t>
      </w:r>
      <w:r>
        <w:rPr>
          <w:rFonts w:ascii="Arial" w:cs="Arial" w:eastAsia="Arial" w:hAnsi="Arial"/>
          <w:sz w:val="18"/>
          <w:szCs w:val="18"/>
          <w:u w:val="single" w:color="auto"/>
          <w:color w:val="0000FF"/>
          <w:strike w:val="1"/>
        </w:rPr>
        <w:t>158</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26" w:name="page227"/>
    <w:bookmarkEnd w:id="226"/>
    <w:p>
      <w:pPr>
        <w:ind w:left="100" w:right="59" w:firstLine="741"/>
        <w:spacing w:after="0" w:line="261" w:lineRule="auto"/>
        <w:tabs>
          <w:tab w:leader="none" w:pos="1519" w:val="left"/>
        </w:tabs>
        <w:numPr>
          <w:ilvl w:val="1"/>
          <w:numId w:val="279"/>
        </w:numPr>
        <w:rPr>
          <w:rFonts w:ascii="Arial" w:cs="Arial" w:eastAsia="Arial" w:hAnsi="Arial"/>
          <w:sz w:val="19"/>
          <w:szCs w:val="19"/>
          <w:color w:val="auto"/>
        </w:rPr>
      </w:pPr>
      <w:r>
        <w:rPr>
          <w:rFonts w:ascii="Arial" w:cs="Arial" w:eastAsia="Arial" w:hAnsi="Arial"/>
          <w:sz w:val="19"/>
          <w:szCs w:val="19"/>
          <w:color w:val="auto"/>
        </w:rPr>
        <w:t>Dispositions of property subject to foreclosure, casualty, eminent domain or condemnation proceedings (including in lieu thereof or any similar proceeding);</w:t>
      </w:r>
    </w:p>
    <w:p>
      <w:pPr>
        <w:spacing w:after="0" w:line="186" w:lineRule="exact"/>
        <w:rPr>
          <w:rFonts w:ascii="Arial" w:cs="Arial" w:eastAsia="Arial" w:hAnsi="Arial"/>
          <w:sz w:val="19"/>
          <w:szCs w:val="19"/>
          <w:color w:val="auto"/>
        </w:rPr>
      </w:pPr>
    </w:p>
    <w:p>
      <w:pPr>
        <w:ind w:left="100" w:right="59" w:firstLine="742"/>
        <w:spacing w:after="0" w:line="261" w:lineRule="auto"/>
        <w:tabs>
          <w:tab w:leader="none" w:pos="1520" w:val="left"/>
        </w:tabs>
        <w:numPr>
          <w:ilvl w:val="1"/>
          <w:numId w:val="279"/>
        </w:numPr>
        <w:rPr>
          <w:rFonts w:ascii="Arial" w:cs="Arial" w:eastAsia="Arial" w:hAnsi="Arial"/>
          <w:sz w:val="19"/>
          <w:szCs w:val="19"/>
          <w:color w:val="auto"/>
        </w:rPr>
      </w:pPr>
      <w:r>
        <w:rPr>
          <w:rFonts w:ascii="Arial" w:cs="Arial" w:eastAsia="Arial" w:hAnsi="Arial"/>
          <w:sz w:val="19"/>
          <w:szCs w:val="19"/>
          <w:color w:val="auto"/>
        </w:rPr>
        <w:t>Dispositions or consignments of equipment, inventory or other assets (including leasehold interests in real property) with respect to facilities that are temporarily not in use, held for sale or closed;</w:t>
      </w:r>
    </w:p>
    <w:p>
      <w:pPr>
        <w:spacing w:after="0" w:line="172" w:lineRule="exact"/>
        <w:rPr>
          <w:rFonts w:ascii="Arial" w:cs="Arial" w:eastAsia="Arial" w:hAnsi="Arial"/>
          <w:sz w:val="19"/>
          <w:szCs w:val="19"/>
          <w:color w:val="auto"/>
        </w:rPr>
      </w:pPr>
    </w:p>
    <w:p>
      <w:pPr>
        <w:ind w:left="1600" w:hanging="758"/>
        <w:spacing w:after="0"/>
        <w:tabs>
          <w:tab w:leader="none" w:pos="1600" w:val="left"/>
        </w:tabs>
        <w:numPr>
          <w:ilvl w:val="1"/>
          <w:numId w:val="279"/>
        </w:numPr>
        <w:rPr>
          <w:rFonts w:ascii="Arial" w:cs="Arial" w:eastAsia="Arial" w:hAnsi="Arial"/>
          <w:sz w:val="19"/>
          <w:szCs w:val="19"/>
          <w:color w:val="auto"/>
        </w:rPr>
      </w:pPr>
      <w:r>
        <w:rPr>
          <w:rFonts w:ascii="Arial" w:cs="Arial" w:eastAsia="Arial" w:hAnsi="Arial"/>
          <w:sz w:val="19"/>
          <w:szCs w:val="19"/>
          <w:color w:val="auto"/>
        </w:rPr>
        <w:t>[reserved];</w:t>
      </w:r>
    </w:p>
    <w:p>
      <w:pPr>
        <w:spacing w:after="0" w:line="213" w:lineRule="exact"/>
        <w:rPr>
          <w:rFonts w:ascii="Arial" w:cs="Arial" w:eastAsia="Arial" w:hAnsi="Arial"/>
          <w:sz w:val="19"/>
          <w:szCs w:val="19"/>
          <w:color w:val="auto"/>
        </w:rPr>
      </w:pPr>
    </w:p>
    <w:p>
      <w:pPr>
        <w:jc w:val="both"/>
        <w:ind w:left="100" w:right="59" w:firstLine="741"/>
        <w:spacing w:after="0" w:line="245" w:lineRule="auto"/>
        <w:tabs>
          <w:tab w:leader="none" w:pos="1519" w:val="left"/>
        </w:tabs>
        <w:numPr>
          <w:ilvl w:val="1"/>
          <w:numId w:val="279"/>
        </w:numPr>
        <w:rPr>
          <w:rFonts w:ascii="Arial" w:cs="Arial" w:eastAsia="Arial" w:hAnsi="Arial"/>
          <w:sz w:val="19"/>
          <w:szCs w:val="19"/>
          <w:color w:val="auto"/>
        </w:rPr>
      </w:pPr>
      <w:r>
        <w:rPr>
          <w:rFonts w:ascii="Arial" w:cs="Arial" w:eastAsia="Arial" w:hAnsi="Arial"/>
          <w:sz w:val="19"/>
          <w:szCs w:val="19"/>
          <w:color w:val="auto"/>
        </w:rPr>
        <w:t xml:space="preserve">Dispositions of non-core (as determined by the Borrower in good faith) assets acquired in connection with any acquisition or other Investment permitted hereunder and sales of Real Estate Assets acquired in any acquisition or other Investment permitted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Event of Default under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exists on the date on which the definitive agreement governing the relevant Disposition is executed;</w:t>
      </w:r>
    </w:p>
    <w:p>
      <w:pPr>
        <w:spacing w:after="0" w:line="187" w:lineRule="exact"/>
        <w:rPr>
          <w:rFonts w:ascii="Arial" w:cs="Arial" w:eastAsia="Arial" w:hAnsi="Arial"/>
          <w:sz w:val="19"/>
          <w:szCs w:val="19"/>
          <w:color w:val="auto"/>
        </w:rPr>
      </w:pPr>
    </w:p>
    <w:p>
      <w:pPr>
        <w:jc w:val="both"/>
        <w:ind w:left="100" w:right="59" w:firstLine="741"/>
        <w:spacing w:after="0" w:line="249" w:lineRule="auto"/>
        <w:tabs>
          <w:tab w:leader="none" w:pos="1520" w:val="left"/>
        </w:tabs>
        <w:numPr>
          <w:ilvl w:val="1"/>
          <w:numId w:val="279"/>
        </w:numPr>
        <w:rPr>
          <w:rFonts w:ascii="Arial" w:cs="Arial" w:eastAsia="Arial" w:hAnsi="Arial"/>
          <w:sz w:val="19"/>
          <w:szCs w:val="19"/>
          <w:color w:val="auto"/>
        </w:rPr>
      </w:pPr>
      <w:r>
        <w:rPr>
          <w:rFonts w:ascii="Arial" w:cs="Arial" w:eastAsia="Arial" w:hAnsi="Arial"/>
          <w:sz w:val="19"/>
          <w:szCs w:val="19"/>
          <w:color w:val="auto"/>
        </w:rPr>
        <w:t>exchanges or swaps, including transactions covered by Section 1031 of the Code (or any comparable provision of any foreign jurisdiction), of assets so long as any such exchange or swap is made for fair value (as determined by the Borrower in good faith) for like assets (including Related Business Assets);</w:t>
      </w:r>
    </w:p>
    <w:p>
      <w:pPr>
        <w:spacing w:after="0" w:line="183" w:lineRule="exact"/>
        <w:rPr>
          <w:rFonts w:ascii="Arial" w:cs="Arial" w:eastAsia="Arial" w:hAnsi="Arial"/>
          <w:sz w:val="19"/>
          <w:szCs w:val="19"/>
          <w:color w:val="auto"/>
        </w:rPr>
      </w:pPr>
    </w:p>
    <w:p>
      <w:pPr>
        <w:ind w:left="1600" w:hanging="758"/>
        <w:spacing w:after="0"/>
        <w:tabs>
          <w:tab w:leader="none" w:pos="1600" w:val="left"/>
        </w:tabs>
        <w:numPr>
          <w:ilvl w:val="1"/>
          <w:numId w:val="279"/>
        </w:numPr>
        <w:rPr>
          <w:rFonts w:ascii="Arial" w:cs="Arial" w:eastAsia="Arial" w:hAnsi="Arial"/>
          <w:sz w:val="19"/>
          <w:szCs w:val="19"/>
          <w:color w:val="auto"/>
        </w:rPr>
      </w:pPr>
      <w:r>
        <w:rPr>
          <w:rFonts w:ascii="Arial" w:cs="Arial" w:eastAsia="Arial" w:hAnsi="Arial"/>
          <w:sz w:val="19"/>
          <w:szCs w:val="19"/>
          <w:color w:val="auto"/>
        </w:rPr>
        <w:t>Dispositions of assets that do not constitute Collateral for fair market value;</w:t>
      </w:r>
    </w:p>
    <w:p>
      <w:pPr>
        <w:spacing w:after="0" w:line="213" w:lineRule="exact"/>
        <w:rPr>
          <w:rFonts w:ascii="Arial" w:cs="Arial" w:eastAsia="Arial" w:hAnsi="Arial"/>
          <w:sz w:val="19"/>
          <w:szCs w:val="19"/>
          <w:color w:val="auto"/>
        </w:rPr>
      </w:pPr>
    </w:p>
    <w:p>
      <w:pPr>
        <w:ind w:left="100" w:right="59" w:firstLine="741"/>
        <w:spacing w:after="0" w:line="253" w:lineRule="auto"/>
        <w:tabs>
          <w:tab w:leader="none" w:pos="1520" w:val="left"/>
        </w:tabs>
        <w:numPr>
          <w:ilvl w:val="1"/>
          <w:numId w:val="279"/>
        </w:numPr>
        <w:rPr>
          <w:rFonts w:ascii="Arial" w:cs="Arial" w:eastAsia="Arial" w:hAnsi="Arial"/>
          <w:sz w:val="19"/>
          <w:szCs w:val="19"/>
          <w:color w:val="auto"/>
        </w:rPr>
      </w:pPr>
      <w:r>
        <w:rPr>
          <w:rFonts w:ascii="Arial" w:cs="Arial" w:eastAsia="Arial" w:hAnsi="Arial"/>
          <w:sz w:val="19"/>
          <w:szCs w:val="19"/>
          <w:color w:val="auto"/>
        </w:rPr>
        <w:t>(i) any Disposition, licensing, sublicensing and/or cross-licensing arrangement involving any technology or IP Right of the Borrower or any Restricted Subsidiary in the ordinary course of business, and</w:t>
      </w:r>
    </w:p>
    <w:p>
      <w:pPr>
        <w:jc w:val="both"/>
        <w:ind w:left="100" w:right="59" w:hanging="7"/>
        <w:spacing w:after="0" w:line="266" w:lineRule="auto"/>
        <w:tabs>
          <w:tab w:leader="none" w:pos="381" w:val="left"/>
        </w:tabs>
        <w:numPr>
          <w:ilvl w:val="0"/>
          <w:numId w:val="280"/>
        </w:numPr>
        <w:rPr>
          <w:rFonts w:ascii="Arial" w:cs="Arial" w:eastAsia="Arial" w:hAnsi="Arial"/>
          <w:sz w:val="17"/>
          <w:szCs w:val="17"/>
          <w:color w:val="auto"/>
        </w:rPr>
      </w:pPr>
      <w:r>
        <w:rPr>
          <w:rFonts w:ascii="Arial" w:cs="Arial" w:eastAsia="Arial" w:hAnsi="Arial"/>
          <w:sz w:val="17"/>
          <w:szCs w:val="17"/>
          <w:color w:val="auto"/>
        </w:rPr>
        <w:t>any Disposition, abandonment, cancellation or lapse of any IP Right, or any issuance or registration, or application for issuance or registration, of any IP Right, which, in the good faith determination of the Borrower is not material to the conduct of the business of the Borrower and its Restricted Subsidiaries, taken as a whole, or is no longer economical to maintain in light of its use;</w:t>
      </w:r>
    </w:p>
    <w:p>
      <w:pPr>
        <w:spacing w:after="0" w:line="157" w:lineRule="exact"/>
        <w:rPr>
          <w:rFonts w:ascii="Arial" w:cs="Arial" w:eastAsia="Arial" w:hAnsi="Arial"/>
          <w:sz w:val="17"/>
          <w:szCs w:val="17"/>
          <w:color w:val="auto"/>
        </w:rPr>
      </w:pPr>
    </w:p>
    <w:p>
      <w:pPr>
        <w:ind w:left="1600" w:hanging="758"/>
        <w:spacing w:after="0"/>
        <w:tabs>
          <w:tab w:leader="none" w:pos="1600" w:val="left"/>
        </w:tabs>
        <w:numPr>
          <w:ilvl w:val="1"/>
          <w:numId w:val="280"/>
        </w:numPr>
        <w:rPr>
          <w:rFonts w:ascii="Arial" w:cs="Arial" w:eastAsia="Arial" w:hAnsi="Arial"/>
          <w:sz w:val="19"/>
          <w:szCs w:val="19"/>
          <w:color w:val="auto"/>
        </w:rPr>
      </w:pPr>
      <w:r>
        <w:rPr>
          <w:rFonts w:ascii="Arial" w:cs="Arial" w:eastAsia="Arial" w:hAnsi="Arial"/>
          <w:sz w:val="19"/>
          <w:szCs w:val="19"/>
          <w:color w:val="auto"/>
        </w:rPr>
        <w:t>any termination or unwind of Derivative Transactions or Banking Services Obligations;</w:t>
      </w:r>
    </w:p>
    <w:p>
      <w:pPr>
        <w:spacing w:after="0" w:line="227" w:lineRule="exact"/>
        <w:rPr>
          <w:rFonts w:ascii="Arial" w:cs="Arial" w:eastAsia="Arial" w:hAnsi="Arial"/>
          <w:sz w:val="19"/>
          <w:szCs w:val="19"/>
          <w:color w:val="auto"/>
        </w:rPr>
      </w:pPr>
    </w:p>
    <w:p>
      <w:pPr>
        <w:ind w:left="1520" w:hanging="678"/>
        <w:spacing w:after="0"/>
        <w:tabs>
          <w:tab w:leader="none" w:pos="15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Dispositions of Capital Stock of, or sales of Indebtedness or other Securities of, Unrestricted Subsidiaries;</w:t>
      </w:r>
    </w:p>
    <w:p>
      <w:pPr>
        <w:spacing w:after="0" w:line="225" w:lineRule="exact"/>
        <w:rPr>
          <w:rFonts w:ascii="Arial" w:cs="Arial" w:eastAsia="Arial" w:hAnsi="Arial"/>
          <w:sz w:val="18"/>
          <w:szCs w:val="18"/>
          <w:color w:val="auto"/>
        </w:rPr>
      </w:pPr>
    </w:p>
    <w:p>
      <w:pPr>
        <w:jc w:val="both"/>
        <w:ind w:left="100" w:right="59" w:firstLine="741"/>
        <w:spacing w:after="0" w:line="249" w:lineRule="auto"/>
        <w:tabs>
          <w:tab w:leader="none" w:pos="1519" w:val="left"/>
        </w:tabs>
        <w:numPr>
          <w:ilvl w:val="1"/>
          <w:numId w:val="280"/>
        </w:numPr>
        <w:rPr>
          <w:rFonts w:ascii="Arial" w:cs="Arial" w:eastAsia="Arial" w:hAnsi="Arial"/>
          <w:sz w:val="19"/>
          <w:szCs w:val="19"/>
          <w:color w:val="auto"/>
        </w:rPr>
      </w:pPr>
      <w:r>
        <w:rPr>
          <w:rFonts w:ascii="Arial" w:cs="Arial" w:eastAsia="Arial" w:hAnsi="Arial"/>
          <w:sz w:val="19"/>
          <w:szCs w:val="19"/>
          <w:color w:val="auto"/>
        </w:rPr>
        <w:t>Dispositions of Real Estate Assets and related assets in the ordinary course of business in connection with relocation activities for directors, officers, employees, members of management, managers or consultants of any Parent Company, the Borrower and/or any Restricted Subsidiary;</w:t>
      </w:r>
    </w:p>
    <w:p>
      <w:pPr>
        <w:spacing w:after="0" w:line="183" w:lineRule="exact"/>
        <w:rPr>
          <w:rFonts w:ascii="Arial" w:cs="Arial" w:eastAsia="Arial" w:hAnsi="Arial"/>
          <w:sz w:val="19"/>
          <w:szCs w:val="19"/>
          <w:color w:val="auto"/>
        </w:rPr>
      </w:pPr>
    </w:p>
    <w:p>
      <w:pPr>
        <w:ind w:left="100" w:right="59" w:firstLine="742"/>
        <w:spacing w:after="0" w:line="261" w:lineRule="auto"/>
        <w:tabs>
          <w:tab w:leader="none" w:pos="1520" w:val="left"/>
        </w:tabs>
        <w:numPr>
          <w:ilvl w:val="1"/>
          <w:numId w:val="280"/>
        </w:numPr>
        <w:rPr>
          <w:rFonts w:ascii="Arial" w:cs="Arial" w:eastAsia="Arial" w:hAnsi="Arial"/>
          <w:sz w:val="19"/>
          <w:szCs w:val="19"/>
          <w:color w:val="auto"/>
        </w:rPr>
      </w:pPr>
      <w:r>
        <w:rPr>
          <w:rFonts w:ascii="Arial" w:cs="Arial" w:eastAsia="Arial" w:hAnsi="Arial"/>
          <w:sz w:val="19"/>
          <w:szCs w:val="19"/>
          <w:color w:val="auto"/>
        </w:rPr>
        <w:t>Dispositions made to comply with any order of any Governmental Authority or any applicable Requirement of Law (including as a condition to, or in connection with, the consummation of the Transactions);</w:t>
      </w:r>
    </w:p>
    <w:p>
      <w:pPr>
        <w:spacing w:after="0" w:line="172" w:lineRule="exact"/>
        <w:rPr>
          <w:rFonts w:ascii="Arial" w:cs="Arial" w:eastAsia="Arial" w:hAnsi="Arial"/>
          <w:sz w:val="19"/>
          <w:szCs w:val="19"/>
          <w:color w:val="auto"/>
        </w:rPr>
      </w:pPr>
    </w:p>
    <w:p>
      <w:pPr>
        <w:ind w:left="100" w:right="59" w:firstLine="742"/>
        <w:spacing w:after="0" w:line="320" w:lineRule="auto"/>
        <w:tabs>
          <w:tab w:leader="none" w:pos="1520" w:val="left"/>
        </w:tabs>
        <w:numPr>
          <w:ilvl w:val="1"/>
          <w:numId w:val="280"/>
        </w:numPr>
        <w:rPr>
          <w:rFonts w:ascii="Arial" w:cs="Arial" w:eastAsia="Arial" w:hAnsi="Arial"/>
          <w:sz w:val="17"/>
          <w:szCs w:val="17"/>
          <w:color w:val="auto"/>
        </w:rPr>
      </w:pPr>
      <w:r>
        <w:rPr>
          <w:rFonts w:ascii="Arial" w:cs="Arial" w:eastAsia="Arial" w:hAnsi="Arial"/>
          <w:sz w:val="17"/>
          <w:szCs w:val="17"/>
          <w:color w:val="auto"/>
        </w:rPr>
        <w:t>any merger, consolidation, Disposition or conveyance the purpose of which is to reincorporate or reorganize (i) any Restricted Subsidiary in another jurisdiction in the US and/or (ii) any Foreign Subsidiary in the US or any other jurisdiction;</w:t>
      </w:r>
    </w:p>
    <w:p>
      <w:pPr>
        <w:spacing w:after="0" w:line="126" w:lineRule="exact"/>
        <w:rPr>
          <w:rFonts w:ascii="Arial" w:cs="Arial" w:eastAsia="Arial" w:hAnsi="Arial"/>
          <w:sz w:val="17"/>
          <w:szCs w:val="17"/>
          <w:color w:val="auto"/>
        </w:rPr>
      </w:pPr>
    </w:p>
    <w:p>
      <w:pPr>
        <w:ind w:left="1520" w:hanging="678"/>
        <w:spacing w:after="0"/>
        <w:tabs>
          <w:tab w:leader="none" w:pos="1520" w:val="left"/>
        </w:tabs>
        <w:numPr>
          <w:ilvl w:val="1"/>
          <w:numId w:val="280"/>
        </w:numPr>
        <w:rPr>
          <w:rFonts w:ascii="Arial" w:cs="Arial" w:eastAsia="Arial" w:hAnsi="Arial"/>
          <w:sz w:val="17"/>
          <w:szCs w:val="17"/>
          <w:color w:val="auto"/>
        </w:rPr>
      </w:pPr>
      <w:r>
        <w:rPr>
          <w:rFonts w:ascii="Arial" w:cs="Arial" w:eastAsia="Arial" w:hAnsi="Arial"/>
          <w:sz w:val="17"/>
          <w:szCs w:val="17"/>
          <w:color w:val="auto"/>
        </w:rPr>
        <w:t>any sale of motor vehicles and information technology equipment purchased at the end of an operating lease and</w:t>
      </w:r>
    </w:p>
    <w:p>
      <w:pPr>
        <w:spacing w:after="0" w:line="36"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9"/>
          <w:szCs w:val="19"/>
          <w:color w:val="auto"/>
        </w:rPr>
        <w:t>resold thereafter;</w:t>
      </w:r>
    </w:p>
    <w:p>
      <w:pPr>
        <w:spacing w:after="0" w:line="198" w:lineRule="exact"/>
        <w:rPr>
          <w:sz w:val="20"/>
          <w:szCs w:val="20"/>
          <w:color w:val="auto"/>
        </w:rPr>
      </w:pPr>
    </w:p>
    <w:p>
      <w:pPr>
        <w:ind w:left="840"/>
        <w:spacing w:after="0"/>
        <w:rPr>
          <w:sz w:val="20"/>
          <w:szCs w:val="20"/>
          <w:color w:val="auto"/>
        </w:rPr>
      </w:pPr>
      <w:r>
        <w:rPr>
          <w:rFonts w:ascii="Arial" w:cs="Arial" w:eastAsia="Arial" w:hAnsi="Arial"/>
          <w:sz w:val="19"/>
          <w:szCs w:val="19"/>
          <w:color w:val="auto"/>
        </w:rPr>
        <w:t>(aa)  Dispositions involving assets having a fair market value of not more than the greater of</w:t>
      </w:r>
    </w:p>
    <w:p>
      <w:pPr>
        <w:spacing w:after="0" w:line="14" w:lineRule="exact"/>
        <w:rPr>
          <w:sz w:val="20"/>
          <w:szCs w:val="20"/>
          <w:color w:val="auto"/>
        </w:rPr>
      </w:pPr>
    </w:p>
    <w:p>
      <w:pPr>
        <w:ind w:left="100" w:right="59"/>
        <w:spacing w:after="0" w:line="234" w:lineRule="auto"/>
        <w:rPr>
          <w:sz w:val="20"/>
          <w:szCs w:val="20"/>
          <w:color w:val="auto"/>
        </w:rPr>
      </w:pPr>
      <w:r>
        <w:rPr>
          <w:rFonts w:ascii="Arial" w:cs="Arial" w:eastAsia="Arial" w:hAnsi="Arial"/>
          <w:sz w:val="19"/>
          <w:szCs w:val="19"/>
          <w:color w:val="auto"/>
        </w:rPr>
        <w:t>$10,000,000 and 10% of Consolidated Adjusted EBITDA as of the last day of the most recently ended Test Period in any Fiscal Year, which, if not used in such Fiscal Year, shall be carried forward to the next Fiscal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159</w:t>
      </w:r>
      <w:r>
        <w:rPr>
          <w:rFonts w:ascii="Arial" w:cs="Arial" w:eastAsia="Arial" w:hAnsi="Arial"/>
          <w:sz w:val="18"/>
          <w:szCs w:val="18"/>
          <w:u w:val="single" w:color="auto"/>
          <w:color w:val="0000FF"/>
          <w:strike w:val="1"/>
        </w:rPr>
        <w:t>159</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27" w:name="page228"/>
    <w:bookmarkEnd w:id="227"/>
    <w:p>
      <w:pPr>
        <w:jc w:val="both"/>
        <w:ind w:left="100" w:right="39" w:firstLine="741"/>
        <w:spacing w:after="0" w:line="236" w:lineRule="auto"/>
        <w:tabs>
          <w:tab w:leader="none" w:pos="1337" w:val="left"/>
        </w:tabs>
        <w:numPr>
          <w:ilvl w:val="0"/>
          <w:numId w:val="281"/>
        </w:numPr>
        <w:rPr>
          <w:rFonts w:ascii="Arial" w:cs="Arial" w:eastAsia="Arial" w:hAnsi="Arial"/>
          <w:sz w:val="19"/>
          <w:szCs w:val="19"/>
          <w:color w:val="auto"/>
        </w:rPr>
      </w:pPr>
      <w:r>
        <w:rPr>
          <w:rFonts w:ascii="Arial" w:cs="Arial" w:eastAsia="Arial" w:hAnsi="Arial"/>
          <w:sz w:val="19"/>
          <w:szCs w:val="19"/>
          <w:color w:val="auto"/>
        </w:rPr>
        <w:t xml:space="preserve">Dispositions in connection with reorganizations and/or restructurings and/or activities related to tax planning;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effect to any such reorganization, restructuring or activity, in the good faith determination of the Borrower, neither the Loan Guaranty, taken as a whole, nor the security interest of the Administrative Agent in the Collateral, taken as a whole, is materially impaired;</w:t>
      </w:r>
    </w:p>
    <w:p>
      <w:pPr>
        <w:spacing w:after="0" w:line="193" w:lineRule="exact"/>
        <w:rPr>
          <w:rFonts w:ascii="Arial" w:cs="Arial" w:eastAsia="Arial" w:hAnsi="Arial"/>
          <w:sz w:val="19"/>
          <w:szCs w:val="19"/>
          <w:color w:val="auto"/>
        </w:rPr>
      </w:pPr>
    </w:p>
    <w:p>
      <w:pPr>
        <w:jc w:val="both"/>
        <w:ind w:left="100" w:right="59" w:firstLine="741"/>
        <w:spacing w:after="0" w:line="233" w:lineRule="auto"/>
        <w:tabs>
          <w:tab w:leader="none" w:pos="1266" w:val="left"/>
        </w:tabs>
        <w:numPr>
          <w:ilvl w:val="0"/>
          <w:numId w:val="281"/>
        </w:numPr>
        <w:rPr>
          <w:rFonts w:ascii="Arial" w:cs="Arial" w:eastAsia="Arial" w:hAnsi="Arial"/>
          <w:sz w:val="19"/>
          <w:szCs w:val="19"/>
          <w:color w:val="auto"/>
        </w:rPr>
      </w:pPr>
      <w:r>
        <w:rPr>
          <w:rFonts w:ascii="Arial" w:cs="Arial" w:eastAsia="Arial" w:hAnsi="Arial"/>
          <w:sz w:val="19"/>
          <w:szCs w:val="19"/>
          <w:color w:val="auto"/>
        </w:rPr>
        <w:t xml:space="preserve">Dispositions of assets in connection with the closing or sale of an office in the ordinary course of business of the Borrower and the Restricted Subsidiaries, which consist of leasehold interests in the premises of such office, the equipment and fixtures located at such premises and the books and records relating exclusively and directly to the operations of such office; </w:t>
      </w:r>
      <w:r>
        <w:rPr>
          <w:rFonts w:ascii="Arial" w:cs="Arial" w:eastAsia="Arial" w:hAnsi="Arial"/>
          <w:sz w:val="19"/>
          <w:szCs w:val="19"/>
          <w:u w:val="single" w:color="auto"/>
          <w:color w:val="auto"/>
        </w:rPr>
        <w:t>provided</w:t>
      </w:r>
      <w:r>
        <w:rPr>
          <w:rFonts w:ascii="Arial" w:cs="Arial" w:eastAsia="Arial" w:hAnsi="Arial"/>
          <w:sz w:val="19"/>
          <w:szCs w:val="19"/>
          <w:color w:val="auto"/>
        </w:rPr>
        <w:t>, that any such sale shall be at a commercially reasonable price and on commercially reasonable terms in a bona fide arm’s-length transaction;</w:t>
      </w:r>
    </w:p>
    <w:p>
      <w:pPr>
        <w:spacing w:after="0" w:line="181" w:lineRule="exact"/>
        <w:rPr>
          <w:rFonts w:ascii="Arial" w:cs="Arial" w:eastAsia="Arial" w:hAnsi="Arial"/>
          <w:sz w:val="19"/>
          <w:szCs w:val="19"/>
          <w:color w:val="auto"/>
        </w:rPr>
      </w:pPr>
    </w:p>
    <w:p>
      <w:pPr>
        <w:ind w:left="1220" w:hanging="377"/>
        <w:spacing w:after="0"/>
        <w:tabs>
          <w:tab w:leader="none" w:pos="1220" w:val="left"/>
        </w:tabs>
        <w:numPr>
          <w:ilvl w:val="0"/>
          <w:numId w:val="281"/>
        </w:numPr>
        <w:rPr>
          <w:rFonts w:ascii="Arial" w:cs="Arial" w:eastAsia="Arial" w:hAnsi="Arial"/>
          <w:sz w:val="19"/>
          <w:szCs w:val="19"/>
          <w:color w:val="auto"/>
        </w:rPr>
      </w:pPr>
      <w:r>
        <w:rPr>
          <w:rFonts w:ascii="Arial" w:cs="Arial" w:eastAsia="Arial" w:hAnsi="Arial"/>
          <w:sz w:val="19"/>
          <w:szCs w:val="19"/>
          <w:color w:val="auto"/>
        </w:rPr>
        <w:t>[reserved];</w:t>
      </w:r>
    </w:p>
    <w:p>
      <w:pPr>
        <w:spacing w:after="0" w:line="200" w:lineRule="exact"/>
        <w:rPr>
          <w:rFonts w:ascii="Arial" w:cs="Arial" w:eastAsia="Arial" w:hAnsi="Arial"/>
          <w:sz w:val="19"/>
          <w:szCs w:val="19"/>
          <w:color w:val="auto"/>
        </w:rPr>
      </w:pPr>
    </w:p>
    <w:p>
      <w:pPr>
        <w:jc w:val="both"/>
        <w:ind w:left="100" w:right="59" w:firstLine="741"/>
        <w:spacing w:after="0" w:line="241" w:lineRule="auto"/>
        <w:tabs>
          <w:tab w:leader="none" w:pos="1255" w:val="left"/>
        </w:tabs>
        <w:numPr>
          <w:ilvl w:val="0"/>
          <w:numId w:val="281"/>
        </w:numPr>
        <w:rPr>
          <w:rFonts w:ascii="Arial" w:cs="Arial" w:eastAsia="Arial" w:hAnsi="Arial"/>
          <w:sz w:val="19"/>
          <w:szCs w:val="19"/>
          <w:color w:val="auto"/>
        </w:rPr>
      </w:pPr>
      <w:r>
        <w:rPr>
          <w:rFonts w:ascii="Arial" w:cs="Arial" w:eastAsia="Arial" w:hAnsi="Arial"/>
          <w:sz w:val="19"/>
          <w:szCs w:val="19"/>
          <w:color w:val="auto"/>
        </w:rPr>
        <w:t xml:space="preserve">Sale and Lease-Back Transactions; </w:t>
      </w:r>
      <w:r>
        <w:rPr>
          <w:rFonts w:ascii="Arial" w:cs="Arial" w:eastAsia="Arial" w:hAnsi="Arial"/>
          <w:sz w:val="19"/>
          <w:szCs w:val="19"/>
          <w:u w:val="single" w:color="auto"/>
          <w:color w:val="auto"/>
        </w:rPr>
        <w:t>provided</w:t>
      </w:r>
      <w:r>
        <w:rPr>
          <w:rFonts w:ascii="Arial" w:cs="Arial" w:eastAsia="Arial" w:hAnsi="Arial"/>
          <w:sz w:val="19"/>
          <w:szCs w:val="19"/>
          <w:color w:val="auto"/>
        </w:rPr>
        <w:t>, the fair market value of all property so Disposed of after the Closing Date shall not exceed the greater of $30,000,000 and 35% of Consolidated Adjusted EBITDA as of the last day of the most recently ended Test Period;</w:t>
      </w:r>
    </w:p>
    <w:p>
      <w:pPr>
        <w:spacing w:after="0" w:line="178" w:lineRule="exact"/>
        <w:rPr>
          <w:rFonts w:ascii="Arial" w:cs="Arial" w:eastAsia="Arial" w:hAnsi="Arial"/>
          <w:sz w:val="19"/>
          <w:szCs w:val="19"/>
          <w:color w:val="auto"/>
        </w:rPr>
      </w:pPr>
    </w:p>
    <w:p>
      <w:pPr>
        <w:ind w:left="1220" w:hanging="377"/>
        <w:spacing w:after="0"/>
        <w:tabs>
          <w:tab w:leader="none" w:pos="1220" w:val="left"/>
        </w:tabs>
        <w:numPr>
          <w:ilvl w:val="0"/>
          <w:numId w:val="281"/>
        </w:numPr>
        <w:rPr>
          <w:rFonts w:ascii="Arial" w:cs="Arial" w:eastAsia="Arial" w:hAnsi="Arial"/>
          <w:sz w:val="19"/>
          <w:szCs w:val="19"/>
          <w:color w:val="auto"/>
        </w:rPr>
      </w:pPr>
      <w:r>
        <w:rPr>
          <w:rFonts w:ascii="Arial" w:cs="Arial" w:eastAsia="Arial" w:hAnsi="Arial"/>
          <w:sz w:val="19"/>
          <w:szCs w:val="19"/>
          <w:color w:val="auto"/>
        </w:rPr>
        <w:t>[reserved];</w:t>
      </w:r>
    </w:p>
    <w:p>
      <w:pPr>
        <w:spacing w:after="0" w:line="213" w:lineRule="exact"/>
        <w:rPr>
          <w:rFonts w:ascii="Arial" w:cs="Arial" w:eastAsia="Arial" w:hAnsi="Arial"/>
          <w:sz w:val="19"/>
          <w:szCs w:val="19"/>
          <w:color w:val="auto"/>
        </w:rPr>
      </w:pPr>
    </w:p>
    <w:p>
      <w:pPr>
        <w:ind w:left="100" w:right="59" w:firstLine="741"/>
        <w:spacing w:after="0" w:line="246" w:lineRule="auto"/>
        <w:tabs>
          <w:tab w:leader="none" w:pos="1261" w:val="left"/>
        </w:tabs>
        <w:numPr>
          <w:ilvl w:val="0"/>
          <w:numId w:val="281"/>
        </w:numPr>
        <w:rPr>
          <w:rFonts w:ascii="Arial" w:cs="Arial" w:eastAsia="Arial" w:hAnsi="Arial"/>
          <w:sz w:val="19"/>
          <w:szCs w:val="19"/>
          <w:color w:val="auto"/>
        </w:rPr>
      </w:pPr>
      <w:r>
        <w:rPr>
          <w:rFonts w:ascii="Arial" w:cs="Arial" w:eastAsia="Arial" w:hAnsi="Arial"/>
          <w:sz w:val="19"/>
          <w:szCs w:val="19"/>
          <w:color w:val="auto"/>
        </w:rPr>
        <w:t>any Disposition of any Receivables Facility Asset (and/or any participation therein) in connection with any Receivables Facility;</w:t>
      </w:r>
    </w:p>
    <w:p>
      <w:pPr>
        <w:spacing w:after="0" w:line="173" w:lineRule="exact"/>
        <w:rPr>
          <w:rFonts w:ascii="Arial" w:cs="Arial" w:eastAsia="Arial" w:hAnsi="Arial"/>
          <w:sz w:val="19"/>
          <w:szCs w:val="19"/>
          <w:color w:val="auto"/>
        </w:rPr>
      </w:pPr>
    </w:p>
    <w:p>
      <w:pPr>
        <w:ind w:left="1220" w:hanging="377"/>
        <w:spacing w:after="0"/>
        <w:tabs>
          <w:tab w:leader="none" w:pos="1220" w:val="left"/>
        </w:tabs>
        <w:numPr>
          <w:ilvl w:val="0"/>
          <w:numId w:val="281"/>
        </w:numPr>
        <w:rPr>
          <w:rFonts w:ascii="Arial" w:cs="Arial" w:eastAsia="Arial" w:hAnsi="Arial"/>
          <w:sz w:val="19"/>
          <w:szCs w:val="19"/>
          <w:color w:val="auto"/>
        </w:rPr>
      </w:pPr>
      <w:r>
        <w:rPr>
          <w:rFonts w:ascii="Arial" w:cs="Arial" w:eastAsia="Arial" w:hAnsi="Arial"/>
          <w:sz w:val="19"/>
          <w:szCs w:val="19"/>
          <w:color w:val="auto"/>
        </w:rPr>
        <w:t>[reserved];</w:t>
      </w:r>
    </w:p>
    <w:p>
      <w:pPr>
        <w:spacing w:after="0" w:line="200" w:lineRule="exact"/>
        <w:rPr>
          <w:rFonts w:ascii="Arial" w:cs="Arial" w:eastAsia="Arial" w:hAnsi="Arial"/>
          <w:sz w:val="19"/>
          <w:szCs w:val="19"/>
          <w:color w:val="auto"/>
        </w:rPr>
      </w:pPr>
    </w:p>
    <w:p>
      <w:pPr>
        <w:ind w:left="100" w:right="219" w:firstLine="741"/>
        <w:spacing w:after="0" w:line="261" w:lineRule="auto"/>
        <w:tabs>
          <w:tab w:leader="none" w:pos="1227" w:val="left"/>
        </w:tabs>
        <w:numPr>
          <w:ilvl w:val="0"/>
          <w:numId w:val="281"/>
        </w:numPr>
        <w:rPr>
          <w:rFonts w:ascii="Arial" w:cs="Arial" w:eastAsia="Arial" w:hAnsi="Arial"/>
          <w:sz w:val="19"/>
          <w:szCs w:val="19"/>
          <w:color w:val="auto"/>
        </w:rPr>
      </w:pPr>
      <w:r>
        <w:rPr>
          <w:rFonts w:ascii="Arial" w:cs="Arial" w:eastAsia="Arial" w:hAnsi="Arial"/>
          <w:sz w:val="19"/>
          <w:szCs w:val="19"/>
          <w:color w:val="auto"/>
        </w:rPr>
        <w:t>the settlement or early termination of any Permitted Bond Hedge Transaction and/or any related Permitted Warrant Transaction; and</w:t>
      </w:r>
    </w:p>
    <w:p>
      <w:pPr>
        <w:spacing w:after="0" w:line="159" w:lineRule="exact"/>
        <w:rPr>
          <w:rFonts w:ascii="Arial" w:cs="Arial" w:eastAsia="Arial" w:hAnsi="Arial"/>
          <w:sz w:val="19"/>
          <w:szCs w:val="19"/>
          <w:color w:val="auto"/>
        </w:rPr>
      </w:pPr>
    </w:p>
    <w:p>
      <w:pPr>
        <w:ind w:left="1160" w:hanging="319"/>
        <w:spacing w:after="0"/>
        <w:tabs>
          <w:tab w:leader="none" w:pos="1160" w:val="left"/>
        </w:tabs>
        <w:numPr>
          <w:ilvl w:val="0"/>
          <w:numId w:val="281"/>
        </w:numPr>
        <w:rPr>
          <w:rFonts w:ascii="Arial" w:cs="Arial" w:eastAsia="Arial" w:hAnsi="Arial"/>
          <w:sz w:val="19"/>
          <w:szCs w:val="19"/>
          <w:color w:val="auto"/>
        </w:rPr>
      </w:pPr>
      <w:r>
        <w:rPr>
          <w:rFonts w:ascii="Arial" w:cs="Arial" w:eastAsia="Arial" w:hAnsi="Arial"/>
          <w:sz w:val="19"/>
          <w:szCs w:val="19"/>
          <w:color w:val="auto"/>
        </w:rPr>
        <w:t>Dispositions of any asset acquired with the proceeds of an Available Excluded Contribution Amount.</w:t>
      </w:r>
    </w:p>
    <w:p>
      <w:pPr>
        <w:spacing w:after="0" w:line="200" w:lineRule="exact"/>
        <w:rPr>
          <w:sz w:val="20"/>
          <w:szCs w:val="20"/>
          <w:color w:val="auto"/>
        </w:rPr>
      </w:pPr>
    </w:p>
    <w:p>
      <w:pPr>
        <w:jc w:val="both"/>
        <w:ind w:left="100" w:right="59" w:firstLine="749"/>
        <w:spacing w:after="0" w:line="261" w:lineRule="auto"/>
        <w:rPr>
          <w:sz w:val="20"/>
          <w:szCs w:val="20"/>
          <w:color w:val="auto"/>
        </w:rPr>
      </w:pPr>
      <w:r>
        <w:rPr>
          <w:rFonts w:ascii="Arial" w:cs="Arial" w:eastAsia="Arial" w:hAnsi="Arial"/>
          <w:sz w:val="17"/>
          <w:szCs w:val="17"/>
          <w:color w:val="auto"/>
        </w:rPr>
        <w:t xml:space="preserve">It is understood and agreed that (a) to the extent that any Collateral is Disposed of as permitted by this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such Collateral shall be Disposed of free and clear of the Liens created by the Loan Documents, which Liens shall be automatically released upon the consummation of such Disposition, and the Administrative Agent shall be authorized to take, and shall take, any action reasonably requested by the Borrower in order to effect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 Disposition made to any Loan Party, the relevant transferred assets shall become part of the Collateral of the transferee Loan Party (except to the extent such assets constitute Excluded Assets), (b) any determination of the fair market value of any asset other than Cash for purposes of this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shall be made by the Borrower in good faith at its election either (1) at the time of the execution of the definitive agreement governing such Disposition or (2) the date on which such Disposition is consummated and (c) notwithstanding the foregoing provisions of this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shall not permit an IP Separation Transaction.</w:t>
      </w:r>
    </w:p>
    <w:p>
      <w:pPr>
        <w:spacing w:after="0" w:line="166" w:lineRule="exact"/>
        <w:rPr>
          <w:sz w:val="20"/>
          <w:szCs w:val="20"/>
          <w:color w:val="auto"/>
        </w:rPr>
      </w:pPr>
    </w:p>
    <w:p>
      <w:pPr>
        <w:jc w:val="both"/>
        <w:ind w:left="100" w:right="19" w:firstLine="749"/>
        <w:spacing w:after="0" w:line="231" w:lineRule="auto"/>
        <w:rPr>
          <w:sz w:val="20"/>
          <w:szCs w:val="20"/>
          <w:color w:val="auto"/>
        </w:rPr>
      </w:pPr>
      <w:r>
        <w:rPr>
          <w:rFonts w:ascii="Arial" w:cs="Arial" w:eastAsia="Arial" w:hAnsi="Arial"/>
          <w:sz w:val="19"/>
          <w:szCs w:val="19"/>
          <w:color w:val="auto"/>
        </w:rPr>
        <w:t xml:space="preserve">Section 6.08. </w:t>
      </w:r>
      <w:r>
        <w:rPr>
          <w:rFonts w:ascii="Arial" w:cs="Arial" w:eastAsia="Arial" w:hAnsi="Arial"/>
          <w:sz w:val="19"/>
          <w:szCs w:val="19"/>
          <w:u w:val="single" w:color="auto"/>
          <w:color w:val="auto"/>
        </w:rPr>
        <w:t>Amendments of or Waivers with Respect to Restricted Debt</w:t>
      </w:r>
      <w:r>
        <w:rPr>
          <w:rFonts w:ascii="Arial" w:cs="Arial" w:eastAsia="Arial" w:hAnsi="Arial"/>
          <w:sz w:val="19"/>
          <w:szCs w:val="19"/>
          <w:color w:val="auto"/>
        </w:rPr>
        <w:t xml:space="preserve">. The Borrower shall not, nor shall it permit any of its Restricted Subsidiaries to, amend or otherwise modify the subordination terms set forth in the documentation governing any Restricted Debt if the effect of such amendment or modification, together with all other amendments or modifications made, is, in the good faith determination of the Borrower, materially adverse to the interests of the Lenders (in their capacities as such); </w:t>
      </w:r>
      <w:r>
        <w:rPr>
          <w:rFonts w:ascii="Arial" w:cs="Arial" w:eastAsia="Arial" w:hAnsi="Arial"/>
          <w:sz w:val="19"/>
          <w:szCs w:val="19"/>
          <w:u w:val="single" w:color="auto"/>
          <w:color w:val="auto"/>
        </w:rPr>
        <w:t>provided</w:t>
      </w:r>
      <w:r>
        <w:rPr>
          <w:rFonts w:ascii="Arial" w:cs="Arial" w:eastAsia="Arial" w:hAnsi="Arial"/>
          <w:sz w:val="19"/>
          <w:szCs w:val="19"/>
          <w:color w:val="auto"/>
        </w:rPr>
        <w:t>, that, for purposes of clarity, it is understood and agreed that the foregoing limitation shall not otherwise prohibit any Refinancing Indebtedness or any other replacement, refinancing, amendment, supplement, modification, extension, renewal, restatement or refunding of any Restricted Debt, in each case, that is otherwise permitted to be incurred under this Agreement in respect thereof.</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160</w:t>
      </w:r>
      <w:r>
        <w:rPr>
          <w:rFonts w:ascii="Arial" w:cs="Arial" w:eastAsia="Arial" w:hAnsi="Arial"/>
          <w:sz w:val="18"/>
          <w:szCs w:val="18"/>
          <w:u w:val="single" w:color="auto"/>
          <w:color w:val="0000FF"/>
          <w:strike w:val="1"/>
        </w:rPr>
        <w:t>160</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28" w:name="page229"/>
    <w:bookmarkEnd w:id="228"/>
    <w:p>
      <w:pPr>
        <w:ind w:left="840"/>
        <w:spacing w:after="0"/>
        <w:rPr>
          <w:sz w:val="20"/>
          <w:szCs w:val="20"/>
          <w:color w:val="auto"/>
        </w:rPr>
      </w:pPr>
      <w:r>
        <w:rPr>
          <w:rFonts w:ascii="Arial" w:cs="Arial" w:eastAsia="Arial" w:hAnsi="Arial"/>
          <w:sz w:val="19"/>
          <w:szCs w:val="19"/>
          <w:color w:val="auto"/>
        </w:rPr>
        <w:t xml:space="preserve">Section 6.09.  </w:t>
      </w:r>
      <w:r>
        <w:rPr>
          <w:rFonts w:ascii="Arial" w:cs="Arial" w:eastAsia="Arial" w:hAnsi="Arial"/>
          <w:sz w:val="19"/>
          <w:szCs w:val="19"/>
          <w:u w:val="single" w:color="auto"/>
          <w:color w:val="auto"/>
        </w:rPr>
        <w:t>Holdings</w:t>
      </w:r>
      <w:r>
        <w:rPr>
          <w:rFonts w:ascii="Arial" w:cs="Arial" w:eastAsia="Arial" w:hAnsi="Arial"/>
          <w:sz w:val="19"/>
          <w:szCs w:val="19"/>
          <w:color w:val="auto"/>
        </w:rPr>
        <w:t>. Holdings shall not:</w:t>
      </w:r>
    </w:p>
    <w:p>
      <w:pPr>
        <w:spacing w:after="0" w:line="214" w:lineRule="exact"/>
        <w:rPr>
          <w:sz w:val="20"/>
          <w:szCs w:val="20"/>
          <w:color w:val="auto"/>
        </w:rPr>
      </w:pPr>
    </w:p>
    <w:p>
      <w:pPr>
        <w:jc w:val="both"/>
        <w:ind w:left="100" w:right="59" w:firstLine="741"/>
        <w:spacing w:after="0" w:line="241" w:lineRule="auto"/>
        <w:tabs>
          <w:tab w:leader="none" w:pos="1520" w:val="left"/>
        </w:tabs>
        <w:numPr>
          <w:ilvl w:val="1"/>
          <w:numId w:val="282"/>
        </w:numPr>
        <w:rPr>
          <w:rFonts w:ascii="Arial" w:cs="Arial" w:eastAsia="Arial" w:hAnsi="Arial"/>
          <w:sz w:val="19"/>
          <w:szCs w:val="19"/>
          <w:color w:val="auto"/>
        </w:rPr>
      </w:pPr>
      <w:r>
        <w:rPr>
          <w:rFonts w:ascii="Arial" w:cs="Arial" w:eastAsia="Arial" w:hAnsi="Arial"/>
          <w:sz w:val="19"/>
          <w:szCs w:val="19"/>
          <w:color w:val="auto"/>
        </w:rPr>
        <w:t xml:space="preserve">create or suffer to exist any Lien on any asset now owned or hereafter acquired by it other than (i) the Liens created under the Collateral Documents to which it is a party, (ii) any other Lien created in connection with the Transactions, (iii) Liens on the Collateral that are secured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or junior basis with the Secured Obligations, so long as such Liens secure Guarantees of Indebtedness or other obligations of the Borrower and/or any Restricted Subsidiary that are otherwise permitted hereunder and the underlying Indebtedness subject to such Guarantees is of the type permitted to be secured on the same basis pursuant to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and (iv) Liens of the type permitted under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(other than in respect of Indebtedness for borrowed money); or</w:t>
      </w:r>
    </w:p>
    <w:p>
      <w:pPr>
        <w:spacing w:after="0" w:line="192" w:lineRule="exact"/>
        <w:rPr>
          <w:rFonts w:ascii="Arial" w:cs="Arial" w:eastAsia="Arial" w:hAnsi="Arial"/>
          <w:sz w:val="19"/>
          <w:szCs w:val="19"/>
          <w:color w:val="auto"/>
        </w:rPr>
      </w:pPr>
    </w:p>
    <w:p>
      <w:pPr>
        <w:jc w:val="both"/>
        <w:ind w:left="100" w:right="19" w:firstLine="741"/>
        <w:spacing w:after="0" w:line="275" w:lineRule="auto"/>
        <w:tabs>
          <w:tab w:leader="none" w:pos="1522" w:val="left"/>
        </w:tabs>
        <w:numPr>
          <w:ilvl w:val="1"/>
          <w:numId w:val="282"/>
        </w:numPr>
        <w:rPr>
          <w:rFonts w:ascii="Arial" w:cs="Arial" w:eastAsia="Arial" w:hAnsi="Arial"/>
          <w:sz w:val="17"/>
          <w:szCs w:val="17"/>
          <w:color w:val="auto"/>
        </w:rPr>
      </w:pPr>
      <w:r>
        <w:rPr>
          <w:rFonts w:ascii="Arial" w:cs="Arial" w:eastAsia="Arial" w:hAnsi="Arial"/>
          <w:sz w:val="17"/>
          <w:szCs w:val="17"/>
          <w:color w:val="auto"/>
        </w:rPr>
        <w:t xml:space="preserve">consolidate or amalgamate with, or merge with or into, or convey, sell or otherwise Dispose of all or substantially all of its assets to, any Person or dissolve or cancel its existence; </w:t>
      </w:r>
      <w:r>
        <w:rPr>
          <w:rFonts w:ascii="Arial" w:cs="Arial" w:eastAsia="Arial" w:hAnsi="Arial"/>
          <w:sz w:val="17"/>
          <w:szCs w:val="17"/>
          <w:u w:val="single" w:color="auto"/>
          <w:color w:val="auto"/>
        </w:rPr>
        <w:t>provided</w:t>
      </w:r>
      <w:r>
        <w:rPr>
          <w:rFonts w:ascii="Arial" w:cs="Arial" w:eastAsia="Arial" w:hAnsi="Arial"/>
          <w:sz w:val="17"/>
          <w:szCs w:val="17"/>
          <w:color w:val="auto"/>
        </w:rPr>
        <w:t>, that (A) Holdings may consolidate or amalgamate with, or merge with or into, any other Person so long as, to the extent after giving effect to such consolidation, amalgamation or merger</w:t>
      </w:r>
    </w:p>
    <w:p>
      <w:pPr>
        <w:jc w:val="both"/>
        <w:ind w:left="100" w:right="19" w:hanging="7"/>
        <w:spacing w:after="0" w:line="268" w:lineRule="auto"/>
        <w:tabs>
          <w:tab w:leader="none" w:pos="426" w:val="left"/>
        </w:tabs>
        <w:numPr>
          <w:ilvl w:val="0"/>
          <w:numId w:val="283"/>
        </w:numPr>
        <w:rPr>
          <w:rFonts w:ascii="Arial" w:cs="Arial" w:eastAsia="Arial" w:hAnsi="Arial"/>
          <w:sz w:val="17"/>
          <w:szCs w:val="17"/>
          <w:color w:val="auto"/>
        </w:rPr>
      </w:pPr>
      <w:r>
        <w:rPr>
          <w:rFonts w:ascii="Arial" w:cs="Arial" w:eastAsia="Arial" w:hAnsi="Arial"/>
          <w:sz w:val="17"/>
          <w:szCs w:val="17"/>
          <w:color w:val="auto"/>
        </w:rPr>
        <w:t xml:space="preserve">Holdings is the continuing or surviving Person or (y) if the Person formed by or surviving any such consolidation, amalgamation or merger is not Holdings and such Person is the direct Parent Company of the Borrower (any such surviving or successor Person, together with any Person referred to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below and any immediate Parent Company of the Borrower referred to in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below, “</w:t>
      </w:r>
      <w:r>
        <w:rPr>
          <w:rFonts w:ascii="Arial" w:cs="Arial" w:eastAsia="Arial" w:hAnsi="Arial"/>
          <w:sz w:val="17"/>
          <w:szCs w:val="17"/>
          <w:u w:val="single" w:color="auto"/>
          <w:color w:val="auto"/>
        </w:rPr>
        <w:t>Successor Holdings</w:t>
      </w:r>
      <w:r>
        <w:rPr>
          <w:rFonts w:ascii="Arial" w:cs="Arial" w:eastAsia="Arial" w:hAnsi="Arial"/>
          <w:sz w:val="17"/>
          <w:szCs w:val="17"/>
          <w:color w:val="auto"/>
        </w:rPr>
        <w:t xml:space="preserve">”), (i) Successor Holdings shall be an entity organized or existing under the law of the US, any state thereof or the District of Columbia and (ii) Successor Holdings shall expressly assume all Obligations of Holdings under this Agreement and the other Loan Documents to which Holdings is a party pursuant to a supplement hereto and/or thereto in a form reasonably satisfactory to the Administrative Agent, (B) Holdings may otherwise convey, sell or otherwise transfer all or substantially all of its assets to any other Person (other than the Borrower and any of its Subsidiaries) so long as (x) no Change of Control results therefrom, (y) Successor Holdings shall be an entity organized or existing under the law of the US, any state thereof or the District of Columbia and (z) Successor Holdings shall expressly assume all of the Obligations of Holdings under this Agreement and the other Loan Documents to which Holdings is a party pursuant to a supplement hereto and/or thereto in a form reasonably satisfactory to the Administrative Agent and (C) Holdings may dissolve or otherwise cancel its existence, so long as the immediate Parent Company of the Borrower (if any) after giving effect to such dissolution or cancellation, becomes Successor Holdings and complies with the requirements of the foregoing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applicable to Successor Holdings;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(1) if the conditions set forth in the preceding proviso are satisfied, Successor Holdings will succeed to, and be substituted for, Holdings under this Agreement, (2) it is understood and agreed that Holdings may convert into another form of entity organized or existing under the law of the US, any state thereof or the District of Columbia so long as such conversion does not adversely affect the value of its Loan Guaranty or the Collateral.</w:t>
      </w:r>
    </w:p>
    <w:p>
      <w:pPr>
        <w:spacing w:after="0" w:line="178"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6.10.  </w:t>
      </w:r>
      <w:r>
        <w:rPr>
          <w:rFonts w:ascii="Arial" w:cs="Arial" w:eastAsia="Arial" w:hAnsi="Arial"/>
          <w:sz w:val="19"/>
          <w:szCs w:val="19"/>
          <w:u w:val="single" w:color="auto"/>
          <w:color w:val="auto"/>
        </w:rPr>
        <w:t>Financial Covenant</w:t>
      </w:r>
      <w:r>
        <w:rPr>
          <w:rFonts w:ascii="Arial" w:cs="Arial" w:eastAsia="Arial" w:hAnsi="Arial"/>
          <w:sz w:val="19"/>
          <w:szCs w:val="19"/>
          <w:color w:val="auto"/>
        </w:rPr>
        <w:t>.</w:t>
      </w:r>
    </w:p>
    <w:p>
      <w:pPr>
        <w:spacing w:after="0" w:line="200" w:lineRule="exact"/>
        <w:rPr>
          <w:sz w:val="20"/>
          <w:szCs w:val="20"/>
          <w:color w:val="auto"/>
        </w:rPr>
      </w:pPr>
    </w:p>
    <w:p>
      <w:pPr>
        <w:jc w:val="both"/>
        <w:ind w:left="100" w:right="59" w:firstLine="742"/>
        <w:spacing w:after="0" w:line="272" w:lineRule="auto"/>
        <w:tabs>
          <w:tab w:leader="none" w:pos="1520" w:val="left"/>
        </w:tabs>
        <w:numPr>
          <w:ilvl w:val="0"/>
          <w:numId w:val="284"/>
        </w:numPr>
        <w:rPr>
          <w:rFonts w:ascii="Arial" w:cs="Arial" w:eastAsia="Arial" w:hAnsi="Arial"/>
          <w:sz w:val="17"/>
          <w:szCs w:val="17"/>
          <w:color w:val="auto"/>
        </w:rPr>
      </w:pPr>
      <w:r>
        <w:rPr>
          <w:rFonts w:ascii="Arial" w:cs="Arial" w:eastAsia="Arial" w:hAnsi="Arial"/>
          <w:sz w:val="17"/>
          <w:szCs w:val="17"/>
          <w:u w:val="single" w:color="auto"/>
          <w:color w:val="auto"/>
        </w:rPr>
        <w:t>Total Net Leverage Ratio</w:t>
      </w:r>
      <w:r>
        <w:rPr>
          <w:rFonts w:ascii="Arial" w:cs="Arial" w:eastAsia="Arial" w:hAnsi="Arial"/>
          <w:sz w:val="17"/>
          <w:szCs w:val="17"/>
          <w:color w:val="auto"/>
        </w:rPr>
        <w:t xml:space="preserve">. (i) On the last day of any Test Period (commencing with the Test Period ending December 31, 2021), the Borrower shall not permit the Total Net Leverage Ratio to be greater than (A) from the Test Period ending on December 31, 2021 to, and including, the Test Period ending on September 30, 2022, 5.25:1.00, and (C) from the Test Period ending on December 31, 2022 and each Test Period thereafter, 4.50:1.00; </w:t>
      </w:r>
      <w:r>
        <w:rPr>
          <w:rFonts w:ascii="Arial" w:cs="Arial" w:eastAsia="Arial" w:hAnsi="Arial"/>
          <w:sz w:val="17"/>
          <w:szCs w:val="17"/>
          <w:u w:val="single" w:color="auto"/>
          <w:color w:val="auto"/>
        </w:rPr>
        <w:t>provided</w:t>
      </w:r>
      <w:r>
        <w:rPr>
          <w:rFonts w:ascii="Arial" w:cs="Arial" w:eastAsia="Arial" w:hAnsi="Arial"/>
          <w:sz w:val="17"/>
          <w:szCs w:val="17"/>
          <w:color w:val="auto"/>
        </w:rPr>
        <w:t>, that upon the consummation of a Material Acquisition, for the Fiscal Quarter in which such Material Acquisition is consummated and the three full Fiscal Quarters ending immediately thereafter (such period, the “</w:t>
      </w:r>
      <w:r>
        <w:rPr>
          <w:rFonts w:ascii="Arial" w:cs="Arial" w:eastAsia="Arial" w:hAnsi="Arial"/>
          <w:sz w:val="17"/>
          <w:szCs w:val="17"/>
          <w:u w:val="single" w:color="auto"/>
          <w:color w:val="auto"/>
        </w:rPr>
        <w:t>Covenant Acquisition Increase Period</w:t>
      </w:r>
      <w:r>
        <w:rPr>
          <w:rFonts w:ascii="Arial" w:cs="Arial" w:eastAsia="Arial" w:hAnsi="Arial"/>
          <w:sz w:val="17"/>
          <w:szCs w:val="17"/>
          <w:color w:val="auto"/>
        </w:rPr>
        <w:t>”), the ratios set forth above applicable to each such Fiscal Quarter shall be increased by 0.50:1.00 (such increase, the “</w:t>
      </w:r>
      <w:r>
        <w:rPr>
          <w:rFonts w:ascii="Arial" w:cs="Arial" w:eastAsia="Arial" w:hAnsi="Arial"/>
          <w:sz w:val="17"/>
          <w:szCs w:val="17"/>
          <w:u w:val="single" w:color="auto"/>
          <w:color w:val="auto"/>
        </w:rPr>
        <w:t>Covenant Acquisition Increase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notwithstanding the foregoing, there shall be at least one Fiscal Quarter in which no Covenant Acquisition Increase is in effect between successive Covenant Acquisition Increase Periods (which, for the avoidance of doubt, may result in the delay of the commencement of a Covenant Acquisition Increase Period with respect to any Material Acquisition that occurs during another Covenant Acquisition Increase Period or such one Fiscal Quarter period);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161</w:t>
      </w:r>
      <w:r>
        <w:rPr>
          <w:rFonts w:ascii="Arial" w:cs="Arial" w:eastAsia="Arial" w:hAnsi="Arial"/>
          <w:sz w:val="18"/>
          <w:szCs w:val="18"/>
          <w:u w:val="single" w:color="auto"/>
          <w:color w:val="0000FF"/>
          <w:strike w:val="1"/>
        </w:rPr>
        <w:t>161</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29" w:name="page230"/>
    <w:bookmarkEnd w:id="229"/>
    <w:p>
      <w:pPr>
        <w:ind w:left="100" w:right="19" w:firstLine="741"/>
        <w:spacing w:after="0" w:line="271" w:lineRule="auto"/>
        <w:tabs>
          <w:tab w:leader="none" w:pos="1523" w:val="left"/>
        </w:tabs>
        <w:numPr>
          <w:ilvl w:val="0"/>
          <w:numId w:val="285"/>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Agreement (including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upon any failure by the Borrower to comply with </w:t>
      </w:r>
      <w:r>
        <w:rPr>
          <w:rFonts w:ascii="Arial" w:cs="Arial" w:eastAsia="Arial" w:hAnsi="Arial"/>
          <w:sz w:val="17"/>
          <w:szCs w:val="17"/>
          <w:u w:val="single" w:color="auto"/>
          <w:color w:val="auto"/>
        </w:rPr>
        <w:t>Section 6.10(a)</w:t>
      </w:r>
      <w:r>
        <w:rPr>
          <w:rFonts w:ascii="Arial" w:cs="Arial" w:eastAsia="Arial" w:hAnsi="Arial"/>
          <w:sz w:val="17"/>
          <w:szCs w:val="17"/>
          <w:color w:val="auto"/>
        </w:rPr>
        <w:t xml:space="preserve"> above for the Test Period ending on the last day of any Fiscal Quarter, the Borrower shall have the right (the “</w:t>
      </w:r>
      <w:r>
        <w:rPr>
          <w:rFonts w:ascii="Arial" w:cs="Arial" w:eastAsia="Arial" w:hAnsi="Arial"/>
          <w:sz w:val="17"/>
          <w:szCs w:val="17"/>
          <w:u w:val="single" w:color="auto"/>
          <w:color w:val="auto"/>
        </w:rPr>
        <w:t>Cure Right</w:t>
      </w:r>
      <w:r>
        <w:rPr>
          <w:rFonts w:ascii="Arial" w:cs="Arial" w:eastAsia="Arial" w:hAnsi="Arial"/>
          <w:sz w:val="17"/>
          <w:szCs w:val="17"/>
          <w:color w:val="auto"/>
        </w:rPr>
        <w:t xml:space="preserve">”) at any time during such Fiscal Quarter or thereafter until the date that is 15 Business Days after the date on which financial statements for such Fiscal Quarter are required to be delivered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as applicable, to issue Qualified Capital Stock or other equity (such other equity to be on terms reasonably acceptable to the Administrative Agent) for Cash or otherwise receive Cash contributions in respect of its Qualified Capital Stock or other equity (such other equity to be on terms reasonably acceptable to the Administrative Agent) (the “</w:t>
      </w:r>
      <w:r>
        <w:rPr>
          <w:rFonts w:ascii="Arial" w:cs="Arial" w:eastAsia="Arial" w:hAnsi="Arial"/>
          <w:sz w:val="17"/>
          <w:szCs w:val="17"/>
          <w:u w:val="single" w:color="auto"/>
          <w:color w:val="auto"/>
        </w:rPr>
        <w:t>Cure Amount</w:t>
      </w:r>
      <w:r>
        <w:rPr>
          <w:rFonts w:ascii="Arial" w:cs="Arial" w:eastAsia="Arial" w:hAnsi="Arial"/>
          <w:sz w:val="17"/>
          <w:szCs w:val="17"/>
          <w:color w:val="auto"/>
        </w:rPr>
        <w:t xml:space="preserve">”), and thereupon the Borrower’s compliance with </w:t>
      </w:r>
      <w:r>
        <w:rPr>
          <w:rFonts w:ascii="Arial" w:cs="Arial" w:eastAsia="Arial" w:hAnsi="Arial"/>
          <w:sz w:val="17"/>
          <w:szCs w:val="17"/>
          <w:u w:val="single" w:color="auto"/>
          <w:color w:val="auto"/>
        </w:rPr>
        <w:t>Section 6.10(a)</w:t>
      </w:r>
      <w:r>
        <w:rPr>
          <w:rFonts w:ascii="Arial" w:cs="Arial" w:eastAsia="Arial" w:hAnsi="Arial"/>
          <w:sz w:val="17"/>
          <w:szCs w:val="17"/>
          <w:color w:val="auto"/>
        </w:rPr>
        <w:t xml:space="preserve"> shall be recalculated giving effect to a pro forma increase in the amount of Consolidated Adjusted EBITDA in an amount equal to the Cure Amount (notwithstanding the absence of a related addback in the definition of “Consolidated Adjusted EBITDA”) solely for the purpose of determining compliance with </w:t>
      </w:r>
      <w:r>
        <w:rPr>
          <w:rFonts w:ascii="Arial" w:cs="Arial" w:eastAsia="Arial" w:hAnsi="Arial"/>
          <w:sz w:val="17"/>
          <w:szCs w:val="17"/>
          <w:u w:val="single" w:color="auto"/>
          <w:color w:val="auto"/>
        </w:rPr>
        <w:t>Section 6.10(a)</w:t>
      </w:r>
      <w:r>
        <w:rPr>
          <w:rFonts w:ascii="Arial" w:cs="Arial" w:eastAsia="Arial" w:hAnsi="Arial"/>
          <w:sz w:val="17"/>
          <w:szCs w:val="17"/>
          <w:color w:val="auto"/>
        </w:rPr>
        <w:t xml:space="preserve"> as of the end of such Fiscal Quarter and for applicable subsequent periods that include such Fiscal Quarter. If, after giving effect to the foregoing recalculation (but not, for the avoidance of doubt, taking into account any immediate repayment of Indebtedness in connection therewith), the requirements of </w:t>
      </w:r>
      <w:r>
        <w:rPr>
          <w:rFonts w:ascii="Arial" w:cs="Arial" w:eastAsia="Arial" w:hAnsi="Arial"/>
          <w:sz w:val="17"/>
          <w:szCs w:val="17"/>
          <w:u w:val="single" w:color="auto"/>
          <w:color w:val="auto"/>
        </w:rPr>
        <w:t>Section 6.10(a)</w:t>
      </w:r>
      <w:r>
        <w:rPr>
          <w:rFonts w:ascii="Arial" w:cs="Arial" w:eastAsia="Arial" w:hAnsi="Arial"/>
          <w:sz w:val="17"/>
          <w:szCs w:val="17"/>
          <w:color w:val="auto"/>
        </w:rPr>
        <w:t xml:space="preserve"> would be satisfied, then the requirements of </w:t>
      </w:r>
      <w:r>
        <w:rPr>
          <w:rFonts w:ascii="Arial" w:cs="Arial" w:eastAsia="Arial" w:hAnsi="Arial"/>
          <w:sz w:val="17"/>
          <w:szCs w:val="17"/>
          <w:u w:val="single" w:color="auto"/>
          <w:color w:val="auto"/>
        </w:rPr>
        <w:t>Section 6.10(a)</w:t>
      </w:r>
      <w:r>
        <w:rPr>
          <w:rFonts w:ascii="Arial" w:cs="Arial" w:eastAsia="Arial" w:hAnsi="Arial"/>
          <w:sz w:val="17"/>
          <w:szCs w:val="17"/>
          <w:color w:val="auto"/>
        </w:rPr>
        <w:t xml:space="preserve"> shall be deemed to have been satisfied as of the end of the relevant Fiscal Quarter (and Test Period) with the same effect as though there had been no failure to comply therewith at such date. Notwithstanding anything herein to the contrary:</w:t>
      </w:r>
    </w:p>
    <w:p>
      <w:pPr>
        <w:spacing w:after="0" w:line="172" w:lineRule="exact"/>
        <w:rPr>
          <w:rFonts w:ascii="Arial" w:cs="Arial" w:eastAsia="Arial" w:hAnsi="Arial"/>
          <w:sz w:val="17"/>
          <w:szCs w:val="17"/>
          <w:color w:val="auto"/>
        </w:rPr>
      </w:pPr>
    </w:p>
    <w:p>
      <w:pPr>
        <w:jc w:val="both"/>
        <w:ind w:left="840" w:right="59" w:firstLine="751"/>
        <w:spacing w:after="0" w:line="249" w:lineRule="auto"/>
        <w:tabs>
          <w:tab w:leader="none" w:pos="2366" w:val="left"/>
        </w:tabs>
        <w:numPr>
          <w:ilvl w:val="1"/>
          <w:numId w:val="285"/>
        </w:numPr>
        <w:rPr>
          <w:rFonts w:ascii="Arial" w:cs="Arial" w:eastAsia="Arial" w:hAnsi="Arial"/>
          <w:sz w:val="19"/>
          <w:szCs w:val="19"/>
          <w:color w:val="auto"/>
        </w:rPr>
      </w:pPr>
      <w:r>
        <w:rPr>
          <w:rFonts w:ascii="Arial" w:cs="Arial" w:eastAsia="Arial" w:hAnsi="Arial"/>
          <w:sz w:val="19"/>
          <w:szCs w:val="19"/>
          <w:color w:val="auto"/>
        </w:rPr>
        <w:t xml:space="preserve">in each four consecutive Fiscal Quarter period there shall be at least two Fiscal Quarters in which the Cure Right is not exercised (it being understood that, subject to </w:t>
      </w:r>
      <w:r>
        <w:rPr>
          <w:rFonts w:ascii="Arial" w:cs="Arial" w:eastAsia="Arial" w:hAnsi="Arial"/>
          <w:sz w:val="19"/>
          <w:szCs w:val="19"/>
          <w:u w:val="single" w:color="auto"/>
          <w:color w:val="auto"/>
        </w:rPr>
        <w:t>clause (ii)</w:t>
      </w:r>
      <w:r>
        <w:rPr>
          <w:rFonts w:ascii="Arial" w:cs="Arial" w:eastAsia="Arial" w:hAnsi="Arial"/>
          <w:sz w:val="19"/>
          <w:szCs w:val="19"/>
          <w:color w:val="auto"/>
        </w:rPr>
        <w:t>, the Cure Right may be exercised in consecutive Fiscal Quarters),</w:t>
      </w:r>
    </w:p>
    <w:p>
      <w:pPr>
        <w:spacing w:after="0" w:line="183" w:lineRule="exact"/>
        <w:rPr>
          <w:rFonts w:ascii="Arial" w:cs="Arial" w:eastAsia="Arial" w:hAnsi="Arial"/>
          <w:sz w:val="19"/>
          <w:szCs w:val="19"/>
          <w:color w:val="auto"/>
        </w:rPr>
      </w:pPr>
    </w:p>
    <w:p>
      <w:pPr>
        <w:ind w:left="2360" w:hanging="769"/>
        <w:spacing w:after="0"/>
        <w:tabs>
          <w:tab w:leader="none" w:pos="236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during the term of this Agreement, the Cure Right shall not be exercised more than five times,</w:t>
      </w:r>
    </w:p>
    <w:p>
      <w:pPr>
        <w:spacing w:after="0" w:line="225" w:lineRule="exact"/>
        <w:rPr>
          <w:rFonts w:ascii="Arial" w:cs="Arial" w:eastAsia="Arial" w:hAnsi="Arial"/>
          <w:sz w:val="18"/>
          <w:szCs w:val="18"/>
          <w:color w:val="auto"/>
        </w:rPr>
      </w:pPr>
    </w:p>
    <w:p>
      <w:pPr>
        <w:ind w:left="2360" w:hanging="769"/>
        <w:spacing w:after="0"/>
        <w:tabs>
          <w:tab w:leader="none" w:pos="236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the Cure Amount shall be no greater than the amount required for the purpose of complying with</w:t>
      </w:r>
    </w:p>
    <w:p>
      <w:pPr>
        <w:spacing w:after="0" w:line="25"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9"/>
          <w:szCs w:val="19"/>
          <w:u w:val="single" w:color="auto"/>
          <w:color w:val="auto"/>
        </w:rPr>
        <w:t>Section 6.10(a)</w:t>
      </w:r>
      <w:r>
        <w:rPr>
          <w:rFonts w:ascii="Arial" w:cs="Arial" w:eastAsia="Arial" w:hAnsi="Arial"/>
          <w:sz w:val="19"/>
          <w:szCs w:val="19"/>
          <w:color w:val="auto"/>
        </w:rPr>
        <w:t>,</w:t>
      </w:r>
    </w:p>
    <w:p>
      <w:pPr>
        <w:spacing w:after="0" w:line="197" w:lineRule="exact"/>
        <w:rPr>
          <w:rFonts w:ascii="Arial" w:cs="Arial" w:eastAsia="Arial" w:hAnsi="Arial"/>
          <w:sz w:val="18"/>
          <w:szCs w:val="18"/>
          <w:color w:val="auto"/>
        </w:rPr>
      </w:pPr>
    </w:p>
    <w:p>
      <w:pPr>
        <w:jc w:val="both"/>
        <w:ind w:left="840" w:right="59" w:firstLine="752"/>
        <w:spacing w:after="0" w:line="263" w:lineRule="auto"/>
        <w:tabs>
          <w:tab w:leader="none" w:pos="2366" w:val="left"/>
        </w:tabs>
        <w:numPr>
          <w:ilvl w:val="1"/>
          <w:numId w:val="285"/>
        </w:numPr>
        <w:rPr>
          <w:rFonts w:ascii="Arial" w:cs="Arial" w:eastAsia="Arial" w:hAnsi="Arial"/>
          <w:sz w:val="18"/>
          <w:szCs w:val="18"/>
          <w:color w:val="auto"/>
        </w:rPr>
      </w:pPr>
      <w:r>
        <w:rPr>
          <w:rFonts w:ascii="Arial" w:cs="Arial" w:eastAsia="Arial" w:hAnsi="Arial"/>
          <w:sz w:val="18"/>
          <w:szCs w:val="18"/>
          <w:color w:val="auto"/>
        </w:rPr>
        <w:t xml:space="preserve">there shall be no pro forma or other reduction of the amount of Indebtedness by the amount of any Cure Amount for purposes of determining compliance with </w:t>
      </w:r>
      <w:r>
        <w:rPr>
          <w:rFonts w:ascii="Arial" w:cs="Arial" w:eastAsia="Arial" w:hAnsi="Arial"/>
          <w:sz w:val="18"/>
          <w:szCs w:val="18"/>
          <w:u w:val="single" w:color="auto"/>
          <w:color w:val="auto"/>
        </w:rPr>
        <w:t>Section 6.10(a)</w:t>
      </w:r>
      <w:r>
        <w:rPr>
          <w:rFonts w:ascii="Arial" w:cs="Arial" w:eastAsia="Arial" w:hAnsi="Arial"/>
          <w:sz w:val="18"/>
          <w:szCs w:val="18"/>
          <w:color w:val="auto"/>
        </w:rPr>
        <w:t xml:space="preserve"> for the Fiscal Quarter in respect of which the Cure Right was exercised (other than, with respect to any future period, to the extent of any portion of such Cure Amount that is actually applied to prepay Indebtedness (including by way of buyback or repurchase)),</w:t>
      </w:r>
    </w:p>
    <w:p>
      <w:pPr>
        <w:spacing w:after="0" w:line="172" w:lineRule="exact"/>
        <w:rPr>
          <w:rFonts w:ascii="Arial" w:cs="Arial" w:eastAsia="Arial" w:hAnsi="Arial"/>
          <w:sz w:val="18"/>
          <w:szCs w:val="18"/>
          <w:color w:val="auto"/>
        </w:rPr>
      </w:pPr>
    </w:p>
    <w:p>
      <w:pPr>
        <w:jc w:val="both"/>
        <w:ind w:left="840" w:right="39" w:firstLine="752"/>
        <w:spacing w:after="0" w:line="268" w:lineRule="auto"/>
        <w:tabs>
          <w:tab w:leader="none" w:pos="2367" w:val="left"/>
        </w:tabs>
        <w:numPr>
          <w:ilvl w:val="1"/>
          <w:numId w:val="285"/>
        </w:numPr>
        <w:rPr>
          <w:rFonts w:ascii="Arial" w:cs="Arial" w:eastAsia="Arial" w:hAnsi="Arial"/>
          <w:sz w:val="18"/>
          <w:szCs w:val="18"/>
          <w:color w:val="auto"/>
        </w:rPr>
      </w:pPr>
      <w:r>
        <w:rPr>
          <w:rFonts w:ascii="Arial" w:cs="Arial" w:eastAsia="Arial" w:hAnsi="Arial"/>
          <w:sz w:val="18"/>
          <w:szCs w:val="18"/>
          <w:color w:val="auto"/>
        </w:rPr>
        <w:t xml:space="preserve">any pro forma adjustment to Consolidated Adjusted EBITDA resulting from any Cure Amount shall be disregarded for purposes of determining (A) whether any financial ratio-based condition to the availability of any carve-out set forth in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of this Agreement has been satisfied or (B) the Applicable Rate or the Commitment Fee Rate, in each case during each Fiscal Quarter in which the pro forma adjustment applies, and</w:t>
      </w:r>
    </w:p>
    <w:p>
      <w:pPr>
        <w:spacing w:after="0" w:line="168" w:lineRule="exact"/>
        <w:rPr>
          <w:rFonts w:ascii="Arial" w:cs="Arial" w:eastAsia="Arial" w:hAnsi="Arial"/>
          <w:sz w:val="18"/>
          <w:szCs w:val="18"/>
          <w:color w:val="auto"/>
        </w:rPr>
      </w:pPr>
    </w:p>
    <w:p>
      <w:pPr>
        <w:jc w:val="both"/>
        <w:ind w:left="840" w:right="39" w:firstLine="752"/>
        <w:spacing w:after="0" w:line="243" w:lineRule="auto"/>
        <w:tabs>
          <w:tab w:leader="none" w:pos="2368" w:val="left"/>
        </w:tabs>
        <w:numPr>
          <w:ilvl w:val="1"/>
          <w:numId w:val="285"/>
        </w:numPr>
        <w:rPr>
          <w:rFonts w:ascii="Arial" w:cs="Arial" w:eastAsia="Arial" w:hAnsi="Arial"/>
          <w:sz w:val="19"/>
          <w:szCs w:val="19"/>
          <w:color w:val="auto"/>
        </w:rPr>
      </w:pPr>
      <w:r>
        <w:rPr>
          <w:rFonts w:ascii="Arial" w:cs="Arial" w:eastAsia="Arial" w:hAnsi="Arial"/>
          <w:sz w:val="19"/>
          <w:szCs w:val="19"/>
          <w:color w:val="auto"/>
        </w:rPr>
        <w:t xml:space="preserve">no Revolving Lender or Issuing Bank shall be required to make any Revolving Loan or issue, amend or increase the face amount of any Letter of Credit from and after the date on which a Compliance Certificate demonstrating a failure to comply with </w:t>
      </w:r>
      <w:r>
        <w:rPr>
          <w:rFonts w:ascii="Arial" w:cs="Arial" w:eastAsia="Arial" w:hAnsi="Arial"/>
          <w:sz w:val="19"/>
          <w:szCs w:val="19"/>
          <w:u w:val="single" w:color="auto"/>
          <w:color w:val="auto"/>
        </w:rPr>
        <w:t>Section 6.10(a)</w:t>
      </w:r>
      <w:r>
        <w:rPr>
          <w:rFonts w:ascii="Arial" w:cs="Arial" w:eastAsia="Arial" w:hAnsi="Arial"/>
          <w:sz w:val="19"/>
          <w:szCs w:val="19"/>
          <w:color w:val="auto"/>
        </w:rPr>
        <w:t xml:space="preserve"> for the Test Period ending on the last day of any Fiscal Quarter is (or would be required to be) delivered pursuant to </w:t>
      </w:r>
      <w:r>
        <w:rPr>
          <w:rFonts w:ascii="Arial" w:cs="Arial" w:eastAsia="Arial" w:hAnsi="Arial"/>
          <w:sz w:val="19"/>
          <w:szCs w:val="19"/>
          <w:u w:val="single" w:color="auto"/>
          <w:color w:val="auto"/>
        </w:rPr>
        <w:t>Section 5.01(c)</w:t>
      </w:r>
      <w:r>
        <w:rPr>
          <w:rFonts w:ascii="Arial" w:cs="Arial" w:eastAsia="Arial" w:hAnsi="Arial"/>
          <w:sz w:val="19"/>
          <w:szCs w:val="19"/>
          <w:color w:val="auto"/>
        </w:rPr>
        <w:t xml:space="preserve"> until the date on which the Borrower receives the relevant Cure Amount.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162</w:t>
      </w:r>
      <w:r>
        <w:rPr>
          <w:rFonts w:ascii="Arial" w:cs="Arial" w:eastAsia="Arial" w:hAnsi="Arial"/>
          <w:sz w:val="18"/>
          <w:szCs w:val="18"/>
          <w:u w:val="single" w:color="auto"/>
          <w:color w:val="0000FF"/>
          <w:strike w:val="1"/>
        </w:rPr>
        <w:t>162</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30" w:name="page231"/>
    <w:bookmarkEnd w:id="230"/>
    <w:p>
      <w:pPr>
        <w:ind w:left="4420"/>
        <w:spacing w:after="0"/>
        <w:rPr>
          <w:sz w:val="20"/>
          <w:szCs w:val="20"/>
          <w:color w:val="auto"/>
        </w:rPr>
      </w:pPr>
      <w:r>
        <w:rPr>
          <w:rFonts w:ascii="Arial" w:cs="Arial" w:eastAsia="Arial" w:hAnsi="Arial"/>
          <w:sz w:val="19"/>
          <w:szCs w:val="19"/>
          <w:color w:val="auto"/>
        </w:rPr>
        <w:t>ARTICLE 7 EVENTS OF</w:t>
      </w:r>
    </w:p>
    <w:p>
      <w:pPr>
        <w:spacing w:after="0" w:line="200" w:lineRule="exact"/>
        <w:rPr>
          <w:sz w:val="20"/>
          <w:szCs w:val="20"/>
          <w:color w:val="auto"/>
        </w:rPr>
      </w:pPr>
    </w:p>
    <w:p>
      <w:pPr>
        <w:ind w:left="3860"/>
        <w:spacing w:after="0"/>
        <w:rPr>
          <w:sz w:val="20"/>
          <w:szCs w:val="20"/>
          <w:color w:val="auto"/>
        </w:rPr>
      </w:pPr>
      <w:r>
        <w:rPr>
          <w:rFonts w:ascii="Arial" w:cs="Arial" w:eastAsia="Arial" w:hAnsi="Arial"/>
          <w:sz w:val="19"/>
          <w:szCs w:val="19"/>
          <w:color w:val="auto"/>
        </w:rPr>
        <w:t>DEFAULT</w:t>
      </w:r>
    </w:p>
    <w:p>
      <w:pPr>
        <w:spacing w:after="0" w:line="106"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7.01.  </w:t>
      </w:r>
      <w:r>
        <w:rPr>
          <w:rFonts w:ascii="Arial" w:cs="Arial" w:eastAsia="Arial" w:hAnsi="Arial"/>
          <w:sz w:val="19"/>
          <w:szCs w:val="19"/>
          <w:u w:val="single" w:color="auto"/>
          <w:color w:val="auto"/>
        </w:rPr>
        <w:t>Events of Default</w:t>
      </w:r>
      <w:r>
        <w:rPr>
          <w:rFonts w:ascii="Arial" w:cs="Arial" w:eastAsia="Arial" w:hAnsi="Arial"/>
          <w:sz w:val="19"/>
          <w:szCs w:val="19"/>
          <w:color w:val="auto"/>
        </w:rPr>
        <w:t>. If any of the following events (each, an “</w:t>
      </w:r>
      <w:r>
        <w:rPr>
          <w:rFonts w:ascii="Arial" w:cs="Arial" w:eastAsia="Arial" w:hAnsi="Arial"/>
          <w:sz w:val="19"/>
          <w:szCs w:val="19"/>
          <w:u w:val="single" w:color="auto"/>
          <w:color w:val="auto"/>
        </w:rPr>
        <w:t>Event of Default</w:t>
      </w:r>
      <w:r>
        <w:rPr>
          <w:rFonts w:ascii="Arial" w:cs="Arial" w:eastAsia="Arial" w:hAnsi="Arial"/>
          <w:sz w:val="19"/>
          <w:szCs w:val="19"/>
          <w:color w:val="auto"/>
        </w:rPr>
        <w:t>”) shall</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9"/>
          <w:szCs w:val="19"/>
          <w:color w:val="auto"/>
        </w:rPr>
        <w:t>occur:</w:t>
      </w:r>
    </w:p>
    <w:p>
      <w:pPr>
        <w:spacing w:after="0" w:line="265" w:lineRule="exact"/>
        <w:rPr>
          <w:sz w:val="20"/>
          <w:szCs w:val="20"/>
          <w:color w:val="auto"/>
        </w:rPr>
      </w:pPr>
    </w:p>
    <w:p>
      <w:pPr>
        <w:jc w:val="both"/>
        <w:ind w:left="100" w:right="59" w:firstLine="741"/>
        <w:spacing w:after="0" w:line="245" w:lineRule="auto"/>
        <w:tabs>
          <w:tab w:leader="none" w:pos="1520" w:val="left"/>
        </w:tabs>
        <w:numPr>
          <w:ilvl w:val="1"/>
          <w:numId w:val="286"/>
        </w:numPr>
        <w:rPr>
          <w:rFonts w:ascii="Arial" w:cs="Arial" w:eastAsia="Arial" w:hAnsi="Arial"/>
          <w:sz w:val="19"/>
          <w:szCs w:val="19"/>
          <w:color w:val="auto"/>
        </w:rPr>
      </w:pPr>
      <w:r>
        <w:rPr>
          <w:rFonts w:ascii="Arial" w:cs="Arial" w:eastAsia="Arial" w:hAnsi="Arial"/>
          <w:sz w:val="19"/>
          <w:szCs w:val="19"/>
          <w:u w:val="single" w:color="auto"/>
          <w:color w:val="auto"/>
        </w:rPr>
        <w:t>Failure To Make Payments When Due</w:t>
      </w:r>
      <w:r>
        <w:rPr>
          <w:rFonts w:ascii="Arial" w:cs="Arial" w:eastAsia="Arial" w:hAnsi="Arial"/>
          <w:sz w:val="19"/>
          <w:szCs w:val="19"/>
          <w:color w:val="auto"/>
        </w:rPr>
        <w:t>. Failure by the Borrower to pay (i) any installment of principal of any Loan when due, whether at stated maturity, by acceleration, by notice of voluntary prepayment, by mandatory prepayment or otherwise; or (ii) any interest on any Loan or any fee or any other amount due hereunder within five Business Days after the date due; or</w:t>
      </w:r>
    </w:p>
    <w:p>
      <w:pPr>
        <w:spacing w:after="0" w:line="187" w:lineRule="exact"/>
        <w:rPr>
          <w:rFonts w:ascii="Arial" w:cs="Arial" w:eastAsia="Arial" w:hAnsi="Arial"/>
          <w:sz w:val="19"/>
          <w:szCs w:val="19"/>
          <w:color w:val="auto"/>
        </w:rPr>
      </w:pPr>
    </w:p>
    <w:p>
      <w:pPr>
        <w:jc w:val="both"/>
        <w:ind w:left="100" w:right="59" w:firstLine="742"/>
        <w:spacing w:after="0" w:line="243" w:lineRule="auto"/>
        <w:tabs>
          <w:tab w:leader="none" w:pos="1520" w:val="left"/>
        </w:tabs>
        <w:numPr>
          <w:ilvl w:val="1"/>
          <w:numId w:val="286"/>
        </w:numPr>
        <w:rPr>
          <w:rFonts w:ascii="Arial" w:cs="Arial" w:eastAsia="Arial" w:hAnsi="Arial"/>
          <w:sz w:val="19"/>
          <w:szCs w:val="19"/>
          <w:color w:val="auto"/>
        </w:rPr>
      </w:pPr>
      <w:r>
        <w:rPr>
          <w:rFonts w:ascii="Arial" w:cs="Arial" w:eastAsia="Arial" w:hAnsi="Arial"/>
          <w:sz w:val="19"/>
          <w:szCs w:val="19"/>
          <w:u w:val="single" w:color="auto"/>
          <w:color w:val="auto"/>
        </w:rPr>
        <w:t>Default in Other Agreements</w:t>
      </w:r>
      <w:r>
        <w:rPr>
          <w:rFonts w:ascii="Arial" w:cs="Arial" w:eastAsia="Arial" w:hAnsi="Arial"/>
          <w:sz w:val="19"/>
          <w:szCs w:val="19"/>
          <w:color w:val="auto"/>
        </w:rPr>
        <w:t xml:space="preserve">. (i) Failure by the Borrower or any Restricted Subsidiary to pay when due any principal of or interest on or any other amount payable in respect of one or more items of Indebtedness for borrowed money of the Borrower or such Restricted Subsidiary (other than (x) Indebtedness referred to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and (y) intercompany Indebtedness) with an individual outstanding principal amount exceeding the Threshold Amount, in each case beyond the grace period, if any, provided therefor; or</w:t>
      </w:r>
    </w:p>
    <w:p>
      <w:pPr>
        <w:spacing w:after="0" w:line="3" w:lineRule="exact"/>
        <w:rPr>
          <w:rFonts w:ascii="Arial" w:cs="Arial" w:eastAsia="Arial" w:hAnsi="Arial"/>
          <w:sz w:val="19"/>
          <w:szCs w:val="19"/>
          <w:color w:val="auto"/>
        </w:rPr>
      </w:pPr>
    </w:p>
    <w:p>
      <w:pPr>
        <w:jc w:val="both"/>
        <w:ind w:left="100" w:right="39" w:hanging="7"/>
        <w:spacing w:after="0" w:line="253" w:lineRule="auto"/>
        <w:tabs>
          <w:tab w:leader="none" w:pos="38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 xml:space="preserve">breach or default by the Borrower or any Restricted Subsidiary with respect to any other term of (A) one or more items of third-party Indebtedness for borrowed money of the Borrower or such Restricted Subsidiary (other than (x) Indebtedness referred to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and (y) intercompany Indebtedness) with an individual outstanding principal amount exceeding the Threshold Amount or (B) any loan agreement, mortgage, indenture or other agreement relating to such item(s) of Indebtedness (other than, for the avoidance of doubt, with respect to Indebtedness consisting of Hedging Obligations, termination events or equivalent events pursuant to the terms of the relevant Hedge Agreement which are not the result of any default thereunder by the Borrower or any Restricted Subsidiary), in each case beyond the grace period, if any, provided therefor, if the effect of such breach or default is to cause, or to permit the holder or holders of such Indebtedness (or a trustee or agent on behalf of such holder or holders) to cause (with the giving of notice, if required) such Indebtedness to become or be declared due and payable (or redeemable) prior to its stated maturity or the stated maturity of any underlying obligation,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paragraph</w:t>
      </w:r>
    </w:p>
    <w:p>
      <w:pPr>
        <w:spacing w:after="0" w:line="4" w:lineRule="exact"/>
        <w:rPr>
          <w:rFonts w:ascii="Arial" w:cs="Arial" w:eastAsia="Arial" w:hAnsi="Arial"/>
          <w:sz w:val="17"/>
          <w:szCs w:val="17"/>
          <w:color w:val="auto"/>
        </w:rPr>
      </w:pPr>
    </w:p>
    <w:p>
      <w:pPr>
        <w:jc w:val="both"/>
        <w:ind w:left="100" w:right="39" w:hanging="7"/>
        <w:spacing w:after="0" w:line="230" w:lineRule="auto"/>
        <w:tabs>
          <w:tab w:leader="none" w:pos="382" w:val="left"/>
        </w:tabs>
        <w:numPr>
          <w:ilvl w:val="0"/>
          <w:numId w:val="288"/>
        </w:numPr>
        <w:rPr>
          <w:rFonts w:ascii="Arial" w:cs="Arial" w:eastAsia="Arial" w:hAnsi="Arial"/>
          <w:sz w:val="19"/>
          <w:szCs w:val="19"/>
          <w:u w:val="single" w:color="auto"/>
          <w:color w:val="auto"/>
        </w:rPr>
      </w:pPr>
      <w:r>
        <w:rPr>
          <w:rFonts w:ascii="Arial" w:cs="Arial" w:eastAsia="Arial" w:hAnsi="Arial"/>
          <w:sz w:val="19"/>
          <w:szCs w:val="19"/>
          <w:color w:val="auto"/>
        </w:rPr>
        <w:t xml:space="preserve">shall not apply to secured Indebtedness that becomes due as a result of the voluntary sale or transfer of the property securing such Indebtedness if such sale or transfer is permitted hereunder, (II) any failure described under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is unremedied and is not waived by the holders of such Indebtedness prior to any termination of the Commitments or acceleration of the Loans pursuant to this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(III) [reserved] and (IV) it is understood and agreed that the occurrence of any event described in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that would, prior to the expiration of any applicable grace period, permit the holder or holders of the relevant Indebtedness (or a trustee or agent on behalf of such holder or holders) to cause (with the giving of notice, if required) such Indebtedness to become or be declared due and payable (or redeemable) prior to its stated maturity or the stated maturity of any underlying obligation, as the case may be, will not result in a Default or Event of Default under this Agreement prior to the expiration of such grace period; or</w:t>
      </w:r>
    </w:p>
    <w:p>
      <w:pPr>
        <w:spacing w:after="0" w:line="178" w:lineRule="exact"/>
        <w:rPr>
          <w:rFonts w:ascii="Arial" w:cs="Arial" w:eastAsia="Arial" w:hAnsi="Arial"/>
          <w:sz w:val="19"/>
          <w:szCs w:val="19"/>
          <w:u w:val="single" w:color="auto"/>
          <w:color w:val="auto"/>
        </w:rPr>
      </w:pPr>
    </w:p>
    <w:p>
      <w:pPr>
        <w:jc w:val="both"/>
        <w:ind w:left="100" w:right="19" w:firstLine="741"/>
        <w:spacing w:after="0" w:line="275" w:lineRule="auto"/>
        <w:tabs>
          <w:tab w:leader="none" w:pos="1522" w:val="left"/>
        </w:tabs>
        <w:numPr>
          <w:ilvl w:val="1"/>
          <w:numId w:val="288"/>
        </w:numPr>
        <w:rPr>
          <w:rFonts w:ascii="Arial" w:cs="Arial" w:eastAsia="Arial" w:hAnsi="Arial"/>
          <w:sz w:val="17"/>
          <w:szCs w:val="17"/>
          <w:color w:val="auto"/>
        </w:rPr>
      </w:pPr>
      <w:r>
        <w:rPr>
          <w:rFonts w:ascii="Arial" w:cs="Arial" w:eastAsia="Arial" w:hAnsi="Arial"/>
          <w:sz w:val="17"/>
          <w:szCs w:val="17"/>
          <w:u w:val="single" w:color="auto"/>
          <w:color w:val="auto"/>
        </w:rPr>
        <w:t>Breach of Certain Covenants</w:t>
      </w:r>
      <w:r>
        <w:rPr>
          <w:rFonts w:ascii="Arial" w:cs="Arial" w:eastAsia="Arial" w:hAnsi="Arial"/>
          <w:sz w:val="17"/>
          <w:szCs w:val="17"/>
          <w:color w:val="auto"/>
        </w:rPr>
        <w:t xml:space="preserve">. Failure of any Loan Party, as required by the relevant provision, to perform or comply with </w:t>
      </w:r>
      <w:r>
        <w:rPr>
          <w:rFonts w:ascii="Arial" w:cs="Arial" w:eastAsia="Arial" w:hAnsi="Arial"/>
          <w:sz w:val="17"/>
          <w:szCs w:val="17"/>
          <w:u w:val="single" w:color="auto"/>
          <w:color w:val="auto"/>
        </w:rPr>
        <w:t>Section 5.01(e)(i)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Event of Default arising from a failure to perform or comply with </w:t>
      </w:r>
      <w:r>
        <w:rPr>
          <w:rFonts w:ascii="Arial" w:cs="Arial" w:eastAsia="Arial" w:hAnsi="Arial"/>
          <w:sz w:val="17"/>
          <w:szCs w:val="17"/>
          <w:u w:val="single" w:color="auto"/>
          <w:color w:val="auto"/>
        </w:rPr>
        <w:t>Section 5.01(e)</w:t>
      </w:r>
    </w:p>
    <w:p>
      <w:pPr>
        <w:jc w:val="both"/>
        <w:ind w:left="100" w:right="19" w:hanging="7"/>
        <w:spacing w:after="0" w:line="277" w:lineRule="auto"/>
        <w:tabs>
          <w:tab w:leader="none" w:pos="340" w:val="left"/>
        </w:tabs>
        <w:numPr>
          <w:ilvl w:val="0"/>
          <w:numId w:val="289"/>
        </w:numPr>
        <w:rPr>
          <w:rFonts w:ascii="Arial" w:cs="Arial" w:eastAsia="Arial" w:hAnsi="Arial"/>
          <w:sz w:val="17"/>
          <w:szCs w:val="17"/>
          <w:u w:val="single" w:color="auto"/>
          <w:color w:val="auto"/>
        </w:rPr>
      </w:pPr>
      <w:r>
        <w:rPr>
          <w:rFonts w:ascii="Arial" w:cs="Arial" w:eastAsia="Arial" w:hAnsi="Arial"/>
          <w:sz w:val="17"/>
          <w:szCs w:val="17"/>
          <w:color w:val="auto"/>
        </w:rPr>
        <w:t xml:space="preserve">shall automatically be deemed to have been cured (and no longer continuing) immediately upon the earlier to occur of (x) the delivery of notice of the relevant Default or Event of Default and (y) the cessation of the existence of the underlying Default or Event of Default), in either case unless a Responsible Officer of the Borrower had knowledge of the underlying Default or Event of Default),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(as it applies to the preservation of the existence of the Borrower), or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61" w:lineRule="exact"/>
        <w:rPr>
          <w:rFonts w:ascii="Arial" w:cs="Arial" w:eastAsia="Arial" w:hAnsi="Arial"/>
          <w:sz w:val="17"/>
          <w:szCs w:val="17"/>
          <w:u w:val="single" w:color="auto"/>
          <w:color w:val="auto"/>
        </w:rPr>
      </w:pPr>
    </w:p>
    <w:p>
      <w:pPr>
        <w:ind w:left="2340" w:hanging="748"/>
        <w:spacing w:after="0"/>
        <w:tabs>
          <w:tab w:leader="none" w:pos="2340" w:val="left"/>
        </w:tabs>
        <w:numPr>
          <w:ilvl w:val="2"/>
          <w:numId w:val="289"/>
        </w:numPr>
        <w:rPr>
          <w:rFonts w:ascii="Arial" w:cs="Arial" w:eastAsia="Arial" w:hAnsi="Arial"/>
          <w:sz w:val="19"/>
          <w:szCs w:val="19"/>
          <w:color w:val="auto"/>
        </w:rPr>
      </w:pPr>
      <w:r>
        <w:rPr>
          <w:rFonts w:ascii="Arial" w:cs="Arial" w:eastAsia="Arial" w:hAnsi="Arial"/>
          <w:sz w:val="19"/>
          <w:szCs w:val="19"/>
          <w:color w:val="auto"/>
        </w:rPr>
        <w:t xml:space="preserve">any breach of </w:t>
      </w:r>
      <w:r>
        <w:rPr>
          <w:rFonts w:ascii="Arial" w:cs="Arial" w:eastAsia="Arial" w:hAnsi="Arial"/>
          <w:sz w:val="19"/>
          <w:szCs w:val="19"/>
          <w:u w:val="single" w:color="auto"/>
          <w:color w:val="auto"/>
        </w:rPr>
        <w:t>Section 6.10(a)</w:t>
      </w:r>
      <w:r>
        <w:rPr>
          <w:rFonts w:ascii="Arial" w:cs="Arial" w:eastAsia="Arial" w:hAnsi="Arial"/>
          <w:sz w:val="19"/>
          <w:szCs w:val="19"/>
          <w:color w:val="auto"/>
        </w:rPr>
        <w:t xml:space="preserve"> is subject to cure as provided in </w:t>
      </w:r>
      <w:r>
        <w:rPr>
          <w:rFonts w:ascii="Arial" w:cs="Arial" w:eastAsia="Arial" w:hAnsi="Arial"/>
          <w:sz w:val="19"/>
          <w:szCs w:val="19"/>
          <w:u w:val="single" w:color="auto"/>
          <w:color w:val="auto"/>
        </w:rPr>
        <w:t>Section 6.10(b)</w:t>
      </w:r>
      <w:r>
        <w:rPr>
          <w:rFonts w:ascii="Arial" w:cs="Arial" w:eastAsia="Arial" w:hAnsi="Arial"/>
          <w:sz w:val="19"/>
          <w:szCs w:val="19"/>
          <w:color w:val="auto"/>
        </w:rPr>
        <w:t xml:space="preserve"> and</w:t>
      </w:r>
    </w:p>
    <w:p>
      <w:pPr>
        <w:spacing w:after="0" w:line="213" w:lineRule="exact"/>
        <w:rPr>
          <w:rFonts w:ascii="Arial" w:cs="Arial" w:eastAsia="Arial" w:hAnsi="Arial"/>
          <w:sz w:val="19"/>
          <w:szCs w:val="19"/>
          <w:color w:val="auto"/>
        </w:rPr>
      </w:pPr>
    </w:p>
    <w:p>
      <w:pPr>
        <w:ind w:left="840" w:right="159" w:firstLine="752"/>
        <w:spacing w:after="0" w:line="261" w:lineRule="auto"/>
        <w:tabs>
          <w:tab w:leader="none" w:pos="2368" w:val="left"/>
        </w:tabs>
        <w:numPr>
          <w:ilvl w:val="2"/>
          <w:numId w:val="289"/>
        </w:numPr>
        <w:rPr>
          <w:rFonts w:ascii="Arial" w:cs="Arial" w:eastAsia="Arial" w:hAnsi="Arial"/>
          <w:sz w:val="19"/>
          <w:szCs w:val="19"/>
          <w:color w:val="auto"/>
        </w:rPr>
      </w:pPr>
      <w:r>
        <w:rPr>
          <w:rFonts w:ascii="Arial" w:cs="Arial" w:eastAsia="Arial" w:hAnsi="Arial"/>
          <w:sz w:val="19"/>
          <w:szCs w:val="19"/>
          <w:color w:val="auto"/>
        </w:rPr>
        <w:t xml:space="preserve">no Default or Event of Default may arise under </w:t>
      </w:r>
      <w:r>
        <w:rPr>
          <w:rFonts w:ascii="Arial" w:cs="Arial" w:eastAsia="Arial" w:hAnsi="Arial"/>
          <w:sz w:val="19"/>
          <w:szCs w:val="19"/>
          <w:u w:val="single" w:color="auto"/>
          <w:color w:val="auto"/>
        </w:rPr>
        <w:t>Section 6.10(a)</w:t>
      </w:r>
      <w:r>
        <w:rPr>
          <w:rFonts w:ascii="Arial" w:cs="Arial" w:eastAsia="Arial" w:hAnsi="Arial"/>
          <w:sz w:val="19"/>
          <w:szCs w:val="19"/>
          <w:color w:val="auto"/>
        </w:rPr>
        <w:t xml:space="preserve"> until the 15th Business Day after the date on which financial statements are required to be delivered for the relevant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163</w:t>
      </w:r>
      <w:r>
        <w:rPr>
          <w:rFonts w:ascii="Arial" w:cs="Arial" w:eastAsia="Arial" w:hAnsi="Arial"/>
          <w:sz w:val="18"/>
          <w:szCs w:val="18"/>
          <w:u w:val="single" w:color="auto"/>
          <w:color w:val="0000FF"/>
          <w:strike w:val="1"/>
        </w:rPr>
        <w:t>163</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279" w:right="1440" w:bottom="1440" w:gutter="0" w:footer="0" w:header="0"/>
        </w:sectPr>
      </w:pPr>
    </w:p>
    <w:bookmarkStart w:id="231" w:name="page232"/>
    <w:bookmarkEnd w:id="231"/>
    <w:p>
      <w:pPr>
        <w:jc w:val="both"/>
        <w:ind w:left="840" w:right="39"/>
        <w:spacing w:after="0" w:line="252" w:lineRule="auto"/>
        <w:rPr>
          <w:sz w:val="20"/>
          <w:szCs w:val="20"/>
          <w:color w:val="auto"/>
        </w:rPr>
      </w:pPr>
      <w:r>
        <w:rPr>
          <w:rFonts w:ascii="Arial" w:cs="Arial" w:eastAsia="Arial" w:hAnsi="Arial"/>
          <w:sz w:val="18"/>
          <w:szCs w:val="18"/>
          <w:color w:val="auto"/>
        </w:rPr>
        <w:t xml:space="preserve">Fiscal Quarter under </w:t>
      </w:r>
      <w:r>
        <w:rPr>
          <w:rFonts w:ascii="Arial" w:cs="Arial" w:eastAsia="Arial" w:hAnsi="Arial"/>
          <w:sz w:val="18"/>
          <w:szCs w:val="18"/>
          <w:u w:val="single" w:color="auto"/>
          <w:color w:val="auto"/>
        </w:rPr>
        <w:t>Sections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applicable (unless the Cure Right has previously been exercised in excess of the aggregate cap on Cure Rights contemplated by </w:t>
      </w:r>
      <w:r>
        <w:rPr>
          <w:rFonts w:ascii="Arial" w:cs="Arial" w:eastAsia="Arial" w:hAnsi="Arial"/>
          <w:sz w:val="18"/>
          <w:szCs w:val="18"/>
          <w:u w:val="single" w:color="auto"/>
          <w:color w:val="auto"/>
        </w:rPr>
        <w:t>Section 6.10(b)</w:t>
      </w:r>
      <w:r>
        <w:rPr>
          <w:rFonts w:ascii="Arial" w:cs="Arial" w:eastAsia="Arial" w:hAnsi="Arial"/>
          <w:sz w:val="18"/>
          <w:szCs w:val="18"/>
          <w:color w:val="auto"/>
        </w:rPr>
        <w:t xml:space="preserve"> over the life of this Agreement and/or the Cure Right has previously been exercised twice in the applicable four consecutive Fiscal Quarter period), and then only to the extent the Cure Amount has not been received on or prior to such date; or</w:t>
      </w:r>
    </w:p>
    <w:p>
      <w:pPr>
        <w:spacing w:after="0" w:line="184" w:lineRule="exact"/>
        <w:rPr>
          <w:sz w:val="20"/>
          <w:szCs w:val="20"/>
          <w:color w:val="auto"/>
        </w:rPr>
      </w:pPr>
    </w:p>
    <w:p>
      <w:pPr>
        <w:jc w:val="both"/>
        <w:ind w:left="100" w:right="19" w:firstLine="741"/>
        <w:spacing w:after="0" w:line="254" w:lineRule="auto"/>
        <w:tabs>
          <w:tab w:leader="none" w:pos="1522"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Breach of Representations, Etc</w:t>
      </w:r>
      <w:r>
        <w:rPr>
          <w:rFonts w:ascii="Arial" w:cs="Arial" w:eastAsia="Arial" w:hAnsi="Arial"/>
          <w:sz w:val="18"/>
          <w:szCs w:val="18"/>
          <w:color w:val="auto"/>
        </w:rPr>
        <w:t xml:space="preserve">. Any representation, warranty or certification made or deemed made by any Loan Party in any Loan Document or in any certificate required to be delivered in connection herewith or therewith (including, for the avoidance of doubt, any Perfection Certificate) being untrue in any material respect as of the date made or deemed made; it being understood and agreed that (i) any breach of any representation, warranty or certification resulting from the failure of the Administrative Agent to file any Uniform Commercial Code financing statement, amendment and/or continuation statement or the failure of the Administrative Agent to maintain possession of any Collateral actually delivered to it shall not result in an Event of Default under this </w:t>
      </w:r>
      <w:r>
        <w:rPr>
          <w:rFonts w:ascii="Arial" w:cs="Arial" w:eastAsia="Arial" w:hAnsi="Arial"/>
          <w:sz w:val="18"/>
          <w:szCs w:val="18"/>
          <w:u w:val="single" w:color="auto"/>
          <w:color w:val="auto"/>
        </w:rPr>
        <w:t>Section 7.01(d)</w:t>
      </w:r>
      <w:r>
        <w:rPr>
          <w:rFonts w:ascii="Arial" w:cs="Arial" w:eastAsia="Arial" w:hAnsi="Arial"/>
          <w:sz w:val="18"/>
          <w:szCs w:val="18"/>
          <w:color w:val="auto"/>
        </w:rPr>
        <w:t xml:space="preserve"> or any other provision of any Loan Document and (ii) if the relevant representation and warranty is capable of being cured (including by the delivery of a restated certification or calculation or restated financial statements), no Default or Event of Default may arise under this </w:t>
      </w:r>
      <w:r>
        <w:rPr>
          <w:rFonts w:ascii="Arial" w:cs="Arial" w:eastAsia="Arial" w:hAnsi="Arial"/>
          <w:sz w:val="18"/>
          <w:szCs w:val="18"/>
          <w:u w:val="single" w:color="auto"/>
          <w:color w:val="auto"/>
        </w:rPr>
        <w:t>Section 7.01(d)</w:t>
      </w:r>
      <w:r>
        <w:rPr>
          <w:rFonts w:ascii="Arial" w:cs="Arial" w:eastAsia="Arial" w:hAnsi="Arial"/>
          <w:sz w:val="18"/>
          <w:szCs w:val="18"/>
          <w:color w:val="auto"/>
        </w:rPr>
        <w:t xml:space="preserve"> with respect to such representation and warranty unless such representation and warranty remains incorrect in any material respect for a period of 30 days following the delivery of a written notice by the Administrative Agent of the relevant inaccuracy to the Borrower; or</w:t>
      </w:r>
    </w:p>
    <w:p>
      <w:pPr>
        <w:spacing w:after="0" w:line="195" w:lineRule="exact"/>
        <w:rPr>
          <w:rFonts w:ascii="Arial" w:cs="Arial" w:eastAsia="Arial" w:hAnsi="Arial"/>
          <w:sz w:val="18"/>
          <w:szCs w:val="18"/>
          <w:color w:val="auto"/>
        </w:rPr>
      </w:pPr>
    </w:p>
    <w:p>
      <w:pPr>
        <w:jc w:val="both"/>
        <w:ind w:left="100" w:right="59" w:firstLine="742"/>
        <w:spacing w:after="0" w:line="245" w:lineRule="auto"/>
        <w:tabs>
          <w:tab w:leader="none" w:pos="1520" w:val="left"/>
        </w:tabs>
        <w:numPr>
          <w:ilvl w:val="0"/>
          <w:numId w:val="290"/>
        </w:numPr>
        <w:rPr>
          <w:rFonts w:ascii="Arial" w:cs="Arial" w:eastAsia="Arial" w:hAnsi="Arial"/>
          <w:sz w:val="19"/>
          <w:szCs w:val="19"/>
          <w:color w:val="auto"/>
        </w:rPr>
      </w:pPr>
      <w:r>
        <w:rPr>
          <w:rFonts w:ascii="Arial" w:cs="Arial" w:eastAsia="Arial" w:hAnsi="Arial"/>
          <w:sz w:val="19"/>
          <w:szCs w:val="19"/>
          <w:u w:val="single" w:color="auto"/>
          <w:color w:val="auto"/>
        </w:rPr>
        <w:t>Other Defaults Under Loan Documents</w:t>
      </w:r>
      <w:r>
        <w:rPr>
          <w:rFonts w:ascii="Arial" w:cs="Arial" w:eastAsia="Arial" w:hAnsi="Arial"/>
          <w:sz w:val="19"/>
          <w:szCs w:val="19"/>
          <w:color w:val="auto"/>
        </w:rPr>
        <w:t xml:space="preserve">. Default by any Loan Party in the performance of or compliance with any term contained herein or any of the other Loan Documents, other than any such term referred to in any other Section of this </w:t>
      </w:r>
      <w:r>
        <w:rPr>
          <w:rFonts w:ascii="Arial" w:cs="Arial" w:eastAsia="Arial" w:hAnsi="Arial"/>
          <w:sz w:val="19"/>
          <w:szCs w:val="19"/>
          <w:u w:val="single" w:color="auto"/>
          <w:color w:val="auto"/>
        </w:rPr>
        <w:t>Article 7</w:t>
      </w:r>
      <w:r>
        <w:rPr>
          <w:rFonts w:ascii="Arial" w:cs="Arial" w:eastAsia="Arial" w:hAnsi="Arial"/>
          <w:sz w:val="19"/>
          <w:szCs w:val="19"/>
          <w:color w:val="auto"/>
        </w:rPr>
        <w:t>, which default has not been remedied or waived within 30 days after receipt by the Borrower of written notice thereof from the Administrative Agent; or</w:t>
      </w:r>
    </w:p>
    <w:p>
      <w:pPr>
        <w:spacing w:after="0" w:line="187" w:lineRule="exact"/>
        <w:rPr>
          <w:rFonts w:ascii="Arial" w:cs="Arial" w:eastAsia="Arial" w:hAnsi="Arial"/>
          <w:sz w:val="19"/>
          <w:szCs w:val="19"/>
          <w:color w:val="auto"/>
        </w:rPr>
      </w:pPr>
    </w:p>
    <w:p>
      <w:pPr>
        <w:jc w:val="both"/>
        <w:ind w:left="100" w:right="19" w:firstLine="742"/>
        <w:spacing w:after="0" w:line="270" w:lineRule="auto"/>
        <w:tabs>
          <w:tab w:leader="none" w:pos="1522" w:val="left"/>
        </w:tabs>
        <w:numPr>
          <w:ilvl w:val="0"/>
          <w:numId w:val="290"/>
        </w:numPr>
        <w:rPr>
          <w:rFonts w:ascii="Arial" w:cs="Arial" w:eastAsia="Arial" w:hAnsi="Arial"/>
          <w:sz w:val="17"/>
          <w:szCs w:val="17"/>
          <w:color w:val="auto"/>
        </w:rPr>
      </w:pPr>
      <w:r>
        <w:rPr>
          <w:rFonts w:ascii="Arial" w:cs="Arial" w:eastAsia="Arial" w:hAnsi="Arial"/>
          <w:sz w:val="17"/>
          <w:szCs w:val="17"/>
          <w:u w:val="single" w:color="auto"/>
          <w:color w:val="auto"/>
        </w:rPr>
        <w:t>Involuntary Bankruptcy; Appointment of Receiver, Etc</w:t>
      </w:r>
      <w:r>
        <w:rPr>
          <w:rFonts w:ascii="Arial" w:cs="Arial" w:eastAsia="Arial" w:hAnsi="Arial"/>
          <w:sz w:val="17"/>
          <w:szCs w:val="17"/>
          <w:color w:val="auto"/>
        </w:rPr>
        <w:t xml:space="preserve">. (i) The entry by a court of competent jurisdiction of a decree or order for relief in respect of Holdings, the Borrower or any Restricted Subsidiary (other than any Immaterial Subsidiary) in an involuntary case under any Debtor Relief Law now or hereafter in effect, which decree or order is not stayed; or any other similar relief in respect of Holdings, the Borrower or any Restricted Subsidiary (other than any Immaterial Subsidiary) shall be granted under any applicable Requirements of Law, which relief is not stayed; or (ii) the commencement of an involuntary case against Holdings, the Borrower or any Restricted Subsidiary (other than any Immaterial Subsidiary) under any Debtor Relief Law; the entry by a court having jurisdiction in the premises of a decree or order for the appointment of a receiver, receiver and manager, (preliminary) insolvency receiver, liquidator, sequestrator, trustee, administrator, custodian or other officer having similar powers over Holdings, the Borrower or any Restricted Subsidiary (other than any Immaterial Subsidiary), or over all or a material part of its property; or the involuntary appointment of an interim receiver, trustee or other custodian of Holdings, the Borrower or any Restricted Subsidiary (other than any Immaterial Subsidiary) for all or a material part of its property, which remains, in any case under this </w:t>
      </w:r>
      <w:r>
        <w:rPr>
          <w:rFonts w:ascii="Arial" w:cs="Arial" w:eastAsia="Arial" w:hAnsi="Arial"/>
          <w:sz w:val="17"/>
          <w:szCs w:val="17"/>
          <w:u w:val="single" w:color="auto"/>
          <w:color w:val="auto"/>
        </w:rPr>
        <w:t>Section 7.01(f)</w:t>
      </w:r>
      <w:r>
        <w:rPr>
          <w:rFonts w:ascii="Arial" w:cs="Arial" w:eastAsia="Arial" w:hAnsi="Arial"/>
          <w:sz w:val="17"/>
          <w:szCs w:val="17"/>
          <w:color w:val="auto"/>
        </w:rPr>
        <w:t xml:space="preserve">, undismissed, unvacated, unbounded or unstayed pending appeal for 60 consecutive days;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it is understood and agreed that the occurrence of any event described in this </w:t>
      </w:r>
      <w:r>
        <w:rPr>
          <w:rFonts w:ascii="Arial" w:cs="Arial" w:eastAsia="Arial" w:hAnsi="Arial"/>
          <w:sz w:val="17"/>
          <w:szCs w:val="17"/>
          <w:u w:val="single" w:color="auto"/>
          <w:color w:val="auto"/>
        </w:rPr>
        <w:t>clause (f)</w:t>
      </w:r>
      <w:r>
        <w:rPr>
          <w:rFonts w:ascii="Arial" w:cs="Arial" w:eastAsia="Arial" w:hAnsi="Arial"/>
          <w:sz w:val="17"/>
          <w:szCs w:val="17"/>
          <w:color w:val="auto"/>
        </w:rPr>
        <w:t xml:space="preserve"> will not result in a Default or Event of Default under this Agreement prior to the expiration of such 60 consecutive day period; or</w:t>
      </w:r>
    </w:p>
    <w:p>
      <w:pPr>
        <w:spacing w:after="0" w:line="174" w:lineRule="exact"/>
        <w:rPr>
          <w:rFonts w:ascii="Arial" w:cs="Arial" w:eastAsia="Arial" w:hAnsi="Arial"/>
          <w:sz w:val="17"/>
          <w:szCs w:val="17"/>
          <w:color w:val="auto"/>
        </w:rPr>
      </w:pPr>
    </w:p>
    <w:p>
      <w:pPr>
        <w:jc w:val="both"/>
        <w:ind w:left="100" w:right="19" w:firstLine="741"/>
        <w:spacing w:after="0" w:line="257" w:lineRule="auto"/>
        <w:tabs>
          <w:tab w:leader="none" w:pos="1522"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Voluntary Bankruptcy; Appointment of Receiver, Etc</w:t>
      </w:r>
      <w:r>
        <w:rPr>
          <w:rFonts w:ascii="Arial" w:cs="Arial" w:eastAsia="Arial" w:hAnsi="Arial"/>
          <w:sz w:val="18"/>
          <w:szCs w:val="18"/>
          <w:color w:val="auto"/>
        </w:rPr>
        <w:t>. (i) The entry against Holdings, the Borrower or any Restricted Subsidiary (other than any Immaterial Subsidiary) of an order for relief in, or the commencement by Holdings, the Borrower or any Restricted Subsidiary (other than any Immaterial Subsidiary) of, a voluntary case under any Debtor Relief Law, or the consent by Holdings, the Borrower or any Restricted Subsidiary (other than any Immaterial Subsidiary) to the entry of an order for relief in an involuntary case or to the conversion of an involuntary case to a voluntary case, under any Debtor Relief Law, or the consent by Holdings, the Borrower or any Restricted Subsidiary (other than any Immaterial Subsidiary) to the appointment of or taking possession by a receiver, receiver and manager, insolvency receiver, liquidator, sequestrator, trustee, administrator, custodian or other like official for or in respect of itself or for all or a material part of the property of Holdings, the Borrower and any Restricted Subsidiary (other taken any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164</w:t>
      </w:r>
      <w:r>
        <w:rPr>
          <w:rFonts w:ascii="Arial" w:cs="Arial" w:eastAsia="Arial" w:hAnsi="Arial"/>
          <w:sz w:val="18"/>
          <w:szCs w:val="18"/>
          <w:u w:val="single" w:color="auto"/>
          <w:color w:val="0000FF"/>
          <w:strike w:val="1"/>
        </w:rPr>
        <w:t>164</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32" w:name="page233"/>
    <w:bookmarkEnd w:id="232"/>
    <w:p>
      <w:pPr>
        <w:ind w:left="100" w:right="99"/>
        <w:spacing w:after="0" w:line="261" w:lineRule="auto"/>
        <w:rPr>
          <w:sz w:val="20"/>
          <w:szCs w:val="20"/>
          <w:color w:val="auto"/>
        </w:rPr>
      </w:pPr>
      <w:r>
        <w:rPr>
          <w:rFonts w:ascii="Arial" w:cs="Arial" w:eastAsia="Arial" w:hAnsi="Arial"/>
          <w:sz w:val="19"/>
          <w:szCs w:val="19"/>
          <w:color w:val="auto"/>
        </w:rPr>
        <w:t>Immaterial Subsidiary), taken as a whole or (ii) the making by Holdings, the Borrower or any Restricted Subsidiary (other than any Immaterial Subsidiary) of a general assignment for the benefit of creditors; or</w:t>
      </w:r>
    </w:p>
    <w:p>
      <w:pPr>
        <w:spacing w:after="0" w:line="159" w:lineRule="exact"/>
        <w:rPr>
          <w:sz w:val="20"/>
          <w:szCs w:val="20"/>
          <w:color w:val="auto"/>
        </w:rPr>
      </w:pPr>
    </w:p>
    <w:p>
      <w:pPr>
        <w:jc w:val="both"/>
        <w:ind w:left="100" w:right="19" w:firstLine="742"/>
        <w:spacing w:after="0" w:line="257" w:lineRule="auto"/>
        <w:tabs>
          <w:tab w:leader="none" w:pos="1522" w:val="left"/>
        </w:tabs>
        <w:numPr>
          <w:ilvl w:val="1"/>
          <w:numId w:val="291"/>
        </w:numPr>
        <w:rPr>
          <w:rFonts w:ascii="Arial" w:cs="Arial" w:eastAsia="Arial" w:hAnsi="Arial"/>
          <w:sz w:val="18"/>
          <w:szCs w:val="18"/>
          <w:color w:val="auto"/>
        </w:rPr>
      </w:pPr>
      <w:r>
        <w:rPr>
          <w:rFonts w:ascii="Arial" w:cs="Arial" w:eastAsia="Arial" w:hAnsi="Arial"/>
          <w:sz w:val="18"/>
          <w:szCs w:val="18"/>
          <w:u w:val="single" w:color="auto"/>
          <w:color w:val="auto"/>
        </w:rPr>
        <w:t>Judgments and Attachments</w:t>
      </w:r>
      <w:r>
        <w:rPr>
          <w:rFonts w:ascii="Arial" w:cs="Arial" w:eastAsia="Arial" w:hAnsi="Arial"/>
          <w:sz w:val="18"/>
          <w:szCs w:val="18"/>
          <w:color w:val="auto"/>
        </w:rPr>
        <w:t xml:space="preserve">. The entry or filing of one or more final money judgments, writs or warrants of attachment or similar process against the Borrower or any Restricted Subsidiary (other than any Immaterial Subsidiary) individually or any of its assets involving in the aggregate at any time an amount in excess of the Threshold Amount (in either case, to the extent not adequately covered by indemnity from a third party (including any escrow arrangement), by self-insurance (if applicable) or by insurance as to which, in the case of any such third party insurance, the relevant third party insurance company has been notified and not denied coverage), which judgment, writ, warrant or similar process remains unpaid, undischarged, unvacated, unbonded or unstayed pending appeal for a period of 60 consecutive days;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it is understood and agreed that the occurrence of any event described in this </w:t>
      </w:r>
      <w:r>
        <w:rPr>
          <w:rFonts w:ascii="Arial" w:cs="Arial" w:eastAsia="Arial" w:hAnsi="Arial"/>
          <w:sz w:val="18"/>
          <w:szCs w:val="18"/>
          <w:u w:val="single" w:color="auto"/>
          <w:color w:val="auto"/>
        </w:rPr>
        <w:t>clause (h)</w:t>
      </w:r>
      <w:r>
        <w:rPr>
          <w:rFonts w:ascii="Arial" w:cs="Arial" w:eastAsia="Arial" w:hAnsi="Arial"/>
          <w:sz w:val="18"/>
          <w:szCs w:val="18"/>
          <w:color w:val="auto"/>
        </w:rPr>
        <w:t xml:space="preserve"> will not result in a Default or Event of Default under this Agreement prior to the expiration of such 60 consecutive day period; or</w:t>
      </w:r>
    </w:p>
    <w:p>
      <w:pPr>
        <w:spacing w:after="0" w:line="178" w:lineRule="exact"/>
        <w:rPr>
          <w:rFonts w:ascii="Arial" w:cs="Arial" w:eastAsia="Arial" w:hAnsi="Arial"/>
          <w:sz w:val="18"/>
          <w:szCs w:val="18"/>
          <w:color w:val="auto"/>
        </w:rPr>
      </w:pPr>
    </w:p>
    <w:p>
      <w:pPr>
        <w:jc w:val="both"/>
        <w:ind w:left="100" w:right="59" w:firstLine="742"/>
        <w:spacing w:after="0" w:line="269" w:lineRule="auto"/>
        <w:tabs>
          <w:tab w:leader="none" w:pos="1520" w:val="left"/>
        </w:tabs>
        <w:numPr>
          <w:ilvl w:val="1"/>
          <w:numId w:val="291"/>
        </w:numPr>
        <w:rPr>
          <w:rFonts w:ascii="Arial" w:cs="Arial" w:eastAsia="Arial" w:hAnsi="Arial"/>
          <w:sz w:val="18"/>
          <w:szCs w:val="18"/>
          <w:color w:val="auto"/>
        </w:rPr>
      </w:pPr>
      <w:r>
        <w:rPr>
          <w:rFonts w:ascii="Arial" w:cs="Arial" w:eastAsia="Arial" w:hAnsi="Arial"/>
          <w:sz w:val="18"/>
          <w:szCs w:val="18"/>
          <w:u w:val="single" w:color="auto"/>
          <w:color w:val="auto"/>
        </w:rPr>
        <w:t>Employee Benefit Plans</w:t>
      </w:r>
      <w:r>
        <w:rPr>
          <w:rFonts w:ascii="Arial" w:cs="Arial" w:eastAsia="Arial" w:hAnsi="Arial"/>
          <w:sz w:val="18"/>
          <w:szCs w:val="18"/>
          <w:color w:val="auto"/>
        </w:rPr>
        <w:t>. The occurrence of one or more ERISA Events with respect to the Borrower or any Restricted Subsidiary (other than any Immaterial Subsidiary), which individually or in the aggregate result in liability of any Loan Party in an aggregate amount which would reasonably be expected to result in a Material Adverse Effect; or</w:t>
      </w:r>
    </w:p>
    <w:p>
      <w:pPr>
        <w:spacing w:after="0" w:line="168" w:lineRule="exact"/>
        <w:rPr>
          <w:rFonts w:ascii="Arial" w:cs="Arial" w:eastAsia="Arial" w:hAnsi="Arial"/>
          <w:sz w:val="18"/>
          <w:szCs w:val="18"/>
          <w:color w:val="auto"/>
        </w:rPr>
      </w:pPr>
    </w:p>
    <w:p>
      <w:pPr>
        <w:ind w:left="1600" w:hanging="758"/>
        <w:spacing w:after="0"/>
        <w:tabs>
          <w:tab w:leader="none" w:pos="1600" w:val="left"/>
        </w:tabs>
        <w:numPr>
          <w:ilvl w:val="1"/>
          <w:numId w:val="291"/>
        </w:numPr>
        <w:rPr>
          <w:rFonts w:ascii="Arial" w:cs="Arial" w:eastAsia="Arial" w:hAnsi="Arial"/>
          <w:sz w:val="19"/>
          <w:szCs w:val="19"/>
          <w:color w:val="auto"/>
        </w:rPr>
      </w:pPr>
      <w:r>
        <w:rPr>
          <w:rFonts w:ascii="Arial" w:cs="Arial" w:eastAsia="Arial" w:hAnsi="Arial"/>
          <w:sz w:val="19"/>
          <w:szCs w:val="19"/>
          <w:u w:val="single" w:color="auto"/>
          <w:color w:val="auto"/>
        </w:rPr>
        <w:t>Change of Control</w:t>
      </w:r>
      <w:r>
        <w:rPr>
          <w:rFonts w:ascii="Arial" w:cs="Arial" w:eastAsia="Arial" w:hAnsi="Arial"/>
          <w:sz w:val="19"/>
          <w:szCs w:val="19"/>
          <w:color w:val="auto"/>
        </w:rPr>
        <w:t>. The occurrence of a Change of Control; or</w:t>
      </w:r>
    </w:p>
    <w:p>
      <w:pPr>
        <w:spacing w:after="0" w:line="213" w:lineRule="exact"/>
        <w:rPr>
          <w:rFonts w:ascii="Arial" w:cs="Arial" w:eastAsia="Arial" w:hAnsi="Arial"/>
          <w:sz w:val="19"/>
          <w:szCs w:val="19"/>
          <w:color w:val="auto"/>
        </w:rPr>
      </w:pPr>
    </w:p>
    <w:p>
      <w:pPr>
        <w:jc w:val="both"/>
        <w:ind w:left="100" w:right="19" w:firstLine="741"/>
        <w:spacing w:after="0" w:line="269" w:lineRule="auto"/>
        <w:tabs>
          <w:tab w:leader="none" w:pos="1522" w:val="left"/>
        </w:tabs>
        <w:numPr>
          <w:ilvl w:val="1"/>
          <w:numId w:val="291"/>
        </w:numPr>
        <w:rPr>
          <w:rFonts w:ascii="Arial" w:cs="Arial" w:eastAsia="Arial" w:hAnsi="Arial"/>
          <w:sz w:val="17"/>
          <w:szCs w:val="17"/>
          <w:color w:val="auto"/>
        </w:rPr>
      </w:pPr>
      <w:r>
        <w:rPr>
          <w:rFonts w:ascii="Arial" w:cs="Arial" w:eastAsia="Arial" w:hAnsi="Arial"/>
          <w:sz w:val="17"/>
          <w:szCs w:val="17"/>
          <w:u w:val="single" w:color="auto"/>
          <w:color w:val="auto"/>
        </w:rPr>
        <w:t>Guaranties, Collateral Documents and Other Loan Documents</w:t>
      </w:r>
      <w:r>
        <w:rPr>
          <w:rFonts w:ascii="Arial" w:cs="Arial" w:eastAsia="Arial" w:hAnsi="Arial"/>
          <w:sz w:val="17"/>
          <w:szCs w:val="17"/>
          <w:color w:val="auto"/>
        </w:rPr>
        <w:t>. At any time after the execution and delivery thereof, (i) any material Loan Guaranty for any reason, other than the occurrence of the Termination Date, shall cease to be in full force and effect (other than in accordance with its terms) or shall be declared, by a court of competent jurisdiction, to be null and void or any Loan Guarantor shall repudiate in writing its obligations thereunder (in each case, other than as a result of the discharge of such Loan Guarantor in accordance with the terms thereof and other than as a result of any act or omission by the Administrative Agent or any Lender), (ii) this Agreement or any material Collateral Document ceases to be in full force and effect or shall be declared, by a court of competent jurisdiction, to be null and void or any Lien on a material portion of the Collateral created under any Collateral Document ceases to be perfected with respect to a material portion of the Collateral (other than solely by reason of</w:t>
      </w:r>
    </w:p>
    <w:p>
      <w:pPr>
        <w:spacing w:after="0" w:line="4" w:lineRule="exact"/>
        <w:rPr>
          <w:rFonts w:ascii="Arial" w:cs="Arial" w:eastAsia="Arial" w:hAnsi="Arial"/>
          <w:sz w:val="17"/>
          <w:szCs w:val="17"/>
          <w:color w:val="auto"/>
        </w:rPr>
      </w:pPr>
    </w:p>
    <w:p>
      <w:pPr>
        <w:jc w:val="both"/>
        <w:ind w:left="100" w:right="19" w:hanging="7"/>
        <w:spacing w:after="0" w:line="269" w:lineRule="auto"/>
        <w:tabs>
          <w:tab w:leader="none" w:pos="406" w:val="left"/>
        </w:tabs>
        <w:numPr>
          <w:ilvl w:val="0"/>
          <w:numId w:val="292"/>
        </w:numPr>
        <w:rPr>
          <w:rFonts w:ascii="Arial" w:cs="Arial" w:eastAsia="Arial" w:hAnsi="Arial"/>
          <w:sz w:val="17"/>
          <w:szCs w:val="17"/>
          <w:color w:val="auto"/>
        </w:rPr>
      </w:pPr>
      <w:r>
        <w:rPr>
          <w:rFonts w:ascii="Arial" w:cs="Arial" w:eastAsia="Arial" w:hAnsi="Arial"/>
          <w:sz w:val="17"/>
          <w:szCs w:val="17"/>
          <w:color w:val="auto"/>
        </w:rPr>
        <w:t xml:space="preserve">such perfection not being required pursuant to the Collateral and Guarantee Requirement, the Collateral Documents, this Agreement or otherwise, (2) the failure of the Administrative Agent to maintain possession of any Collateral actually delivered to it or the failure of the Administrative Agent to file Uniform Commercial Code financing statements, amendments or continuation statements, (3) a release of Collateral in accordance with the terms hereof or thereof or (4) the occurrence of the Termination Date or any other termination of such Collateral Document in accordance with the terms thereof) or (iii) other than in any bona fide, good faith dispute as to the scope of Collateral or whether any Lien has been, or is required to be released, any Loan Party shall contest in writing, the validity or enforceability of any material provision of any Loan Document (or any Lien purported to be created by the Collateral Documents on any material portion of the Collateral or any Loan Guaranty) or deny in writing that it has any further liability (other than by reason of the occurrence of the Termination Date or any other termination of any other Loan Document in accordance with the terms thereof), including with respect to future advances by the Lenders, under any Loan Document to which it is a party; it being understood and agreed that the failure of the Administrative Agent to file any Uniform Commercial Code financing statement, amendment or continuation statement and/or maintain possession of any physical Collateral shall not result in an Event of Default under this </w:t>
      </w:r>
      <w:r>
        <w:rPr>
          <w:rFonts w:ascii="Arial" w:cs="Arial" w:eastAsia="Arial" w:hAnsi="Arial"/>
          <w:sz w:val="17"/>
          <w:szCs w:val="17"/>
          <w:u w:val="single" w:color="auto"/>
          <w:color w:val="auto"/>
        </w:rPr>
        <w:t>Section 7.01(k)</w:t>
      </w:r>
      <w:r>
        <w:rPr>
          <w:rFonts w:ascii="Arial" w:cs="Arial" w:eastAsia="Arial" w:hAnsi="Arial"/>
          <w:sz w:val="17"/>
          <w:szCs w:val="17"/>
          <w:color w:val="auto"/>
        </w:rPr>
        <w:t xml:space="preserve"> or any other provision of any Loan Document;</w:t>
      </w:r>
    </w:p>
    <w:p>
      <w:pPr>
        <w:spacing w:after="0" w:line="173" w:lineRule="exact"/>
        <w:rPr>
          <w:rFonts w:ascii="Arial" w:cs="Arial" w:eastAsia="Arial" w:hAnsi="Arial"/>
          <w:sz w:val="17"/>
          <w:szCs w:val="17"/>
          <w:color w:val="auto"/>
        </w:rPr>
      </w:pPr>
    </w:p>
    <w:p>
      <w:pPr>
        <w:jc w:val="both"/>
        <w:ind w:left="100" w:right="39" w:firstLine="741"/>
        <w:spacing w:after="0" w:line="245" w:lineRule="auto"/>
        <w:tabs>
          <w:tab w:leader="none" w:pos="1520" w:val="left"/>
        </w:tabs>
        <w:numPr>
          <w:ilvl w:val="1"/>
          <w:numId w:val="292"/>
        </w:numPr>
        <w:rPr>
          <w:rFonts w:ascii="Arial" w:cs="Arial" w:eastAsia="Arial" w:hAnsi="Arial"/>
          <w:sz w:val="19"/>
          <w:szCs w:val="19"/>
          <w:color w:val="auto"/>
        </w:rPr>
      </w:pPr>
      <w:r>
        <w:rPr>
          <w:rFonts w:ascii="Arial" w:cs="Arial" w:eastAsia="Arial" w:hAnsi="Arial"/>
          <w:sz w:val="19"/>
          <w:szCs w:val="19"/>
          <w:u w:val="single" w:color="auto"/>
          <w:color w:val="auto"/>
        </w:rPr>
        <w:t>Subordination</w:t>
      </w:r>
      <w:r>
        <w:rPr>
          <w:rFonts w:ascii="Arial" w:cs="Arial" w:eastAsia="Arial" w:hAnsi="Arial"/>
          <w:sz w:val="19"/>
          <w:szCs w:val="19"/>
          <w:color w:val="auto"/>
        </w:rPr>
        <w:t>. The Obligations ceasing or the assertion in writing by any Loan Party that the Obligations cease to constitute senior indebtedness under the subordination provisions of any document or instrument evidencing any Restricted Debt that is required to be subordinated pursuant to the terms of this Agreement or any such subordination provision being invalidated by a court of competent jurisdiction in 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165</w:t>
      </w:r>
      <w:r>
        <w:rPr>
          <w:rFonts w:ascii="Arial" w:cs="Arial" w:eastAsia="Arial" w:hAnsi="Arial"/>
          <w:sz w:val="18"/>
          <w:szCs w:val="18"/>
          <w:u w:val="single" w:color="auto"/>
          <w:color w:val="0000FF"/>
          <w:strike w:val="1"/>
        </w:rPr>
        <w:t>165</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33" w:name="page234"/>
    <w:bookmarkEnd w:id="233"/>
    <w:p>
      <w:pPr>
        <w:jc w:val="both"/>
        <w:ind w:left="100" w:right="59"/>
        <w:spacing w:after="0" w:line="261" w:lineRule="auto"/>
        <w:rPr>
          <w:sz w:val="20"/>
          <w:szCs w:val="20"/>
          <w:color w:val="auto"/>
        </w:rPr>
      </w:pPr>
      <w:r>
        <w:rPr>
          <w:rFonts w:ascii="Arial" w:cs="Arial" w:eastAsia="Arial" w:hAnsi="Arial"/>
          <w:sz w:val="19"/>
          <w:szCs w:val="19"/>
          <w:color w:val="auto"/>
        </w:rPr>
        <w:t>final non-appealable order, or otherwise ceasing, for any reason, to be valid, binding and enforceable obligations of the parties thereto;</w:t>
      </w:r>
    </w:p>
    <w:p>
      <w:pPr>
        <w:spacing w:after="0" w:line="159" w:lineRule="exact"/>
        <w:rPr>
          <w:sz w:val="20"/>
          <w:szCs w:val="20"/>
          <w:color w:val="auto"/>
        </w:rPr>
      </w:pPr>
    </w:p>
    <w:p>
      <w:pPr>
        <w:jc w:val="both"/>
        <w:ind w:left="100" w:right="59"/>
        <w:spacing w:after="0" w:line="256" w:lineRule="auto"/>
        <w:rPr>
          <w:sz w:val="20"/>
          <w:szCs w:val="20"/>
          <w:color w:val="auto"/>
        </w:rPr>
      </w:pPr>
      <w:r>
        <w:rPr>
          <w:rFonts w:ascii="Arial" w:cs="Arial" w:eastAsia="Arial" w:hAnsi="Arial"/>
          <w:sz w:val="17"/>
          <w:szCs w:val="17"/>
          <w:color w:val="auto"/>
        </w:rPr>
        <w:t xml:space="preserve">then, and in every such event (other than an event described in </w:t>
      </w:r>
      <w:r>
        <w:rPr>
          <w:rFonts w:ascii="Arial" w:cs="Arial" w:eastAsia="Arial" w:hAnsi="Arial"/>
          <w:sz w:val="17"/>
          <w:szCs w:val="17"/>
          <w:u w:val="single" w:color="auto"/>
          <w:color w:val="auto"/>
        </w:rPr>
        <w:t>Section 7.01(f)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7.01(g)</w:t>
      </w:r>
      <w:r>
        <w:rPr>
          <w:rFonts w:ascii="Arial" w:cs="Arial" w:eastAsia="Arial" w:hAnsi="Arial"/>
          <w:sz w:val="17"/>
          <w:szCs w:val="17"/>
          <w:color w:val="auto"/>
        </w:rPr>
        <w:t>) at any time thereafter during the continuance of such event, the Administrative Agent may and at the request of the Required Lenders, shall by notice to the Borrower, take any of the following actions, at the same or different times: (i) terminate the Revolving Credit Commitments, and thereupon such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(iii) require that the Borrower deposit in the LC Collateral Account an additional amount in Cash as reasonably requested by the Issuing Banks (not to exceed 100% of the relevant face amount) of the then outstanding LC Exposure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amount then on deposit in the LC Collateral Account);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the occurrence of an event described in </w:t>
      </w:r>
      <w:r>
        <w:rPr>
          <w:rFonts w:ascii="Arial" w:cs="Arial" w:eastAsia="Arial" w:hAnsi="Arial"/>
          <w:sz w:val="17"/>
          <w:szCs w:val="17"/>
          <w:u w:val="single" w:color="auto"/>
          <w:color w:val="auto"/>
        </w:rPr>
        <w:t>Section 7.01(f)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7.01(g)</w:t>
      </w:r>
      <w:r>
        <w:rPr>
          <w:rFonts w:ascii="Arial" w:cs="Arial" w:eastAsia="Arial" w:hAnsi="Arial"/>
          <w:sz w:val="17"/>
          <w:szCs w:val="17"/>
          <w:color w:val="auto"/>
        </w:rPr>
        <w:t>, any such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 and the obligation of the Borrower to Cash collateralize the outstanding Letters of Credit as aforesaid shall automatically become effective, in each case, without further action of the Administrative Agent or any Lender. Upon the occurrence and during the continuance of an Event of Default, the Administrative Agent may, and at the request of the Required Lenders, shall exercise any rights and remedies provided to the Administrative Agent under the Loan Documents or at law or equity, including all remedies provided under the UCC.</w:t>
      </w:r>
    </w:p>
    <w:p>
      <w:pPr>
        <w:spacing w:after="0" w:line="175"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ARTICLE 8</w:t>
      </w:r>
    </w:p>
    <w:p>
      <w:pPr>
        <w:spacing w:after="0" w:line="200" w:lineRule="exact"/>
        <w:rPr>
          <w:sz w:val="20"/>
          <w:szCs w:val="20"/>
          <w:color w:val="auto"/>
        </w:rPr>
      </w:pPr>
    </w:p>
    <w:p>
      <w:pPr>
        <w:jc w:val="center"/>
        <w:ind w:right="-120"/>
        <w:spacing w:after="0"/>
        <w:rPr>
          <w:sz w:val="20"/>
          <w:szCs w:val="20"/>
          <w:color w:val="auto"/>
        </w:rPr>
      </w:pPr>
      <w:r>
        <w:rPr>
          <w:rFonts w:ascii="Arial" w:cs="Arial" w:eastAsia="Arial" w:hAnsi="Arial"/>
          <w:sz w:val="19"/>
          <w:szCs w:val="19"/>
          <w:color w:val="auto"/>
        </w:rPr>
        <w:t>THE ADMINISTRATIVE AGENT</w:t>
      </w:r>
    </w:p>
    <w:p>
      <w:pPr>
        <w:spacing w:after="0" w:line="200" w:lineRule="exact"/>
        <w:rPr>
          <w:sz w:val="20"/>
          <w:szCs w:val="20"/>
          <w:color w:val="auto"/>
        </w:rPr>
      </w:pPr>
    </w:p>
    <w:p>
      <w:pPr>
        <w:jc w:val="both"/>
        <w:ind w:left="100" w:right="59" w:firstLine="749"/>
        <w:spacing w:after="0" w:line="266"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Appointment and Authorization of Administrative Agent</w:t>
      </w:r>
      <w:r>
        <w:rPr>
          <w:rFonts w:ascii="Arial" w:cs="Arial" w:eastAsia="Arial" w:hAnsi="Arial"/>
          <w:sz w:val="17"/>
          <w:szCs w:val="17"/>
          <w:color w:val="auto"/>
        </w:rPr>
        <w:t>. Each of the Lenders and the Issuing Banks, on behalf of itself and its applicable Affiliates in their respective capacities as such and as counterparties under Hedge Agreements and/or providers of Banking Services, as applicable, hereby irrevocably appoint Bank of America (or any successor appointed pursuant hereto) as Administrative Agent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w:t>
      </w:r>
    </w:p>
    <w:p>
      <w:pPr>
        <w:spacing w:after="0" w:line="158" w:lineRule="exact"/>
        <w:rPr>
          <w:sz w:val="20"/>
          <w:szCs w:val="20"/>
          <w:color w:val="auto"/>
        </w:rPr>
      </w:pPr>
    </w:p>
    <w:p>
      <w:pPr>
        <w:ind w:left="100" w:right="39" w:firstLine="749"/>
        <w:spacing w:after="0" w:line="260"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Rights as a Lender</w:t>
      </w:r>
      <w:r>
        <w:rPr>
          <w:rFonts w:ascii="Arial" w:cs="Arial" w:eastAsia="Arial" w:hAnsi="Arial"/>
          <w:sz w:val="17"/>
          <w:szCs w:val="17"/>
          <w:color w:val="auto"/>
        </w:rPr>
        <w:t>. Any Person serving as Administrative Agent hereunder shall have the same rights and powers in its capacity as a Lender as any other Lender and may exercise the same as though it were not the Administrative Agent, and the term “Lender” or “Lenders” shall, unless otherwise expressly indicated, unless the context otherwise requires or unless such Person is in fact not a Lender, include each Person serving as Administrative Agent hereunder in its individual capacity. Such Person and its Affiliates may accept deposits from, lend money to, act as the financial advisor or in any other advisory capacity for and generally engage in any kind of business with any Loan Party or any subsidiary of any Loan Party or other Affiliate thereof as if it were not the Administrative Agent hereunder. The Lenders acknowledge that, pursuant to such activities, the Administrative Agent or its Affiliates may receive information regarding any Loan Party or any of its Affiliates (including information that may be subject to confidentiality obligations in favor of such Loan Party or such Affiliate) and acknowledge that the Administrative Agent shall not be under any obligation to provide such information to them.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166</w:t>
      </w:r>
      <w:r>
        <w:rPr>
          <w:rFonts w:ascii="Arial" w:cs="Arial" w:eastAsia="Arial" w:hAnsi="Arial"/>
          <w:sz w:val="18"/>
          <w:szCs w:val="18"/>
          <w:u w:val="single" w:color="auto"/>
          <w:color w:val="0000FF"/>
          <w:strike w:val="1"/>
        </w:rPr>
        <w:t>166</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34" w:name="page235"/>
    <w:bookmarkEnd w:id="234"/>
    <w:p>
      <w:pPr>
        <w:ind w:left="100" w:right="59" w:firstLine="749"/>
        <w:spacing w:after="0" w:line="261" w:lineRule="auto"/>
        <w:rPr>
          <w:sz w:val="20"/>
          <w:szCs w:val="20"/>
          <w:color w:val="auto"/>
        </w:rPr>
      </w:pPr>
      <w:r>
        <w:rPr>
          <w:rFonts w:ascii="Arial" w:cs="Arial" w:eastAsia="Arial" w:hAnsi="Arial"/>
          <w:sz w:val="19"/>
          <w:szCs w:val="19"/>
          <w:color w:val="auto"/>
        </w:rPr>
        <w:t xml:space="preserve">Section 8.03. </w:t>
      </w:r>
      <w:r>
        <w:rPr>
          <w:rFonts w:ascii="Arial" w:cs="Arial" w:eastAsia="Arial" w:hAnsi="Arial"/>
          <w:sz w:val="19"/>
          <w:szCs w:val="19"/>
          <w:u w:val="single" w:color="auto"/>
          <w:color w:val="auto"/>
        </w:rPr>
        <w:t>Exculpatory Provisions</w:t>
      </w:r>
      <w:r>
        <w:rPr>
          <w:rFonts w:ascii="Arial" w:cs="Arial" w:eastAsia="Arial" w:hAnsi="Arial"/>
          <w:sz w:val="19"/>
          <w:szCs w:val="19"/>
          <w:color w:val="auto"/>
        </w:rPr>
        <w:t>. The Administrative Agent shall not have any duties or obligations except those expressly set forth in the Loan Documents. Without limiting the generality of the foregoing:</w:t>
      </w:r>
    </w:p>
    <w:p>
      <w:pPr>
        <w:spacing w:after="0" w:line="159" w:lineRule="exact"/>
        <w:rPr>
          <w:sz w:val="20"/>
          <w:szCs w:val="20"/>
          <w:color w:val="auto"/>
        </w:rPr>
      </w:pPr>
    </w:p>
    <w:p>
      <w:pPr>
        <w:jc w:val="both"/>
        <w:ind w:left="100" w:right="59" w:firstLine="742"/>
        <w:spacing w:after="0" w:line="278" w:lineRule="auto"/>
        <w:tabs>
          <w:tab w:leader="none" w:pos="152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the Administrative Agent shall not be subject to any fiduciary or other implied duties, regardless of whether a Default or Event of Default exists, and the use of the term “agent” herein and in the other Loan Documents with reference to the Administrative Agent is not intended to connote any fiduciary or other implied (or express) obligations arising under agency doctrine of any applicable Requirements of Law; it being understood that such term is used merely as a matter of market custom, and is intended to create or reflect only an administrative relationship between independent contracting parties;</w:t>
      </w:r>
    </w:p>
    <w:p>
      <w:pPr>
        <w:spacing w:after="0" w:line="163" w:lineRule="exact"/>
        <w:rPr>
          <w:rFonts w:ascii="Arial" w:cs="Arial" w:eastAsia="Arial" w:hAnsi="Arial"/>
          <w:sz w:val="17"/>
          <w:szCs w:val="17"/>
          <w:color w:val="auto"/>
        </w:rPr>
      </w:pPr>
    </w:p>
    <w:p>
      <w:pPr>
        <w:jc w:val="both"/>
        <w:ind w:left="100" w:right="59" w:firstLine="741"/>
        <w:spacing w:after="0" w:line="243" w:lineRule="auto"/>
        <w:tabs>
          <w:tab w:leader="none" w:pos="1519" w:val="left"/>
        </w:tabs>
        <w:numPr>
          <w:ilvl w:val="0"/>
          <w:numId w:val="293"/>
        </w:numPr>
        <w:rPr>
          <w:rFonts w:ascii="Arial" w:cs="Arial" w:eastAsia="Arial" w:hAnsi="Arial"/>
          <w:sz w:val="19"/>
          <w:szCs w:val="19"/>
          <w:color w:val="auto"/>
        </w:rPr>
      </w:pPr>
      <w:r>
        <w:rPr>
          <w:rFonts w:ascii="Arial" w:cs="Arial" w:eastAsia="Arial" w:hAnsi="Arial"/>
          <w:sz w:val="19"/>
          <w:szCs w:val="19"/>
          <w:color w:val="auto"/>
        </w:rPr>
        <w:t xml:space="preserve">the Administrative Agent shall not have any duty to take any discretionary action or exercise any discretionary power, except discretionary rights and powers that are expressly contemplated by the Loan Documents and which the Administrative Agent is required to exercise in writing as directed by the Required Lenders or Required Revolving Lenders (or such other number or percentage of the Lenders as shall be necessary under the relevant circumstances as provided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9.02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the Administrative Agent shall not be required to take any such action that, in its opinion or the opinion of its counsel, may expose the Administrative Agent to liability or that is contrary to any Loan Document or applicable Requirements of Law;</w:t>
      </w:r>
    </w:p>
    <w:p>
      <w:pPr>
        <w:spacing w:after="0" w:line="192" w:lineRule="exact"/>
        <w:rPr>
          <w:rFonts w:ascii="Arial" w:cs="Arial" w:eastAsia="Arial" w:hAnsi="Arial"/>
          <w:sz w:val="19"/>
          <w:szCs w:val="19"/>
          <w:color w:val="auto"/>
        </w:rPr>
      </w:pPr>
    </w:p>
    <w:p>
      <w:pPr>
        <w:jc w:val="both"/>
        <w:ind w:left="100" w:right="19" w:firstLine="742"/>
        <w:spacing w:after="0" w:line="256" w:lineRule="auto"/>
        <w:tabs>
          <w:tab w:leader="none" w:pos="152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except as expressly set forth in the Loan Documents, the Administrative Agent shall not have any duty or responsibility to disclose, and shall not be liable for the failure to disclose to any Lender or Issuing Bank, any credit or other information concerning the business, prospects, operations, property, financial and other condition or creditworthiness of any of the Loan Parties or any of their Affiliates or relating to Holdings, the Borrower or any of its Restricted Subsidiaries that is communicated to or obtained by or in the possession of any Person serving as Administrative Agent, an Arranger or any of their respective Affiliates and Related Parties in any capacity, except for notices, reports and other documents expressly required to be furnished to the Lenders by the Administrative Agent herein; it being understood that the Administrative Agent shall not be liable to the Lenders or any other Secured Party for any action taken or not taken by it with the consent or at the request of the Required Lenders or Required Revolving Lenders (or such other number or percentage of the Lenders as is necessary, or as the Administrative Agent believes in good faith shall be necessary, under the relevant circumstances as provided in </w:t>
      </w:r>
      <w:r>
        <w:rPr>
          <w:rFonts w:ascii="Arial" w:cs="Arial" w:eastAsia="Arial" w:hAnsi="Arial"/>
          <w:sz w:val="18"/>
          <w:szCs w:val="18"/>
          <w:u w:val="single" w:color="auto"/>
          <w:color w:val="auto"/>
        </w:rPr>
        <w:t>Section 9.02</w:t>
      </w:r>
      <w:r>
        <w:rPr>
          <w:rFonts w:ascii="Arial" w:cs="Arial" w:eastAsia="Arial" w:hAnsi="Arial"/>
          <w:sz w:val="18"/>
          <w:szCs w:val="18"/>
          <w:color w:val="auto"/>
        </w:rPr>
        <w:t>) or in the absence of its own gross negligence or willful misconduct, as determined by the final judgment of a court of competent jurisdiction, in connection with its duties expressly set forth herein; and</w:t>
      </w:r>
    </w:p>
    <w:p>
      <w:pPr>
        <w:spacing w:after="0" w:line="199" w:lineRule="exact"/>
        <w:rPr>
          <w:rFonts w:ascii="Arial" w:cs="Arial" w:eastAsia="Arial" w:hAnsi="Arial"/>
          <w:sz w:val="18"/>
          <w:szCs w:val="18"/>
          <w:color w:val="auto"/>
        </w:rPr>
      </w:pPr>
    </w:p>
    <w:p>
      <w:pPr>
        <w:jc w:val="both"/>
        <w:ind w:left="100" w:right="19" w:firstLine="741"/>
        <w:spacing w:after="0" w:line="254" w:lineRule="auto"/>
        <w:tabs>
          <w:tab w:leader="none" w:pos="152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the Administrative Agent shall not be deemed to have knowledge of any Default or Event of Default unless and until written notice thereof is given to the Administrative Agent by the Borrower or any Lender and such written notice is clearly identified as a “notice of default”, and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covenant, agreement or other term or condition set forth in any Loan Document or the occurrence of any Default or Event of Default, (iv) the validity, enforceability, effectiveness or genuineness of any Loan Document or any other agreement, instrument or document, (v) the creation, perfection or priority of any Lien on the Collateral or the existence, value or sufficiency of the Collateral or to assure that the Liens granted to the Administrative Agent pursuant to any Loan Document have been or will continue to be properly or sufficiently or lawfully created, perfected or enforced or are entitled to any particular priority, (vi) the satisfaction of any condition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or elsewhere in any Loan Document, other than to confirm receipt of items expressly required to be delivered to the Administrative Agent or (vii) any property, book or record of any Loan Party or any Affiliate thereof.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167</w:t>
      </w:r>
      <w:r>
        <w:rPr>
          <w:rFonts w:ascii="Arial" w:cs="Arial" w:eastAsia="Arial" w:hAnsi="Arial"/>
          <w:sz w:val="18"/>
          <w:szCs w:val="18"/>
          <w:u w:val="single" w:color="auto"/>
          <w:color w:val="0000FF"/>
          <w:strike w:val="1"/>
        </w:rPr>
        <w:t>167</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35" w:name="page236"/>
    <w:bookmarkEnd w:id="235"/>
    <w:p>
      <w:pPr>
        <w:ind w:left="100" w:right="40" w:firstLine="749"/>
        <w:spacing w:after="0" w:line="289"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Exclusive Right to Enforce Rights and Remedies</w:t>
      </w:r>
      <w:r>
        <w:rPr>
          <w:rFonts w:ascii="Arial" w:cs="Arial" w:eastAsia="Arial" w:hAnsi="Arial"/>
          <w:sz w:val="18"/>
          <w:szCs w:val="18"/>
          <w:color w:val="auto"/>
        </w:rPr>
        <w:t>. Notwithstanding anything to the contrary contained herein or in any of the other Loan Documents, the Borrower, the Administrative Agent and each Secured Party agree that:</w:t>
      </w:r>
    </w:p>
    <w:p>
      <w:pPr>
        <w:spacing w:after="0" w:line="136" w:lineRule="exact"/>
        <w:rPr>
          <w:sz w:val="20"/>
          <w:szCs w:val="20"/>
          <w:color w:val="auto"/>
        </w:rPr>
      </w:pPr>
    </w:p>
    <w:p>
      <w:pPr>
        <w:jc w:val="both"/>
        <w:ind w:left="100" w:firstLine="742"/>
        <w:spacing w:after="0" w:line="254" w:lineRule="auto"/>
        <w:tabs>
          <w:tab w:leader="none" w:pos="1523"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 no Secured Party shall have any right individually to realize upon any of the Collateral or to enforce the provisions of any Loan Document, including this Agreement, the Security Agreement and/or the Loan Guaranty; it being understood that any right to enforce any such provision (including to realize upon the Collateral or enforce any Loan Guaranty) against any Loan Party pursuant hereto or pursuant to any other Loan Document may be exercised solely by the Administrative Agent on behalf of the Secured Parties in accordance with the terms hereof or thereof, (ii) each Lender, each Issuing Bank, the Swingline Lender and/or each counterparty to a Hedge Agreement and/or any agreement governing any Banking Services Obligation that is a Secured Party, in each case in their respective capacities as such, waives its right to commence any action, suit or litigation against any Loan Party in connection with the Loan Documents without the consent of the Required Lenders and (iii) in the event of a foreclosure by the Administrative Agent on any of the Collateral pursuant to a public or private sale or in the event of any other Disposition (including pursuant to Section 363 of the Bankruptcy Code), (A) the Administrative Agent, as agent for and representative of the Secured Parties, shall be entitled, for the purpose of bidding and making settlement or payment of the purchase price for all or any portion of the Collateral sold at any such sale, to use and apply all or any portion of the Obligations as a credit on account of the purchase price for any Collateral payable by the Administrative Agent at such sale or other Disposition and (B) the Administrative Agent or any Lender may be the purchaser or licensor of all or any portion of such Collateral at any such Disposition;</w:t>
      </w:r>
    </w:p>
    <w:p>
      <w:pPr>
        <w:spacing w:after="0" w:line="183" w:lineRule="exact"/>
        <w:rPr>
          <w:rFonts w:ascii="Arial" w:cs="Arial" w:eastAsia="Arial" w:hAnsi="Arial"/>
          <w:sz w:val="18"/>
          <w:szCs w:val="18"/>
          <w:color w:val="auto"/>
        </w:rPr>
      </w:pPr>
    </w:p>
    <w:p>
      <w:pPr>
        <w:jc w:val="both"/>
        <w:ind w:left="100" w:right="60" w:firstLine="741"/>
        <w:spacing w:after="0" w:line="249" w:lineRule="auto"/>
        <w:tabs>
          <w:tab w:leader="none" w:pos="1520" w:val="left"/>
        </w:tabs>
        <w:numPr>
          <w:ilvl w:val="0"/>
          <w:numId w:val="294"/>
        </w:numPr>
        <w:rPr>
          <w:rFonts w:ascii="Arial" w:cs="Arial" w:eastAsia="Arial" w:hAnsi="Arial"/>
          <w:sz w:val="19"/>
          <w:szCs w:val="19"/>
          <w:color w:val="auto"/>
        </w:rPr>
      </w:pPr>
      <w:r>
        <w:rPr>
          <w:rFonts w:ascii="Arial" w:cs="Arial" w:eastAsia="Arial" w:hAnsi="Arial"/>
          <w:sz w:val="19"/>
          <w:szCs w:val="19"/>
          <w:color w:val="auto"/>
        </w:rPr>
        <w:t>no holder of any Secured Hedging Obligation or Banking Services Obligation in its respective capacity as such shall have any rights in connection with the management or release of any Collateral or of the obligations of any Loan Party under this Agreement; and</w:t>
      </w:r>
    </w:p>
    <w:p>
      <w:pPr>
        <w:spacing w:after="0" w:line="183" w:lineRule="exact"/>
        <w:rPr>
          <w:rFonts w:ascii="Arial" w:cs="Arial" w:eastAsia="Arial" w:hAnsi="Arial"/>
          <w:sz w:val="19"/>
          <w:szCs w:val="19"/>
          <w:color w:val="auto"/>
        </w:rPr>
      </w:pPr>
    </w:p>
    <w:p>
      <w:pPr>
        <w:ind w:left="100" w:right="60" w:firstLine="742"/>
        <w:spacing w:after="0" w:line="304" w:lineRule="auto"/>
        <w:tabs>
          <w:tab w:leader="none" w:pos="15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each Secured Party agrees that the Administrative Agent may in its sole discretion, but is under no obligation to credit bid any part of the Secured Obligations or to purchase or retain or acquire any portion of the Collateral.</w:t>
      </w:r>
    </w:p>
    <w:p>
      <w:pPr>
        <w:spacing w:after="0" w:line="137" w:lineRule="exact"/>
        <w:rPr>
          <w:sz w:val="20"/>
          <w:szCs w:val="20"/>
          <w:color w:val="auto"/>
        </w:rPr>
      </w:pPr>
    </w:p>
    <w:p>
      <w:pPr>
        <w:jc w:val="both"/>
        <w:ind w:left="100" w:right="20" w:firstLine="749"/>
        <w:spacing w:after="0" w:line="242"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Reliance by Administrative Agent</w:t>
      </w:r>
      <w:r>
        <w:rPr>
          <w:rFonts w:ascii="Arial" w:cs="Arial" w:eastAsia="Arial" w:hAnsi="Arial"/>
          <w:sz w:val="18"/>
          <w:szCs w:val="18"/>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that it believes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applicable Issuing Bank, the Administrative Agent may presume that such condition is satisfactory to such Lender unless the Administrative Agent has received notice to the contrary from such Lender or Issuing Bank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2" w:lineRule="exact"/>
        <w:rPr>
          <w:sz w:val="20"/>
          <w:szCs w:val="20"/>
          <w:color w:val="auto"/>
        </w:rPr>
      </w:pPr>
    </w:p>
    <w:p>
      <w:pPr>
        <w:jc w:val="both"/>
        <w:ind w:left="100" w:right="20" w:firstLine="749"/>
        <w:spacing w:after="0" w:line="270" w:lineRule="auto"/>
        <w:rPr>
          <w:sz w:val="20"/>
          <w:szCs w:val="20"/>
          <w:color w:val="auto"/>
        </w:rPr>
      </w:pPr>
      <w:r>
        <w:rPr>
          <w:rFonts w:ascii="Arial" w:cs="Arial" w:eastAsia="Arial" w:hAnsi="Arial"/>
          <w:sz w:val="17"/>
          <w:szCs w:val="17"/>
          <w:color w:val="auto"/>
        </w:rPr>
        <w:t xml:space="preserve">Section 8.06.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The Administrative Agent may perform any and all of its duties and exercise its rights and powers by or through any one or more sub-agents appointed by it, or any of its Affiliates (in each case, other than any Disqualified Institution). The Administrative Agent and any such sub-agent or Affiliate may perform any and all of their respective duties and exercise their respective rights and powers through their respective Related Parties. The exculpatory provisions of this Article shall apply to any such sub-agent, Affiliate and to the Related Parties of the Administrative Agent and any such sub-agent 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168</w:t>
      </w:r>
      <w:r>
        <w:rPr>
          <w:rFonts w:ascii="Arial" w:cs="Arial" w:eastAsia="Arial" w:hAnsi="Arial"/>
          <w:sz w:val="18"/>
          <w:szCs w:val="18"/>
          <w:u w:val="single" w:color="auto"/>
          <w:color w:val="0000FF"/>
          <w:strike w:val="1"/>
        </w:rPr>
        <w:t>168</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85" w:right="1439" w:bottom="1440" w:gutter="0" w:footer="0" w:header="0"/>
        </w:sectPr>
      </w:pPr>
    </w:p>
    <w:bookmarkStart w:id="236" w:name="page237"/>
    <w:bookmarkEnd w:id="236"/>
    <w:p>
      <w:pPr>
        <w:ind w:left="100" w:right="259"/>
        <w:spacing w:after="0" w:line="261" w:lineRule="auto"/>
        <w:rPr>
          <w:sz w:val="20"/>
          <w:szCs w:val="20"/>
          <w:color w:val="auto"/>
        </w:rPr>
      </w:pPr>
      <w:r>
        <w:rPr>
          <w:rFonts w:ascii="Arial" w:cs="Arial" w:eastAsia="Arial" w:hAnsi="Arial"/>
          <w:sz w:val="19"/>
          <w:szCs w:val="19"/>
          <w:color w:val="auto"/>
        </w:rPr>
        <w:t>Affiliate and shall apply to their respective activities in connection with the syndication of the credit facilities provided for herein as well as activities as the Administrative Agent.</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8.07.  </w:t>
      </w:r>
      <w:r>
        <w:rPr>
          <w:rFonts w:ascii="Arial" w:cs="Arial" w:eastAsia="Arial" w:hAnsi="Arial"/>
          <w:sz w:val="19"/>
          <w:szCs w:val="19"/>
          <w:u w:val="single" w:color="auto"/>
          <w:color w:val="auto"/>
        </w:rPr>
        <w:t>Successor Administrative Agent</w:t>
      </w:r>
      <w:r>
        <w:rPr>
          <w:rFonts w:ascii="Arial" w:cs="Arial" w:eastAsia="Arial" w:hAnsi="Arial"/>
          <w:sz w:val="19"/>
          <w:szCs w:val="19"/>
          <w:color w:val="auto"/>
        </w:rPr>
        <w:t>.</w:t>
      </w:r>
    </w:p>
    <w:p>
      <w:pPr>
        <w:spacing w:after="0" w:line="200" w:lineRule="exact"/>
        <w:rPr>
          <w:sz w:val="20"/>
          <w:szCs w:val="20"/>
          <w:color w:val="auto"/>
        </w:rPr>
      </w:pPr>
    </w:p>
    <w:p>
      <w:pPr>
        <w:jc w:val="both"/>
        <w:ind w:left="100" w:right="39" w:firstLine="741"/>
        <w:spacing w:after="0" w:line="270" w:lineRule="auto"/>
        <w:tabs>
          <w:tab w:leader="none" w:pos="1521" w:val="left"/>
        </w:tabs>
        <w:numPr>
          <w:ilvl w:val="0"/>
          <w:numId w:val="295"/>
        </w:numPr>
        <w:rPr>
          <w:rFonts w:ascii="Arial" w:cs="Arial" w:eastAsia="Arial" w:hAnsi="Arial"/>
          <w:sz w:val="17"/>
          <w:szCs w:val="17"/>
          <w:color w:val="auto"/>
        </w:rPr>
      </w:pPr>
      <w:r>
        <w:rPr>
          <w:rFonts w:ascii="Arial" w:cs="Arial" w:eastAsia="Arial" w:hAnsi="Arial"/>
          <w:sz w:val="17"/>
          <w:szCs w:val="17"/>
          <w:color w:val="auto"/>
        </w:rPr>
        <w:t xml:space="preserve">The Administrative Agent may resign at any time by giving 30 days’ prior written notice to the Lenders, the Issuing Banks and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 successor agent is appointed in accordance with the terms set forth below within such 30-day period, the Administrative Agent’s resignation shall not be effective until the earlier to occur of (i) the date of the appointment of the successor agent (and acceptance thereof by such successor Administrative Agent) or (ii) the date that is specified in such notice (which shall be no earlier than 30 days after the date thereof) (or such later date as the resigning Administrative Agent may agree). The retiring Agent shall be automatically and unconditionally discharged from its duties and obligations hereunder and under the other Loan Documents (other than any duty or obligation under </w:t>
      </w:r>
      <w:r>
        <w:rPr>
          <w:rFonts w:ascii="Arial" w:cs="Arial" w:eastAsia="Arial" w:hAnsi="Arial"/>
          <w:sz w:val="17"/>
          <w:szCs w:val="17"/>
          <w:u w:val="single" w:color="auto"/>
          <w:color w:val="auto"/>
        </w:rPr>
        <w:t>Section 9.13</w:t>
      </w:r>
      <w:r>
        <w:rPr>
          <w:rFonts w:ascii="Arial" w:cs="Arial" w:eastAsia="Arial" w:hAnsi="Arial"/>
          <w:sz w:val="17"/>
          <w:szCs w:val="17"/>
          <w:color w:val="auto"/>
        </w:rPr>
        <w:t xml:space="preserve">) in its capacity as Issuing Bank and Swingline Lender. If the Administrative Agent is a Defaulting Lender or an Affiliate of a Defaulting Lender, either the Required Lenders or the Borrower may, upon ten days’ notice, remove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 successor agent is appointed in accordance with the terms set forth below within such 30-day period, the Administrative Agent’s removal shall, at the option of the Borrower, not be effective until the earlier to occur of (A) the date of the appointment of the successor agent or (B) the last day of such 30-day period (or such later date as the Borrower may agree). Upon receipt of any such notice of resignation or delivery of any such notice of removal, the Required Lenders shall have the right, with the consent of the Borrower (not to be unreasonably withheld or delayed), to appoint a successor Administrative Agent which shall be a commercial bank, trust company or other Person acceptable to the Borrower, in each case, with offices in the US having combined capital and surplus in excess of $1,000,000,000;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during the existence of an Event of Default under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or, with respect to the Borrower, </w:t>
      </w:r>
      <w:r>
        <w:rPr>
          <w:rFonts w:ascii="Arial" w:cs="Arial" w:eastAsia="Arial" w:hAnsi="Arial"/>
          <w:sz w:val="17"/>
          <w:szCs w:val="17"/>
          <w:u w:val="single" w:color="auto"/>
          <w:color w:val="auto"/>
        </w:rPr>
        <w:t>Sections 7.01(f)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(g)</w:t>
      </w:r>
      <w:r>
        <w:rPr>
          <w:rFonts w:ascii="Arial" w:cs="Arial" w:eastAsia="Arial" w:hAnsi="Arial"/>
          <w:sz w:val="17"/>
          <w:szCs w:val="17"/>
          <w:color w:val="auto"/>
        </w:rPr>
        <w:t>, no consent of the Borrower shall be required.</w:t>
      </w:r>
    </w:p>
    <w:p>
      <w:pPr>
        <w:spacing w:after="0" w:line="176" w:lineRule="exact"/>
        <w:rPr>
          <w:rFonts w:ascii="Arial" w:cs="Arial" w:eastAsia="Arial" w:hAnsi="Arial"/>
          <w:sz w:val="17"/>
          <w:szCs w:val="17"/>
          <w:color w:val="auto"/>
        </w:rPr>
      </w:pPr>
    </w:p>
    <w:p>
      <w:pPr>
        <w:jc w:val="both"/>
        <w:ind w:left="100" w:right="39" w:firstLine="742"/>
        <w:spacing w:after="0" w:line="268" w:lineRule="auto"/>
        <w:tabs>
          <w:tab w:leader="none" w:pos="1521" w:val="left"/>
        </w:tabs>
        <w:numPr>
          <w:ilvl w:val="0"/>
          <w:numId w:val="295"/>
        </w:numPr>
        <w:rPr>
          <w:rFonts w:ascii="Arial" w:cs="Arial" w:eastAsia="Arial" w:hAnsi="Arial"/>
          <w:sz w:val="17"/>
          <w:szCs w:val="17"/>
          <w:color w:val="auto"/>
        </w:rPr>
      </w:pPr>
      <w:r>
        <w:rPr>
          <w:rFonts w:ascii="Arial" w:cs="Arial" w:eastAsia="Arial" w:hAnsi="Arial"/>
          <w:sz w:val="17"/>
          <w:szCs w:val="17"/>
          <w:color w:val="auto"/>
        </w:rPr>
        <w:t xml:space="preserve">If no successor has been appointed as provided above and accepted such appointment within 30 days after the resigning Administrative Agent gives notice of its resignation or the Administrative Agent receives notice of removal (or such later date as the resigning Administrative Agent may agree), then (i) in the case of a resignation, the resigning Administrative Agent may (but shall not be obligated to), on behalf of the Lenders and the Issuing Banks, appoint a successor Administrative Agent meeting the qualifications set forth above (including, for the avoidance of doubt, the consent of the Borrower) or (ii) in the case of a removal, the Borrower may, after consulting with the Required Lenders, appoint a successor Administrative Agent meeting the qualifications set forth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in the case of a resignation, if the Administrative Agent notifies the Borrower, the Lenders and the Issuing Banks that no qualifying Person has accepted such appointment or (B) in the case of a removal, the Borrower notifies the Required Lenders that no qualifying Person has accepted such appointment, then, in each case, such resignation or removal shall nonetheless become effective in accordance with the provisos to the first two sentences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8.07(a)</w:t>
      </w:r>
      <w:r>
        <w:rPr>
          <w:rFonts w:ascii="Arial" w:cs="Arial" w:eastAsia="Arial" w:hAnsi="Arial"/>
          <w:sz w:val="17"/>
          <w:szCs w:val="17"/>
          <w:color w:val="auto"/>
        </w:rPr>
        <w:t xml:space="preserve">, as applicable (unless the resigning Administrative Agent has agreed in its sole discretion to extend the effectiveness of its resignation) and (1) the resigning or removed Administrative Agent shall be discharged from its duties and obligations hereunder and under the other Loan Documents (except that in the case of any collateral security held by the Administrative Agent in its capacity as collateral agent for the Secured Parties for purposes of maintaining the perfection of the Lien on the Collateral securing the Secured Obligations, the resigning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required to be made by, to or through the Administrative Agent shall instead be made by or to each Lender and each Issuing Bank directly (and each Lender and each Issuing Bank will cooperate with the Borrower to enable the Borrower to take such actions), until such time as the Required Lenders or the Borrower, as applicable, appoint a successor Administrative Agent, as provided above in this </w:t>
      </w:r>
      <w:r>
        <w:rPr>
          <w:rFonts w:ascii="Arial" w:cs="Arial" w:eastAsia="Arial" w:hAnsi="Arial"/>
          <w:sz w:val="17"/>
          <w:szCs w:val="17"/>
          <w:u w:val="single" w:color="auto"/>
          <w:color w:val="auto"/>
        </w:rPr>
        <w:t>Article 8</w:t>
      </w:r>
      <w:r>
        <w:rPr>
          <w:rFonts w:ascii="Arial" w:cs="Arial" w:eastAsia="Arial" w:hAnsi="Arial"/>
          <w:sz w:val="17"/>
          <w:szCs w:val="17"/>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169</w:t>
      </w:r>
      <w:r>
        <w:rPr>
          <w:rFonts w:ascii="Arial" w:cs="Arial" w:eastAsia="Arial" w:hAnsi="Arial"/>
          <w:sz w:val="18"/>
          <w:szCs w:val="18"/>
          <w:u w:val="single" w:color="auto"/>
          <w:color w:val="0000FF"/>
          <w:strike w:val="1"/>
        </w:rPr>
        <w:t>169</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37" w:name="page238"/>
    <w:bookmarkEnd w:id="237"/>
    <w:p>
      <w:pPr>
        <w:jc w:val="both"/>
        <w:ind w:left="100" w:right="59" w:firstLine="741"/>
        <w:spacing w:after="0" w:line="245" w:lineRule="auto"/>
        <w:tabs>
          <w:tab w:leader="none" w:pos="1520" w:val="left"/>
        </w:tabs>
        <w:numPr>
          <w:ilvl w:val="0"/>
          <w:numId w:val="296"/>
        </w:numPr>
        <w:rPr>
          <w:rFonts w:ascii="Arial" w:cs="Arial" w:eastAsia="Arial" w:hAnsi="Arial"/>
          <w:sz w:val="19"/>
          <w:szCs w:val="19"/>
          <w:color w:val="auto"/>
        </w:rPr>
      </w:pPr>
      <w:r>
        <w:rPr>
          <w:rFonts w:ascii="Arial" w:cs="Arial" w:eastAsia="Arial" w:hAnsi="Arial"/>
          <w:sz w:val="19"/>
          <w:szCs w:val="19"/>
          <w:color w:val="auto"/>
        </w:rPr>
        <w:t xml:space="preserve">Upon the acceptance of its appointment as Administrative Agent hereunder as a successor Administrative Agent, the successor Administrative Agent shall succeed to and become vested with all the rights, powers, privileges and duties of the resigning or removed Administrative Agent (other than any rights to indemnity payments owed to the resigning Administrative Agent), and the resigning or removed Administrative Agent shall be discharged from its duties and obligations hereunder (if not already discharged therefrom as expressly provided above in this </w:t>
      </w:r>
      <w:r>
        <w:rPr>
          <w:rFonts w:ascii="Arial" w:cs="Arial" w:eastAsia="Arial" w:hAnsi="Arial"/>
          <w:sz w:val="19"/>
          <w:szCs w:val="19"/>
          <w:u w:val="single" w:color="auto"/>
          <w:color w:val="auto"/>
        </w:rPr>
        <w:t>Section 8.07</w:t>
      </w:r>
      <w:r>
        <w:rPr>
          <w:rFonts w:ascii="Arial" w:cs="Arial" w:eastAsia="Arial" w:hAnsi="Arial"/>
          <w:sz w:val="19"/>
          <w:szCs w:val="19"/>
          <w:color w:val="auto"/>
        </w:rPr>
        <w:t xml:space="preserve">) (other than its obligations under </w:t>
      </w:r>
      <w:r>
        <w:rPr>
          <w:rFonts w:ascii="Arial" w:cs="Arial" w:eastAsia="Arial" w:hAnsi="Arial"/>
          <w:sz w:val="19"/>
          <w:szCs w:val="19"/>
          <w:u w:val="single" w:color="auto"/>
          <w:color w:val="auto"/>
        </w:rPr>
        <w:t>Section 9.13</w:t>
      </w:r>
      <w:r>
        <w:rPr>
          <w:rFonts w:ascii="Arial" w:cs="Arial" w:eastAsia="Arial" w:hAnsi="Arial"/>
          <w:sz w:val="19"/>
          <w:szCs w:val="19"/>
          <w:color w:val="auto"/>
        </w:rPr>
        <w:t xml:space="preserve"> hereof).</w:t>
      </w:r>
    </w:p>
    <w:p>
      <w:pPr>
        <w:spacing w:after="0" w:line="187" w:lineRule="exact"/>
        <w:rPr>
          <w:rFonts w:ascii="Arial" w:cs="Arial" w:eastAsia="Arial" w:hAnsi="Arial"/>
          <w:sz w:val="19"/>
          <w:szCs w:val="19"/>
          <w:color w:val="auto"/>
        </w:rPr>
      </w:pPr>
    </w:p>
    <w:p>
      <w:pPr>
        <w:ind w:left="100" w:right="59" w:firstLine="742"/>
        <w:spacing w:after="0" w:line="320" w:lineRule="auto"/>
        <w:tabs>
          <w:tab w:leader="none" w:pos="152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The fees payable by the Borrower to any successor Administrative Agent shall not be greater than those payable to its predecessor unless otherwise expressly agreed in writing between the Borrower and such successor Administrative Agent.</w:t>
      </w:r>
    </w:p>
    <w:p>
      <w:pPr>
        <w:spacing w:after="0" w:line="126" w:lineRule="exact"/>
        <w:rPr>
          <w:rFonts w:ascii="Arial" w:cs="Arial" w:eastAsia="Arial" w:hAnsi="Arial"/>
          <w:sz w:val="17"/>
          <w:szCs w:val="17"/>
          <w:color w:val="auto"/>
        </w:rPr>
      </w:pPr>
    </w:p>
    <w:p>
      <w:pPr>
        <w:jc w:val="both"/>
        <w:ind w:left="100" w:right="39" w:firstLine="742"/>
        <w:spacing w:after="0" w:line="259" w:lineRule="auto"/>
        <w:tabs>
          <w:tab w:leader="none" w:pos="152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After the Administrative Agent’s resignation or removal hereunder, the provisions of this Article and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9.03</w:t>
      </w:r>
      <w:r>
        <w:rPr>
          <w:rFonts w:ascii="Arial" w:cs="Arial" w:eastAsia="Arial" w:hAnsi="Arial"/>
          <w:sz w:val="18"/>
          <w:szCs w:val="18"/>
          <w:color w:val="auto"/>
        </w:rPr>
        <w:t xml:space="preserve"> shall continue in effect for the benefit of such resigning or removed Administrative Agent, its sub-agents and their respective Related Parties in respect of any action taken or omitted to be taken by any of them (i) while the relevant Person was acting as Administrative Agent (including for this purpose holding any collateral security following the resignation or removal of the Administrative Agent) and (ii) after such resignation or removal, solely to the extent that such outgoing Administrative Agent (x) continues to act as collateral agent or otherwise holds any collateral security on behalf of the Lenders or (y) takes any actions in connection with transferring the agency to any successor Administrative Agent.</w:t>
      </w:r>
    </w:p>
    <w:p>
      <w:pPr>
        <w:spacing w:after="0" w:line="177" w:lineRule="exact"/>
        <w:rPr>
          <w:rFonts w:ascii="Arial" w:cs="Arial" w:eastAsia="Arial" w:hAnsi="Arial"/>
          <w:sz w:val="18"/>
          <w:szCs w:val="18"/>
          <w:color w:val="auto"/>
        </w:rPr>
      </w:pPr>
    </w:p>
    <w:p>
      <w:pPr>
        <w:ind w:left="100" w:right="59" w:firstLine="741"/>
        <w:spacing w:after="0" w:line="261" w:lineRule="auto"/>
        <w:tabs>
          <w:tab w:leader="none" w:pos="1520" w:val="left"/>
        </w:tabs>
        <w:numPr>
          <w:ilvl w:val="0"/>
          <w:numId w:val="296"/>
        </w:numPr>
        <w:rPr>
          <w:rFonts w:ascii="Arial" w:cs="Arial" w:eastAsia="Arial" w:hAnsi="Arial"/>
          <w:sz w:val="19"/>
          <w:szCs w:val="19"/>
          <w:color w:val="auto"/>
        </w:rPr>
      </w:pPr>
      <w:r>
        <w:rPr>
          <w:rFonts w:ascii="Arial" w:cs="Arial" w:eastAsia="Arial" w:hAnsi="Arial"/>
          <w:sz w:val="19"/>
          <w:szCs w:val="19"/>
          <w:color w:val="auto"/>
        </w:rPr>
        <w:t>Notwithstanding anything to the contrary herein, no Disqualified Institution (nor any Affiliate thereof) may be appointed as a successor Administrative Agent.</w:t>
      </w:r>
    </w:p>
    <w:p>
      <w:pPr>
        <w:spacing w:after="0" w:line="173" w:lineRule="exact"/>
        <w:rPr>
          <w:sz w:val="20"/>
          <w:szCs w:val="20"/>
          <w:color w:val="auto"/>
        </w:rPr>
      </w:pPr>
    </w:p>
    <w:p>
      <w:pPr>
        <w:jc w:val="both"/>
        <w:ind w:left="100" w:right="19" w:firstLine="749"/>
        <w:spacing w:after="0" w:line="256" w:lineRule="auto"/>
        <w:rPr>
          <w:sz w:val="20"/>
          <w:szCs w:val="20"/>
          <w:color w:val="auto"/>
        </w:rPr>
      </w:pPr>
      <w:r>
        <w:rPr>
          <w:rFonts w:ascii="Arial" w:cs="Arial" w:eastAsia="Arial" w:hAnsi="Arial"/>
          <w:sz w:val="17"/>
          <w:szCs w:val="17"/>
          <w:color w:val="auto"/>
        </w:rPr>
        <w:t xml:space="preserve">Section 8.08. </w:t>
      </w:r>
      <w:r>
        <w:rPr>
          <w:rFonts w:ascii="Arial" w:cs="Arial" w:eastAsia="Arial" w:hAnsi="Arial"/>
          <w:sz w:val="17"/>
          <w:szCs w:val="17"/>
          <w:u w:val="single" w:color="auto"/>
          <w:color w:val="auto"/>
        </w:rPr>
        <w:t>Non-Reliance on Administrative Agent, the Arrangers or the Other Lenders</w:t>
      </w:r>
      <w:r>
        <w:rPr>
          <w:rFonts w:ascii="Arial" w:cs="Arial" w:eastAsia="Arial" w:hAnsi="Arial"/>
          <w:sz w:val="17"/>
          <w:szCs w:val="17"/>
          <w:color w:val="auto"/>
        </w:rPr>
        <w:t>. Each of each Lender and each Issuing Bank represents and warrants and acknowledges that it has, independently and without reliance upon the Administrative Agent, the Arrangers or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extend credit to the Borrower hereunder. Each of each Lender and each Issuing Bank expressly acknowledges that none of the Administrative Agent nor the Arrangers has made any representation or warranty to it, and that no act by the Administrative Agent or the Arrangers hereafter taken, including any consent to, and acceptance of any assignment or review of the affairs of any Loan Party of any Affiliate thereof, shall be deemed to constitute any representation or warranty by the Administrative Agent or any Arranger to any Lender or each Issuing Bank as to any matter, including whether the Administrative Agent or the Arrangers have disclosed material information in their (or their Related Parties’) possession Each of each Lender and each Issuing Bank also acknowledges that it will, independently and without reliance upon the Administrative Agent, the Arrangers or any other Lender or any of their respective Related Parties and based on such documents and information as it shall from time to time deem appropriate, continue to make its own credit analysis, appraisals and decisions in taking or not taking action under or based upon this Agreement, any other Loan Document or related agreement or any document furnished hereunder or thereunder. Except for notices, reports and other documents expressly required to be furnished to the Lenders and the Issuing Banks by the Administrative Agent herein, the Administrative Agent shall not have any duty or responsibility to provide any Lender or any Issuing Bank with any credit or other information concerning the business, prospects, operations, property, financial and other condition or creditworthiness of any of the Loan Parties or any of their respective Affiliates which may come into the possession of the Administrative Agent or any of its Related Parties.</w:t>
      </w:r>
    </w:p>
    <w:p>
      <w:pPr>
        <w:spacing w:after="0" w:line="171" w:lineRule="exact"/>
        <w:rPr>
          <w:sz w:val="20"/>
          <w:szCs w:val="20"/>
          <w:color w:val="auto"/>
        </w:rPr>
      </w:pPr>
    </w:p>
    <w:p>
      <w:pPr>
        <w:jc w:val="both"/>
        <w:ind w:left="100" w:right="59" w:firstLine="749"/>
        <w:spacing w:after="0" w:line="241" w:lineRule="auto"/>
        <w:rPr>
          <w:sz w:val="20"/>
          <w:szCs w:val="20"/>
          <w:color w:val="auto"/>
        </w:rPr>
      </w:pPr>
      <w:r>
        <w:rPr>
          <w:rFonts w:ascii="Arial" w:cs="Arial" w:eastAsia="Arial" w:hAnsi="Arial"/>
          <w:sz w:val="19"/>
          <w:szCs w:val="19"/>
          <w:color w:val="auto"/>
        </w:rPr>
        <w:t>Each Lender and each Issuing Bank represents and warrants that (i) the Loan Documents set forth the terms of a commercial lending facility and (ii) it is entering into this Agreement as a Lender or Issuing Bank for the purpose of making, acquiring or holding commercial loans and providing other facilities set forth</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170</w:t>
      </w:r>
      <w:r>
        <w:rPr>
          <w:rFonts w:ascii="Arial" w:cs="Arial" w:eastAsia="Arial" w:hAnsi="Arial"/>
          <w:sz w:val="18"/>
          <w:szCs w:val="18"/>
          <w:u w:val="single" w:color="auto"/>
          <w:color w:val="0000FF"/>
          <w:strike w:val="1"/>
        </w:rPr>
        <w:t>170</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38" w:name="page239"/>
    <w:bookmarkEnd w:id="238"/>
    <w:p>
      <w:pPr>
        <w:jc w:val="both"/>
        <w:ind w:left="100" w:right="60"/>
        <w:spacing w:after="0" w:line="232" w:lineRule="auto"/>
        <w:rPr>
          <w:sz w:val="20"/>
          <w:szCs w:val="20"/>
          <w:color w:val="auto"/>
        </w:rPr>
      </w:pPr>
      <w:r>
        <w:rPr>
          <w:rFonts w:ascii="Arial" w:cs="Arial" w:eastAsia="Arial" w:hAnsi="Arial"/>
          <w:sz w:val="19"/>
          <w:szCs w:val="19"/>
          <w:color w:val="auto"/>
        </w:rPr>
        <w:t>herein as may be applicable to such Lender or Issuing Bank, and not for the purpose of purchasing, acquiring or holding any other type of financial instrument, and each Lender and each Issuing Bank agrees not to assert a claim in contravention of the foregoing. Each Lender and each Issuing Bank represents and warrants that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82" w:lineRule="exact"/>
        <w:rPr>
          <w:sz w:val="20"/>
          <w:szCs w:val="20"/>
          <w:color w:val="auto"/>
        </w:rPr>
      </w:pPr>
    </w:p>
    <w:p>
      <w:pPr>
        <w:jc w:val="both"/>
        <w:ind w:left="100" w:right="60" w:firstLine="749"/>
        <w:spacing w:after="0" w:line="241" w:lineRule="auto"/>
        <w:rPr>
          <w:sz w:val="20"/>
          <w:szCs w:val="20"/>
          <w:color w:val="auto"/>
        </w:rPr>
      </w:pPr>
      <w:r>
        <w:rPr>
          <w:rFonts w:ascii="Arial" w:cs="Arial" w:eastAsia="Arial" w:hAnsi="Arial"/>
          <w:sz w:val="19"/>
          <w:szCs w:val="19"/>
          <w:color w:val="auto"/>
        </w:rPr>
        <w:t>Notwithstanding anything to the contrary herein, the Arrangers shall not have any right, power, obligation, liability, responsibility or duty under this Agreement, except in their respective capacities as the Administrative Agent, an Issuing Bank or a Lender hereunder, as applicable.</w:t>
      </w:r>
    </w:p>
    <w:p>
      <w:pPr>
        <w:spacing w:after="0" w:line="179" w:lineRule="exact"/>
        <w:rPr>
          <w:sz w:val="20"/>
          <w:szCs w:val="20"/>
          <w:color w:val="auto"/>
        </w:rPr>
      </w:pPr>
    </w:p>
    <w:p>
      <w:pPr>
        <w:jc w:val="both"/>
        <w:ind w:left="100" w:right="40" w:firstLine="749"/>
        <w:spacing w:after="0" w:line="261" w:lineRule="auto"/>
        <w:rPr>
          <w:sz w:val="20"/>
          <w:szCs w:val="20"/>
          <w:color w:val="auto"/>
        </w:rPr>
      </w:pPr>
      <w:r>
        <w:rPr>
          <w:rFonts w:ascii="Arial" w:cs="Arial" w:eastAsia="Arial" w:hAnsi="Arial"/>
          <w:sz w:val="19"/>
          <w:szCs w:val="19"/>
          <w:color w:val="auto"/>
        </w:rPr>
        <w:t xml:space="preserve">Section 8.09. </w:t>
      </w:r>
      <w:r>
        <w:rPr>
          <w:rFonts w:ascii="Arial" w:cs="Arial" w:eastAsia="Arial" w:hAnsi="Arial"/>
          <w:sz w:val="19"/>
          <w:szCs w:val="19"/>
          <w:u w:val="single" w:color="auto"/>
          <w:color w:val="auto"/>
        </w:rPr>
        <w:t>Collateral and Guaranty Matters</w:t>
      </w:r>
      <w:r>
        <w:rPr>
          <w:rFonts w:ascii="Arial" w:cs="Arial" w:eastAsia="Arial" w:hAnsi="Arial"/>
          <w:sz w:val="19"/>
          <w:szCs w:val="19"/>
          <w:color w:val="auto"/>
        </w:rPr>
        <w:t>. Each Lender and each other Secured Party irrevocably authorizes and instructs the Administrative Agent to, and the Administrative Agent shall:</w:t>
      </w:r>
    </w:p>
    <w:p>
      <w:pPr>
        <w:spacing w:after="0" w:line="159" w:lineRule="exact"/>
        <w:rPr>
          <w:sz w:val="20"/>
          <w:szCs w:val="20"/>
          <w:color w:val="auto"/>
        </w:rPr>
      </w:pPr>
    </w:p>
    <w:p>
      <w:pPr>
        <w:jc w:val="both"/>
        <w:ind w:left="100" w:right="60" w:firstLine="741"/>
        <w:spacing w:after="0" w:line="258" w:lineRule="auto"/>
        <w:tabs>
          <w:tab w:leader="none" w:pos="152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release (or evidence the release of) any Lien on any property granted to or held by the Administrative Agent under any Loan Document (i) upon the occurrence of the Termination Date, (ii) that is sold or otherwise Disposed of (or to be sold or otherwise Disposed of) as part of or in connection with any Disposition permitted under (or not restricted by) the Loan Documents (subject to the last paragraph of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(iii) that does not constitute (or ceases to constitute) Collateral (and/or otherwise becomes an Excluded Asset), (iv) if the property subject to such Lien is owned by a Subsidiary Guarantor, upon the release of such Subsidiary Guarantor from its Loan Guaranty otherwise in accordance with the Loan Documents, (v) as required under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below, (vi) pursuant to the provisions of any applicable Loan Document or (vii) if approved, authorized or ratified in writing by the Required Lenders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jc w:val="both"/>
        <w:ind w:left="100" w:firstLine="741"/>
        <w:spacing w:after="0" w:line="254" w:lineRule="auto"/>
        <w:tabs>
          <w:tab w:leader="none" w:pos="1523"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9.22</w:t>
      </w:r>
      <w:r>
        <w:rPr>
          <w:rFonts w:ascii="Arial" w:cs="Arial" w:eastAsia="Arial" w:hAnsi="Arial"/>
          <w:sz w:val="18"/>
          <w:szCs w:val="18"/>
          <w:color w:val="auto"/>
        </w:rPr>
        <w:t xml:space="preserve">, release (or evidence the release of) any Subsidiary Guarantor from its obligations under the Loan Guaranty (i) if such Person ceases to be a Restricted Subsidiary (or is or becomes an Excluded Subsidiary as a result of a single transaction or series of related transactions not prohibited hereunder), (ii) on the Termination Date and/or (iii) in the case of any Discretionary Guarantor, at the election of the Borrower, upon notice from the Borrower to the Administrative Agent 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Subsidiary Guarantor ceases to constitute a Wholly-Owned Subsidiary, such Subsidiary Guarantor shall not be released from its Loan Guaranty unless (A) such Subsidiary Guarantor is no longer a direct or indirect subsidiary of the Borrower, (B) after giving pro forma effect to such release and the consummation of the relevant transaction, the Borrower is deemed to have made a new Investment in such Person (as if such Person was then newly acquired) and such Investment is permitted by the Loan Documents or (C) such Dispositions of Capital Stock is a good faith Disposition to a bona fide unaffiliated third party (as determined by the Borrower in good faith) for fair market value and for a bona fide business purpose (as determined by the Borrower in good faith); it being understood that this proviso shall not limit the release of any Subsidiary Guarantor that otherwise constitutes an Excluded Subsidiary for any reason other than not constituting a Wholly-Owned Subsidiary of the Borrower (this proviso, the “</w:t>
      </w:r>
      <w:r>
        <w:rPr>
          <w:rFonts w:ascii="Arial" w:cs="Arial" w:eastAsia="Arial" w:hAnsi="Arial"/>
          <w:sz w:val="18"/>
          <w:szCs w:val="18"/>
          <w:u w:val="single" w:color="auto"/>
          <w:color w:val="auto"/>
        </w:rPr>
        <w:t>Specified Guarantor Release Provision</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100" w:right="60" w:firstLine="741"/>
        <w:spacing w:after="0" w:line="242" w:lineRule="auto"/>
        <w:tabs>
          <w:tab w:leader="none" w:pos="1520" w:val="left"/>
        </w:tabs>
        <w:numPr>
          <w:ilvl w:val="0"/>
          <w:numId w:val="297"/>
        </w:numPr>
        <w:rPr>
          <w:rFonts w:ascii="Arial" w:cs="Arial" w:eastAsia="Arial" w:hAnsi="Arial"/>
          <w:sz w:val="19"/>
          <w:szCs w:val="19"/>
          <w:color w:val="auto"/>
        </w:rPr>
      </w:pPr>
      <w:r>
        <w:rPr>
          <w:rFonts w:ascii="Arial" w:cs="Arial" w:eastAsia="Arial" w:hAnsi="Arial"/>
          <w:sz w:val="19"/>
          <w:szCs w:val="19"/>
          <w:color w:val="auto"/>
        </w:rPr>
        <w:t xml:space="preserve">subordinate any Lien on any property granted to or held by the Administrative Agent under any Loan Document to the holder of any Lien on such property that is permitted by </w:t>
      </w:r>
      <w:r>
        <w:rPr>
          <w:rFonts w:ascii="Arial" w:cs="Arial" w:eastAsia="Arial" w:hAnsi="Arial"/>
          <w:sz w:val="19"/>
          <w:szCs w:val="19"/>
          <w:u w:val="single" w:color="auto"/>
          <w:color w:val="auto"/>
        </w:rPr>
        <w:t>Sections 6.02(d)</w:t>
      </w:r>
      <w:r>
        <w:rPr>
          <w:rFonts w:ascii="Arial" w:cs="Arial" w:eastAsia="Arial" w:hAnsi="Arial"/>
          <w:sz w:val="19"/>
          <w:szCs w:val="19"/>
          <w:color w:val="auto"/>
        </w:rPr>
        <w:t xml:space="preserve">, </w:t>
      </w:r>
      <w:r>
        <w:rPr>
          <w:rFonts w:ascii="Arial" w:cs="Arial" w:eastAsia="Arial" w:hAnsi="Arial"/>
          <w:sz w:val="19"/>
          <w:szCs w:val="19"/>
          <w:u w:val="single" w:color="auto"/>
          <w:color w:val="auto"/>
        </w:rPr>
        <w:t>6.02(e)</w:t>
      </w:r>
      <w:r>
        <w:rPr>
          <w:rFonts w:ascii="Arial" w:cs="Arial" w:eastAsia="Arial" w:hAnsi="Arial"/>
          <w:sz w:val="19"/>
          <w:szCs w:val="19"/>
          <w:color w:val="auto"/>
        </w:rPr>
        <w:t xml:space="preserve">, </w:t>
      </w:r>
      <w:r>
        <w:rPr>
          <w:rFonts w:ascii="Arial" w:cs="Arial" w:eastAsia="Arial" w:hAnsi="Arial"/>
          <w:sz w:val="19"/>
          <w:szCs w:val="19"/>
          <w:u w:val="single" w:color="auto"/>
          <w:color w:val="auto"/>
        </w:rPr>
        <w:t>6.02(g)(i)</w:t>
      </w:r>
      <w:r>
        <w:rPr>
          <w:rFonts w:ascii="Arial" w:cs="Arial" w:eastAsia="Arial" w:hAnsi="Arial"/>
          <w:sz w:val="19"/>
          <w:szCs w:val="19"/>
          <w:color w:val="auto"/>
        </w:rPr>
        <w:t xml:space="preserve">, </w:t>
      </w:r>
      <w:r>
        <w:rPr>
          <w:rFonts w:ascii="Arial" w:cs="Arial" w:eastAsia="Arial" w:hAnsi="Arial"/>
          <w:sz w:val="19"/>
          <w:szCs w:val="19"/>
          <w:u w:val="single" w:color="auto"/>
          <w:color w:val="auto"/>
        </w:rPr>
        <w:t>6.02(l)</w:t>
      </w:r>
      <w:r>
        <w:rPr>
          <w:rFonts w:ascii="Arial" w:cs="Arial" w:eastAsia="Arial" w:hAnsi="Arial"/>
          <w:sz w:val="19"/>
          <w:szCs w:val="19"/>
          <w:color w:val="auto"/>
        </w:rPr>
        <w:t xml:space="preserve">, </w:t>
      </w:r>
      <w:r>
        <w:rPr>
          <w:rFonts w:ascii="Arial" w:cs="Arial" w:eastAsia="Arial" w:hAnsi="Arial"/>
          <w:sz w:val="19"/>
          <w:szCs w:val="19"/>
          <w:u w:val="single" w:color="auto"/>
          <w:color w:val="auto"/>
        </w:rPr>
        <w:t>6.02(m)</w:t>
      </w:r>
      <w:r>
        <w:rPr>
          <w:rFonts w:ascii="Arial" w:cs="Arial" w:eastAsia="Arial" w:hAnsi="Arial"/>
          <w:sz w:val="19"/>
          <w:szCs w:val="19"/>
          <w:color w:val="auto"/>
        </w:rPr>
        <w:t xml:space="preserve">, </w:t>
      </w:r>
      <w:r>
        <w:rPr>
          <w:rFonts w:ascii="Arial" w:cs="Arial" w:eastAsia="Arial" w:hAnsi="Arial"/>
          <w:sz w:val="19"/>
          <w:szCs w:val="19"/>
          <w:u w:val="single" w:color="auto"/>
          <w:color w:val="auto"/>
        </w:rPr>
        <w:t>6.02(n)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6.02(o)</w:t>
      </w:r>
      <w:r>
        <w:rPr>
          <w:rFonts w:ascii="Arial" w:cs="Arial" w:eastAsia="Arial" w:hAnsi="Arial"/>
          <w:sz w:val="19"/>
          <w:szCs w:val="19"/>
          <w:color w:val="auto"/>
        </w:rPr>
        <w:t xml:space="preserve"> (other than any Lien on the Capital Stock of any Subsidiary Guarantor), </w:t>
      </w:r>
      <w:r>
        <w:rPr>
          <w:rFonts w:ascii="Arial" w:cs="Arial" w:eastAsia="Arial" w:hAnsi="Arial"/>
          <w:sz w:val="19"/>
          <w:szCs w:val="19"/>
          <w:u w:val="single" w:color="auto"/>
          <w:color w:val="auto"/>
        </w:rPr>
        <w:t>6.02(q)</w:t>
      </w:r>
      <w:r>
        <w:rPr>
          <w:rFonts w:ascii="Arial" w:cs="Arial" w:eastAsia="Arial" w:hAnsi="Arial"/>
          <w:sz w:val="19"/>
          <w:szCs w:val="19"/>
          <w:color w:val="auto"/>
        </w:rPr>
        <w:t xml:space="preserve">, </w:t>
      </w:r>
      <w:r>
        <w:rPr>
          <w:rFonts w:ascii="Arial" w:cs="Arial" w:eastAsia="Arial" w:hAnsi="Arial"/>
          <w:sz w:val="19"/>
          <w:szCs w:val="19"/>
          <w:u w:val="single" w:color="auto"/>
          <w:color w:val="auto"/>
        </w:rPr>
        <w:t>6.02(r)</w:t>
      </w:r>
      <w:r>
        <w:rPr>
          <w:rFonts w:ascii="Arial" w:cs="Arial" w:eastAsia="Arial" w:hAnsi="Arial"/>
          <w:sz w:val="19"/>
          <w:szCs w:val="19"/>
          <w:color w:val="auto"/>
        </w:rPr>
        <w:t xml:space="preserve">, </w:t>
      </w:r>
      <w:r>
        <w:rPr>
          <w:rFonts w:ascii="Arial" w:cs="Arial" w:eastAsia="Arial" w:hAnsi="Arial"/>
          <w:sz w:val="19"/>
          <w:szCs w:val="19"/>
          <w:u w:val="single" w:color="auto"/>
          <w:color w:val="auto"/>
        </w:rPr>
        <w:t>6.02(s)</w:t>
      </w:r>
      <w:r>
        <w:rPr>
          <w:rFonts w:ascii="Arial" w:cs="Arial" w:eastAsia="Arial" w:hAnsi="Arial"/>
          <w:sz w:val="19"/>
          <w:szCs w:val="19"/>
          <w:color w:val="auto"/>
        </w:rPr>
        <w:t xml:space="preserve"> (to the extent the relevant Lien is of the type to which the Lien of the Administrative Agent is otherwise required to be subordinated under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pursuant to any of the other exceptions to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that are expressly included in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w:t>
      </w:r>
      <w:r>
        <w:rPr>
          <w:rFonts w:ascii="Arial" w:cs="Arial" w:eastAsia="Arial" w:hAnsi="Arial"/>
          <w:sz w:val="19"/>
          <w:szCs w:val="19"/>
          <w:u w:val="single" w:color="auto"/>
          <w:color w:val="auto"/>
        </w:rPr>
        <w:t>6.02(u)</w:t>
      </w:r>
      <w:r>
        <w:rPr>
          <w:rFonts w:ascii="Arial" w:cs="Arial" w:eastAsia="Arial" w:hAnsi="Arial"/>
          <w:sz w:val="19"/>
          <w:szCs w:val="19"/>
          <w:color w:val="auto"/>
        </w:rPr>
        <w:t xml:space="preserve"> (to the extent the relevant Lien is of the type to which the Lien of the Administrative Agent is otherwise required to be subordinated under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pursuant to any of the other exceptions to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that are expressly included in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w:t>
      </w:r>
      <w:r>
        <w:rPr>
          <w:rFonts w:ascii="Arial" w:cs="Arial" w:eastAsia="Arial" w:hAnsi="Arial"/>
          <w:sz w:val="19"/>
          <w:szCs w:val="19"/>
          <w:u w:val="single" w:color="auto"/>
          <w:color w:val="auto"/>
        </w:rPr>
        <w:t>6.02(x)</w:t>
      </w:r>
      <w:r>
        <w:rPr>
          <w:rFonts w:ascii="Arial" w:cs="Arial" w:eastAsia="Arial" w:hAnsi="Arial"/>
          <w:sz w:val="19"/>
          <w:szCs w:val="19"/>
          <w:color w:val="auto"/>
        </w:rPr>
        <w:t xml:space="preserve">, </w:t>
      </w:r>
      <w:r>
        <w:rPr>
          <w:rFonts w:ascii="Arial" w:cs="Arial" w:eastAsia="Arial" w:hAnsi="Arial"/>
          <w:sz w:val="19"/>
          <w:szCs w:val="19"/>
          <w:u w:val="single" w:color="auto"/>
          <w:color w:val="auto"/>
        </w:rPr>
        <w:t>6.02(y)</w:t>
      </w:r>
      <w:r>
        <w:rPr>
          <w:rFonts w:ascii="Arial" w:cs="Arial" w:eastAsia="Arial" w:hAnsi="Arial"/>
          <w:sz w:val="19"/>
          <w:szCs w:val="19"/>
          <w:color w:val="auto"/>
        </w:rPr>
        <w:t xml:space="preserve">, </w:t>
      </w:r>
      <w:r>
        <w:rPr>
          <w:rFonts w:ascii="Arial" w:cs="Arial" w:eastAsia="Arial" w:hAnsi="Arial"/>
          <w:sz w:val="19"/>
          <w:szCs w:val="19"/>
          <w:u w:val="single" w:color="auto"/>
          <w:color w:val="auto"/>
        </w:rPr>
        <w:t>6.02(z)(i)</w:t>
      </w:r>
      <w:r>
        <w:rPr>
          <w:rFonts w:ascii="Arial" w:cs="Arial" w:eastAsia="Arial" w:hAnsi="Arial"/>
          <w:sz w:val="19"/>
          <w:szCs w:val="19"/>
          <w:color w:val="auto"/>
        </w:rPr>
        <w:t xml:space="preserve">, </w:t>
      </w:r>
      <w:r>
        <w:rPr>
          <w:rFonts w:ascii="Arial" w:cs="Arial" w:eastAsia="Arial" w:hAnsi="Arial"/>
          <w:sz w:val="19"/>
          <w:szCs w:val="19"/>
          <w:u w:val="single" w:color="auto"/>
          <w:color w:val="auto"/>
        </w:rPr>
        <w:t>6.02(bb)</w:t>
      </w:r>
      <w:r>
        <w:rPr>
          <w:rFonts w:ascii="Arial" w:cs="Arial" w:eastAsia="Arial" w:hAnsi="Arial"/>
          <w:sz w:val="19"/>
          <w:szCs w:val="19"/>
          <w:color w:val="auto"/>
        </w:rPr>
        <w:t xml:space="preserve">, </w:t>
      </w:r>
      <w:r>
        <w:rPr>
          <w:rFonts w:ascii="Arial" w:cs="Arial" w:eastAsia="Arial" w:hAnsi="Arial"/>
          <w:sz w:val="19"/>
          <w:szCs w:val="19"/>
          <w:u w:val="single" w:color="auto"/>
          <w:color w:val="auto"/>
        </w:rPr>
        <w:t>6.02(cc)</w:t>
      </w:r>
      <w:r>
        <w:rPr>
          <w:rFonts w:ascii="Arial" w:cs="Arial" w:eastAsia="Arial" w:hAnsi="Arial"/>
          <w:sz w:val="19"/>
          <w:szCs w:val="19"/>
          <w:color w:val="auto"/>
        </w:rPr>
        <w:t xml:space="preserve">, </w:t>
      </w:r>
      <w:r>
        <w:rPr>
          <w:rFonts w:ascii="Arial" w:cs="Arial" w:eastAsia="Arial" w:hAnsi="Arial"/>
          <w:sz w:val="19"/>
          <w:szCs w:val="19"/>
          <w:u w:val="single" w:color="auto"/>
          <w:color w:val="auto"/>
        </w:rPr>
        <w:t>6.02(dd)</w:t>
      </w:r>
      <w:r>
        <w:rPr>
          <w:rFonts w:ascii="Arial" w:cs="Arial" w:eastAsia="Arial" w:hAnsi="Arial"/>
          <w:sz w:val="19"/>
          <w:szCs w:val="19"/>
          <w:color w:val="auto"/>
        </w:rPr>
        <w:t xml:space="preserve"> (in the case of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thereof, to the extent the relevant Lien covers cash collateral posted to secure the relevant obligation),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171</w:t>
      </w:r>
      <w:r>
        <w:rPr>
          <w:rFonts w:ascii="Arial" w:cs="Arial" w:eastAsia="Arial" w:hAnsi="Arial"/>
          <w:sz w:val="18"/>
          <w:szCs w:val="18"/>
          <w:u w:val="single" w:color="auto"/>
          <w:color w:val="0000FF"/>
          <w:strike w:val="1"/>
        </w:rPr>
        <w:t>171</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85" w:right="1439" w:bottom="1440" w:gutter="0" w:footer="0" w:header="0"/>
        </w:sectPr>
      </w:pPr>
    </w:p>
    <w:bookmarkStart w:id="239" w:name="page240"/>
    <w:bookmarkEnd w:id="239"/>
    <w:p>
      <w:pPr>
        <w:ind w:left="100" w:right="79"/>
        <w:spacing w:after="0" w:line="289" w:lineRule="auto"/>
        <w:rPr>
          <w:sz w:val="20"/>
          <w:szCs w:val="20"/>
          <w:color w:val="auto"/>
        </w:rPr>
      </w:pPr>
      <w:r>
        <w:rPr>
          <w:rFonts w:ascii="Arial" w:cs="Arial" w:eastAsia="Arial" w:hAnsi="Arial"/>
          <w:sz w:val="18"/>
          <w:szCs w:val="18"/>
          <w:u w:val="single" w:color="auto"/>
          <w:color w:val="auto"/>
        </w:rPr>
        <w:t>6.02(ee)</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6.02(ff)</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6.02(gg), 6.02(ii),</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6.02(mm)</w:t>
      </w:r>
      <w:r>
        <w:rPr>
          <w:rFonts w:ascii="Arial" w:cs="Arial" w:eastAsia="Arial" w:hAnsi="Arial"/>
          <w:sz w:val="18"/>
          <w:szCs w:val="18"/>
          <w:color w:val="auto"/>
        </w:rPr>
        <w:t xml:space="preserve"> (and, in each case, any Lien securing any Refinancing Indebtedness in respect of any thereof to the extent such Refinancing Indebtedness is permitted to be secured under </w:t>
      </w:r>
      <w:r>
        <w:rPr>
          <w:rFonts w:ascii="Arial" w:cs="Arial" w:eastAsia="Arial" w:hAnsi="Arial"/>
          <w:sz w:val="18"/>
          <w:szCs w:val="18"/>
          <w:u w:val="single" w:color="auto"/>
          <w:color w:val="auto"/>
        </w:rPr>
        <w:t>Section 6.02(k)</w:t>
      </w:r>
      <w:r>
        <w:rPr>
          <w:rFonts w:ascii="Arial" w:cs="Arial" w:eastAsia="Arial" w:hAnsi="Arial"/>
          <w:sz w:val="18"/>
          <w:szCs w:val="18"/>
          <w:color w:val="auto"/>
        </w:rPr>
        <w:t>);</w:t>
      </w:r>
    </w:p>
    <w:p>
      <w:pPr>
        <w:spacing w:after="0" w:line="136" w:lineRule="exact"/>
        <w:rPr>
          <w:sz w:val="20"/>
          <w:szCs w:val="20"/>
          <w:color w:val="auto"/>
        </w:rPr>
      </w:pPr>
    </w:p>
    <w:p>
      <w:pPr>
        <w:jc w:val="both"/>
        <w:ind w:left="100" w:right="59" w:firstLine="741"/>
        <w:spacing w:after="0" w:line="276" w:lineRule="auto"/>
        <w:tabs>
          <w:tab w:leader="none" w:pos="1519" w:val="left"/>
        </w:tabs>
        <w:numPr>
          <w:ilvl w:val="0"/>
          <w:numId w:val="298"/>
        </w:numPr>
        <w:rPr>
          <w:rFonts w:ascii="Arial" w:cs="Arial" w:eastAsia="Arial" w:hAnsi="Arial"/>
          <w:sz w:val="17"/>
          <w:szCs w:val="17"/>
          <w:color w:val="auto"/>
        </w:rPr>
      </w:pPr>
      <w:r>
        <w:rPr>
          <w:rFonts w:ascii="Arial" w:cs="Arial" w:eastAsia="Arial" w:hAnsi="Arial"/>
          <w:sz w:val="17"/>
          <w:szCs w:val="17"/>
          <w:color w:val="auto"/>
        </w:rPr>
        <w:t>enter into subordination, intercreditor, collateral trust and/or similar agreements (including any Intercreditor Agreement and/or any amendment to any Intercreditor Agreement) with respect to any Indebtedness that is (i) required or permitted to be subordinated hereunder and/or (ii) secured by Liens, and with respect to which Indebtedness, this Agreement contemplates an intercreditor, subordination, collateral trust or similar agreement, with each of the Lenders and the other Secured Parties irrevocably agreeing to the treatment of the Lien on the Collateral securing the Secured Obligations as set forth in any such agreement and that it will be bound by and will take no action contrary to the provisions of any such agreement; and</w:t>
      </w:r>
    </w:p>
    <w:p>
      <w:pPr>
        <w:spacing w:after="0" w:line="163" w:lineRule="exact"/>
        <w:rPr>
          <w:rFonts w:ascii="Arial" w:cs="Arial" w:eastAsia="Arial" w:hAnsi="Arial"/>
          <w:sz w:val="17"/>
          <w:szCs w:val="17"/>
          <w:color w:val="auto"/>
        </w:rPr>
      </w:pPr>
    </w:p>
    <w:p>
      <w:pPr>
        <w:jc w:val="both"/>
        <w:ind w:left="100" w:right="19" w:firstLine="742"/>
        <w:spacing w:after="0" w:line="301" w:lineRule="auto"/>
        <w:tabs>
          <w:tab w:leader="none" w:pos="1523" w:val="left"/>
        </w:tabs>
        <w:numPr>
          <w:ilvl w:val="0"/>
          <w:numId w:val="298"/>
        </w:numPr>
        <w:rPr>
          <w:rFonts w:ascii="Arial" w:cs="Arial" w:eastAsia="Arial" w:hAnsi="Arial"/>
          <w:sz w:val="17"/>
          <w:szCs w:val="17"/>
          <w:color w:val="auto"/>
        </w:rPr>
      </w:pPr>
      <w:r>
        <w:rPr>
          <w:rFonts w:ascii="Arial" w:cs="Arial" w:eastAsia="Arial" w:hAnsi="Arial"/>
          <w:sz w:val="17"/>
          <w:szCs w:val="17"/>
          <w:color w:val="auto"/>
        </w:rPr>
        <w:t>execute and/or deliver, as applicable, any amendment to any UCC financing statement and/or any other document evidencing the security interest granted pursuant to the Collateral Documents to indicate that Excluded Assets and/or other assets that do not constitute Collateral are not subject to the security interest granted pursuant to the Collateral Documents.</w:t>
      </w:r>
    </w:p>
    <w:p>
      <w:pPr>
        <w:spacing w:after="0" w:line="142" w:lineRule="exact"/>
        <w:rPr>
          <w:sz w:val="20"/>
          <w:szCs w:val="20"/>
          <w:color w:val="auto"/>
        </w:rPr>
      </w:pPr>
    </w:p>
    <w:p>
      <w:pPr>
        <w:jc w:val="both"/>
        <w:ind w:left="100" w:right="39" w:firstLine="749"/>
        <w:spacing w:after="0" w:line="243" w:lineRule="auto"/>
        <w:rPr>
          <w:sz w:val="20"/>
          <w:szCs w:val="20"/>
          <w:color w:val="auto"/>
        </w:rPr>
      </w:pPr>
      <w:r>
        <w:rPr>
          <w:rFonts w:ascii="Arial" w:cs="Arial" w:eastAsia="Arial" w:hAnsi="Arial"/>
          <w:sz w:val="18"/>
          <w:szCs w:val="18"/>
          <w:color w:val="auto"/>
        </w:rPr>
        <w:t xml:space="preserve">Upon the request of the Administrative Agent at any time, the Required Lenders will confirm in writing the Administrative Agent’s authority to release or subordinate its interest in particular types or items of property, or to release any Loan Party from its obligations under the Loan Guaranty or its Lien on any Collateral pursuant to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In each case as specified in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the Administrative Agent will (and each Lender, and each Issuing Bank hereby authorizes the Administrative Agent to), without recourse or warranty (other than as to the Administrative Agent’s authority to execute and deliver the same) and at the Borrower’s expense, execute and deliver to the applicable Loan Party such documents as such Loan Party may reasonably request to evidence the release of such item of Collateral from the assignment and security interest granted under the Collateral Documents, to subordinate its interest therein, or to release such Loan Party from its obligations under the Loan Guaranty, in each case in accordance with the terms of the Loan Documents and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upon the request of the Administrative Agent, the Borrower shall deliver a certificate of a Responsible Officer certifying that the relevant transaction has been consummated in compliance with the terms of this Agreement.</w:t>
      </w:r>
    </w:p>
    <w:p>
      <w:pPr>
        <w:spacing w:after="0" w:line="179" w:lineRule="exact"/>
        <w:rPr>
          <w:sz w:val="20"/>
          <w:szCs w:val="20"/>
          <w:color w:val="auto"/>
        </w:rPr>
      </w:pPr>
    </w:p>
    <w:p>
      <w:pPr>
        <w:jc w:val="both"/>
        <w:ind w:left="100" w:right="39" w:firstLine="749"/>
        <w:spacing w:after="0" w:line="233" w:lineRule="auto"/>
        <w:rPr>
          <w:sz w:val="20"/>
          <w:szCs w:val="20"/>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Section 8.09</w:t>
      </w:r>
      <w:r>
        <w:rPr>
          <w:rFonts w:ascii="Arial" w:cs="Arial" w:eastAsia="Arial" w:hAnsi="Arial"/>
          <w:sz w:val="19"/>
          <w:szCs w:val="19"/>
          <w:color w:val="auto"/>
        </w:rPr>
        <w:t xml:space="preserve"> or in any other provision of any Loan Document, each Lender and each other Secured Party hereby authorizes the Administrative Agent to, and the Administrative Agent shall, execute and deliver any instruments, documents, consents, acknowledgments, and agreements necessary or desirable to evidence, effectuate or confirm the release of any Subsidiary Guarantor or Collateral or the subordination of any Lien pursuant to the provisions of this </w:t>
      </w:r>
      <w:r>
        <w:rPr>
          <w:rFonts w:ascii="Arial" w:cs="Arial" w:eastAsia="Arial" w:hAnsi="Arial"/>
          <w:sz w:val="19"/>
          <w:szCs w:val="19"/>
          <w:u w:val="single" w:color="auto"/>
          <w:color w:val="auto"/>
        </w:rPr>
        <w:t>Section 8.09</w:t>
      </w:r>
      <w:r>
        <w:rPr>
          <w:rFonts w:ascii="Arial" w:cs="Arial" w:eastAsia="Arial" w:hAnsi="Arial"/>
          <w:sz w:val="19"/>
          <w:szCs w:val="19"/>
          <w:color w:val="auto"/>
        </w:rPr>
        <w:t>.</w:t>
      </w:r>
    </w:p>
    <w:p>
      <w:pPr>
        <w:spacing w:after="0" w:line="195" w:lineRule="exact"/>
        <w:rPr>
          <w:sz w:val="20"/>
          <w:szCs w:val="20"/>
          <w:color w:val="auto"/>
        </w:rPr>
      </w:pPr>
    </w:p>
    <w:p>
      <w:pPr>
        <w:jc w:val="both"/>
        <w:ind w:left="100" w:right="59" w:firstLine="749"/>
        <w:spacing w:after="0" w:line="260" w:lineRule="auto"/>
        <w:rPr>
          <w:sz w:val="20"/>
          <w:szCs w:val="20"/>
          <w:color w:val="auto"/>
        </w:rPr>
      </w:pPr>
      <w:r>
        <w:rPr>
          <w:rFonts w:ascii="Arial" w:cs="Arial" w:eastAsia="Arial" w:hAnsi="Arial"/>
          <w:sz w:val="17"/>
          <w:szCs w:val="17"/>
          <w:color w:val="auto"/>
        </w:rPr>
        <w:t>It is understood and agreed that, notwithstanding anything to the contrary herein, in any other Loan Document and/or in the documentation governing any Hedge Agreement and/or any agreement governing Banking Services, (a) unless otherwise agreed to by the Borrower and any applicable counterparty to any agreement governing any Secured Hedging Obligation and/or any Banking Service, the obligations of Holdings, the Borrower or any subsidiary under any such agreement shall be secured and guaranteed pursuant to the Collateral Documents and the Loan Guaranty only to the extent that, and for so long as, the Obligations are so secured and guaranteed and (b) any release of any Lien on any Collateral and/or any Loan Guarantor effected in a manner permitted by this Agreement and/or any other Loan Document shall not require the consent of any such counterparty.</w:t>
      </w:r>
    </w:p>
    <w:p>
      <w:pPr>
        <w:spacing w:after="0" w:line="178" w:lineRule="exact"/>
        <w:rPr>
          <w:sz w:val="20"/>
          <w:szCs w:val="20"/>
          <w:color w:val="auto"/>
        </w:rPr>
      </w:pPr>
    </w:p>
    <w:p>
      <w:pPr>
        <w:jc w:val="both"/>
        <w:ind w:left="100" w:right="59" w:firstLine="749"/>
        <w:spacing w:after="0" w:line="233" w:lineRule="auto"/>
        <w:rPr>
          <w:sz w:val="20"/>
          <w:szCs w:val="20"/>
          <w:color w:val="auto"/>
        </w:rPr>
      </w:pPr>
      <w:r>
        <w:rPr>
          <w:rFonts w:ascii="Arial" w:cs="Arial" w:eastAsia="Arial" w:hAnsi="Arial"/>
          <w:sz w:val="19"/>
          <w:szCs w:val="19"/>
          <w:color w:val="auto"/>
        </w:rPr>
        <w:t xml:space="preserve">Section 8.10. </w:t>
      </w:r>
      <w:r>
        <w:rPr>
          <w:rFonts w:ascii="Arial" w:cs="Arial" w:eastAsia="Arial" w:hAnsi="Arial"/>
          <w:sz w:val="19"/>
          <w:szCs w:val="19"/>
          <w:u w:val="single" w:color="auto"/>
          <w:color w:val="auto"/>
        </w:rPr>
        <w:t>Intercreditor Agreements</w:t>
      </w:r>
      <w:r>
        <w:rPr>
          <w:rFonts w:ascii="Arial" w:cs="Arial" w:eastAsia="Arial" w:hAnsi="Arial"/>
          <w:sz w:val="19"/>
          <w:szCs w:val="19"/>
          <w:color w:val="auto"/>
        </w:rPr>
        <w:t>. The Administrative Agent is authorized by the Lenders and each other Secured Party to, and shall, enter into any Intercreditor Agreement and any other intercreditor, subordination, collateral trust or similar agreement contemplated hereby with respect to any (a) Indebtedness</w:t>
      </w:r>
    </w:p>
    <w:p>
      <w:pPr>
        <w:spacing w:after="0" w:line="1" w:lineRule="exact"/>
        <w:rPr>
          <w:sz w:val="20"/>
          <w:szCs w:val="20"/>
          <w:color w:val="auto"/>
        </w:rPr>
      </w:pPr>
    </w:p>
    <w:p>
      <w:pPr>
        <w:jc w:val="both"/>
        <w:ind w:left="100" w:right="59" w:hanging="7"/>
        <w:spacing w:after="0"/>
        <w:tabs>
          <w:tab w:leader="none" w:pos="368" w:val="left"/>
        </w:tabs>
        <w:numPr>
          <w:ilvl w:val="0"/>
          <w:numId w:val="299"/>
        </w:numPr>
        <w:rPr>
          <w:rFonts w:ascii="Arial" w:cs="Arial" w:eastAsia="Arial" w:hAnsi="Arial"/>
          <w:sz w:val="19"/>
          <w:szCs w:val="19"/>
          <w:color w:val="auto"/>
        </w:rPr>
      </w:pPr>
      <w:r>
        <w:rPr>
          <w:rFonts w:ascii="Arial" w:cs="Arial" w:eastAsia="Arial" w:hAnsi="Arial"/>
          <w:sz w:val="19"/>
          <w:szCs w:val="19"/>
          <w:color w:val="auto"/>
        </w:rPr>
        <w:t>that is (A) required or permitted hereunder to be subordinated in right of payment or with respect to security and/or (B) secured by any Lien and (ii) which contemplates an intercreditor, subordination, collateral trust or similar agreement and/or (b) Secured Hedging Obligations and/or Banking Services Obligations,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172</w:t>
      </w:r>
      <w:r>
        <w:rPr>
          <w:rFonts w:ascii="Arial" w:cs="Arial" w:eastAsia="Arial" w:hAnsi="Arial"/>
          <w:sz w:val="18"/>
          <w:szCs w:val="18"/>
          <w:u w:val="single" w:color="auto"/>
          <w:color w:val="0000FF"/>
          <w:strike w:val="1"/>
        </w:rPr>
        <w:t>172</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40" w:name="page241"/>
    <w:bookmarkEnd w:id="240"/>
    <w:p>
      <w:pPr>
        <w:jc w:val="both"/>
        <w:ind w:left="100" w:right="59"/>
        <w:spacing w:after="0" w:line="245" w:lineRule="auto"/>
        <w:rPr>
          <w:sz w:val="20"/>
          <w:szCs w:val="20"/>
          <w:color w:val="auto"/>
        </w:rPr>
      </w:pPr>
      <w:r>
        <w:rPr>
          <w:rFonts w:ascii="Arial" w:cs="Arial" w:eastAsia="Arial" w:hAnsi="Arial"/>
          <w:sz w:val="18"/>
          <w:szCs w:val="18"/>
          <w:color w:val="auto"/>
        </w:rPr>
        <w:t>whether or not constituting Indebtedness (any such other intercreditor, subordination, collateral trust and/or similar agreement an “</w:t>
      </w:r>
      <w:r>
        <w:rPr>
          <w:rFonts w:ascii="Arial" w:cs="Arial" w:eastAsia="Arial" w:hAnsi="Arial"/>
          <w:sz w:val="18"/>
          <w:szCs w:val="18"/>
          <w:u w:val="single" w:color="auto"/>
          <w:color w:val="auto"/>
        </w:rPr>
        <w:t>Additional Agreement</w:t>
      </w:r>
      <w:r>
        <w:rPr>
          <w:rFonts w:ascii="Arial" w:cs="Arial" w:eastAsia="Arial" w:hAnsi="Arial"/>
          <w:sz w:val="18"/>
          <w:szCs w:val="18"/>
          <w:color w:val="auto"/>
        </w:rPr>
        <w:t>”), and the Secured Parties party hereto acknowledge that any Intercreditor Agreement and any other Additional Agreement is binding upon them. Each Lender and each other Secured Party hereto hereby (a) agrees that it will be bound by, and will not take any action contrary to, the provisions of any Intercreditor Agreement or any other Additional Agreement and (b) authorizes and instructs the Administrative Agent to enter into any Intercreditor Agreement and/or any other Additional Agreement and to subject the Liens on the Collateral securing the Secured Obligations to the provisions thereof. The foregoing provisions are intended as an inducement to the Lenders and the other Secured Parties to extend credit to the Borrower, and the Lenders and the other Secured Parties are intended third-party beneficiaries of such provisions and the provisions of any Intercreditor Agreement and/or any other Additional Agreement.</w:t>
      </w:r>
    </w:p>
    <w:p>
      <w:pPr>
        <w:spacing w:after="0" w:line="177" w:lineRule="exact"/>
        <w:rPr>
          <w:sz w:val="20"/>
          <w:szCs w:val="20"/>
          <w:color w:val="auto"/>
        </w:rPr>
      </w:pPr>
    </w:p>
    <w:p>
      <w:pPr>
        <w:jc w:val="both"/>
        <w:ind w:left="100" w:right="19" w:firstLine="749"/>
        <w:spacing w:after="0" w:line="242"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Indemnification of Administrative Agent</w:t>
      </w:r>
      <w:r>
        <w:rPr>
          <w:rFonts w:ascii="Arial" w:cs="Arial" w:eastAsia="Arial" w:hAnsi="Arial"/>
          <w:sz w:val="18"/>
          <w:szCs w:val="18"/>
          <w:color w:val="auto"/>
        </w:rPr>
        <w:t xml:space="preserve">. To the extent that the Administrative Agent (or any Affiliate thereof) is not reimbursed and indemnified by the Borrower in accordance with and to the extent required by </w:t>
      </w:r>
      <w:r>
        <w:rPr>
          <w:rFonts w:ascii="Arial" w:cs="Arial" w:eastAsia="Arial" w:hAnsi="Arial"/>
          <w:sz w:val="18"/>
          <w:szCs w:val="18"/>
          <w:u w:val="single" w:color="auto"/>
          <w:color w:val="auto"/>
        </w:rPr>
        <w:t>Section 9.03(b)</w:t>
      </w:r>
      <w:r>
        <w:rPr>
          <w:rFonts w:ascii="Arial" w:cs="Arial" w:eastAsia="Arial" w:hAnsi="Arial"/>
          <w:sz w:val="18"/>
          <w:szCs w:val="18"/>
          <w:color w:val="auto"/>
        </w:rPr>
        <w:t xml:space="preserve"> hereof, the Lenders will reimburse and indemnify the Administrative Agent (and any Affiliate thereof) in proportion to their respective Applicable Percentages (determined as if there were no Defaulting Lenders) for and against any and all liabilities, obligations, losses, damages, penalties, claims, actions, judgments, costs, expenses or disbursements of whatsoever kind or nature, including reasonable attorneys' fees, which may be imposed on, asserted against or incurred by the Administrative Agent (or any Affiliate thereof) in (i) performing its duties hereunder or under any other Loan Document or in any way relating to or arising out of this Agreement or any other Loan Document and/or (ii) any actual or prospective claim, litigation, investigation or proceeding relating to any of the foregoing, whether based on contract, tort or any other theory and regardless of whether any Indemnitee is a party thereto (and regardless of whether such matter is initiated by or against the Administrative Agent, a third party or a Lender or any Related Party of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be liable for any portion of such liabilities, obligations, losses, damages, penalties, claims, actions, judgments, suits, costs, expenses or disbursements resulting from the Administrative Agent’s (or such affiliate’s) gross negligence or willful misconduct (as determined by a court of competent jurisdiction in a final and non-appealable decision).</w:t>
      </w:r>
    </w:p>
    <w:p>
      <w:pPr>
        <w:spacing w:after="0" w:line="183" w:lineRule="exact"/>
        <w:rPr>
          <w:sz w:val="20"/>
          <w:szCs w:val="20"/>
          <w:color w:val="auto"/>
        </w:rPr>
      </w:pPr>
    </w:p>
    <w:p>
      <w:pPr>
        <w:ind w:left="100" w:right="59" w:firstLine="749"/>
        <w:spacing w:after="0" w:line="242"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u w:val="single" w:color="auto"/>
          <w:color w:val="auto"/>
        </w:rPr>
        <w:t>Withholding Taxes</w:t>
      </w:r>
      <w:r>
        <w:rPr>
          <w:rFonts w:ascii="Arial" w:cs="Arial" w:eastAsia="Arial" w:hAnsi="Arial"/>
          <w:sz w:val="18"/>
          <w:szCs w:val="18"/>
          <w:color w:val="auto"/>
        </w:rPr>
        <w:t xml:space="preserve">. To the extent required by any applicable Requirements of Law (as determined in good faith by the Administrative Agent), the Administrative Agent may withhold from any payment to any Lender under any Loan Document an amount equivalent to any applicable withholding Tax. Without limiting or expanding the provisions of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each Lender shall severally indemnify and hold harmless the Administrative Agent against, and shall make payable in respect thereof within ten days after demand therefor, any and all Taxes and any and all related losses, claims, liabilities and expenses (including fees, charges and disbursements of any counsel for the Administrative Agent) incurred by or asserted against the Administrative Agent by the IRS or any other Governmental Authority as a result of the failure of the Administrative Agent to properly withhold Tax from amounts paid to or for the account of such Lender for any reason (including because the appropriate form was not delivered or not properly executed, because such Lender failed to notify the Administrative Agent of a change in circumstance that rendered the exemption from, or reduction of withholding Tax ineffective or because such Lender failed to maintain a Participant/SPC Register in the manner required by </w:t>
      </w:r>
      <w:r>
        <w:rPr>
          <w:rFonts w:ascii="Arial" w:cs="Arial" w:eastAsia="Arial" w:hAnsi="Arial"/>
          <w:sz w:val="18"/>
          <w:szCs w:val="18"/>
          <w:u w:val="single" w:color="auto"/>
          <w:color w:val="auto"/>
        </w:rPr>
        <w:t>Section 9.05(c)</w:t>
      </w:r>
      <w:r>
        <w:rPr>
          <w:rFonts w:ascii="Arial" w:cs="Arial" w:eastAsia="Arial" w:hAnsi="Arial"/>
          <w:sz w:val="18"/>
          <w:szCs w:val="18"/>
          <w:color w:val="auto"/>
        </w:rPr>
        <w:t>).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paragraph. The agreements in this paragraph shall survive the resignation or replacement of the Administrative Agent or any assignment of rights by, or the replacement of, any Lender, the termination of the Commitments and the repayment, satisfaction or discharge of all obligations under any Loan Document. For the avoidance of doubt, the term “Lender” shall, for all purposes of this paragraph, include any Issuing Bank and the Swingline Lender.</w:t>
      </w:r>
    </w:p>
    <w:p>
      <w:pPr>
        <w:spacing w:after="0" w:line="185" w:lineRule="exact"/>
        <w:rPr>
          <w:sz w:val="20"/>
          <w:szCs w:val="20"/>
          <w:color w:val="auto"/>
        </w:rPr>
      </w:pPr>
    </w:p>
    <w:p>
      <w:pPr>
        <w:ind w:left="100" w:right="179" w:firstLine="749"/>
        <w:spacing w:after="0" w:line="246" w:lineRule="auto"/>
        <w:rPr>
          <w:sz w:val="20"/>
          <w:szCs w:val="20"/>
          <w:color w:val="auto"/>
        </w:rPr>
      </w:pPr>
      <w:r>
        <w:rPr>
          <w:rFonts w:ascii="Arial" w:cs="Arial" w:eastAsia="Arial" w:hAnsi="Arial"/>
          <w:sz w:val="19"/>
          <w:szCs w:val="19"/>
          <w:color w:val="auto"/>
        </w:rPr>
        <w:t xml:space="preserve">Section 8.13. </w:t>
      </w:r>
      <w:r>
        <w:rPr>
          <w:rFonts w:ascii="Arial" w:cs="Arial" w:eastAsia="Arial" w:hAnsi="Arial"/>
          <w:sz w:val="19"/>
          <w:szCs w:val="19"/>
          <w:u w:val="single" w:color="auto"/>
          <w:color w:val="auto"/>
        </w:rPr>
        <w:t>Administrative Agent May File Proofs of Claim</w:t>
      </w:r>
      <w:r>
        <w:rPr>
          <w:rFonts w:ascii="Arial" w:cs="Arial" w:eastAsia="Arial" w:hAnsi="Arial"/>
          <w:sz w:val="19"/>
          <w:szCs w:val="19"/>
          <w:color w:val="auto"/>
        </w:rPr>
        <w:t>. In case of the pendency of any receivership, insolvency, liquidation, bankruptcy, reorganization, arrangement, adjustment, composition or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173</w:t>
      </w:r>
      <w:r>
        <w:rPr>
          <w:rFonts w:ascii="Arial" w:cs="Arial" w:eastAsia="Arial" w:hAnsi="Arial"/>
          <w:sz w:val="18"/>
          <w:szCs w:val="18"/>
          <w:u w:val="single" w:color="auto"/>
          <w:color w:val="0000FF"/>
          <w:strike w:val="1"/>
        </w:rPr>
        <w:t>173</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41" w:name="page242"/>
    <w:bookmarkEnd w:id="241"/>
    <w:p>
      <w:pPr>
        <w:jc w:val="both"/>
        <w:ind w:left="100" w:right="59"/>
        <w:spacing w:after="0" w:line="236" w:lineRule="auto"/>
        <w:rPr>
          <w:sz w:val="20"/>
          <w:szCs w:val="20"/>
          <w:color w:val="auto"/>
        </w:rPr>
      </w:pPr>
      <w:r>
        <w:rPr>
          <w:rFonts w:ascii="Arial" w:cs="Arial" w:eastAsia="Arial" w:hAnsi="Arial"/>
          <w:sz w:val="19"/>
          <w:szCs w:val="19"/>
          <w:color w:val="auto"/>
        </w:rPr>
        <w:t>other judicial proceeding relative to any Loan Party, the Administrative Agent (irrespective of whether the principal of any Loans shall then be due and payable as herein expressed or by declaration or otherwise and irrespective of whether the Administrative Agent shall have made any demand on the Loan Parties) shall be entitled and empowered, by intervention in such proceeding or otherwise:</w:t>
      </w:r>
    </w:p>
    <w:p>
      <w:pPr>
        <w:spacing w:after="0" w:line="194" w:lineRule="exact"/>
        <w:rPr>
          <w:sz w:val="20"/>
          <w:szCs w:val="20"/>
          <w:color w:val="auto"/>
        </w:rPr>
      </w:pPr>
    </w:p>
    <w:p>
      <w:pPr>
        <w:jc w:val="both"/>
        <w:ind w:left="100" w:right="39" w:firstLine="741"/>
        <w:spacing w:after="0" w:line="242" w:lineRule="auto"/>
        <w:tabs>
          <w:tab w:leader="none" w:pos="1569" w:val="left"/>
        </w:tabs>
        <w:numPr>
          <w:ilvl w:val="0"/>
          <w:numId w:val="300"/>
        </w:numPr>
        <w:rPr>
          <w:rFonts w:ascii="Arial" w:cs="Arial" w:eastAsia="Arial" w:hAnsi="Arial"/>
          <w:sz w:val="19"/>
          <w:szCs w:val="19"/>
          <w:color w:val="auto"/>
        </w:rPr>
      </w:pPr>
      <w:r>
        <w:rPr>
          <w:rFonts w:ascii="Arial" w:cs="Arial" w:eastAsia="Arial" w:hAnsi="Arial"/>
          <w:sz w:val="19"/>
          <w:szCs w:val="19"/>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Secured Parties and the Administrative Agent (including any claim for the reasonable compensation, expenses, disbursements and advances of the Secured Parties and the Administrative Agent and their respective agents and counsel and all other amounts due the Secured Parties and the Administrative Agent under </w:t>
      </w:r>
      <w:r>
        <w:rPr>
          <w:rFonts w:ascii="Arial" w:cs="Arial" w:eastAsia="Arial" w:hAnsi="Arial"/>
          <w:sz w:val="19"/>
          <w:szCs w:val="19"/>
          <w:u w:val="single" w:color="auto"/>
          <w:color w:val="auto"/>
        </w:rPr>
        <w:t>Sections 2.12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9.03</w:t>
      </w:r>
      <w:r>
        <w:rPr>
          <w:rFonts w:ascii="Arial" w:cs="Arial" w:eastAsia="Arial" w:hAnsi="Arial"/>
          <w:sz w:val="19"/>
          <w:szCs w:val="19"/>
          <w:color w:val="auto"/>
        </w:rPr>
        <w:t>) allowed in such judicial proceeding; and</w:t>
      </w:r>
    </w:p>
    <w:p>
      <w:pPr>
        <w:spacing w:after="0" w:line="190" w:lineRule="exact"/>
        <w:rPr>
          <w:rFonts w:ascii="Arial" w:cs="Arial" w:eastAsia="Arial" w:hAnsi="Arial"/>
          <w:sz w:val="19"/>
          <w:szCs w:val="19"/>
          <w:color w:val="auto"/>
        </w:rPr>
      </w:pPr>
    </w:p>
    <w:p>
      <w:pPr>
        <w:ind w:left="1560" w:hanging="719"/>
        <w:spacing w:after="0"/>
        <w:tabs>
          <w:tab w:leader="none" w:pos="156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w:t>
      </w:r>
    </w:p>
    <w:p>
      <w:pPr>
        <w:spacing w:after="0" w:line="36"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9"/>
          <w:szCs w:val="19"/>
          <w:color w:val="auto"/>
        </w:rPr>
        <w:t>the same;</w:t>
      </w:r>
    </w:p>
    <w:p>
      <w:pPr>
        <w:spacing w:after="0" w:line="198" w:lineRule="exact"/>
        <w:rPr>
          <w:sz w:val="20"/>
          <w:szCs w:val="20"/>
          <w:color w:val="auto"/>
        </w:rPr>
      </w:pPr>
    </w:p>
    <w:p>
      <w:pPr>
        <w:jc w:val="both"/>
        <w:ind w:left="100" w:right="59"/>
        <w:spacing w:after="0" w:line="266" w:lineRule="auto"/>
        <w:rPr>
          <w:sz w:val="20"/>
          <w:szCs w:val="20"/>
          <w:color w:val="auto"/>
        </w:rPr>
      </w:pPr>
      <w:r>
        <w:rPr>
          <w:rFonts w:ascii="Arial" w:cs="Arial" w:eastAsia="Arial" w:hAnsi="Arial"/>
          <w:sz w:val="17"/>
          <w:szCs w:val="17"/>
          <w:color w:val="auto"/>
        </w:rPr>
        <w:t xml:space="preserve">and any custodian, receiver, assignee, trustee, liquidator, sequestrator or other similar official in any such judicial proceeding is hereby authorized by each Secured Party to make such payments to the Administrative Agent and, in the event that the Administrative Agent shall consent to the making of such payments directly to the Secured Parties,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7"/>
          <w:szCs w:val="17"/>
          <w:u w:val="single" w:color="auto"/>
          <w:color w:val="auto"/>
        </w:rPr>
        <w:t>Sections 2.12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9.03</w:t>
      </w:r>
      <w:r>
        <w:rPr>
          <w:rFonts w:ascii="Arial" w:cs="Arial" w:eastAsia="Arial" w:hAnsi="Arial"/>
          <w:sz w:val="17"/>
          <w:szCs w:val="17"/>
          <w:color w:val="auto"/>
        </w:rPr>
        <w:t>.</w:t>
      </w:r>
    </w:p>
    <w:p>
      <w:pPr>
        <w:spacing w:after="0" w:line="172"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8.14.  </w:t>
      </w:r>
      <w:r>
        <w:rPr>
          <w:rFonts w:ascii="Arial" w:cs="Arial" w:eastAsia="Arial" w:hAnsi="Arial"/>
          <w:sz w:val="19"/>
          <w:szCs w:val="19"/>
          <w:u w:val="single" w:color="auto"/>
          <w:color w:val="auto"/>
        </w:rPr>
        <w:t>Erroneous Payments.</w:t>
      </w:r>
    </w:p>
    <w:p>
      <w:pPr>
        <w:spacing w:after="0" w:line="281" w:lineRule="exact"/>
        <w:rPr>
          <w:sz w:val="20"/>
          <w:szCs w:val="20"/>
          <w:color w:val="auto"/>
        </w:rPr>
      </w:pPr>
    </w:p>
    <w:p>
      <w:pPr>
        <w:ind w:left="100" w:right="39" w:firstLine="741"/>
        <w:spacing w:after="0" w:line="269" w:lineRule="auto"/>
        <w:tabs>
          <w:tab w:leader="none" w:pos="1522" w:val="left"/>
        </w:tabs>
        <w:numPr>
          <w:ilvl w:val="0"/>
          <w:numId w:val="301"/>
        </w:numPr>
        <w:rPr>
          <w:rFonts w:ascii="Arial" w:cs="Arial" w:eastAsia="Arial" w:hAnsi="Arial"/>
          <w:sz w:val="17"/>
          <w:szCs w:val="17"/>
          <w:color w:val="auto"/>
        </w:rPr>
      </w:pPr>
      <w:r>
        <w:rPr>
          <w:rFonts w:ascii="Arial" w:cs="Arial" w:eastAsia="Arial" w:hAnsi="Arial"/>
          <w:sz w:val="17"/>
          <w:szCs w:val="17"/>
          <w:color w:val="auto"/>
        </w:rPr>
        <w:t>If the Administrative Agent notifies a Lender, Issuing Bank or Secured Party, or any Person who has received funds on behalf of a Lender, Issuing Bank or Secured Party (any such Lender, Issuing Bank, Secured Party or other recipient, a “</w:t>
      </w:r>
      <w:r>
        <w:rPr>
          <w:rFonts w:ascii="Arial" w:cs="Arial" w:eastAsia="Arial" w:hAnsi="Arial"/>
          <w:sz w:val="17"/>
          <w:szCs w:val="17"/>
          <w:u w:val="single" w:color="auto"/>
          <w:color w:val="auto"/>
        </w:rPr>
        <w:t>Payment Recipient</w:t>
      </w:r>
      <w:r>
        <w:rPr>
          <w:rFonts w:ascii="Arial" w:cs="Arial" w:eastAsia="Arial" w:hAnsi="Arial"/>
          <w:sz w:val="17"/>
          <w:szCs w:val="17"/>
          <w:color w:val="auto"/>
        </w:rPr>
        <w:t>”) that the Administrative Agent has determined in its sole discretion that any funds received by such Payment Recipient from the Administrative Agent or any of its Affiliates were erroneously transmitted to, or otherwise erroneously or mistakenly received by, such Payment Recipient (whether or not known to such Lender, Issuing Bank, Secured Party or other Payment Recipient on its behalf) (any such funds, whether received as a payment, prepayment or repayment of principal, interest, fees, distribution or otherwise, individually and collectively, an “</w:t>
      </w:r>
      <w:r>
        <w:rPr>
          <w:rFonts w:ascii="Arial" w:cs="Arial" w:eastAsia="Arial" w:hAnsi="Arial"/>
          <w:sz w:val="17"/>
          <w:szCs w:val="17"/>
          <w:u w:val="single" w:color="auto"/>
          <w:color w:val="auto"/>
        </w:rPr>
        <w:t>Erroneous Payment</w:t>
      </w:r>
      <w:r>
        <w:rPr>
          <w:rFonts w:ascii="Arial" w:cs="Arial" w:eastAsia="Arial" w:hAnsi="Arial"/>
          <w:sz w:val="17"/>
          <w:szCs w:val="17"/>
          <w:color w:val="auto"/>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Bank or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shall be conclusive, absent manifest error. If a Payment Recipient receives any payment, prepayment or repayment of principal, interest, fees, distribution or otherwise and does not receive a corresponding payment notice or payment advice from the Administrative Agent, such payment, prepayment or repayment shall be presumed to be in error absent written confirmation from the Administrative Agent to the contrary.</w:t>
      </w:r>
    </w:p>
    <w:p>
      <w:pPr>
        <w:spacing w:after="0" w:line="181" w:lineRule="exact"/>
        <w:rPr>
          <w:rFonts w:ascii="Arial" w:cs="Arial" w:eastAsia="Arial" w:hAnsi="Arial"/>
          <w:sz w:val="17"/>
          <w:szCs w:val="17"/>
          <w:color w:val="auto"/>
        </w:rPr>
      </w:pPr>
    </w:p>
    <w:p>
      <w:pPr>
        <w:jc w:val="both"/>
        <w:ind w:left="100" w:right="59" w:firstLine="741"/>
        <w:spacing w:after="0" w:line="249" w:lineRule="auto"/>
        <w:tabs>
          <w:tab w:leader="none" w:pos="1520" w:val="left"/>
        </w:tabs>
        <w:numPr>
          <w:ilvl w:val="0"/>
          <w:numId w:val="301"/>
        </w:numPr>
        <w:rPr>
          <w:rFonts w:ascii="Arial" w:cs="Arial" w:eastAsia="Arial" w:hAnsi="Arial"/>
          <w:sz w:val="19"/>
          <w:szCs w:val="19"/>
          <w:color w:val="auto"/>
        </w:rPr>
      </w:pPr>
      <w:r>
        <w:rPr>
          <w:rFonts w:ascii="Arial" w:cs="Arial" w:eastAsia="Arial" w:hAnsi="Arial"/>
          <w:sz w:val="19"/>
          <w:szCs w:val="19"/>
          <w:color w:val="auto"/>
        </w:rPr>
        <w:t>Each Lender, Issuing Bank or Secured Party hereby authorizes the Administrative Agent to set off, net and apply any and all amounts at any time owing to such Lender, Issuing Bank or Secured Party under any Loan Document, or otherwise payable or distributable by the Administrative Agent to such Lender,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174</w:t>
      </w:r>
      <w:r>
        <w:rPr>
          <w:rFonts w:ascii="Arial" w:cs="Arial" w:eastAsia="Arial" w:hAnsi="Arial"/>
          <w:sz w:val="18"/>
          <w:szCs w:val="18"/>
          <w:u w:val="single" w:color="auto"/>
          <w:color w:val="0000FF"/>
          <w:strike w:val="1"/>
        </w:rPr>
        <w:t>174</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42" w:name="page243"/>
    <w:bookmarkEnd w:id="242"/>
    <w:p>
      <w:pPr>
        <w:ind w:left="100" w:right="139"/>
        <w:spacing w:after="0" w:line="261" w:lineRule="auto"/>
        <w:rPr>
          <w:sz w:val="20"/>
          <w:szCs w:val="20"/>
          <w:color w:val="auto"/>
        </w:rPr>
      </w:pPr>
      <w:r>
        <w:rPr>
          <w:rFonts w:ascii="Arial" w:cs="Arial" w:eastAsia="Arial" w:hAnsi="Arial"/>
          <w:sz w:val="19"/>
          <w:szCs w:val="19"/>
          <w:color w:val="auto"/>
        </w:rPr>
        <w:t xml:space="preserve">Issuing Bank or Secured Party from any source, against any amount due to the Administrative Agent under immediately preceding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under the indemnification provisions of this </w:t>
      </w:r>
      <w:r>
        <w:rPr>
          <w:rFonts w:ascii="Arial" w:cs="Arial" w:eastAsia="Arial" w:hAnsi="Arial"/>
          <w:sz w:val="19"/>
          <w:szCs w:val="19"/>
          <w:u w:val="single" w:color="auto"/>
          <w:color w:val="auto"/>
        </w:rPr>
        <w:t>Article 8</w:t>
      </w:r>
      <w:r>
        <w:rPr>
          <w:rFonts w:ascii="Arial" w:cs="Arial" w:eastAsia="Arial" w:hAnsi="Arial"/>
          <w:sz w:val="19"/>
          <w:szCs w:val="19"/>
          <w:color w:val="auto"/>
        </w:rPr>
        <w:t>.</w:t>
      </w:r>
    </w:p>
    <w:p>
      <w:pPr>
        <w:spacing w:after="0" w:line="159" w:lineRule="exact"/>
        <w:rPr>
          <w:sz w:val="20"/>
          <w:szCs w:val="20"/>
          <w:color w:val="auto"/>
        </w:rPr>
      </w:pPr>
    </w:p>
    <w:p>
      <w:pPr>
        <w:jc w:val="both"/>
        <w:ind w:left="100" w:right="59" w:firstLine="741"/>
        <w:spacing w:after="0" w:line="269" w:lineRule="auto"/>
        <w:tabs>
          <w:tab w:leader="none" w:pos="152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For so long as an Erroneous Payment (or portion thereof) has not been returned by any Payment Recipient who received such Erroneous Payment (or portion thereof) (such unrecovered amount, an “</w:t>
      </w:r>
      <w:r>
        <w:rPr>
          <w:rFonts w:ascii="Arial" w:cs="Arial" w:eastAsia="Arial" w:hAnsi="Arial"/>
          <w:sz w:val="17"/>
          <w:szCs w:val="17"/>
          <w:u w:val="single" w:color="auto"/>
          <w:color w:val="auto"/>
        </w:rPr>
        <w:t>Erroneous Payment Return Deficiency</w:t>
      </w:r>
      <w:r>
        <w:rPr>
          <w:rFonts w:ascii="Arial" w:cs="Arial" w:eastAsia="Arial" w:hAnsi="Arial"/>
          <w:sz w:val="17"/>
          <w:szCs w:val="17"/>
          <w:color w:val="auto"/>
        </w:rPr>
        <w:t xml:space="preserve">”) to the Administrative Agent after demand therefor in accordance with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(i) the Administrative Agent may elect, in its sole discretion upon written notice to the relevant Lender, Issuing Bank or Secured Party, that all rights and claims of such Lender, Issuing Bank or Secured Party with respect to the Loans or other Obligations owed to such Person up to the amount of the corresponding Erroneous Payment Return Deficiency in respect of such Erroneous Payment (the “</w:t>
      </w:r>
      <w:r>
        <w:rPr>
          <w:rFonts w:ascii="Arial" w:cs="Arial" w:eastAsia="Arial" w:hAnsi="Arial"/>
          <w:sz w:val="17"/>
          <w:szCs w:val="17"/>
          <w:u w:val="single" w:color="auto"/>
          <w:color w:val="auto"/>
        </w:rPr>
        <w:t>Corresponding Amount</w:t>
      </w:r>
      <w:r>
        <w:rPr>
          <w:rFonts w:ascii="Arial" w:cs="Arial" w:eastAsia="Arial" w:hAnsi="Arial"/>
          <w:sz w:val="17"/>
          <w:szCs w:val="17"/>
          <w:color w:val="auto"/>
        </w:rPr>
        <w:t xml:space="preserve">”) shall immediately vest in the Administrative Agent upon such election; after such election, with respect to Loans, the Administrative Agent (x) may reflect its ownership interest in the relevant Loans in a principal amount equal to the Corresponding Amount in the Register, and (y) upon five Business Days’ written notice to such Lender may sell such Loan (or portion thereof) to an Eligible Assignee in accordance with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in respect of the Corresponding Amount, and upon receipt of the proceeds of such sale, the Erroneous Payment Return Deficiency owing by such Lender shall be reduced by the net proceeds of the sale of such Loan (or portion thereof), and the Administrative Agent shall retain all other rights, remedies and claims against such Lender (and/or against any Payment Recipient that receives funds on its behalf), and (ii) each party hereto agrees that, except to the extent that the Administrative Agent has sold such Loans, and irrespective of whether the Administrative Agent may be equitably subrogated, the Administrative Agent shall be contractually subrogated to all the rights and interests of such Lender, Issuing Bank or Secured Party with respect to the relevant Erroneous Payment Return Deficiency (determined after any reductions as a result of any such vesting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(it being understood and agreed that aggregate Obligations of the Loan Parties shall not be increased as a result of the application of this </w:t>
      </w:r>
      <w:r>
        <w:rPr>
          <w:rFonts w:ascii="Arial" w:cs="Arial" w:eastAsia="Arial" w:hAnsi="Arial"/>
          <w:sz w:val="17"/>
          <w:szCs w:val="17"/>
          <w:u w:val="single" w:color="auto"/>
          <w:color w:val="auto"/>
        </w:rPr>
        <w:t>clause (ii)</w:t>
      </w:r>
      <w:r>
        <w:rPr>
          <w:rFonts w:ascii="Arial" w:cs="Arial" w:eastAsia="Arial" w:hAnsi="Arial"/>
          <w:sz w:val="17"/>
          <w:szCs w:val="17"/>
          <w:color w:val="auto"/>
        </w:rPr>
        <w:t>). For the avoidance of doubt, no vesting or sale pursuant to this clause (c) will reduce the Commitments of any Lender or the Letter of Credit Commitments of any Issuing Bank and such Commitments and Letter of Credit Commitments shall remain available in accordance with the terms of this Agreement.</w:t>
      </w:r>
    </w:p>
    <w:p>
      <w:pPr>
        <w:spacing w:after="0" w:line="181" w:lineRule="exact"/>
        <w:rPr>
          <w:rFonts w:ascii="Arial" w:cs="Arial" w:eastAsia="Arial" w:hAnsi="Arial"/>
          <w:sz w:val="17"/>
          <w:szCs w:val="17"/>
          <w:color w:val="auto"/>
        </w:rPr>
      </w:pPr>
    </w:p>
    <w:p>
      <w:pPr>
        <w:jc w:val="both"/>
        <w:ind w:left="100" w:right="19" w:firstLine="742"/>
        <w:spacing w:after="0" w:line="263" w:lineRule="auto"/>
        <w:tabs>
          <w:tab w:leader="none" w:pos="1523"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172" w:lineRule="exact"/>
        <w:rPr>
          <w:rFonts w:ascii="Arial" w:cs="Arial" w:eastAsia="Arial" w:hAnsi="Arial"/>
          <w:sz w:val="18"/>
          <w:szCs w:val="18"/>
          <w:color w:val="auto"/>
        </w:rPr>
      </w:pPr>
    </w:p>
    <w:p>
      <w:pPr>
        <w:jc w:val="both"/>
        <w:ind w:left="100" w:right="59" w:firstLine="741"/>
        <w:spacing w:after="0" w:line="245" w:lineRule="auto"/>
        <w:tabs>
          <w:tab w:leader="none" w:pos="1520" w:val="left"/>
        </w:tabs>
        <w:numPr>
          <w:ilvl w:val="0"/>
          <w:numId w:val="302"/>
        </w:numPr>
        <w:rPr>
          <w:rFonts w:ascii="Arial" w:cs="Arial" w:eastAsia="Arial" w:hAnsi="Arial"/>
          <w:sz w:val="19"/>
          <w:szCs w:val="19"/>
          <w:color w:val="auto"/>
        </w:rPr>
      </w:pPr>
      <w:r>
        <w:rPr>
          <w:rFonts w:ascii="Arial" w:cs="Arial" w:eastAsia="Arial" w:hAnsi="Arial"/>
          <w:sz w:val="19"/>
          <w:szCs w:val="19"/>
          <w:color w:val="auto"/>
        </w:rPr>
        <w:t>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87" w:lineRule="exact"/>
        <w:rPr>
          <w:rFonts w:ascii="Arial" w:cs="Arial" w:eastAsia="Arial" w:hAnsi="Arial"/>
          <w:sz w:val="19"/>
          <w:szCs w:val="19"/>
          <w:color w:val="auto"/>
        </w:rPr>
      </w:pPr>
    </w:p>
    <w:p>
      <w:pPr>
        <w:jc w:val="both"/>
        <w:ind w:left="100" w:right="59" w:firstLine="742"/>
        <w:spacing w:after="0" w:line="256" w:lineRule="auto"/>
        <w:tabs>
          <w:tab w:leader="none" w:pos="1519" w:val="left"/>
        </w:tabs>
        <w:numPr>
          <w:ilvl w:val="0"/>
          <w:numId w:val="302"/>
        </w:numPr>
        <w:rPr>
          <w:rFonts w:ascii="Arial" w:cs="Arial" w:eastAsia="Arial" w:hAnsi="Arial"/>
          <w:sz w:val="19"/>
          <w:szCs w:val="19"/>
          <w:color w:val="auto"/>
        </w:rPr>
      </w:pPr>
      <w:r>
        <w:rPr>
          <w:rFonts w:ascii="Arial" w:cs="Arial" w:eastAsia="Arial" w:hAnsi="Arial"/>
          <w:sz w:val="19"/>
          <w:szCs w:val="19"/>
          <w:color w:val="auto"/>
        </w:rPr>
        <w:t xml:space="preserve">Each party’s obligations, agreements and waivers under this </w:t>
      </w:r>
      <w:r>
        <w:rPr>
          <w:rFonts w:ascii="Arial" w:cs="Arial" w:eastAsia="Arial" w:hAnsi="Arial"/>
          <w:sz w:val="19"/>
          <w:szCs w:val="19"/>
          <w:u w:val="single" w:color="auto"/>
          <w:color w:val="auto"/>
        </w:rPr>
        <w:t>Section 8.14</w:t>
      </w:r>
      <w:r>
        <w:rPr>
          <w:rFonts w:ascii="Arial" w:cs="Arial" w:eastAsia="Arial" w:hAnsi="Arial"/>
          <w:sz w:val="19"/>
          <w:szCs w:val="19"/>
          <w:color w:val="auto"/>
        </w:rPr>
        <w:t xml:space="preserve"> shall survive the resignation or replacement of the Administrative Agent, any transfer of rights or obligations by, or the replacement of, a Lender or Issuing Bank, and the occurrence of the Termination Date.</w:t>
      </w:r>
    </w:p>
    <w:p>
      <w:pPr>
        <w:spacing w:after="0" w:line="178" w:lineRule="exact"/>
        <w:rPr>
          <w:rFonts w:ascii="Arial" w:cs="Arial" w:eastAsia="Arial" w:hAnsi="Arial"/>
          <w:sz w:val="19"/>
          <w:szCs w:val="19"/>
          <w:color w:val="auto"/>
        </w:rPr>
      </w:pPr>
    </w:p>
    <w:p>
      <w:pPr>
        <w:ind w:left="100" w:right="79" w:firstLine="741"/>
        <w:spacing w:after="0" w:line="261" w:lineRule="auto"/>
        <w:tabs>
          <w:tab w:leader="none" w:pos="1519" w:val="left"/>
        </w:tabs>
        <w:numPr>
          <w:ilvl w:val="0"/>
          <w:numId w:val="302"/>
        </w:numPr>
        <w:rPr>
          <w:rFonts w:ascii="Arial" w:cs="Arial" w:eastAsia="Arial" w:hAnsi="Arial"/>
          <w:sz w:val="19"/>
          <w:szCs w:val="19"/>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Section 8.14</w:t>
      </w:r>
      <w:r>
        <w:rPr>
          <w:rFonts w:ascii="Arial" w:cs="Arial" w:eastAsia="Arial" w:hAnsi="Arial"/>
          <w:sz w:val="19"/>
          <w:szCs w:val="19"/>
          <w:color w:val="auto"/>
        </w:rPr>
        <w:t xml:space="preserve"> shall not apply to the disbursement of any proceeds of a Loan to or at the express direction of the Borrower unless otherwise expressly agreed to in writing by the Borrower.</w:t>
      </w:r>
    </w:p>
    <w:p>
      <w:pPr>
        <w:spacing w:after="0" w:line="172" w:lineRule="exact"/>
        <w:rPr>
          <w:rFonts w:ascii="Arial" w:cs="Arial" w:eastAsia="Arial" w:hAnsi="Arial"/>
          <w:sz w:val="19"/>
          <w:szCs w:val="19"/>
          <w:color w:val="auto"/>
        </w:rPr>
      </w:pPr>
    </w:p>
    <w:p>
      <w:pPr>
        <w:jc w:val="both"/>
        <w:ind w:left="100" w:right="39" w:firstLine="742"/>
        <w:spacing w:after="0" w:line="263" w:lineRule="auto"/>
        <w:tabs>
          <w:tab w:leader="none" w:pos="152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or in any other Loan Document, the Borrower and the Loan Parties shall have no obligations or liabilities for any actions, consequences or remediation (including the repayment of any amounts) contemplated by this </w:t>
      </w:r>
      <w:r>
        <w:rPr>
          <w:rFonts w:ascii="Arial" w:cs="Arial" w:eastAsia="Arial" w:hAnsi="Arial"/>
          <w:sz w:val="18"/>
          <w:szCs w:val="18"/>
          <w:u w:val="single" w:color="auto"/>
          <w:color w:val="auto"/>
        </w:rPr>
        <w:t>Section 8.14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under no circumstances shall this </w:t>
      </w:r>
      <w:r>
        <w:rPr>
          <w:rFonts w:ascii="Arial" w:cs="Arial" w:eastAsia="Arial" w:hAnsi="Arial"/>
          <w:sz w:val="18"/>
          <w:szCs w:val="18"/>
          <w:u w:val="single" w:color="auto"/>
          <w:color w:val="auto"/>
        </w:rPr>
        <w:t>Section 8.14(h)</w:t>
      </w:r>
      <w:r>
        <w:rPr>
          <w:rFonts w:ascii="Arial" w:cs="Arial" w:eastAsia="Arial" w:hAnsi="Arial"/>
          <w:sz w:val="18"/>
          <w:szCs w:val="18"/>
          <w:color w:val="auto"/>
        </w:rPr>
        <w:t xml:space="preserve"> affect the Borrower’s or any Loan Parties’ obligations or liabilities with respect to any Obligations that remain outstanding.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175</w:t>
      </w:r>
      <w:r>
        <w:rPr>
          <w:rFonts w:ascii="Arial" w:cs="Arial" w:eastAsia="Arial" w:hAnsi="Arial"/>
          <w:sz w:val="18"/>
          <w:szCs w:val="18"/>
          <w:u w:val="single" w:color="auto"/>
          <w:color w:val="0000FF"/>
          <w:strike w:val="1"/>
        </w:rPr>
        <w:t>175</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43" w:name="page244"/>
    <w:bookmarkEnd w:id="243"/>
    <w:p>
      <w:pPr>
        <w:jc w:val="both"/>
        <w:ind w:left="100" w:right="39" w:firstLine="742"/>
        <w:spacing w:after="0" w:line="250" w:lineRule="auto"/>
        <w:tabs>
          <w:tab w:leader="none" w:pos="1520" w:val="left"/>
        </w:tabs>
        <w:numPr>
          <w:ilvl w:val="0"/>
          <w:numId w:val="303"/>
        </w:numPr>
        <w:rPr>
          <w:rFonts w:ascii="Arial" w:cs="Arial" w:eastAsia="Arial" w:hAnsi="Arial"/>
          <w:sz w:val="19"/>
          <w:szCs w:val="19"/>
          <w:color w:val="auto"/>
        </w:rPr>
      </w:pPr>
      <w:r>
        <w:rPr>
          <w:rFonts w:ascii="Arial" w:cs="Arial" w:eastAsia="Arial" w:hAnsi="Arial"/>
          <w:sz w:val="19"/>
          <w:szCs w:val="19"/>
          <w:color w:val="auto"/>
        </w:rPr>
        <w:t>Notwithstanding anything to the contrary, to the extent the Administrative Agent receives a payment or other amount after the date such payment or other amount is due, the Administrative Agent, in its sole discretion, may distribute such payment or other amount to the relevant Lender of record (or other Person of record entitled to such payment) as of the date such payment or other amount is received by the Administrative Agent.</w:t>
      </w:r>
    </w:p>
    <w:p>
      <w:pPr>
        <w:spacing w:after="0" w:line="183" w:lineRule="exact"/>
        <w:rPr>
          <w:sz w:val="20"/>
          <w:szCs w:val="20"/>
          <w:color w:val="auto"/>
        </w:rPr>
      </w:pPr>
    </w:p>
    <w:p>
      <w:pPr>
        <w:jc w:val="both"/>
        <w:ind w:left="100" w:right="39" w:firstLine="749"/>
        <w:spacing w:after="0" w:line="259" w:lineRule="auto"/>
        <w:rPr>
          <w:sz w:val="20"/>
          <w:szCs w:val="20"/>
          <w:color w:val="auto"/>
        </w:rPr>
      </w:pPr>
      <w:r>
        <w:rPr>
          <w:rFonts w:ascii="Arial" w:cs="Arial" w:eastAsia="Arial" w:hAnsi="Arial"/>
          <w:sz w:val="17"/>
          <w:szCs w:val="17"/>
          <w:color w:val="auto"/>
        </w:rPr>
        <w:t xml:space="preserve">Section 8.15. </w:t>
      </w:r>
      <w:r>
        <w:rPr>
          <w:rFonts w:ascii="Arial" w:cs="Arial" w:eastAsia="Arial" w:hAnsi="Arial"/>
          <w:sz w:val="17"/>
          <w:szCs w:val="17"/>
          <w:u w:val="single" w:color="auto"/>
          <w:color w:val="auto"/>
        </w:rPr>
        <w:t>Banking Services Obligations and Secured Hedging Obligations</w:t>
      </w:r>
      <w:r>
        <w:rPr>
          <w:rFonts w:ascii="Arial" w:cs="Arial" w:eastAsia="Arial" w:hAnsi="Arial"/>
          <w:sz w:val="17"/>
          <w:szCs w:val="17"/>
          <w:color w:val="auto"/>
        </w:rPr>
        <w:t xml:space="preserve">. Except as otherwise expressly set forth herein or in the Loan Guaranty or any Collateral Document, no counterparty to a Hedge Agreement or agreement governing any Banking Services Obligation that obtains the benefits of </w:t>
      </w:r>
      <w:r>
        <w:rPr>
          <w:rFonts w:ascii="Arial" w:cs="Arial" w:eastAsia="Arial" w:hAnsi="Arial"/>
          <w:sz w:val="17"/>
          <w:szCs w:val="17"/>
          <w:u w:val="single" w:color="auto"/>
          <w:color w:val="auto"/>
        </w:rPr>
        <w:t>Section 2.18(b)</w:t>
      </w:r>
      <w:r>
        <w:rPr>
          <w:rFonts w:ascii="Arial" w:cs="Arial" w:eastAsia="Arial" w:hAnsi="Arial"/>
          <w:sz w:val="17"/>
          <w:szCs w:val="17"/>
          <w:color w:val="auto"/>
        </w:rPr>
        <w:t xml:space="preserve">, any Loan Guaranty or any Collateral by virtue of the provisions hereof or of the Loan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if applicable, in its capacity as a Lender and, in such case, only to the extent expressly provided in the Loan Documents. Notwithstanding any other provision of this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to the contrary, the Administrative Agent shall not be required to verify the payment of, or that other satisfactory arrangements have been made with respect to, any obligation arising under a Hedge Agreement or any agreement governing any Banking Services Obligation.</w:t>
      </w:r>
    </w:p>
    <w:p>
      <w:pPr>
        <w:spacing w:after="0" w:line="261" w:lineRule="exact"/>
        <w:rPr>
          <w:sz w:val="20"/>
          <w:szCs w:val="20"/>
          <w:color w:val="auto"/>
        </w:rPr>
      </w:pPr>
    </w:p>
    <w:p>
      <w:pPr>
        <w:ind w:left="4600"/>
        <w:spacing w:after="0"/>
        <w:rPr>
          <w:sz w:val="20"/>
          <w:szCs w:val="20"/>
          <w:color w:val="auto"/>
        </w:rPr>
      </w:pPr>
      <w:r>
        <w:rPr>
          <w:rFonts w:ascii="Arial" w:cs="Arial" w:eastAsia="Arial" w:hAnsi="Arial"/>
          <w:sz w:val="19"/>
          <w:szCs w:val="19"/>
          <w:color w:val="auto"/>
        </w:rPr>
        <w:t>ARTICLE 9</w:t>
      </w:r>
    </w:p>
    <w:p>
      <w:pPr>
        <w:spacing w:after="0" w:line="200" w:lineRule="exact"/>
        <w:rPr>
          <w:sz w:val="20"/>
          <w:szCs w:val="20"/>
          <w:color w:val="auto"/>
        </w:rPr>
      </w:pPr>
    </w:p>
    <w:p>
      <w:pPr>
        <w:ind w:left="4340"/>
        <w:spacing w:after="0"/>
        <w:rPr>
          <w:sz w:val="20"/>
          <w:szCs w:val="20"/>
          <w:color w:val="auto"/>
        </w:rPr>
      </w:pPr>
      <w:r>
        <w:rPr>
          <w:rFonts w:ascii="Arial" w:cs="Arial" w:eastAsia="Arial" w:hAnsi="Arial"/>
          <w:sz w:val="19"/>
          <w:szCs w:val="19"/>
          <w:color w:val="auto"/>
        </w:rPr>
        <w:t>MISCELLANEOUS</w:t>
      </w:r>
    </w:p>
    <w:p>
      <w:pPr>
        <w:spacing w:after="0" w:line="106"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9.01.  </w:t>
      </w:r>
      <w:r>
        <w:rPr>
          <w:rFonts w:ascii="Arial" w:cs="Arial" w:eastAsia="Arial" w:hAnsi="Arial"/>
          <w:sz w:val="19"/>
          <w:szCs w:val="19"/>
          <w:u w:val="single" w:color="auto"/>
          <w:color w:val="auto"/>
        </w:rPr>
        <w:t>Notices</w:t>
      </w:r>
      <w:r>
        <w:rPr>
          <w:rFonts w:ascii="Arial" w:cs="Arial" w:eastAsia="Arial" w:hAnsi="Arial"/>
          <w:sz w:val="19"/>
          <w:szCs w:val="19"/>
          <w:color w:val="auto"/>
        </w:rPr>
        <w:t>.</w:t>
      </w:r>
    </w:p>
    <w:p>
      <w:pPr>
        <w:spacing w:after="0" w:line="214" w:lineRule="exact"/>
        <w:rPr>
          <w:sz w:val="20"/>
          <w:szCs w:val="20"/>
          <w:color w:val="auto"/>
        </w:rPr>
      </w:pPr>
    </w:p>
    <w:p>
      <w:pPr>
        <w:jc w:val="both"/>
        <w:ind w:left="100" w:right="59" w:firstLine="741"/>
        <w:spacing w:after="0" w:line="269" w:lineRule="auto"/>
        <w:tabs>
          <w:tab w:leader="none" w:pos="152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 xml:space="preserve">Except in the case of notices and other communications expressly permitted to be given by telephone (and subject to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below), all notices and other communications provided for herein shall be in writing and shall be delivered by hand or overnight courier service, mailed by certified or registered mail or sent by email, as follows:</w:t>
      </w:r>
    </w:p>
    <w:p>
      <w:pPr>
        <w:spacing w:after="0" w:line="100" w:lineRule="exact"/>
        <w:rPr>
          <w:rFonts w:ascii="Arial" w:cs="Arial" w:eastAsia="Arial" w:hAnsi="Arial"/>
          <w:sz w:val="18"/>
          <w:szCs w:val="18"/>
          <w:color w:val="auto"/>
        </w:rPr>
      </w:pPr>
    </w:p>
    <w:p>
      <w:pPr>
        <w:ind w:left="2160" w:hanging="568"/>
        <w:spacing w:after="0"/>
        <w:tabs>
          <w:tab w:leader="none" w:pos="2160" w:val="left"/>
        </w:tabs>
        <w:numPr>
          <w:ilvl w:val="1"/>
          <w:numId w:val="304"/>
        </w:numPr>
        <w:rPr>
          <w:rFonts w:ascii="Arial" w:cs="Arial" w:eastAsia="Arial" w:hAnsi="Arial"/>
          <w:sz w:val="19"/>
          <w:szCs w:val="19"/>
          <w:color w:val="auto"/>
        </w:rPr>
      </w:pPr>
      <w:r>
        <w:rPr>
          <w:rFonts w:ascii="Arial" w:cs="Arial" w:eastAsia="Arial" w:hAnsi="Arial"/>
          <w:sz w:val="19"/>
          <w:szCs w:val="19"/>
          <w:color w:val="auto"/>
        </w:rPr>
        <w:t>if to any Loan Party, to such Loan Party in the care of the Borrower at: Definitive</w:t>
      </w:r>
    </w:p>
    <w:p>
      <w:pPr>
        <w:spacing w:after="0" w:line="214" w:lineRule="exact"/>
        <w:rPr>
          <w:sz w:val="20"/>
          <w:szCs w:val="20"/>
          <w:color w:val="auto"/>
        </w:rPr>
      </w:pPr>
    </w:p>
    <w:p>
      <w:pPr>
        <w:ind w:left="2160"/>
        <w:spacing w:after="0"/>
        <w:rPr>
          <w:sz w:val="20"/>
          <w:szCs w:val="20"/>
          <w:color w:val="auto"/>
        </w:rPr>
      </w:pPr>
      <w:r>
        <w:rPr>
          <w:rFonts w:ascii="Arial" w:cs="Arial" w:eastAsia="Arial" w:hAnsi="Arial"/>
          <w:sz w:val="19"/>
          <w:szCs w:val="19"/>
          <w:color w:val="auto"/>
        </w:rPr>
        <w:t>Healthcare Holdings, LLC</w:t>
      </w:r>
    </w:p>
    <w:p>
      <w:pPr>
        <w:spacing w:after="0" w:line="79" w:lineRule="exact"/>
        <w:rPr>
          <w:sz w:val="20"/>
          <w:szCs w:val="20"/>
          <w:color w:val="auto"/>
        </w:rPr>
      </w:pPr>
    </w:p>
    <w:p>
      <w:pPr>
        <w:ind w:left="2340"/>
        <w:spacing w:after="0"/>
        <w:rPr>
          <w:sz w:val="20"/>
          <w:szCs w:val="20"/>
          <w:color w:val="auto"/>
        </w:rPr>
      </w:pPr>
      <w:r>
        <w:rPr>
          <w:rFonts w:ascii="Arial" w:cs="Arial" w:eastAsia="Arial" w:hAnsi="Arial"/>
          <w:sz w:val="19"/>
          <w:szCs w:val="19"/>
          <w:color w:val="FF0000"/>
          <w:strike w:val="1"/>
        </w:rPr>
        <w:t>550 Cochituate Road</w:t>
      </w:r>
      <w:r>
        <w:rPr>
          <w:rFonts w:ascii="Arial" w:cs="Arial" w:eastAsia="Arial" w:hAnsi="Arial"/>
          <w:sz w:val="19"/>
          <w:szCs w:val="19"/>
          <w:u w:val="single" w:color="auto"/>
          <w:color w:val="0000FF"/>
        </w:rPr>
        <w:t>492 Old Connecticut Path, Suite 401</w:t>
      </w:r>
      <w:r>
        <w:rPr>
          <w:rFonts w:ascii="Arial" w:cs="Arial" w:eastAsia="Arial" w:hAnsi="Arial"/>
          <w:sz w:val="19"/>
          <w:szCs w:val="19"/>
          <w:color w:val="000000"/>
        </w:rPr>
        <w:t>, Framingham, MA</w:t>
      </w:r>
      <w:r>
        <w:rPr>
          <w:rFonts w:ascii="Arial" w:cs="Arial" w:eastAsia="Arial" w:hAnsi="Arial"/>
          <w:sz w:val="19"/>
          <w:szCs w:val="19"/>
          <w:color w:val="0000FF"/>
        </w:rPr>
        <w:t>,</w:t>
      </w:r>
    </w:p>
    <w:p>
      <w:pPr>
        <w:ind w:left="2340"/>
        <w:spacing w:after="0" w:line="237" w:lineRule="auto"/>
        <w:rPr>
          <w:sz w:val="20"/>
          <w:szCs w:val="20"/>
          <w:color w:val="auto"/>
        </w:rPr>
      </w:pPr>
      <w:r>
        <w:rPr>
          <w:rFonts w:ascii="Arial" w:cs="Arial" w:eastAsia="Arial" w:hAnsi="Arial"/>
          <w:sz w:val="19"/>
          <w:szCs w:val="19"/>
          <w:color w:val="auto"/>
        </w:rPr>
        <w:t>01701</w:t>
      </w:r>
    </w:p>
    <w:p>
      <w:pPr>
        <w:ind w:left="2340"/>
        <w:spacing w:after="0" w:line="237" w:lineRule="auto"/>
        <w:rPr>
          <w:sz w:val="20"/>
          <w:szCs w:val="20"/>
          <w:color w:val="auto"/>
        </w:rPr>
      </w:pPr>
      <w:r>
        <w:rPr>
          <w:rFonts w:ascii="Arial" w:cs="Arial" w:eastAsia="Arial" w:hAnsi="Arial"/>
          <w:sz w:val="19"/>
          <w:szCs w:val="19"/>
          <w:color w:val="auto"/>
        </w:rPr>
        <w:t>Attention: Rick Booth</w:t>
      </w:r>
    </w:p>
    <w:p>
      <w:pPr>
        <w:ind w:left="2340"/>
        <w:spacing w:after="0"/>
        <w:rPr>
          <w:sz w:val="20"/>
          <w:szCs w:val="20"/>
          <w:color w:val="auto"/>
        </w:rPr>
      </w:pPr>
      <w:r>
        <w:rPr>
          <w:rFonts w:ascii="Arial" w:cs="Arial" w:eastAsia="Arial" w:hAnsi="Arial"/>
          <w:sz w:val="19"/>
          <w:szCs w:val="19"/>
          <w:color w:val="auto"/>
        </w:rPr>
        <w:t>Email: on file with the Administrative Agent</w:t>
      </w:r>
    </w:p>
    <w:p>
      <w:pPr>
        <w:spacing w:after="0" w:line="76" w:lineRule="exact"/>
        <w:rPr>
          <w:sz w:val="20"/>
          <w:szCs w:val="20"/>
          <w:color w:val="auto"/>
        </w:rPr>
      </w:pPr>
    </w:p>
    <w:p>
      <w:pPr>
        <w:ind w:left="2340"/>
        <w:spacing w:after="0"/>
        <w:rPr>
          <w:sz w:val="20"/>
          <w:szCs w:val="20"/>
          <w:color w:val="auto"/>
        </w:rPr>
      </w:pPr>
      <w:r>
        <w:rPr>
          <w:rFonts w:ascii="Arial" w:cs="Arial" w:eastAsia="Arial" w:hAnsi="Arial"/>
          <w:sz w:val="19"/>
          <w:szCs w:val="19"/>
          <w:color w:val="auto"/>
        </w:rPr>
        <w:t>with copies to (which shall not constitute notice to any Loan Party): Advent</w:t>
      </w:r>
    </w:p>
    <w:p>
      <w:pPr>
        <w:spacing w:after="0" w:line="214" w:lineRule="exact"/>
        <w:rPr>
          <w:sz w:val="20"/>
          <w:szCs w:val="20"/>
          <w:color w:val="auto"/>
        </w:rPr>
      </w:pPr>
    </w:p>
    <w:p>
      <w:pPr>
        <w:ind w:left="2340"/>
        <w:spacing w:after="0"/>
        <w:rPr>
          <w:sz w:val="20"/>
          <w:szCs w:val="20"/>
          <w:color w:val="auto"/>
        </w:rPr>
      </w:pPr>
      <w:r>
        <w:rPr>
          <w:rFonts w:ascii="Arial" w:cs="Arial" w:eastAsia="Arial" w:hAnsi="Arial"/>
          <w:sz w:val="19"/>
          <w:szCs w:val="19"/>
          <w:color w:val="auto"/>
        </w:rPr>
        <w:t>International Corporation</w:t>
      </w:r>
    </w:p>
    <w:p>
      <w:pPr>
        <w:spacing w:after="0" w:line="106" w:lineRule="exact"/>
        <w:rPr>
          <w:sz w:val="20"/>
          <w:szCs w:val="20"/>
          <w:color w:val="auto"/>
        </w:rPr>
      </w:pPr>
    </w:p>
    <w:p>
      <w:pPr>
        <w:ind w:left="2340"/>
        <w:spacing w:after="0"/>
        <w:rPr>
          <w:sz w:val="20"/>
          <w:szCs w:val="20"/>
          <w:color w:val="auto"/>
        </w:rPr>
      </w:pPr>
      <w:r>
        <w:rPr>
          <w:rFonts w:ascii="Arial" w:cs="Arial" w:eastAsia="Arial" w:hAnsi="Arial"/>
          <w:sz w:val="19"/>
          <w:szCs w:val="19"/>
          <w:color w:val="auto"/>
        </w:rPr>
        <w:t>12 E. 49th Street, 45th Floor New</w:t>
      </w:r>
    </w:p>
    <w:p>
      <w:pPr>
        <w:ind w:left="2340"/>
        <w:spacing w:after="0" w:line="237" w:lineRule="auto"/>
        <w:rPr>
          <w:sz w:val="20"/>
          <w:szCs w:val="20"/>
          <w:color w:val="auto"/>
        </w:rPr>
      </w:pPr>
      <w:r>
        <w:rPr>
          <w:rFonts w:ascii="Arial" w:cs="Arial" w:eastAsia="Arial" w:hAnsi="Arial"/>
          <w:sz w:val="19"/>
          <w:szCs w:val="19"/>
          <w:color w:val="auto"/>
        </w:rPr>
        <w:t>York, New York 10017 Attention:</w:t>
      </w:r>
    </w:p>
    <w:p>
      <w:pPr>
        <w:ind w:left="2340"/>
        <w:spacing w:after="0"/>
        <w:rPr>
          <w:sz w:val="20"/>
          <w:szCs w:val="20"/>
          <w:color w:val="auto"/>
        </w:rPr>
      </w:pPr>
      <w:r>
        <w:rPr>
          <w:rFonts w:ascii="Arial" w:cs="Arial" w:eastAsia="Arial" w:hAnsi="Arial"/>
          <w:sz w:val="19"/>
          <w:szCs w:val="19"/>
          <w:color w:val="auto"/>
        </w:rPr>
        <w:t>Ken Prince</w:t>
      </w:r>
    </w:p>
    <w:p>
      <w:pPr>
        <w:spacing w:after="0" w:line="63" w:lineRule="exact"/>
        <w:rPr>
          <w:sz w:val="20"/>
          <w:szCs w:val="20"/>
          <w:color w:val="auto"/>
        </w:rPr>
      </w:pPr>
    </w:p>
    <w:p>
      <w:pPr>
        <w:ind w:left="2340"/>
        <w:spacing w:after="0"/>
        <w:rPr>
          <w:sz w:val="20"/>
          <w:szCs w:val="20"/>
          <w:color w:val="auto"/>
        </w:rPr>
      </w:pPr>
      <w:r>
        <w:rPr>
          <w:rFonts w:ascii="Arial" w:cs="Arial" w:eastAsia="Arial" w:hAnsi="Arial"/>
          <w:sz w:val="19"/>
          <w:szCs w:val="19"/>
          <w:color w:val="auto"/>
        </w:rPr>
        <w:t>Email: on file with the Administrative Agent and</w:t>
      </w:r>
    </w:p>
    <w:p>
      <w:pPr>
        <w:spacing w:after="0" w:line="106" w:lineRule="exact"/>
        <w:rPr>
          <w:sz w:val="20"/>
          <w:szCs w:val="20"/>
          <w:color w:val="auto"/>
        </w:rPr>
      </w:pPr>
    </w:p>
    <w:p>
      <w:pPr>
        <w:ind w:left="2340"/>
        <w:spacing w:after="0"/>
        <w:rPr>
          <w:sz w:val="20"/>
          <w:szCs w:val="20"/>
          <w:color w:val="auto"/>
        </w:rPr>
      </w:pPr>
      <w:r>
        <w:rPr>
          <w:rFonts w:ascii="Arial" w:cs="Arial" w:eastAsia="Arial" w:hAnsi="Arial"/>
          <w:sz w:val="19"/>
          <w:szCs w:val="19"/>
          <w:color w:val="FF0000"/>
          <w:strike w:val="1"/>
        </w:rPr>
        <w:t>Weil, Gotshal &amp; Manges</w:t>
      </w:r>
      <w:r>
        <w:rPr>
          <w:rFonts w:ascii="Arial" w:cs="Arial" w:eastAsia="Arial" w:hAnsi="Arial"/>
          <w:sz w:val="19"/>
          <w:szCs w:val="19"/>
          <w:u w:val="single" w:color="auto"/>
          <w:color w:val="0000FF"/>
        </w:rPr>
        <w:t>Sidley Austin</w:t>
      </w:r>
      <w:r>
        <w:rPr>
          <w:rFonts w:ascii="Arial" w:cs="Arial" w:eastAsia="Arial" w:hAnsi="Arial"/>
          <w:sz w:val="19"/>
          <w:szCs w:val="19"/>
          <w:color w:val="FF0000"/>
        </w:rPr>
        <w:t xml:space="preserve"> </w:t>
      </w:r>
      <w:r>
        <w:rPr>
          <w:rFonts w:ascii="Arial" w:cs="Arial" w:eastAsia="Arial" w:hAnsi="Arial"/>
          <w:sz w:val="19"/>
          <w:szCs w:val="19"/>
          <w:color w:val="000000"/>
        </w:rPr>
        <w:t>LLP</w:t>
      </w:r>
    </w:p>
    <w:p>
      <w:pPr>
        <w:ind w:left="2340"/>
        <w:spacing w:after="0" w:line="237" w:lineRule="auto"/>
        <w:rPr>
          <w:sz w:val="20"/>
          <w:szCs w:val="20"/>
          <w:color w:val="auto"/>
        </w:rPr>
      </w:pPr>
      <w:r>
        <w:rPr>
          <w:rFonts w:ascii="Arial" w:cs="Arial" w:eastAsia="Arial" w:hAnsi="Arial"/>
          <w:sz w:val="19"/>
          <w:szCs w:val="19"/>
          <w:color w:val="FF0000"/>
          <w:strike w:val="1"/>
        </w:rPr>
        <w:t>767 Fifth</w:t>
      </w:r>
      <w:r>
        <w:rPr>
          <w:rFonts w:ascii="Arial" w:cs="Arial" w:eastAsia="Arial" w:hAnsi="Arial"/>
          <w:sz w:val="19"/>
          <w:szCs w:val="19"/>
          <w:u w:val="single" w:color="auto"/>
          <w:color w:val="0000FF"/>
        </w:rPr>
        <w:t>787 7th</w:t>
      </w:r>
      <w:r>
        <w:rPr>
          <w:rFonts w:ascii="Arial" w:cs="Arial" w:eastAsia="Arial" w:hAnsi="Arial"/>
          <w:sz w:val="19"/>
          <w:szCs w:val="19"/>
          <w:color w:val="FF0000"/>
        </w:rPr>
        <w:t xml:space="preserve"> </w:t>
      </w:r>
      <w:r>
        <w:rPr>
          <w:rFonts w:ascii="Arial" w:cs="Arial" w:eastAsia="Arial" w:hAnsi="Arial"/>
          <w:sz w:val="19"/>
          <w:szCs w:val="19"/>
          <w:color w:val="000000"/>
        </w:rPr>
        <w:t>Avenue</w:t>
      </w:r>
    </w:p>
    <w:p>
      <w:pPr>
        <w:ind w:left="2340"/>
        <w:spacing w:after="0" w:line="222" w:lineRule="auto"/>
        <w:rPr>
          <w:sz w:val="20"/>
          <w:szCs w:val="20"/>
          <w:color w:val="auto"/>
        </w:rPr>
      </w:pPr>
      <w:r>
        <w:rPr>
          <w:rFonts w:ascii="Arial" w:cs="Arial" w:eastAsia="Arial" w:hAnsi="Arial"/>
          <w:sz w:val="19"/>
          <w:szCs w:val="19"/>
          <w:color w:val="auto"/>
        </w:rPr>
        <w:t xml:space="preserve">New York, </w:t>
      </w:r>
      <w:r>
        <w:rPr>
          <w:rFonts w:ascii="Arial" w:cs="Arial" w:eastAsia="Arial" w:hAnsi="Arial"/>
          <w:sz w:val="19"/>
          <w:szCs w:val="19"/>
          <w:color w:val="FF0000"/>
          <w:strike w:val="1"/>
        </w:rPr>
        <w:t>New York 10153</w:t>
      </w:r>
      <w:r>
        <w:rPr>
          <w:rFonts w:ascii="Arial" w:cs="Arial" w:eastAsia="Arial" w:hAnsi="Arial"/>
          <w:sz w:val="19"/>
          <w:szCs w:val="19"/>
          <w:u w:val="single" w:color="auto"/>
          <w:color w:val="0000FF"/>
        </w:rPr>
        <w:t>NY 10019</w:t>
      </w:r>
    </w:p>
    <w:p>
      <w:pPr>
        <w:ind w:left="2340"/>
        <w:spacing w:after="0" w:line="223" w:lineRule="auto"/>
        <w:rPr>
          <w:sz w:val="20"/>
          <w:szCs w:val="20"/>
          <w:color w:val="auto"/>
        </w:rPr>
      </w:pPr>
      <w:r>
        <w:rPr>
          <w:rFonts w:ascii="Arial" w:cs="Arial" w:eastAsia="Arial" w:hAnsi="Arial"/>
          <w:sz w:val="19"/>
          <w:szCs w:val="19"/>
          <w:color w:val="auto"/>
        </w:rPr>
        <w:t xml:space="preserve">Attention: </w:t>
      </w:r>
      <w:r>
        <w:rPr>
          <w:rFonts w:ascii="Arial" w:cs="Arial" w:eastAsia="Arial" w:hAnsi="Arial"/>
          <w:sz w:val="19"/>
          <w:szCs w:val="19"/>
          <w:color w:val="FF0000"/>
          <w:strike w:val="1"/>
        </w:rPr>
        <w:t>Allison Liff</w:t>
      </w:r>
      <w:r>
        <w:rPr>
          <w:rFonts w:ascii="Arial" w:cs="Arial" w:eastAsia="Arial" w:hAnsi="Arial"/>
          <w:sz w:val="19"/>
          <w:szCs w:val="19"/>
          <w:u w:val="single" w:color="auto"/>
          <w:color w:val="0000FF"/>
        </w:rPr>
        <w:t>Ram Burshtine</w:t>
      </w:r>
    </w:p>
    <w:p>
      <w:pPr>
        <w:ind w:left="2340"/>
        <w:spacing w:after="0"/>
        <w:rPr>
          <w:sz w:val="20"/>
          <w:szCs w:val="20"/>
          <w:color w:val="auto"/>
        </w:rPr>
      </w:pPr>
      <w:r>
        <w:rPr>
          <w:rFonts w:ascii="Arial" w:cs="Arial" w:eastAsia="Arial" w:hAnsi="Arial"/>
          <w:sz w:val="19"/>
          <w:szCs w:val="19"/>
          <w:color w:val="auto"/>
        </w:rPr>
        <w:t xml:space="preserve">Email: </w:t>
      </w:r>
      <w:r>
        <w:rPr>
          <w:rFonts w:ascii="Arial" w:cs="Arial" w:eastAsia="Arial" w:hAnsi="Arial"/>
          <w:sz w:val="19"/>
          <w:szCs w:val="19"/>
          <w:color w:val="FF0000"/>
          <w:strike w:val="1"/>
        </w:rPr>
        <w:t>allison.liff@weil</w:t>
      </w:r>
      <w:r>
        <w:rPr>
          <w:rFonts w:ascii="Arial" w:cs="Arial" w:eastAsia="Arial" w:hAnsi="Arial"/>
          <w:sz w:val="19"/>
          <w:szCs w:val="19"/>
          <w:color w:val="auto"/>
        </w:rPr>
        <w:t>rburshtine@sidley.com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176</w:t>
      </w:r>
      <w:r>
        <w:rPr>
          <w:rFonts w:ascii="Arial" w:cs="Arial" w:eastAsia="Arial" w:hAnsi="Arial"/>
          <w:sz w:val="18"/>
          <w:szCs w:val="18"/>
          <w:u w:val="single" w:color="auto"/>
          <w:color w:val="0000FF"/>
          <w:strike w:val="1"/>
        </w:rPr>
        <w:t>176</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44" w:name="page245"/>
    <w:bookmarkEnd w:id="244"/>
    <w:p>
      <w:pPr>
        <w:ind w:left="2080" w:hanging="488"/>
        <w:spacing w:after="0"/>
        <w:tabs>
          <w:tab w:leader="none" w:pos="2080" w:val="left"/>
        </w:tabs>
        <w:numPr>
          <w:ilvl w:val="0"/>
          <w:numId w:val="305"/>
        </w:numPr>
        <w:rPr>
          <w:rFonts w:ascii="Arial" w:cs="Arial" w:eastAsia="Arial" w:hAnsi="Arial"/>
          <w:sz w:val="19"/>
          <w:szCs w:val="19"/>
          <w:color w:val="auto"/>
        </w:rPr>
      </w:pPr>
      <w:r>
        <w:rPr>
          <w:rFonts w:ascii="Arial" w:cs="Arial" w:eastAsia="Arial" w:hAnsi="Arial"/>
          <w:sz w:val="19"/>
          <w:szCs w:val="19"/>
          <w:color w:val="auto"/>
        </w:rPr>
        <w:t>if to the Administrative Agent or the Swingline Lender, at: For notices</w:t>
      </w:r>
    </w:p>
    <w:p>
      <w:pPr>
        <w:spacing w:after="0" w:line="214" w:lineRule="exact"/>
        <w:rPr>
          <w:sz w:val="20"/>
          <w:szCs w:val="20"/>
          <w:color w:val="auto"/>
        </w:rPr>
      </w:pPr>
    </w:p>
    <w:p>
      <w:pPr>
        <w:ind w:left="2080"/>
        <w:spacing w:after="0"/>
        <w:rPr>
          <w:sz w:val="20"/>
          <w:szCs w:val="20"/>
          <w:color w:val="auto"/>
        </w:rPr>
      </w:pPr>
      <w:r>
        <w:rPr>
          <w:rFonts w:ascii="Arial" w:cs="Arial" w:eastAsia="Arial" w:hAnsi="Arial"/>
          <w:sz w:val="19"/>
          <w:szCs w:val="19"/>
          <w:color w:val="auto"/>
        </w:rPr>
        <w:t>regarding Borrowing activity:</w:t>
      </w:r>
    </w:p>
    <w:p>
      <w:pPr>
        <w:spacing w:after="0" w:line="119" w:lineRule="exact"/>
        <w:rPr>
          <w:sz w:val="20"/>
          <w:szCs w:val="20"/>
          <w:color w:val="auto"/>
        </w:rPr>
      </w:pPr>
    </w:p>
    <w:p>
      <w:pPr>
        <w:ind w:left="2340"/>
        <w:spacing w:after="0"/>
        <w:rPr>
          <w:sz w:val="20"/>
          <w:szCs w:val="20"/>
          <w:color w:val="auto"/>
        </w:rPr>
      </w:pPr>
      <w:r>
        <w:rPr>
          <w:rFonts w:ascii="Arial" w:cs="Arial" w:eastAsia="Arial" w:hAnsi="Arial"/>
          <w:sz w:val="19"/>
          <w:szCs w:val="19"/>
          <w:color w:val="auto"/>
        </w:rPr>
        <w:t>Bank of America, N.A. Gateway</w:t>
      </w:r>
    </w:p>
    <w:p>
      <w:pPr>
        <w:ind w:left="2340"/>
        <w:spacing w:after="0" w:line="222" w:lineRule="auto"/>
        <w:rPr>
          <w:sz w:val="20"/>
          <w:szCs w:val="20"/>
          <w:color w:val="auto"/>
        </w:rPr>
      </w:pPr>
      <w:r>
        <w:rPr>
          <w:rFonts w:ascii="Arial" w:cs="Arial" w:eastAsia="Arial" w:hAnsi="Arial"/>
          <w:sz w:val="19"/>
          <w:szCs w:val="19"/>
          <w:color w:val="auto"/>
        </w:rPr>
        <w:t>Village-900 Building 900 W Trade</w:t>
      </w:r>
    </w:p>
    <w:p>
      <w:pPr>
        <w:ind w:left="2340"/>
        <w:spacing w:after="0" w:line="222" w:lineRule="auto"/>
        <w:rPr>
          <w:sz w:val="20"/>
          <w:szCs w:val="20"/>
          <w:color w:val="auto"/>
        </w:rPr>
      </w:pPr>
      <w:r>
        <w:rPr>
          <w:rFonts w:ascii="Arial" w:cs="Arial" w:eastAsia="Arial" w:hAnsi="Arial"/>
          <w:sz w:val="19"/>
          <w:szCs w:val="19"/>
          <w:color w:val="auto"/>
        </w:rPr>
        <w:t>Street</w:t>
      </w:r>
    </w:p>
    <w:p>
      <w:pPr>
        <w:spacing w:after="0" w:line="1" w:lineRule="exact"/>
        <w:rPr>
          <w:sz w:val="20"/>
          <w:szCs w:val="20"/>
          <w:color w:val="auto"/>
        </w:rPr>
      </w:pPr>
    </w:p>
    <w:p>
      <w:pPr>
        <w:ind w:left="2340"/>
        <w:spacing w:after="0"/>
        <w:rPr>
          <w:sz w:val="20"/>
          <w:szCs w:val="20"/>
          <w:color w:val="auto"/>
        </w:rPr>
      </w:pPr>
      <w:r>
        <w:rPr>
          <w:rFonts w:ascii="Arial" w:cs="Arial" w:eastAsia="Arial" w:hAnsi="Arial"/>
          <w:sz w:val="19"/>
          <w:szCs w:val="19"/>
          <w:color w:val="auto"/>
        </w:rPr>
        <w:t>Mail Code: NC1-026-06-04</w:t>
      </w:r>
    </w:p>
    <w:p>
      <w:pPr>
        <w:ind w:left="2340"/>
        <w:spacing w:after="0" w:line="234" w:lineRule="auto"/>
        <w:rPr>
          <w:sz w:val="20"/>
          <w:szCs w:val="20"/>
          <w:color w:val="auto"/>
        </w:rPr>
      </w:pPr>
      <w:r>
        <w:rPr>
          <w:rFonts w:ascii="Arial" w:cs="Arial" w:eastAsia="Arial" w:hAnsi="Arial"/>
          <w:sz w:val="19"/>
          <w:szCs w:val="19"/>
          <w:color w:val="auto"/>
        </w:rPr>
        <w:t>Charlotte, NC, 28255</w:t>
      </w:r>
    </w:p>
    <w:p>
      <w:pPr>
        <w:ind w:left="2340"/>
        <w:spacing w:after="0" w:line="222" w:lineRule="auto"/>
        <w:rPr>
          <w:sz w:val="20"/>
          <w:szCs w:val="20"/>
          <w:color w:val="auto"/>
        </w:rPr>
      </w:pPr>
      <w:r>
        <w:rPr>
          <w:rFonts w:ascii="Arial" w:cs="Arial" w:eastAsia="Arial" w:hAnsi="Arial"/>
          <w:sz w:val="19"/>
          <w:szCs w:val="19"/>
          <w:color w:val="auto"/>
        </w:rPr>
        <w:t>Phone: 980.387.3614</w:t>
      </w:r>
    </w:p>
    <w:p>
      <w:pPr>
        <w:ind w:left="2340"/>
        <w:spacing w:after="0" w:line="223" w:lineRule="auto"/>
        <w:rPr>
          <w:sz w:val="20"/>
          <w:szCs w:val="20"/>
          <w:color w:val="auto"/>
        </w:rPr>
      </w:pPr>
      <w:r>
        <w:rPr>
          <w:rFonts w:ascii="Arial" w:cs="Arial" w:eastAsia="Arial" w:hAnsi="Arial"/>
          <w:sz w:val="19"/>
          <w:szCs w:val="19"/>
          <w:color w:val="auto"/>
        </w:rPr>
        <w:t>Fax: 704.208.3045</w:t>
      </w:r>
    </w:p>
    <w:p>
      <w:pPr>
        <w:ind w:left="2340"/>
        <w:spacing w:after="0" w:line="237" w:lineRule="auto"/>
        <w:rPr>
          <w:sz w:val="20"/>
          <w:szCs w:val="20"/>
          <w:color w:val="auto"/>
        </w:rPr>
      </w:pPr>
      <w:r>
        <w:rPr>
          <w:rFonts w:ascii="Arial" w:cs="Arial" w:eastAsia="Arial" w:hAnsi="Arial"/>
          <w:sz w:val="19"/>
          <w:szCs w:val="19"/>
          <w:color w:val="auto"/>
        </w:rPr>
        <w:t>Attention: Smith Bagley</w:t>
      </w:r>
    </w:p>
    <w:p>
      <w:pPr>
        <w:spacing w:after="0" w:line="1" w:lineRule="exact"/>
        <w:rPr>
          <w:sz w:val="20"/>
          <w:szCs w:val="20"/>
          <w:color w:val="auto"/>
        </w:rPr>
      </w:pPr>
    </w:p>
    <w:p>
      <w:pPr>
        <w:ind w:left="2340"/>
        <w:spacing w:after="0"/>
        <w:rPr>
          <w:sz w:val="20"/>
          <w:szCs w:val="20"/>
          <w:color w:val="auto"/>
        </w:rPr>
      </w:pPr>
      <w:r>
        <w:rPr>
          <w:rFonts w:ascii="Arial" w:cs="Arial" w:eastAsia="Arial" w:hAnsi="Arial"/>
          <w:sz w:val="19"/>
          <w:szCs w:val="19"/>
          <w:color w:val="auto"/>
        </w:rPr>
        <w:t>Email: smith.bagley@bofa.com</w:t>
      </w:r>
    </w:p>
    <w:p>
      <w:pPr>
        <w:spacing w:after="0" w:line="184" w:lineRule="exact"/>
        <w:rPr>
          <w:sz w:val="20"/>
          <w:szCs w:val="20"/>
          <w:color w:val="auto"/>
        </w:rPr>
      </w:pPr>
    </w:p>
    <w:p>
      <w:pPr>
        <w:ind w:left="2340"/>
        <w:spacing w:after="0"/>
        <w:rPr>
          <w:sz w:val="20"/>
          <w:szCs w:val="20"/>
          <w:color w:val="auto"/>
        </w:rPr>
      </w:pPr>
      <w:r>
        <w:rPr>
          <w:rFonts w:ascii="Arial" w:cs="Arial" w:eastAsia="Arial" w:hAnsi="Arial"/>
          <w:sz w:val="19"/>
          <w:szCs w:val="19"/>
          <w:color w:val="auto"/>
        </w:rPr>
        <w:t>For other notices to Administrative Agent:</w:t>
      </w:r>
    </w:p>
    <w:p>
      <w:pPr>
        <w:spacing w:after="0" w:line="200" w:lineRule="exact"/>
        <w:rPr>
          <w:sz w:val="20"/>
          <w:szCs w:val="20"/>
          <w:color w:val="auto"/>
        </w:rPr>
      </w:pPr>
    </w:p>
    <w:p>
      <w:pPr>
        <w:ind w:left="2340"/>
        <w:spacing w:after="0"/>
        <w:rPr>
          <w:sz w:val="20"/>
          <w:szCs w:val="20"/>
          <w:color w:val="auto"/>
        </w:rPr>
      </w:pPr>
      <w:r>
        <w:rPr>
          <w:rFonts w:ascii="Arial" w:cs="Arial" w:eastAsia="Arial" w:hAnsi="Arial"/>
          <w:sz w:val="19"/>
          <w:szCs w:val="19"/>
          <w:color w:val="auto"/>
        </w:rPr>
        <w:t>Bank of America, N.A.</w:t>
      </w:r>
    </w:p>
    <w:p>
      <w:pPr>
        <w:ind w:left="2340"/>
        <w:spacing w:after="0" w:line="237" w:lineRule="auto"/>
        <w:rPr>
          <w:sz w:val="20"/>
          <w:szCs w:val="20"/>
          <w:color w:val="auto"/>
        </w:rPr>
      </w:pPr>
      <w:r>
        <w:rPr>
          <w:rFonts w:ascii="Arial" w:cs="Arial" w:eastAsia="Arial" w:hAnsi="Arial"/>
          <w:sz w:val="19"/>
          <w:szCs w:val="19"/>
          <w:color w:val="auto"/>
        </w:rPr>
        <w:t>555 California, Street, 6th Floor Mail</w:t>
      </w:r>
    </w:p>
    <w:p>
      <w:pPr>
        <w:ind w:left="2340"/>
        <w:spacing w:after="0" w:line="222" w:lineRule="auto"/>
        <w:rPr>
          <w:sz w:val="20"/>
          <w:szCs w:val="20"/>
          <w:color w:val="auto"/>
        </w:rPr>
      </w:pPr>
      <w:r>
        <w:rPr>
          <w:rFonts w:ascii="Arial" w:cs="Arial" w:eastAsia="Arial" w:hAnsi="Arial"/>
          <w:sz w:val="19"/>
          <w:szCs w:val="19"/>
          <w:color w:val="auto"/>
        </w:rPr>
        <w:t>Code: CA5-705-04-09</w:t>
      </w:r>
    </w:p>
    <w:p>
      <w:pPr>
        <w:ind w:left="2340"/>
        <w:spacing w:after="0" w:line="237" w:lineRule="auto"/>
        <w:rPr>
          <w:sz w:val="20"/>
          <w:szCs w:val="20"/>
          <w:color w:val="auto"/>
        </w:rPr>
      </w:pPr>
      <w:r>
        <w:rPr>
          <w:rFonts w:ascii="Arial" w:cs="Arial" w:eastAsia="Arial" w:hAnsi="Arial"/>
          <w:sz w:val="19"/>
          <w:szCs w:val="19"/>
          <w:color w:val="auto"/>
        </w:rPr>
        <w:t>San Francisco, CA 94104 Phone: 415</w:t>
      </w:r>
    </w:p>
    <w:p>
      <w:pPr>
        <w:ind w:left="2340"/>
        <w:spacing w:after="0" w:line="223" w:lineRule="auto"/>
        <w:rPr>
          <w:sz w:val="20"/>
          <w:szCs w:val="20"/>
          <w:color w:val="auto"/>
        </w:rPr>
      </w:pPr>
      <w:r>
        <w:rPr>
          <w:rFonts w:ascii="Arial" w:cs="Arial" w:eastAsia="Arial" w:hAnsi="Arial"/>
          <w:sz w:val="19"/>
          <w:szCs w:val="19"/>
          <w:color w:val="auto"/>
        </w:rPr>
        <w:t>436-3102</w:t>
      </w:r>
    </w:p>
    <w:p>
      <w:pPr>
        <w:ind w:left="2340"/>
        <w:spacing w:after="0" w:line="222" w:lineRule="auto"/>
        <w:rPr>
          <w:sz w:val="20"/>
          <w:szCs w:val="20"/>
          <w:color w:val="auto"/>
        </w:rPr>
      </w:pPr>
      <w:r>
        <w:rPr>
          <w:rFonts w:ascii="Arial" w:cs="Arial" w:eastAsia="Arial" w:hAnsi="Arial"/>
          <w:sz w:val="19"/>
          <w:szCs w:val="19"/>
          <w:color w:val="auto"/>
        </w:rPr>
        <w:t>Fax: 415-503-5009</w:t>
      </w:r>
    </w:p>
    <w:p>
      <w:pPr>
        <w:ind w:left="2340"/>
        <w:spacing w:after="0" w:line="238" w:lineRule="auto"/>
        <w:rPr>
          <w:sz w:val="20"/>
          <w:szCs w:val="20"/>
          <w:color w:val="auto"/>
        </w:rPr>
      </w:pPr>
      <w:r>
        <w:rPr>
          <w:rFonts w:ascii="Arial" w:cs="Arial" w:eastAsia="Arial" w:hAnsi="Arial"/>
          <w:sz w:val="19"/>
          <w:szCs w:val="19"/>
          <w:color w:val="auto"/>
        </w:rPr>
        <w:t>Attention: Linda Mackey</w:t>
      </w:r>
    </w:p>
    <w:p>
      <w:pPr>
        <w:ind w:left="2340"/>
        <w:spacing w:after="0"/>
        <w:rPr>
          <w:sz w:val="20"/>
          <w:szCs w:val="20"/>
          <w:color w:val="auto"/>
        </w:rPr>
      </w:pPr>
      <w:r>
        <w:rPr>
          <w:rFonts w:ascii="Arial" w:cs="Arial" w:eastAsia="Arial" w:hAnsi="Arial"/>
          <w:sz w:val="19"/>
          <w:szCs w:val="19"/>
          <w:color w:val="auto"/>
        </w:rPr>
        <w:t>Email: linda.z.mackey@bofa.com</w:t>
      </w:r>
    </w:p>
    <w:p>
      <w:pPr>
        <w:spacing w:after="0" w:line="184" w:lineRule="exact"/>
        <w:rPr>
          <w:sz w:val="20"/>
          <w:szCs w:val="20"/>
          <w:color w:val="auto"/>
        </w:rPr>
      </w:pPr>
    </w:p>
    <w:p>
      <w:pPr>
        <w:ind w:left="2340" w:hanging="748"/>
        <w:spacing w:after="0"/>
        <w:tabs>
          <w:tab w:leader="none" w:pos="2340" w:val="left"/>
        </w:tabs>
        <w:numPr>
          <w:ilvl w:val="0"/>
          <w:numId w:val="306"/>
        </w:numPr>
        <w:rPr>
          <w:rFonts w:ascii="Arial" w:cs="Arial" w:eastAsia="Arial" w:hAnsi="Arial"/>
          <w:sz w:val="19"/>
          <w:szCs w:val="19"/>
          <w:color w:val="auto"/>
        </w:rPr>
      </w:pPr>
      <w:r>
        <w:rPr>
          <w:rFonts w:ascii="Arial" w:cs="Arial" w:eastAsia="Arial" w:hAnsi="Arial"/>
          <w:sz w:val="19"/>
          <w:szCs w:val="19"/>
          <w:color w:val="auto"/>
        </w:rPr>
        <w:t>if to any Issuing Bank, at:</w:t>
      </w:r>
    </w:p>
    <w:p>
      <w:pPr>
        <w:spacing w:after="0" w:line="213" w:lineRule="exact"/>
        <w:rPr>
          <w:rFonts w:ascii="Arial" w:cs="Arial" w:eastAsia="Arial" w:hAnsi="Arial"/>
          <w:sz w:val="19"/>
          <w:szCs w:val="19"/>
          <w:color w:val="auto"/>
        </w:rPr>
      </w:pPr>
    </w:p>
    <w:p>
      <w:pPr>
        <w:ind w:left="2340" w:right="19"/>
        <w:spacing w:after="0" w:line="246" w:lineRule="auto"/>
        <w:rPr>
          <w:rFonts w:ascii="Arial" w:cs="Arial" w:eastAsia="Arial" w:hAnsi="Arial"/>
          <w:sz w:val="19"/>
          <w:szCs w:val="19"/>
          <w:color w:val="auto"/>
        </w:rPr>
      </w:pPr>
      <w:r>
        <w:rPr>
          <w:rFonts w:ascii="Arial" w:cs="Arial" w:eastAsia="Arial" w:hAnsi="Arial"/>
          <w:sz w:val="19"/>
          <w:szCs w:val="19"/>
          <w:color w:val="auto"/>
        </w:rPr>
        <w:t xml:space="preserve">if to any other Issuing Bank that is an Issuing Bank on the Closing Date, the relevant address specified in </w:t>
      </w:r>
      <w:r>
        <w:rPr>
          <w:rFonts w:ascii="Arial" w:cs="Arial" w:eastAsia="Arial" w:hAnsi="Arial"/>
          <w:sz w:val="19"/>
          <w:szCs w:val="19"/>
          <w:u w:val="single" w:color="auto"/>
          <w:color w:val="auto"/>
        </w:rPr>
        <w:t>Schedule 9.01</w:t>
      </w:r>
      <w:r>
        <w:rPr>
          <w:rFonts w:ascii="Arial" w:cs="Arial" w:eastAsia="Arial" w:hAnsi="Arial"/>
          <w:sz w:val="19"/>
          <w:szCs w:val="19"/>
          <w:color w:val="auto"/>
        </w:rPr>
        <w:t>;</w:t>
      </w:r>
    </w:p>
    <w:p>
      <w:pPr>
        <w:spacing w:after="0" w:line="173" w:lineRule="exact"/>
        <w:rPr>
          <w:rFonts w:ascii="Arial" w:cs="Arial" w:eastAsia="Arial" w:hAnsi="Arial"/>
          <w:sz w:val="19"/>
          <w:szCs w:val="19"/>
          <w:color w:val="auto"/>
        </w:rPr>
      </w:pPr>
    </w:p>
    <w:p>
      <w:pPr>
        <w:ind w:left="2340"/>
        <w:spacing w:after="0"/>
        <w:rPr>
          <w:rFonts w:ascii="Arial" w:cs="Arial" w:eastAsia="Arial" w:hAnsi="Arial"/>
          <w:sz w:val="19"/>
          <w:szCs w:val="19"/>
          <w:color w:val="auto"/>
        </w:rPr>
      </w:pPr>
      <w:r>
        <w:rPr>
          <w:rFonts w:ascii="Arial" w:cs="Arial" w:eastAsia="Arial" w:hAnsi="Arial"/>
          <w:sz w:val="19"/>
          <w:szCs w:val="19"/>
          <w:color w:val="auto"/>
        </w:rPr>
        <w:t>or</w:t>
      </w:r>
    </w:p>
    <w:p>
      <w:pPr>
        <w:spacing w:after="0" w:line="200" w:lineRule="exact"/>
        <w:rPr>
          <w:rFonts w:ascii="Arial" w:cs="Arial" w:eastAsia="Arial" w:hAnsi="Arial"/>
          <w:sz w:val="19"/>
          <w:szCs w:val="19"/>
          <w:color w:val="auto"/>
        </w:rPr>
      </w:pPr>
    </w:p>
    <w:p>
      <w:pPr>
        <w:ind w:left="2340" w:right="539"/>
        <w:spacing w:after="0" w:line="261" w:lineRule="auto"/>
        <w:rPr>
          <w:rFonts w:ascii="Arial" w:cs="Arial" w:eastAsia="Arial" w:hAnsi="Arial"/>
          <w:sz w:val="19"/>
          <w:szCs w:val="19"/>
          <w:color w:val="auto"/>
        </w:rPr>
      </w:pPr>
      <w:r>
        <w:rPr>
          <w:rFonts w:ascii="Arial" w:cs="Arial" w:eastAsia="Arial" w:hAnsi="Arial"/>
          <w:sz w:val="19"/>
          <w:szCs w:val="19"/>
          <w:color w:val="auto"/>
        </w:rPr>
        <w:t>if to any other Issuing Bank, such address as may be specified in the documentation pursuant to which such Issuing Bank is appointed in its capacity as such; and</w:t>
      </w:r>
    </w:p>
    <w:p>
      <w:pPr>
        <w:spacing w:after="0" w:line="145" w:lineRule="exact"/>
        <w:rPr>
          <w:rFonts w:ascii="Arial" w:cs="Arial" w:eastAsia="Arial" w:hAnsi="Arial"/>
          <w:sz w:val="19"/>
          <w:szCs w:val="19"/>
          <w:color w:val="auto"/>
        </w:rPr>
      </w:pPr>
    </w:p>
    <w:p>
      <w:pPr>
        <w:ind w:left="2360" w:hanging="769"/>
        <w:spacing w:after="0"/>
        <w:tabs>
          <w:tab w:leader="none" w:pos="2360" w:val="left"/>
        </w:tabs>
        <w:numPr>
          <w:ilvl w:val="0"/>
          <w:numId w:val="306"/>
        </w:numPr>
        <w:rPr>
          <w:rFonts w:ascii="Arial" w:cs="Arial" w:eastAsia="Arial" w:hAnsi="Arial"/>
          <w:sz w:val="19"/>
          <w:szCs w:val="19"/>
          <w:color w:val="auto"/>
        </w:rPr>
      </w:pPr>
      <w:r>
        <w:rPr>
          <w:rFonts w:ascii="Arial" w:cs="Arial" w:eastAsia="Arial" w:hAnsi="Arial"/>
          <w:sz w:val="19"/>
          <w:szCs w:val="19"/>
          <w:color w:val="auto"/>
        </w:rPr>
        <w:t>if to any Lender, to it at its physical address or email address set forth in its Administrative</w:t>
      </w:r>
    </w:p>
    <w:p>
      <w:pPr>
        <w:spacing w:after="0" w:line="13" w:lineRule="exact"/>
        <w:rPr>
          <w:rFonts w:ascii="Arial" w:cs="Arial" w:eastAsia="Arial" w:hAnsi="Arial"/>
          <w:sz w:val="19"/>
          <w:szCs w:val="19"/>
          <w:color w:val="auto"/>
        </w:rPr>
      </w:pPr>
    </w:p>
    <w:p>
      <w:pPr>
        <w:ind w:left="840"/>
        <w:spacing w:after="0"/>
        <w:rPr>
          <w:rFonts w:ascii="Arial" w:cs="Arial" w:eastAsia="Arial" w:hAnsi="Arial"/>
          <w:sz w:val="19"/>
          <w:szCs w:val="19"/>
          <w:color w:val="auto"/>
        </w:rPr>
      </w:pPr>
      <w:r>
        <w:rPr>
          <w:rFonts w:ascii="Arial" w:cs="Arial" w:eastAsia="Arial" w:hAnsi="Arial"/>
          <w:sz w:val="19"/>
          <w:szCs w:val="19"/>
          <w:color w:val="auto"/>
        </w:rPr>
        <w:t>Questionnaire.</w:t>
      </w:r>
    </w:p>
    <w:p>
      <w:pPr>
        <w:spacing w:after="0" w:line="198" w:lineRule="exact"/>
        <w:rPr>
          <w:sz w:val="20"/>
          <w:szCs w:val="20"/>
          <w:color w:val="auto"/>
        </w:rPr>
      </w:pPr>
    </w:p>
    <w:p>
      <w:pPr>
        <w:jc w:val="both"/>
        <w:ind w:left="100" w:right="19"/>
        <w:spacing w:after="0" w:line="244" w:lineRule="auto"/>
        <w:rPr>
          <w:sz w:val="20"/>
          <w:szCs w:val="20"/>
          <w:color w:val="auto"/>
        </w:rPr>
      </w:pPr>
      <w:r>
        <w:rPr>
          <w:rFonts w:ascii="Arial" w:cs="Arial" w:eastAsia="Arial" w:hAnsi="Arial"/>
          <w:sz w:val="18"/>
          <w:szCs w:val="18"/>
          <w:color w:val="auto"/>
        </w:rPr>
        <w:t xml:space="preserve">All such notices and other communications (A) sent by hand or overnight courier service, or mailed by certified or registered mail, shall be deemed to have been given when delivered in person or by courier service and signed for against receipt thereof or three Business Days after dispatch if sent by certified or registered mail, in each case, delivered, sent or mailed (properly addressed) to the relevant party as provided in this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or in accordance with the latest unrevoked direction from such party given in accordance with this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or (B) sent by facsimile shall be deemed to have been given when sent and when receipt has been confirmed by telephone;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notices and other communications sent by telecopier shall be deemed to have been given when sent (except that, if not given during normal business hours for the recipient, such notices or other communications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below shall be effective as provided in such </w:t>
      </w:r>
      <w:r>
        <w:rPr>
          <w:rFonts w:ascii="Arial" w:cs="Arial" w:eastAsia="Arial" w:hAnsi="Arial"/>
          <w:sz w:val="18"/>
          <w:szCs w:val="18"/>
          <w:u w:val="single" w:color="auto"/>
          <w:color w:val="auto"/>
        </w:rPr>
        <w:t>clause (b)</w:t>
      </w:r>
      <w:r>
        <w:rPr>
          <w:rFonts w:ascii="Arial" w:cs="Arial" w:eastAsia="Arial" w:hAnsi="Arial"/>
          <w:sz w:val="18"/>
          <w:szCs w:val="18"/>
          <w:color w:val="auto"/>
        </w:rPr>
        <w:t>.</w:t>
      </w:r>
    </w:p>
    <w:p>
      <w:pPr>
        <w:spacing w:after="0" w:line="177" w:lineRule="exact"/>
        <w:rPr>
          <w:sz w:val="20"/>
          <w:szCs w:val="20"/>
          <w:color w:val="auto"/>
        </w:rPr>
      </w:pPr>
    </w:p>
    <w:p>
      <w:pPr>
        <w:jc w:val="both"/>
        <w:ind w:left="100" w:right="59" w:firstLine="741"/>
        <w:spacing w:after="0" w:line="256" w:lineRule="auto"/>
        <w:tabs>
          <w:tab w:leader="none" w:pos="1519" w:val="left"/>
        </w:tabs>
        <w:numPr>
          <w:ilvl w:val="0"/>
          <w:numId w:val="307"/>
        </w:numPr>
        <w:rPr>
          <w:rFonts w:ascii="Arial" w:cs="Arial" w:eastAsia="Arial" w:hAnsi="Arial"/>
          <w:sz w:val="19"/>
          <w:szCs w:val="19"/>
          <w:color w:val="auto"/>
        </w:rPr>
      </w:pPr>
      <w:r>
        <w:rPr>
          <w:rFonts w:ascii="Arial" w:cs="Arial" w:eastAsia="Arial" w:hAnsi="Arial"/>
          <w:sz w:val="19"/>
          <w:szCs w:val="19"/>
          <w:color w:val="auto"/>
        </w:rPr>
        <w:t>Notices and other communications to the Lenders hereunder may be delivered or furnished by electronic communications (including e-mail and Internet or intranet websites) pursuant to procedures set forth herein or otherwise approved by the Administrative Agent. The Administrative Agent or the Borrower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177</w:t>
      </w:r>
      <w:r>
        <w:rPr>
          <w:rFonts w:ascii="Arial" w:cs="Arial" w:eastAsia="Arial" w:hAnsi="Arial"/>
          <w:sz w:val="18"/>
          <w:szCs w:val="18"/>
          <w:u w:val="single" w:color="auto"/>
          <w:color w:val="0000FF"/>
          <w:strike w:val="1"/>
        </w:rPr>
        <w:t>177</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293" w:right="1440" w:bottom="1440" w:gutter="0" w:footer="0" w:header="0"/>
        </w:sectPr>
      </w:pPr>
    </w:p>
    <w:bookmarkStart w:id="245" w:name="page246"/>
    <w:bookmarkEnd w:id="245"/>
    <w:p>
      <w:pPr>
        <w:jc w:val="both"/>
        <w:ind w:left="100" w:right="59"/>
        <w:spacing w:after="0" w:line="261" w:lineRule="auto"/>
        <w:rPr>
          <w:sz w:val="20"/>
          <w:szCs w:val="20"/>
          <w:color w:val="auto"/>
        </w:rPr>
      </w:pPr>
      <w:r>
        <w:rPr>
          <w:rFonts w:ascii="Arial" w:cs="Arial" w:eastAsia="Arial" w:hAnsi="Arial"/>
          <w:sz w:val="17"/>
          <w:szCs w:val="17"/>
          <w:color w:val="auto"/>
        </w:rPr>
        <w:t xml:space="preserve">(on behalf of any Loan Party) may, in its discretion, agree to accept notices and other communications to it hereunder by electronic communications pursuant to procedures set forth herein or otherwise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notice or communication not given during the normal business hours of the recipient shall be deemed to have been given at the opening of business on the next Business Day for the recipient or (ii) posted to an Internet or intranet website shall be deemed received upon the deemed receipt by the intended recipient at its e-mail address as described in the foregoing </w:t>
      </w:r>
      <w:r>
        <w:rPr>
          <w:rFonts w:ascii="Arial" w:cs="Arial" w:eastAsia="Arial" w:hAnsi="Arial"/>
          <w:sz w:val="17"/>
          <w:szCs w:val="17"/>
          <w:u w:val="single" w:color="auto"/>
          <w:color w:val="auto"/>
        </w:rPr>
        <w:t>clause (b)(i)</w:t>
      </w:r>
      <w:r>
        <w:rPr>
          <w:rFonts w:ascii="Arial" w:cs="Arial" w:eastAsia="Arial" w:hAnsi="Arial"/>
          <w:sz w:val="17"/>
          <w:szCs w:val="17"/>
          <w:color w:val="auto"/>
        </w:rPr>
        <w:t xml:space="preserve"> of notification that such notice or communication is available and identifying the website address therefor.</w:t>
      </w:r>
    </w:p>
    <w:p>
      <w:pPr>
        <w:spacing w:after="0" w:line="166" w:lineRule="exact"/>
        <w:rPr>
          <w:sz w:val="20"/>
          <w:szCs w:val="20"/>
          <w:color w:val="auto"/>
        </w:rPr>
      </w:pPr>
    </w:p>
    <w:p>
      <w:pPr>
        <w:jc w:val="both"/>
        <w:ind w:left="100" w:right="59" w:firstLine="741"/>
        <w:spacing w:after="0" w:line="249" w:lineRule="auto"/>
        <w:tabs>
          <w:tab w:leader="none" w:pos="1520" w:val="left"/>
        </w:tabs>
        <w:numPr>
          <w:ilvl w:val="0"/>
          <w:numId w:val="308"/>
        </w:numPr>
        <w:rPr>
          <w:rFonts w:ascii="Arial" w:cs="Arial" w:eastAsia="Arial" w:hAnsi="Arial"/>
          <w:sz w:val="19"/>
          <w:szCs w:val="19"/>
          <w:color w:val="auto"/>
        </w:rPr>
      </w:pPr>
      <w:r>
        <w:rPr>
          <w:rFonts w:ascii="Arial" w:cs="Arial" w:eastAsia="Arial" w:hAnsi="Arial"/>
          <w:sz w:val="19"/>
          <w:szCs w:val="19"/>
          <w:color w:val="auto"/>
        </w:rPr>
        <w:t>Any party hereto may change its address or facsimile number or other notice information hereunder by notice to the other parties hereto; it being understood and agreed that the Borrower may provide any such notice to the Administrative Agent as recipient on behalf of itself, the Swingline Lender, each Issuing Bank and each Lender.</w:t>
      </w:r>
    </w:p>
    <w:p>
      <w:pPr>
        <w:spacing w:after="0" w:line="183" w:lineRule="exact"/>
        <w:rPr>
          <w:rFonts w:ascii="Arial" w:cs="Arial" w:eastAsia="Arial" w:hAnsi="Arial"/>
          <w:sz w:val="19"/>
          <w:szCs w:val="19"/>
          <w:color w:val="auto"/>
        </w:rPr>
      </w:pPr>
    </w:p>
    <w:p>
      <w:pPr>
        <w:jc w:val="both"/>
        <w:ind w:left="100" w:right="59" w:firstLine="741"/>
        <w:spacing w:after="0" w:line="271" w:lineRule="auto"/>
        <w:tabs>
          <w:tab w:leader="none" w:pos="152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The Borrower hereby acknowledges that (a) the Administrative Agent will make available to the Lenders and the Issuing Banks materials and/or information provided by, or on behalf of, Holdings or the Borrower hereunder (collectively, the “</w:t>
      </w:r>
      <w:r>
        <w:rPr>
          <w:rFonts w:ascii="Arial" w:cs="Arial" w:eastAsia="Arial" w:hAnsi="Arial"/>
          <w:sz w:val="17"/>
          <w:szCs w:val="17"/>
          <w:u w:val="single" w:color="auto"/>
          <w:color w:val="auto"/>
        </w:rPr>
        <w:t>Borrower Materials</w:t>
      </w:r>
      <w:r>
        <w:rPr>
          <w:rFonts w:ascii="Arial" w:cs="Arial" w:eastAsia="Arial" w:hAnsi="Arial"/>
          <w:sz w:val="17"/>
          <w:szCs w:val="17"/>
          <w:color w:val="auto"/>
        </w:rPr>
        <w:t>”) by posting the Borrower Materials on the Platform and (b) certain of the Lenders may be “public-side” Lenders (</w:t>
      </w:r>
      <w:r>
        <w:rPr>
          <w:rFonts w:ascii="Arial" w:cs="Arial" w:eastAsia="Arial" w:hAnsi="Arial"/>
          <w:sz w:val="17"/>
          <w:szCs w:val="17"/>
          <w:i w:val="1"/>
          <w:iCs w:val="1"/>
          <w:color w:val="auto"/>
        </w:rPr>
        <w:t>i.e.</w:t>
      </w:r>
      <w:r>
        <w:rPr>
          <w:rFonts w:ascii="Arial" w:cs="Arial" w:eastAsia="Arial" w:hAnsi="Arial"/>
          <w:sz w:val="17"/>
          <w:szCs w:val="17"/>
          <w:color w:val="auto"/>
        </w:rPr>
        <w:t>, Lenders that do not wish to receive material nonpublic information within the meaning of the US federal securities laws with respect to Holdings, the Borrower or their respective securities)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At the reasonable request of the Administrative Agent, the Borrower hereby agrees that (i) all Borrower Materials that are to be made available to Public Lenders shall be clearly and conspicuously marked “PUBLIC”, (ii) by marking Borrower Materials “PUBLIC,” the Borrower shall be deemed to have authorized the Administrative Agent and the Lenders to treat such Borrower Materials as information of a type that (A) is publicly available or (B) would not be material with respect to Holdings, the Borrower, their respective subsidiaries, any of their respective securities or the Transactions, as determined in good faith by the Borrower, for purposes of the US federal securities laws and (iii) the Administrative Agent shall be required to treat Borrower Materials that are not marked “PUBLIC” as being suitable only for posting on a portion of the Platform not marked as “Public Investor.” Notwithstanding the foregoing, the Loan Documents shall be deemed to be marked “PUBLIC,” unless the Borrower notifies the Administrative Agent promptly that any such document contains material nonpublic information (it being understood that the Borrower shall have a reasonable opportunity to review the same prior to distribution and comply with SEC or other applicable disclosure obligations).</w:t>
      </w:r>
    </w:p>
    <w:p>
      <w:pPr>
        <w:spacing w:after="0" w:line="172" w:lineRule="exact"/>
        <w:rPr>
          <w:sz w:val="20"/>
          <w:szCs w:val="20"/>
          <w:color w:val="auto"/>
        </w:rPr>
      </w:pPr>
    </w:p>
    <w:p>
      <w:pPr>
        <w:jc w:val="both"/>
        <w:ind w:left="100" w:right="59" w:firstLine="749"/>
        <w:spacing w:after="0" w:line="245" w:lineRule="auto"/>
        <w:rPr>
          <w:sz w:val="20"/>
          <w:szCs w:val="20"/>
          <w:color w:val="auto"/>
        </w:rPr>
      </w:pPr>
      <w:r>
        <w:rPr>
          <w:rFonts w:ascii="Arial" w:cs="Arial" w:eastAsia="Arial" w:hAnsi="Arial"/>
          <w:sz w:val="18"/>
          <w:szCs w:val="18"/>
          <w:color w:val="auto"/>
        </w:rPr>
        <w:t>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US federal and state securities laws, to make reference to communications that are not made available through the “Public Side Information” portion of the Platform and that may contain material non-public information with respect to the Borrower or its securities for purposes of US Federal or state securities laws.</w:t>
      </w:r>
    </w:p>
    <w:p>
      <w:pPr>
        <w:spacing w:after="0" w:line="177" w:lineRule="exact"/>
        <w:rPr>
          <w:sz w:val="20"/>
          <w:szCs w:val="20"/>
          <w:color w:val="auto"/>
        </w:rPr>
      </w:pPr>
    </w:p>
    <w:p>
      <w:pPr>
        <w:ind w:left="100" w:right="59" w:firstLine="749"/>
        <w:spacing w:after="0" w:line="233" w:lineRule="auto"/>
        <w:rPr>
          <w:sz w:val="20"/>
          <w:szCs w:val="20"/>
          <w:color w:val="auto"/>
        </w:rPr>
      </w:pPr>
      <w:r>
        <w:rPr>
          <w:rFonts w:ascii="Arial" w:cs="Arial" w:eastAsia="Arial" w:hAnsi="Arial"/>
          <w:sz w:val="19"/>
          <w:szCs w:val="19"/>
          <w:color w:val="auto"/>
        </w:rPr>
        <w:t>THE PLATFORM IS PROVIDED “AS IS” AND “AS AVAILABLE.” NEITHER THE ADMINISTRATIVE AGENT NOR ANY OF ITS RELATED PARTIES WARRANTS THE ACCURACY OR COMPLETENESS OF THE COMMUNICATIONS ON, OR THE ADEQUACY OF, THE PLATFORM, AND EACH EXPRESSLY DISCLAIMS LIABILITY FOR ERRORS OR OMISSIONS IN ANY SUCH COMMUNICATION. NO WARRANTY OF ANY KIND, EXPRESS, IMPLIED OR STATUTORY, INCLUDING ANY WARRANTY OF MERCHANTABILITY, FITNESS FOR A PARTICULAR PURPOSE, NONINFRINGEMENT OF THIRD-PARTY RIGHTS OR FREEDOM FROM VIRUSES OR OTHER CODE DEFECTS IS MADE BY THE ADMINISTRATIVE AGENT OR ANY OF ITS RELATED PARTIES IN CONNECTION WITH THE COMMUNICATIONS OR THE PLATFORM. IN NO EVENT SHALL ANY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178</w:t>
      </w:r>
      <w:r>
        <w:rPr>
          <w:rFonts w:ascii="Arial" w:cs="Arial" w:eastAsia="Arial" w:hAnsi="Arial"/>
          <w:sz w:val="18"/>
          <w:szCs w:val="18"/>
          <w:u w:val="single" w:color="auto"/>
          <w:color w:val="0000FF"/>
          <w:strike w:val="1"/>
        </w:rPr>
        <w:t>178</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46" w:name="page247"/>
    <w:bookmarkEnd w:id="246"/>
    <w:p>
      <w:pPr>
        <w:jc w:val="both"/>
        <w:ind w:left="100" w:right="39"/>
        <w:spacing w:after="0" w:line="233" w:lineRule="auto"/>
        <w:rPr>
          <w:sz w:val="20"/>
          <w:szCs w:val="20"/>
          <w:color w:val="auto"/>
        </w:rPr>
      </w:pPr>
      <w:r>
        <w:rPr>
          <w:rFonts w:ascii="Arial" w:cs="Arial" w:eastAsia="Arial" w:hAnsi="Arial"/>
          <w:sz w:val="19"/>
          <w:szCs w:val="19"/>
          <w:color w:val="auto"/>
        </w:rPr>
        <w:t>PARTY HERETO OR ANY OF ITS RELATED PARTIES HAVE ANY LIABILITY TO ANY OTHER PARTY HERETO OR ANY OTHER PERSON FOR DAMAGES OF ANY KIND, WHETHER OR NOT BASED ON STRICT LIABILITY AND INCLUDING DIRECT OR INDIRECT, SPECIAL, INCIDENTAL OR CONSEQUENTIAL DAMAGES, LOSSES OR EXPENSES (WHETHER IN TORT, CONTRACT OR OTHERWISE) ARISING OUT OF ANY LOAN PARTY’S OR THE ADMINISTRATIVE AGENT’S TRANSMISSION OF COMMUNICATIONS THROUGH THE INTERNET, EXCEPT TO THE EXTENT THE LIABILITY OF ANY SUCH PERSON IS FOUND IN A FINAL RULING BY A COURT OF COMPETENT JURISDICTION TO HAVE RESULTED FROM SUCH PERSON’S GROSS NEGLIGENCE OR WILLFUL MISCONDUCT OR MATERIAL BREACH OF THIS AGREEMENT.</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9.02.  </w:t>
      </w:r>
      <w:r>
        <w:rPr>
          <w:rFonts w:ascii="Arial" w:cs="Arial" w:eastAsia="Arial" w:hAnsi="Arial"/>
          <w:sz w:val="19"/>
          <w:szCs w:val="19"/>
          <w:u w:val="single" w:color="auto"/>
          <w:color w:val="auto"/>
        </w:rPr>
        <w:t>Waivers; Amendments</w:t>
      </w:r>
      <w:r>
        <w:rPr>
          <w:rFonts w:ascii="Arial" w:cs="Arial" w:eastAsia="Arial" w:hAnsi="Arial"/>
          <w:sz w:val="19"/>
          <w:szCs w:val="19"/>
          <w:color w:val="auto"/>
        </w:rPr>
        <w:t>.</w:t>
      </w:r>
    </w:p>
    <w:p>
      <w:pPr>
        <w:spacing w:after="0" w:line="200" w:lineRule="exact"/>
        <w:rPr>
          <w:sz w:val="20"/>
          <w:szCs w:val="20"/>
          <w:color w:val="auto"/>
        </w:rPr>
      </w:pPr>
    </w:p>
    <w:p>
      <w:pPr>
        <w:jc w:val="both"/>
        <w:ind w:left="100" w:right="59" w:firstLine="741"/>
        <w:spacing w:after="0" w:line="255" w:lineRule="auto"/>
        <w:tabs>
          <w:tab w:leader="none" w:pos="152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xml:space="preserve">No failure or delay by the Administrative Agent, any Issuing Bank or any Lender in exercising any right or power hereunder or under any other Loan Document shall operate as a waiver thereof except as provided herein or in any Loan Document,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hereunder and under any other Loan Document are cumulative and are not exclusive of any rights or remedies that they would otherwise have. No waiver of any provision of any Loan Document or consent to any departure by any party hereto therefrom shall in any event be effective unless the same is permitted by this </w:t>
      </w:r>
      <w:r>
        <w:rPr>
          <w:rFonts w:ascii="Arial" w:cs="Arial" w:eastAsia="Arial" w:hAnsi="Arial"/>
          <w:sz w:val="18"/>
          <w:szCs w:val="18"/>
          <w:u w:val="single" w:color="auto"/>
          <w:color w:val="auto"/>
        </w:rPr>
        <w:t>Section 9.02</w:t>
      </w:r>
      <w:r>
        <w:rPr>
          <w:rFonts w:ascii="Arial" w:cs="Arial" w:eastAsia="Arial" w:hAnsi="Arial"/>
          <w:sz w:val="18"/>
          <w:szCs w:val="18"/>
          <w:color w:val="auto"/>
        </w:rPr>
        <w:t>, and then such waiver or consent shall be effective only in the specific instance and for the purpose for which it is given. Without limiting the generality of the foregoing, to the extent permitted by applicable Requirements of Law, neither the making of any Loan nor the issuance of any Letter of Credit shall be construed as a waiver of any Default or Event of Default, regardless of whether the Administrative Agent, any Lender or any Issuing Bank may have had notice or knowledge of such Default or Event of Default at the time.</w:t>
      </w:r>
    </w:p>
    <w:p>
      <w:pPr>
        <w:spacing w:after="0" w:line="182" w:lineRule="exact"/>
        <w:rPr>
          <w:rFonts w:ascii="Arial" w:cs="Arial" w:eastAsia="Arial" w:hAnsi="Arial"/>
          <w:sz w:val="18"/>
          <w:szCs w:val="18"/>
          <w:color w:val="auto"/>
        </w:rPr>
      </w:pPr>
    </w:p>
    <w:p>
      <w:pPr>
        <w:jc w:val="both"/>
        <w:ind w:left="100" w:right="39" w:firstLine="741"/>
        <w:spacing w:after="0" w:line="242" w:lineRule="auto"/>
        <w:tabs>
          <w:tab w:leader="none" w:pos="1520" w:val="left"/>
        </w:tabs>
        <w:numPr>
          <w:ilvl w:val="0"/>
          <w:numId w:val="309"/>
        </w:numPr>
        <w:rPr>
          <w:rFonts w:ascii="Arial" w:cs="Arial" w:eastAsia="Arial" w:hAnsi="Arial"/>
          <w:sz w:val="19"/>
          <w:szCs w:val="19"/>
          <w:color w:val="auto"/>
        </w:rPr>
      </w:pPr>
      <w:r>
        <w:rPr>
          <w:rFonts w:ascii="Arial" w:cs="Arial" w:eastAsia="Arial" w:hAnsi="Arial"/>
          <w:sz w:val="19"/>
          <w:szCs w:val="19"/>
          <w:color w:val="auto"/>
        </w:rPr>
        <w:t xml:space="preserve">Except as expressly provided in this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(or otherwise in this Agreement or the applicable Loan Document), neither this Agreement nor any other Loan Document nor any provision hereof or thereof may be waived, amended or modified, except (i) in the case of this Agreement, pursuant to an agreement or agreements in writing entered into by the Borrower and the Required Lenders (or the Administrative Agent with the consent of the Required Lenders) or (ii) in the case of any other Loan Document (other than any waiver, amendment or modification to effectuate any modification thereto expressly contemplated by the terms of such other Loan Document), pursuant to an agreement or agreements in writing entered into by the Administrative Agent and each Loan Party that is party thereto, with the consent of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that, notwithstanding the foregoing:</w:t>
      </w:r>
    </w:p>
    <w:p>
      <w:pPr>
        <w:spacing w:after="0" w:line="195" w:lineRule="exact"/>
        <w:rPr>
          <w:rFonts w:ascii="Arial" w:cs="Arial" w:eastAsia="Arial" w:hAnsi="Arial"/>
          <w:sz w:val="19"/>
          <w:szCs w:val="19"/>
          <w:color w:val="auto"/>
        </w:rPr>
      </w:pPr>
    </w:p>
    <w:p>
      <w:pPr>
        <w:ind w:left="1600" w:right="59" w:firstLine="741"/>
        <w:spacing w:after="0" w:line="261" w:lineRule="auto"/>
        <w:tabs>
          <w:tab w:leader="none" w:pos="3008" w:val="left"/>
        </w:tabs>
        <w:numPr>
          <w:ilvl w:val="1"/>
          <w:numId w:val="309"/>
        </w:numPr>
        <w:rPr>
          <w:rFonts w:ascii="Arial" w:cs="Arial" w:eastAsia="Arial" w:hAnsi="Arial"/>
          <w:sz w:val="19"/>
          <w:szCs w:val="19"/>
          <w:color w:val="auto"/>
        </w:rPr>
      </w:pPr>
      <w:r>
        <w:rPr>
          <w:rFonts w:ascii="Arial" w:cs="Arial" w:eastAsia="Arial" w:hAnsi="Arial"/>
          <w:sz w:val="19"/>
          <w:szCs w:val="19"/>
          <w:color w:val="auto"/>
        </w:rPr>
        <w:t>the consent of each Lender directly and adversely affected thereby (but not the consent of the Required Lenders) shall be required for any waiver, amendment or modification that:</w:t>
      </w:r>
    </w:p>
    <w:p>
      <w:pPr>
        <w:spacing w:after="0" w:line="172" w:lineRule="exact"/>
        <w:rPr>
          <w:rFonts w:ascii="Arial" w:cs="Arial" w:eastAsia="Arial" w:hAnsi="Arial"/>
          <w:sz w:val="19"/>
          <w:szCs w:val="19"/>
          <w:color w:val="auto"/>
        </w:rPr>
      </w:pPr>
    </w:p>
    <w:p>
      <w:pPr>
        <w:jc w:val="both"/>
        <w:ind w:left="2340" w:right="39" w:firstLine="750"/>
        <w:spacing w:after="0" w:line="242" w:lineRule="auto"/>
        <w:tabs>
          <w:tab w:leader="none" w:pos="3741" w:val="left"/>
        </w:tabs>
        <w:numPr>
          <w:ilvl w:val="2"/>
          <w:numId w:val="309"/>
        </w:numPr>
        <w:rPr>
          <w:rFonts w:ascii="Arial" w:cs="Arial" w:eastAsia="Arial" w:hAnsi="Arial"/>
          <w:sz w:val="19"/>
          <w:szCs w:val="19"/>
          <w:color w:val="auto"/>
        </w:rPr>
      </w:pPr>
      <w:r>
        <w:rPr>
          <w:rFonts w:ascii="Arial" w:cs="Arial" w:eastAsia="Arial" w:hAnsi="Arial"/>
          <w:sz w:val="19"/>
          <w:szCs w:val="19"/>
          <w:color w:val="auto"/>
        </w:rPr>
        <w:t xml:space="preserve">increases the Commitment of such Lender (other than with respect to any Incremental Facility pursuant to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in respect of which such Lender has agreed to be an Incremental Lender); it being understood that no amendment, modification or waiver of, or consent to departure from, any condition precedent, representation, warranty, covenant, Default, Event of Default, mandatory prepayment or mandatory reduction of the Commitments shall constitute an increase of any Commitment of such Lender;</w:t>
      </w:r>
    </w:p>
    <w:p>
      <w:pPr>
        <w:spacing w:after="0" w:line="190" w:lineRule="exact"/>
        <w:rPr>
          <w:rFonts w:ascii="Arial" w:cs="Arial" w:eastAsia="Arial" w:hAnsi="Arial"/>
          <w:sz w:val="19"/>
          <w:szCs w:val="19"/>
          <w:color w:val="auto"/>
        </w:rPr>
      </w:pPr>
    </w:p>
    <w:p>
      <w:pPr>
        <w:ind w:left="2340" w:right="39" w:firstLine="750"/>
        <w:spacing w:after="0" w:line="276" w:lineRule="auto"/>
        <w:tabs>
          <w:tab w:leader="none" w:pos="3740" w:val="left"/>
        </w:tabs>
        <w:numPr>
          <w:ilvl w:val="2"/>
          <w:numId w:val="309"/>
        </w:numPr>
        <w:rPr>
          <w:rFonts w:ascii="Arial" w:cs="Arial" w:eastAsia="Arial" w:hAnsi="Arial"/>
          <w:sz w:val="19"/>
          <w:szCs w:val="19"/>
          <w:color w:val="auto"/>
        </w:rPr>
      </w:pPr>
      <w:r>
        <w:rPr>
          <w:rFonts w:ascii="Arial" w:cs="Arial" w:eastAsia="Arial" w:hAnsi="Arial"/>
          <w:sz w:val="19"/>
          <w:szCs w:val="19"/>
          <w:color w:val="auto"/>
        </w:rPr>
        <w:t>reduces the principal amount of any Loan owed to such Lender or any amount due to such Lender on any Loan Installment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179</w:t>
      </w:r>
      <w:r>
        <w:rPr>
          <w:rFonts w:ascii="Arial" w:cs="Arial" w:eastAsia="Arial" w:hAnsi="Arial"/>
          <w:sz w:val="18"/>
          <w:szCs w:val="18"/>
          <w:u w:val="single" w:color="auto"/>
          <w:color w:val="0000FF"/>
          <w:strike w:val="1"/>
        </w:rPr>
        <w:t>179</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47" w:name="page248"/>
    <w:bookmarkEnd w:id="247"/>
    <w:p>
      <w:pPr>
        <w:jc w:val="both"/>
        <w:ind w:left="2340" w:right="39" w:firstLine="750"/>
        <w:spacing w:after="0" w:line="289" w:lineRule="auto"/>
        <w:tabs>
          <w:tab w:leader="none" w:pos="3741" w:val="left"/>
        </w:tabs>
        <w:numPr>
          <w:ilvl w:val="1"/>
          <w:numId w:val="310"/>
        </w:numPr>
        <w:rPr>
          <w:rFonts w:ascii="Arial" w:cs="Arial" w:eastAsia="Arial" w:hAnsi="Arial"/>
          <w:sz w:val="17"/>
          <w:szCs w:val="17"/>
          <w:color w:val="auto"/>
        </w:rPr>
      </w:pPr>
      <w:r>
        <w:rPr>
          <w:rFonts w:ascii="Arial" w:cs="Arial" w:eastAsia="Arial" w:hAnsi="Arial"/>
          <w:sz w:val="17"/>
          <w:szCs w:val="17"/>
          <w:color w:val="auto"/>
        </w:rPr>
        <w:t>(x) extends the scheduled final maturity of any Loan or (y) postpones any Loan Installment Date or any Interest Payment Date with respect to any Loan held by such Lender or the date of any scheduled payment of any fee or premium payable to such Lender hereunder (in each case, other than any extension for administrative reasons agreed by the Administrative Agent);</w:t>
      </w:r>
    </w:p>
    <w:p>
      <w:pPr>
        <w:spacing w:after="0" w:line="151" w:lineRule="exact"/>
        <w:rPr>
          <w:rFonts w:ascii="Arial" w:cs="Arial" w:eastAsia="Arial" w:hAnsi="Arial"/>
          <w:sz w:val="17"/>
          <w:szCs w:val="17"/>
          <w:color w:val="auto"/>
        </w:rPr>
      </w:pPr>
    </w:p>
    <w:p>
      <w:pPr>
        <w:jc w:val="both"/>
        <w:ind w:left="2340" w:right="39" w:firstLine="750"/>
        <w:spacing w:after="0"/>
        <w:tabs>
          <w:tab w:leader="none" w:pos="3741" w:val="left"/>
        </w:tabs>
        <w:numPr>
          <w:ilvl w:val="1"/>
          <w:numId w:val="310"/>
        </w:numPr>
        <w:rPr>
          <w:rFonts w:ascii="Arial" w:cs="Arial" w:eastAsia="Arial" w:hAnsi="Arial"/>
          <w:sz w:val="19"/>
          <w:szCs w:val="19"/>
          <w:color w:val="auto"/>
        </w:rPr>
      </w:pPr>
      <w:r>
        <w:rPr>
          <w:rFonts w:ascii="Arial" w:cs="Arial" w:eastAsia="Arial" w:hAnsi="Arial"/>
          <w:sz w:val="19"/>
          <w:szCs w:val="19"/>
          <w:color w:val="auto"/>
        </w:rPr>
        <w:t xml:space="preserve">reduces the rate of interest (other than to waive any Default or Event of Default or any obligation of the Borrower to pay interest to such Lender at the default rate of interest under </w:t>
      </w:r>
      <w:r>
        <w:rPr>
          <w:rFonts w:ascii="Arial" w:cs="Arial" w:eastAsia="Arial" w:hAnsi="Arial"/>
          <w:sz w:val="19"/>
          <w:szCs w:val="19"/>
          <w:u w:val="single" w:color="auto"/>
          <w:color w:val="auto"/>
        </w:rPr>
        <w:t>Section 2.13(d)</w:t>
      </w:r>
      <w:r>
        <w:rPr>
          <w:rFonts w:ascii="Arial" w:cs="Arial" w:eastAsia="Arial" w:hAnsi="Arial"/>
          <w:sz w:val="19"/>
          <w:szCs w:val="19"/>
          <w:color w:val="auto"/>
        </w:rPr>
        <w:t>, which shall only require the consent of the Required Lenders) or the amount of any fee or premium owed to such Lender; it being understood that no change in the definition of “Total Net Leverage Ratio” or any other ratio used in the calculation of the Applicable Rate or the Commitment Fee Rate, or in the calculation of any other interest, fee or premium due hereunder (including any component definition thereof) shall constitute a reduction in any rate of interest or fee hereunder;</w:t>
      </w:r>
    </w:p>
    <w:p>
      <w:pPr>
        <w:spacing w:after="0" w:line="196" w:lineRule="exact"/>
        <w:rPr>
          <w:rFonts w:ascii="Arial" w:cs="Arial" w:eastAsia="Arial" w:hAnsi="Arial"/>
          <w:sz w:val="19"/>
          <w:szCs w:val="19"/>
          <w:color w:val="auto"/>
        </w:rPr>
      </w:pPr>
    </w:p>
    <w:p>
      <w:pPr>
        <w:jc w:val="both"/>
        <w:ind w:left="2340" w:right="59" w:firstLine="750"/>
        <w:spacing w:after="0" w:line="289" w:lineRule="auto"/>
        <w:tabs>
          <w:tab w:leader="none" w:pos="3740" w:val="left"/>
        </w:tabs>
        <w:numPr>
          <w:ilvl w:val="1"/>
          <w:numId w:val="310"/>
        </w:numPr>
        <w:rPr>
          <w:rFonts w:ascii="Arial" w:cs="Arial" w:eastAsia="Arial" w:hAnsi="Arial"/>
          <w:sz w:val="17"/>
          <w:szCs w:val="17"/>
          <w:color w:val="auto"/>
        </w:rPr>
      </w:pPr>
      <w:r>
        <w:rPr>
          <w:rFonts w:ascii="Arial" w:cs="Arial" w:eastAsia="Arial" w:hAnsi="Arial"/>
          <w:sz w:val="17"/>
          <w:szCs w:val="17"/>
          <w:color w:val="auto"/>
        </w:rPr>
        <w:t>extends the expiry date of such Lender’s Commitment; it being understood that no amendment, modification or waiver of, or consent to departure from, any condition precedent, representation, warranty, covenant, Default, Event of Default, mandatory prepayment or mandatory reduction of any Commitment shall constitute an extension of any Commitment of any Lender; and</w:t>
      </w:r>
    </w:p>
    <w:p>
      <w:pPr>
        <w:spacing w:after="0" w:line="151" w:lineRule="exact"/>
        <w:rPr>
          <w:rFonts w:ascii="Arial" w:cs="Arial" w:eastAsia="Arial" w:hAnsi="Arial"/>
          <w:sz w:val="17"/>
          <w:szCs w:val="17"/>
          <w:color w:val="auto"/>
        </w:rPr>
      </w:pPr>
    </w:p>
    <w:p>
      <w:pPr>
        <w:ind w:left="3840" w:hanging="750"/>
        <w:spacing w:after="0"/>
        <w:tabs>
          <w:tab w:leader="none" w:pos="3840" w:val="left"/>
        </w:tabs>
        <w:numPr>
          <w:ilvl w:val="1"/>
          <w:numId w:val="310"/>
        </w:numPr>
        <w:rPr>
          <w:rFonts w:ascii="Arial" w:cs="Arial" w:eastAsia="Arial" w:hAnsi="Arial"/>
          <w:sz w:val="19"/>
          <w:szCs w:val="19"/>
          <w:color w:val="auto"/>
        </w:rPr>
      </w:pPr>
      <w:r>
        <w:rPr>
          <w:rFonts w:ascii="Arial" w:cs="Arial" w:eastAsia="Arial" w:hAnsi="Arial"/>
          <w:sz w:val="19"/>
          <w:szCs w:val="19"/>
          <w:color w:val="auto"/>
        </w:rPr>
        <w:t xml:space="preserve">waives, amends or modifies the provisions of </w:t>
      </w:r>
      <w:r>
        <w:rPr>
          <w:rFonts w:ascii="Arial" w:cs="Arial" w:eastAsia="Arial" w:hAnsi="Arial"/>
          <w:sz w:val="19"/>
          <w:szCs w:val="19"/>
          <w:u w:val="single" w:color="auto"/>
          <w:color w:val="auto"/>
        </w:rPr>
        <w:t>Sections 2.18(b)</w:t>
      </w:r>
      <w:r>
        <w:rPr>
          <w:rFonts w:ascii="Arial" w:cs="Arial" w:eastAsia="Arial" w:hAnsi="Arial"/>
          <w:sz w:val="19"/>
          <w:szCs w:val="19"/>
          <w:color w:val="auto"/>
        </w:rPr>
        <w:t xml:space="preserve"> or</w:t>
      </w:r>
    </w:p>
    <w:p>
      <w:pPr>
        <w:spacing w:after="0" w:line="13" w:lineRule="exact"/>
        <w:rPr>
          <w:rFonts w:ascii="Arial" w:cs="Arial" w:eastAsia="Arial" w:hAnsi="Arial"/>
          <w:sz w:val="19"/>
          <w:szCs w:val="19"/>
          <w:color w:val="auto"/>
        </w:rPr>
      </w:pPr>
    </w:p>
    <w:p>
      <w:pPr>
        <w:jc w:val="both"/>
        <w:ind w:left="2340" w:right="59" w:firstLine="1"/>
        <w:spacing w:after="0" w:line="282" w:lineRule="auto"/>
        <w:tabs>
          <w:tab w:leader="none" w:pos="286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 xml:space="preserve">of this Agreement in a manner that would by its terms alter the pro rata sharing of payments required thereby (except in connection with any transaction permitted under </w:t>
      </w:r>
      <w:r>
        <w:rPr>
          <w:rFonts w:ascii="Arial" w:cs="Arial" w:eastAsia="Arial" w:hAnsi="Arial"/>
          <w:sz w:val="17"/>
          <w:szCs w:val="17"/>
          <w:u w:val="single" w:color="auto"/>
          <w:color w:val="auto"/>
        </w:rPr>
        <w:t>Sections 2.22</w:t>
      </w:r>
      <w:r>
        <w:rPr>
          <w:rFonts w:ascii="Arial" w:cs="Arial" w:eastAsia="Arial" w:hAnsi="Arial"/>
          <w:sz w:val="17"/>
          <w:szCs w:val="17"/>
          <w:color w:val="auto"/>
        </w:rPr>
        <w:t xml:space="preserve">, </w:t>
      </w:r>
      <w:r>
        <w:rPr>
          <w:rFonts w:ascii="Arial" w:cs="Arial" w:eastAsia="Arial" w:hAnsi="Arial"/>
          <w:sz w:val="17"/>
          <w:szCs w:val="17"/>
          <w:u w:val="single" w:color="auto"/>
          <w:color w:val="auto"/>
        </w:rPr>
        <w:t>2.23</w:t>
      </w:r>
      <w:r>
        <w:rPr>
          <w:rFonts w:ascii="Arial" w:cs="Arial" w:eastAsia="Arial" w:hAnsi="Arial"/>
          <w:sz w:val="17"/>
          <w:szCs w:val="17"/>
          <w:color w:val="auto"/>
        </w:rPr>
        <w:t xml:space="preserve">, </w:t>
      </w:r>
      <w:r>
        <w:rPr>
          <w:rFonts w:ascii="Arial" w:cs="Arial" w:eastAsia="Arial" w:hAnsi="Arial"/>
          <w:sz w:val="17"/>
          <w:szCs w:val="17"/>
          <w:u w:val="single" w:color="auto"/>
          <w:color w:val="auto"/>
        </w:rPr>
        <w:t>9.02(c)</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9.05(g)</w:t>
      </w:r>
      <w:r>
        <w:rPr>
          <w:rFonts w:ascii="Arial" w:cs="Arial" w:eastAsia="Arial" w:hAnsi="Arial"/>
          <w:sz w:val="17"/>
          <w:szCs w:val="17"/>
          <w:color w:val="auto"/>
        </w:rPr>
        <w:t xml:space="preserve"> or as otherwise provided in this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or otherwise in this Agreement);</w:t>
      </w:r>
    </w:p>
    <w:p>
      <w:pPr>
        <w:spacing w:after="0" w:line="159" w:lineRule="exact"/>
        <w:rPr>
          <w:sz w:val="20"/>
          <w:szCs w:val="20"/>
          <w:color w:val="auto"/>
        </w:rPr>
      </w:pPr>
    </w:p>
    <w:p>
      <w:pPr>
        <w:ind w:left="3100" w:hanging="760"/>
        <w:spacing w:after="0"/>
        <w:tabs>
          <w:tab w:leader="none" w:pos="3100" w:val="left"/>
        </w:tabs>
        <w:numPr>
          <w:ilvl w:val="0"/>
          <w:numId w:val="312"/>
        </w:numPr>
        <w:rPr>
          <w:rFonts w:ascii="Arial" w:cs="Arial" w:eastAsia="Arial" w:hAnsi="Arial"/>
          <w:sz w:val="19"/>
          <w:szCs w:val="19"/>
          <w:color w:val="auto"/>
        </w:rPr>
      </w:pPr>
      <w:r>
        <w:rPr>
          <w:rFonts w:ascii="Arial" w:cs="Arial" w:eastAsia="Arial" w:hAnsi="Arial"/>
          <w:sz w:val="19"/>
          <w:szCs w:val="19"/>
          <w:color w:val="auto"/>
        </w:rPr>
        <w:t>no such agreement shall:</w:t>
      </w:r>
    </w:p>
    <w:p>
      <w:pPr>
        <w:spacing w:after="0" w:line="213" w:lineRule="exact"/>
        <w:rPr>
          <w:rFonts w:ascii="Arial" w:cs="Arial" w:eastAsia="Arial" w:hAnsi="Arial"/>
          <w:sz w:val="19"/>
          <w:szCs w:val="19"/>
          <w:color w:val="auto"/>
        </w:rPr>
      </w:pPr>
    </w:p>
    <w:p>
      <w:pPr>
        <w:jc w:val="both"/>
        <w:ind w:left="2340" w:right="39" w:firstLine="750"/>
        <w:spacing w:after="0" w:line="243" w:lineRule="auto"/>
        <w:tabs>
          <w:tab w:leader="none" w:pos="3740" w:val="left"/>
        </w:tabs>
        <w:numPr>
          <w:ilvl w:val="2"/>
          <w:numId w:val="312"/>
        </w:numPr>
        <w:rPr>
          <w:rFonts w:ascii="Arial" w:cs="Arial" w:eastAsia="Arial" w:hAnsi="Arial"/>
          <w:sz w:val="19"/>
          <w:szCs w:val="19"/>
          <w:color w:val="auto"/>
        </w:rPr>
      </w:pPr>
      <w:r>
        <w:rPr>
          <w:rFonts w:ascii="Arial" w:cs="Arial" w:eastAsia="Arial" w:hAnsi="Arial"/>
          <w:sz w:val="19"/>
          <w:szCs w:val="19"/>
          <w:color w:val="auto"/>
        </w:rPr>
        <w:t xml:space="preserve">change (x) any of the provisions of </w:t>
      </w:r>
      <w:r>
        <w:rPr>
          <w:rFonts w:ascii="Arial" w:cs="Arial" w:eastAsia="Arial" w:hAnsi="Arial"/>
          <w:sz w:val="19"/>
          <w:szCs w:val="19"/>
          <w:u w:val="single" w:color="auto"/>
          <w:color w:val="auto"/>
        </w:rPr>
        <w:t>Section 9.02(a)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the definition of “Required Lenders”, in each case to reduce any voting percentage required to waive, amend or modify any right thereunder or make any determination or grant any consent thereunder, without the prior written consent of each Lender or</w:t>
      </w:r>
    </w:p>
    <w:p>
      <w:pPr>
        <w:spacing w:after="0" w:line="3" w:lineRule="exact"/>
        <w:rPr>
          <w:rFonts w:ascii="Arial" w:cs="Arial" w:eastAsia="Arial" w:hAnsi="Arial"/>
          <w:sz w:val="19"/>
          <w:szCs w:val="19"/>
          <w:color w:val="auto"/>
        </w:rPr>
      </w:pPr>
    </w:p>
    <w:p>
      <w:pPr>
        <w:jc w:val="both"/>
        <w:ind w:left="2340" w:right="39"/>
        <w:spacing w:after="0" w:line="245" w:lineRule="auto"/>
        <w:rPr>
          <w:rFonts w:ascii="Arial" w:cs="Arial" w:eastAsia="Arial" w:hAnsi="Arial"/>
          <w:sz w:val="19"/>
          <w:szCs w:val="19"/>
          <w:color w:val="auto"/>
        </w:rPr>
      </w:pPr>
      <w:r>
        <w:rPr>
          <w:rFonts w:ascii="Arial" w:cs="Arial" w:eastAsia="Arial" w:hAnsi="Arial"/>
          <w:sz w:val="18"/>
          <w:szCs w:val="18"/>
          <w:color w:val="auto"/>
        </w:rPr>
        <w:t>(y) the definition of “Required Revolving Lenders” to reduce any voting percentage required to waive, amend or modify any right thereunder or make any determination or grant any consent thereunder, without the prior written consent of each Revolving Lender (it being understood that neither the consent of the Required Lenders nor the consent of any other Lender shall be required in connection with any change to the definition of “Required Revolving Lenders”);</w:t>
      </w:r>
    </w:p>
    <w:p>
      <w:pPr>
        <w:spacing w:after="0" w:line="174" w:lineRule="exact"/>
        <w:rPr>
          <w:rFonts w:ascii="Arial" w:cs="Arial" w:eastAsia="Arial" w:hAnsi="Arial"/>
          <w:sz w:val="19"/>
          <w:szCs w:val="19"/>
          <w:color w:val="auto"/>
        </w:rPr>
      </w:pPr>
    </w:p>
    <w:p>
      <w:pPr>
        <w:jc w:val="both"/>
        <w:ind w:left="2340" w:right="59" w:firstLine="750"/>
        <w:spacing w:after="0" w:line="271" w:lineRule="auto"/>
        <w:tabs>
          <w:tab w:leader="none" w:pos="3741" w:val="left"/>
        </w:tabs>
        <w:numPr>
          <w:ilvl w:val="2"/>
          <w:numId w:val="312"/>
        </w:numPr>
        <w:rPr>
          <w:rFonts w:ascii="Arial" w:cs="Arial" w:eastAsia="Arial" w:hAnsi="Arial"/>
          <w:sz w:val="17"/>
          <w:szCs w:val="17"/>
          <w:color w:val="auto"/>
        </w:rPr>
      </w:pPr>
      <w:r>
        <w:rPr>
          <w:rFonts w:ascii="Arial" w:cs="Arial" w:eastAsia="Arial" w:hAnsi="Arial"/>
          <w:sz w:val="17"/>
          <w:szCs w:val="17"/>
          <w:color w:val="auto"/>
        </w:rPr>
        <w:t xml:space="preserve">(A) release all or substantially all of the Collateral from the Lien granted pursuant to the Collateral Documents (except as otherwise permitted herein or in the other Loan Documents, including pursuant to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9.22</w:t>
      </w:r>
      <w:r>
        <w:rPr>
          <w:rFonts w:ascii="Arial" w:cs="Arial" w:eastAsia="Arial" w:hAnsi="Arial"/>
          <w:sz w:val="17"/>
          <w:szCs w:val="17"/>
          <w:color w:val="auto"/>
        </w:rPr>
        <w:t>), without the prior written consent of each Lender or</w:t>
      </w:r>
    </w:p>
    <w:p>
      <w:pPr>
        <w:spacing w:after="0" w:line="1" w:lineRule="exact"/>
        <w:rPr>
          <w:rFonts w:ascii="Arial" w:cs="Arial" w:eastAsia="Arial" w:hAnsi="Arial"/>
          <w:sz w:val="17"/>
          <w:szCs w:val="17"/>
          <w:color w:val="auto"/>
        </w:rPr>
      </w:pPr>
    </w:p>
    <w:p>
      <w:pPr>
        <w:jc w:val="both"/>
        <w:ind w:left="2340" w:right="59" w:firstLine="1"/>
        <w:spacing w:after="0" w:line="241" w:lineRule="auto"/>
        <w:tabs>
          <w:tab w:leader="none" w:pos="2652" w:val="left"/>
        </w:tabs>
        <w:numPr>
          <w:ilvl w:val="1"/>
          <w:numId w:val="312"/>
        </w:numPr>
        <w:rPr>
          <w:rFonts w:ascii="Arial" w:cs="Arial" w:eastAsia="Arial" w:hAnsi="Arial"/>
          <w:sz w:val="19"/>
          <w:szCs w:val="19"/>
          <w:color w:val="auto"/>
        </w:rPr>
      </w:pPr>
      <w:r>
        <w:rPr>
          <w:rFonts w:ascii="Arial" w:cs="Arial" w:eastAsia="Arial" w:hAnsi="Arial"/>
          <w:sz w:val="19"/>
          <w:szCs w:val="19"/>
          <w:color w:val="auto"/>
        </w:rPr>
        <w:t>subordinate the Lien on a material portion of the Collateral, taken as a whole (as determined by the Borrower in good faith), securing the Secured Obligations or subordinate the Obligations in right of payment, in either case, to any other Indebtedness for borrowed money (in each case, other than in connection with (I) any Acceptable Debtor-In-Possession Financing, (II) the implementation of an “asset-based” revolving credit facility, Receivables Facility or similar financing and/or (III) any other financing with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180</w:t>
      </w:r>
      <w:r>
        <w:rPr>
          <w:rFonts w:ascii="Arial" w:cs="Arial" w:eastAsia="Arial" w:hAnsi="Arial"/>
          <w:sz w:val="18"/>
          <w:szCs w:val="18"/>
          <w:u w:val="single" w:color="auto"/>
          <w:color w:val="0000FF"/>
          <w:strike w:val="1"/>
        </w:rPr>
        <w:t>180</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48" w:name="page249"/>
    <w:bookmarkEnd w:id="248"/>
    <w:p>
      <w:pPr>
        <w:ind w:left="2340" w:right="119"/>
        <w:spacing w:after="0" w:line="261" w:lineRule="auto"/>
        <w:rPr>
          <w:sz w:val="20"/>
          <w:szCs w:val="20"/>
          <w:color w:val="auto"/>
        </w:rPr>
      </w:pPr>
      <w:r>
        <w:rPr>
          <w:rFonts w:ascii="Arial" w:cs="Arial" w:eastAsia="Arial" w:hAnsi="Arial"/>
          <w:sz w:val="19"/>
          <w:szCs w:val="19"/>
          <w:color w:val="auto"/>
        </w:rPr>
        <w:t>respect to which each relevant Lender has been offered the opportunity to provide such financing), in each case, without the prior written consent of each Lender; or</w:t>
      </w:r>
    </w:p>
    <w:p>
      <w:pPr>
        <w:spacing w:after="0" w:line="159" w:lineRule="exact"/>
        <w:rPr>
          <w:sz w:val="20"/>
          <w:szCs w:val="20"/>
          <w:color w:val="auto"/>
        </w:rPr>
      </w:pPr>
    </w:p>
    <w:p>
      <w:pPr>
        <w:jc w:val="both"/>
        <w:ind w:left="2340" w:right="59" w:firstLine="750"/>
        <w:spacing w:after="0" w:line="269" w:lineRule="auto"/>
        <w:tabs>
          <w:tab w:leader="none" w:pos="3740" w:val="left"/>
        </w:tabs>
        <w:numPr>
          <w:ilvl w:val="4"/>
          <w:numId w:val="313"/>
        </w:numPr>
        <w:rPr>
          <w:rFonts w:ascii="Arial" w:cs="Arial" w:eastAsia="Arial" w:hAnsi="Arial"/>
          <w:sz w:val="18"/>
          <w:szCs w:val="18"/>
          <w:color w:val="auto"/>
        </w:rPr>
      </w:pPr>
      <w:r>
        <w:rPr>
          <w:rFonts w:ascii="Arial" w:cs="Arial" w:eastAsia="Arial" w:hAnsi="Arial"/>
          <w:sz w:val="18"/>
          <w:szCs w:val="18"/>
          <w:color w:val="auto"/>
        </w:rPr>
        <w:t xml:space="preserve">release all or substantially all of the value of the Guarantees under the Loan Guaranty (except as otherwise permitted herein or in the other Loan Documents, including pursuant to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9.22</w:t>
      </w:r>
      <w:r>
        <w:rPr>
          <w:rFonts w:ascii="Arial" w:cs="Arial" w:eastAsia="Arial" w:hAnsi="Arial"/>
          <w:sz w:val="18"/>
          <w:szCs w:val="18"/>
          <w:color w:val="auto"/>
        </w:rPr>
        <w:t>), without the prior written consent of each Lender;</w:t>
      </w:r>
    </w:p>
    <w:p>
      <w:pPr>
        <w:spacing w:after="0" w:line="168" w:lineRule="exact"/>
        <w:rPr>
          <w:rFonts w:ascii="Arial" w:cs="Arial" w:eastAsia="Arial" w:hAnsi="Arial"/>
          <w:sz w:val="18"/>
          <w:szCs w:val="18"/>
          <w:color w:val="auto"/>
        </w:rPr>
      </w:pPr>
    </w:p>
    <w:p>
      <w:pPr>
        <w:jc w:val="both"/>
        <w:ind w:left="1600" w:right="59" w:firstLine="741"/>
        <w:spacing w:after="0" w:line="292" w:lineRule="auto"/>
        <w:tabs>
          <w:tab w:leader="none" w:pos="3129" w:val="left"/>
        </w:tabs>
        <w:numPr>
          <w:ilvl w:val="3"/>
          <w:numId w:val="314"/>
        </w:numPr>
        <w:rPr>
          <w:rFonts w:ascii="Arial" w:cs="Arial" w:eastAsia="Arial" w:hAnsi="Arial"/>
          <w:sz w:val="17"/>
          <w:szCs w:val="17"/>
          <w:color w:val="auto"/>
        </w:rPr>
      </w:pPr>
      <w:r>
        <w:rPr>
          <w:rFonts w:ascii="Arial" w:cs="Arial" w:eastAsia="Arial" w:hAnsi="Arial"/>
          <w:sz w:val="17"/>
          <w:szCs w:val="17"/>
          <w:color w:val="auto"/>
        </w:rPr>
        <w:t xml:space="preserve">solely with the consent of the Required Revolving Lenders (but without the consent of the Required Lenders or any other Lender), any such agreement may waive, amend or modify any condition precedent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as it pertains to any Revolving Loan and/or Letter of Credit; and</w:t>
      </w:r>
    </w:p>
    <w:p>
      <w:pPr>
        <w:spacing w:after="0" w:line="150" w:lineRule="exact"/>
        <w:rPr>
          <w:rFonts w:ascii="Arial" w:cs="Arial" w:eastAsia="Arial" w:hAnsi="Arial"/>
          <w:sz w:val="17"/>
          <w:szCs w:val="17"/>
          <w:color w:val="auto"/>
        </w:rPr>
      </w:pPr>
    </w:p>
    <w:p>
      <w:pPr>
        <w:jc w:val="both"/>
        <w:ind w:left="1600" w:right="59" w:firstLine="741"/>
        <w:spacing w:after="0" w:line="279" w:lineRule="auto"/>
        <w:tabs>
          <w:tab w:leader="none" w:pos="3129" w:val="left"/>
        </w:tabs>
        <w:numPr>
          <w:ilvl w:val="3"/>
          <w:numId w:val="314"/>
        </w:numPr>
        <w:rPr>
          <w:rFonts w:ascii="Arial" w:cs="Arial" w:eastAsia="Arial" w:hAnsi="Arial"/>
          <w:sz w:val="17"/>
          <w:szCs w:val="17"/>
          <w:color w:val="auto"/>
        </w:rPr>
      </w:pPr>
      <w:r>
        <w:rPr>
          <w:rFonts w:ascii="Arial" w:cs="Arial" w:eastAsia="Arial" w:hAnsi="Arial"/>
          <w:sz w:val="17"/>
          <w:szCs w:val="17"/>
          <w:color w:val="auto"/>
        </w:rPr>
        <w:t xml:space="preserve">solely with the consent of the relevant Issuing Bank, any such agreement may (x) increase or decrease the Letter of Credit Sublimit, (y) waive, amend or modify any condition precedent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as it pertains to the issuance of any Letter of Credit or (z) amend or modify the provisions of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or any letter of credit application and any bilateral agreement between the Borrower and any Issuing Bank regarding such Issuing Bank’s LC Exposure or the respective rights and obligations between the Borrower and such Issuing Bank in connection with the issuance of Letters of Credit;</w:t>
      </w:r>
    </w:p>
    <w:p>
      <w:pPr>
        <w:spacing w:after="0" w:line="162" w:lineRule="exact"/>
        <w:rPr>
          <w:rFonts w:ascii="Arial" w:cs="Arial" w:eastAsia="Arial" w:hAnsi="Arial"/>
          <w:sz w:val="17"/>
          <w:szCs w:val="17"/>
          <w:color w:val="auto"/>
        </w:rPr>
      </w:pPr>
    </w:p>
    <w:p>
      <w:pPr>
        <w:ind w:left="1600" w:right="59" w:firstLine="741"/>
        <w:spacing w:after="0" w:line="261" w:lineRule="auto"/>
        <w:tabs>
          <w:tab w:leader="none" w:pos="3130" w:val="left"/>
        </w:tabs>
        <w:numPr>
          <w:ilvl w:val="3"/>
          <w:numId w:val="314"/>
        </w:numPr>
        <w:rPr>
          <w:rFonts w:ascii="Arial" w:cs="Arial" w:eastAsia="Arial" w:hAnsi="Arial"/>
          <w:sz w:val="19"/>
          <w:szCs w:val="19"/>
          <w:color w:val="auto"/>
        </w:rPr>
      </w:pPr>
      <w:r>
        <w:rPr>
          <w:rFonts w:ascii="Arial" w:cs="Arial" w:eastAsia="Arial" w:hAnsi="Arial"/>
          <w:sz w:val="19"/>
          <w:szCs w:val="19"/>
          <w:color w:val="auto"/>
        </w:rPr>
        <w:t xml:space="preserve">solely with the consent of the Swingline Lender, any such agreement may increase or decrease the amount of Swingline Loans available under </w:t>
      </w:r>
      <w:r>
        <w:rPr>
          <w:rFonts w:ascii="Arial" w:cs="Arial" w:eastAsia="Arial" w:hAnsi="Arial"/>
          <w:sz w:val="19"/>
          <w:szCs w:val="19"/>
          <w:u w:val="single" w:color="auto"/>
          <w:color w:val="auto"/>
        </w:rPr>
        <w:t>Section 2.04</w:t>
      </w:r>
      <w:r>
        <w:rPr>
          <w:rFonts w:ascii="Arial" w:cs="Arial" w:eastAsia="Arial" w:hAnsi="Arial"/>
          <w:sz w:val="19"/>
          <w:szCs w:val="19"/>
          <w:color w:val="auto"/>
        </w:rPr>
        <w:t>;</w:t>
      </w:r>
    </w:p>
    <w:p>
      <w:pPr>
        <w:spacing w:after="0" w:line="172" w:lineRule="exact"/>
        <w:rPr>
          <w:rFonts w:ascii="Arial" w:cs="Arial" w:eastAsia="Arial" w:hAnsi="Arial"/>
          <w:sz w:val="19"/>
          <w:szCs w:val="19"/>
          <w:color w:val="auto"/>
        </w:rPr>
      </w:pPr>
    </w:p>
    <w:p>
      <w:pPr>
        <w:jc w:val="both"/>
        <w:ind w:left="1600" w:right="59" w:firstLine="741"/>
        <w:spacing w:after="0" w:line="269" w:lineRule="auto"/>
        <w:tabs>
          <w:tab w:leader="none" w:pos="3129" w:val="left"/>
        </w:tabs>
        <w:numPr>
          <w:ilvl w:val="3"/>
          <w:numId w:val="314"/>
        </w:numPr>
        <w:rPr>
          <w:rFonts w:ascii="Arial" w:cs="Arial" w:eastAsia="Arial" w:hAnsi="Arial"/>
          <w:sz w:val="18"/>
          <w:szCs w:val="18"/>
          <w:color w:val="auto"/>
        </w:rPr>
      </w:pPr>
      <w:r>
        <w:rPr>
          <w:rFonts w:ascii="Arial" w:cs="Arial" w:eastAsia="Arial" w:hAnsi="Arial"/>
          <w:sz w:val="18"/>
          <w:szCs w:val="18"/>
          <w:color w:val="auto"/>
        </w:rPr>
        <w:t>no such agreement shall amend, modify or otherwise affect the rights or duties of the Administrative Agent, any Issuing Bank or the Swingline Lender hereunder without the prior written consent of the Administrative Agent, such Issuing Bank or the Swingline Lender, as the case may be.</w:t>
      </w:r>
    </w:p>
    <w:p>
      <w:pPr>
        <w:spacing w:after="0" w:line="168" w:lineRule="exact"/>
        <w:rPr>
          <w:rFonts w:ascii="Arial" w:cs="Arial" w:eastAsia="Arial" w:hAnsi="Arial"/>
          <w:sz w:val="18"/>
          <w:szCs w:val="18"/>
          <w:color w:val="auto"/>
        </w:rPr>
      </w:pPr>
    </w:p>
    <w:p>
      <w:pPr>
        <w:ind w:left="1600" w:hanging="758"/>
        <w:spacing w:after="0"/>
        <w:tabs>
          <w:tab w:leader="none" w:pos="1600" w:val="left"/>
        </w:tabs>
        <w:numPr>
          <w:ilvl w:val="0"/>
          <w:numId w:val="315"/>
        </w:numPr>
        <w:rPr>
          <w:rFonts w:ascii="Arial" w:cs="Arial" w:eastAsia="Arial" w:hAnsi="Arial"/>
          <w:sz w:val="19"/>
          <w:szCs w:val="19"/>
          <w:color w:val="auto"/>
        </w:rPr>
      </w:pPr>
      <w:r>
        <w:rPr>
          <w:rFonts w:ascii="Arial" w:cs="Arial" w:eastAsia="Arial" w:hAnsi="Arial"/>
          <w:sz w:val="19"/>
          <w:szCs w:val="19"/>
          <w:color w:val="auto"/>
        </w:rPr>
        <w:t>Notwithstanding the foregoing, this Agreement may be amended:</w:t>
      </w:r>
    </w:p>
    <w:p>
      <w:pPr>
        <w:spacing w:after="0" w:line="213" w:lineRule="exact"/>
        <w:rPr>
          <w:rFonts w:ascii="Arial" w:cs="Arial" w:eastAsia="Arial" w:hAnsi="Arial"/>
          <w:sz w:val="19"/>
          <w:szCs w:val="19"/>
          <w:color w:val="auto"/>
        </w:rPr>
      </w:pPr>
    </w:p>
    <w:p>
      <w:pPr>
        <w:jc w:val="both"/>
        <w:ind w:left="840" w:right="59" w:firstLine="751"/>
        <w:spacing w:after="0" w:line="268" w:lineRule="auto"/>
        <w:tabs>
          <w:tab w:leader="none" w:pos="2254" w:val="left"/>
        </w:tabs>
        <w:numPr>
          <w:ilvl w:val="1"/>
          <w:numId w:val="315"/>
        </w:numPr>
        <w:rPr>
          <w:rFonts w:ascii="Arial" w:cs="Arial" w:eastAsia="Arial" w:hAnsi="Arial"/>
          <w:sz w:val="18"/>
          <w:szCs w:val="18"/>
          <w:color w:val="auto"/>
        </w:rPr>
      </w:pPr>
      <w:r>
        <w:rPr>
          <w:rFonts w:ascii="Arial" w:cs="Arial" w:eastAsia="Arial" w:hAnsi="Arial"/>
          <w:sz w:val="18"/>
          <w:szCs w:val="18"/>
          <w:color w:val="auto"/>
        </w:rPr>
        <w:t>with the written consent of the Borrower and the Lenders providing the relevant Replacement Term Loans to permit the refinancing or replacement of all or any portion of the outstanding Term Loans under any Class (any such loans being refinanced or replaced, the “</w:t>
      </w:r>
      <w:r>
        <w:rPr>
          <w:rFonts w:ascii="Arial" w:cs="Arial" w:eastAsia="Arial" w:hAnsi="Arial"/>
          <w:sz w:val="18"/>
          <w:szCs w:val="18"/>
          <w:u w:val="single" w:color="auto"/>
          <w:color w:val="auto"/>
        </w:rPr>
        <w:t>Replaced Term Loans</w:t>
      </w:r>
      <w:r>
        <w:rPr>
          <w:rFonts w:ascii="Arial" w:cs="Arial" w:eastAsia="Arial" w:hAnsi="Arial"/>
          <w:sz w:val="18"/>
          <w:szCs w:val="18"/>
          <w:color w:val="auto"/>
        </w:rPr>
        <w:t>”) with one or more replacement term loans hereunder (“</w:t>
      </w:r>
      <w:r>
        <w:rPr>
          <w:rFonts w:ascii="Arial" w:cs="Arial" w:eastAsia="Arial" w:hAnsi="Arial"/>
          <w:sz w:val="18"/>
          <w:szCs w:val="18"/>
          <w:u w:val="single" w:color="auto"/>
          <w:color w:val="auto"/>
        </w:rPr>
        <w:t>Replacement Term Loans</w:t>
      </w:r>
      <w:r>
        <w:rPr>
          <w:rFonts w:ascii="Arial" w:cs="Arial" w:eastAsia="Arial" w:hAnsi="Arial"/>
          <w:sz w:val="18"/>
          <w:szCs w:val="18"/>
          <w:color w:val="auto"/>
        </w:rPr>
        <w:t xml:space="preserve">”) pursuant to a Refinancing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68" w:lineRule="exact"/>
        <w:rPr>
          <w:rFonts w:ascii="Arial" w:cs="Arial" w:eastAsia="Arial" w:hAnsi="Arial"/>
          <w:sz w:val="18"/>
          <w:szCs w:val="18"/>
          <w:color w:val="auto"/>
        </w:rPr>
      </w:pPr>
    </w:p>
    <w:p>
      <w:pPr>
        <w:ind w:left="1600" w:right="59" w:firstLine="741"/>
        <w:spacing w:after="0" w:line="246" w:lineRule="auto"/>
        <w:tabs>
          <w:tab w:leader="none" w:pos="3008" w:val="left"/>
        </w:tabs>
        <w:numPr>
          <w:ilvl w:val="3"/>
          <w:numId w:val="315"/>
        </w:numPr>
        <w:rPr>
          <w:rFonts w:ascii="Arial" w:cs="Arial" w:eastAsia="Arial" w:hAnsi="Arial"/>
          <w:sz w:val="19"/>
          <w:szCs w:val="19"/>
          <w:color w:val="auto"/>
        </w:rPr>
      </w:pPr>
      <w:r>
        <w:rPr>
          <w:rFonts w:ascii="Arial" w:cs="Arial" w:eastAsia="Arial" w:hAnsi="Arial"/>
          <w:sz w:val="19"/>
          <w:szCs w:val="19"/>
          <w:color w:val="auto"/>
        </w:rPr>
        <w:t xml:space="preserve">the aggregate principal amount of any Class of Replacement Term Loans shall not exceed the aggregate principal amount of the relevant Replaced Term Loans </w:t>
      </w:r>
      <w:r>
        <w:rPr>
          <w:rFonts w:ascii="Arial" w:cs="Arial" w:eastAsia="Arial" w:hAnsi="Arial"/>
          <w:sz w:val="19"/>
          <w:szCs w:val="19"/>
          <w:u w:val="single" w:color="auto"/>
          <w:color w:val="auto"/>
        </w:rPr>
        <w:t>plus</w:t>
      </w:r>
    </w:p>
    <w:p>
      <w:pPr>
        <w:jc w:val="both"/>
        <w:ind w:left="1600" w:right="59" w:hanging="7"/>
        <w:spacing w:after="0" w:line="245" w:lineRule="auto"/>
        <w:tabs>
          <w:tab w:leader="none" w:pos="1886" w:val="left"/>
        </w:tabs>
        <w:numPr>
          <w:ilvl w:val="2"/>
          <w:numId w:val="315"/>
        </w:numPr>
        <w:rPr>
          <w:rFonts w:ascii="Arial" w:cs="Arial" w:eastAsia="Arial" w:hAnsi="Arial"/>
          <w:sz w:val="18"/>
          <w:szCs w:val="18"/>
          <w:color w:val="auto"/>
        </w:rPr>
      </w:pPr>
      <w:r>
        <w:rPr>
          <w:rFonts w:ascii="Arial" w:cs="Arial" w:eastAsia="Arial" w:hAnsi="Arial"/>
          <w:sz w:val="18"/>
          <w:szCs w:val="18"/>
          <w:color w:val="auto"/>
        </w:rPr>
        <w:t xml:space="preserve">any additional amount permitted to be incurred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to the extent any such additional amount is secured, the related Lien is permitted under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the amount of any accrued interest, fee, expense, penalty and/or premium (including any tender premium) on the relevant Replaced Term Loans and/or any committed but undrawn amount,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(3) any underwriting discount, fee and/or initial yield payment associated therewith (including any upfront fee, original issue discount and/or initial yield payment, commission and/or expense) associated with the relevant Replacement Term Loan;</w:t>
      </w:r>
    </w:p>
    <w:p>
      <w:pPr>
        <w:spacing w:after="0" w:line="174" w:lineRule="exact"/>
        <w:rPr>
          <w:rFonts w:ascii="Arial" w:cs="Arial" w:eastAsia="Arial" w:hAnsi="Arial"/>
          <w:sz w:val="18"/>
          <w:szCs w:val="18"/>
          <w:color w:val="auto"/>
        </w:rPr>
      </w:pPr>
    </w:p>
    <w:p>
      <w:pPr>
        <w:jc w:val="both"/>
        <w:ind w:left="1600" w:right="39" w:firstLine="741"/>
        <w:spacing w:after="0" w:line="245" w:lineRule="auto"/>
        <w:tabs>
          <w:tab w:leader="none" w:pos="3008" w:val="left"/>
        </w:tabs>
        <w:numPr>
          <w:ilvl w:val="3"/>
          <w:numId w:val="316"/>
        </w:numPr>
        <w:rPr>
          <w:rFonts w:ascii="Arial" w:cs="Arial" w:eastAsia="Arial" w:hAnsi="Arial"/>
          <w:sz w:val="19"/>
          <w:szCs w:val="19"/>
          <w:color w:val="auto"/>
        </w:rPr>
      </w:pPr>
      <w:r>
        <w:rPr>
          <w:rFonts w:ascii="Arial" w:cs="Arial" w:eastAsia="Arial" w:hAnsi="Arial"/>
          <w:sz w:val="19"/>
          <w:szCs w:val="19"/>
          <w:color w:val="auto"/>
        </w:rPr>
        <w:t>any Class of Replacement Term Loans (other than Customary Bridge Loans) must have a final maturity date that is equal to or later than the final maturity date of, and have a Weighted Average Life to Maturity equal to or greater than the Weighted Average Life to Maturity of, the applicable Replaced Term Loans at the time of the relevant refinancing;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181</w:t>
      </w:r>
      <w:r>
        <w:rPr>
          <w:rFonts w:ascii="Arial" w:cs="Arial" w:eastAsia="Arial" w:hAnsi="Arial"/>
          <w:sz w:val="18"/>
          <w:szCs w:val="18"/>
          <w:u w:val="single" w:color="auto"/>
          <w:color w:val="0000FF"/>
          <w:strike w:val="1"/>
        </w:rPr>
        <w:t>181</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49" w:name="page250"/>
    <w:bookmarkEnd w:id="249"/>
    <w:p>
      <w:pPr>
        <w:jc w:val="both"/>
        <w:ind w:left="1600" w:right="39" w:firstLine="741"/>
        <w:spacing w:after="0" w:line="289" w:lineRule="auto"/>
        <w:tabs>
          <w:tab w:leader="none" w:pos="3008" w:val="left"/>
        </w:tabs>
        <w:numPr>
          <w:ilvl w:val="1"/>
          <w:numId w:val="317"/>
        </w:numPr>
        <w:rPr>
          <w:rFonts w:ascii="Arial" w:cs="Arial" w:eastAsia="Arial" w:hAnsi="Arial"/>
          <w:sz w:val="17"/>
          <w:szCs w:val="17"/>
          <w:color w:val="auto"/>
        </w:rPr>
      </w:pPr>
      <w:r>
        <w:rPr>
          <w:rFonts w:ascii="Arial" w:cs="Arial" w:eastAsia="Arial" w:hAnsi="Arial"/>
          <w:sz w:val="17"/>
          <w:szCs w:val="17"/>
          <w:color w:val="auto"/>
        </w:rPr>
        <w:t xml:space="preserve">any Class of Replacement Term Loans may be pari passu with or junior to any then-existing Class of Term Loans in right of payment and may be pari passu with or junior to such Class of Term Loans with respect to the Collateral or unsecured;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Class of Replacement Term Loans that is junior to any then-existing Class of Term Loan in right of payment or security shall be subject to an Intercreditor Agreement;</w:t>
      </w:r>
    </w:p>
    <w:p>
      <w:pPr>
        <w:spacing w:after="0" w:line="151" w:lineRule="exact"/>
        <w:rPr>
          <w:rFonts w:ascii="Arial" w:cs="Arial" w:eastAsia="Arial" w:hAnsi="Arial"/>
          <w:sz w:val="17"/>
          <w:szCs w:val="17"/>
          <w:color w:val="auto"/>
        </w:rPr>
      </w:pPr>
    </w:p>
    <w:p>
      <w:pPr>
        <w:ind w:left="1600" w:right="59" w:firstLine="741"/>
        <w:spacing w:after="0" w:line="261" w:lineRule="auto"/>
        <w:tabs>
          <w:tab w:leader="none" w:pos="3008" w:val="left"/>
        </w:tabs>
        <w:numPr>
          <w:ilvl w:val="1"/>
          <w:numId w:val="317"/>
        </w:numPr>
        <w:rPr>
          <w:rFonts w:ascii="Arial" w:cs="Arial" w:eastAsia="Arial" w:hAnsi="Arial"/>
          <w:sz w:val="19"/>
          <w:szCs w:val="19"/>
          <w:color w:val="auto"/>
        </w:rPr>
      </w:pPr>
      <w:r>
        <w:rPr>
          <w:rFonts w:ascii="Arial" w:cs="Arial" w:eastAsia="Arial" w:hAnsi="Arial"/>
          <w:sz w:val="19"/>
          <w:szCs w:val="19"/>
          <w:color w:val="auto"/>
        </w:rPr>
        <w:t>any Class of Replacement Term Loans that is secured may not be secured by any asset other than the Collateral;</w:t>
      </w:r>
    </w:p>
    <w:p>
      <w:pPr>
        <w:spacing w:after="0" w:line="172" w:lineRule="exact"/>
        <w:rPr>
          <w:rFonts w:ascii="Arial" w:cs="Arial" w:eastAsia="Arial" w:hAnsi="Arial"/>
          <w:sz w:val="19"/>
          <w:szCs w:val="19"/>
          <w:color w:val="auto"/>
        </w:rPr>
      </w:pPr>
    </w:p>
    <w:p>
      <w:pPr>
        <w:ind w:left="1600" w:right="59" w:firstLine="741"/>
        <w:spacing w:after="0" w:line="261" w:lineRule="auto"/>
        <w:tabs>
          <w:tab w:leader="none" w:pos="3008" w:val="left"/>
        </w:tabs>
        <w:numPr>
          <w:ilvl w:val="1"/>
          <w:numId w:val="317"/>
        </w:numPr>
        <w:rPr>
          <w:rFonts w:ascii="Arial" w:cs="Arial" w:eastAsia="Arial" w:hAnsi="Arial"/>
          <w:sz w:val="19"/>
          <w:szCs w:val="19"/>
          <w:color w:val="auto"/>
        </w:rPr>
      </w:pPr>
      <w:r>
        <w:rPr>
          <w:rFonts w:ascii="Arial" w:cs="Arial" w:eastAsia="Arial" w:hAnsi="Arial"/>
          <w:sz w:val="19"/>
          <w:szCs w:val="19"/>
          <w:color w:val="auto"/>
        </w:rPr>
        <w:t>any Class of Replacement Term Loans that is guaranteed may not be guaranteed by any subsidiary of the Borrower other than one or more Loan Parties;</w:t>
      </w:r>
    </w:p>
    <w:p>
      <w:pPr>
        <w:spacing w:after="0" w:line="172" w:lineRule="exact"/>
        <w:rPr>
          <w:rFonts w:ascii="Arial" w:cs="Arial" w:eastAsia="Arial" w:hAnsi="Arial"/>
          <w:sz w:val="19"/>
          <w:szCs w:val="19"/>
          <w:color w:val="auto"/>
        </w:rPr>
      </w:pPr>
    </w:p>
    <w:p>
      <w:pPr>
        <w:jc w:val="both"/>
        <w:ind w:left="1600" w:right="59" w:firstLine="741"/>
        <w:spacing w:after="0" w:line="292" w:lineRule="auto"/>
        <w:tabs>
          <w:tab w:leader="none" w:pos="3008" w:val="left"/>
        </w:tabs>
        <w:numPr>
          <w:ilvl w:val="1"/>
          <w:numId w:val="317"/>
        </w:numPr>
        <w:rPr>
          <w:rFonts w:ascii="Arial" w:cs="Arial" w:eastAsia="Arial" w:hAnsi="Arial"/>
          <w:sz w:val="17"/>
          <w:szCs w:val="17"/>
          <w:color w:val="auto"/>
        </w:rPr>
      </w:pPr>
      <w:r>
        <w:rPr>
          <w:rFonts w:ascii="Arial" w:cs="Arial" w:eastAsia="Arial" w:hAnsi="Arial"/>
          <w:sz w:val="17"/>
          <w:szCs w:val="17"/>
          <w:color w:val="auto"/>
        </w:rPr>
        <w:t xml:space="preserve">any Class of Replacement Term Loans that is pari passu with the Initial Term Loans in right of payment and security may participate (A) in any voluntary prepayment of Term Loans as set forth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2.11(a)(i)</w:t>
      </w:r>
      <w:r>
        <w:rPr>
          <w:rFonts w:ascii="Arial" w:cs="Arial" w:eastAsia="Arial" w:hAnsi="Arial"/>
          <w:sz w:val="17"/>
          <w:szCs w:val="17"/>
          <w:color w:val="auto"/>
        </w:rPr>
        <w:t xml:space="preserve"> and (B) in any mandatory prepayment of Term Loans as set forth in </w:t>
      </w:r>
      <w:r>
        <w:rPr>
          <w:rFonts w:ascii="Arial" w:cs="Arial" w:eastAsia="Arial" w:hAnsi="Arial"/>
          <w:sz w:val="17"/>
          <w:szCs w:val="17"/>
          <w:u w:val="single" w:color="auto"/>
          <w:color w:val="auto"/>
        </w:rPr>
        <w:t>Section 2.11(b)(vi)</w:t>
      </w:r>
      <w:r>
        <w:rPr>
          <w:rFonts w:ascii="Arial" w:cs="Arial" w:eastAsia="Arial" w:hAnsi="Arial"/>
          <w:sz w:val="17"/>
          <w:szCs w:val="17"/>
          <w:color w:val="auto"/>
        </w:rPr>
        <w:t>;</w:t>
      </w:r>
    </w:p>
    <w:p>
      <w:pPr>
        <w:spacing w:after="0" w:line="150" w:lineRule="exact"/>
        <w:rPr>
          <w:rFonts w:ascii="Arial" w:cs="Arial" w:eastAsia="Arial" w:hAnsi="Arial"/>
          <w:sz w:val="17"/>
          <w:szCs w:val="17"/>
          <w:color w:val="auto"/>
        </w:rPr>
      </w:pPr>
    </w:p>
    <w:p>
      <w:pPr>
        <w:jc w:val="both"/>
        <w:ind w:left="1600" w:right="59" w:firstLine="741"/>
        <w:spacing w:after="0" w:line="246" w:lineRule="auto"/>
        <w:tabs>
          <w:tab w:leader="none" w:pos="3007" w:val="left"/>
        </w:tabs>
        <w:numPr>
          <w:ilvl w:val="1"/>
          <w:numId w:val="317"/>
        </w:numPr>
        <w:rPr>
          <w:rFonts w:ascii="Arial" w:cs="Arial" w:eastAsia="Arial" w:hAnsi="Arial"/>
          <w:sz w:val="19"/>
          <w:szCs w:val="19"/>
          <w:color w:val="auto"/>
        </w:rPr>
      </w:pPr>
      <w:r>
        <w:rPr>
          <w:rFonts w:ascii="Arial" w:cs="Arial" w:eastAsia="Arial" w:hAnsi="Arial"/>
          <w:sz w:val="19"/>
          <w:szCs w:val="19"/>
          <w:color w:val="auto"/>
        </w:rPr>
        <w:t xml:space="preserve">any Class of Replacement Term Loans may have pricing (including “MFN” or other pricing terms), interest, fees, rate margins, rate floors, premiums (including prepayment premiums), funding discounts, subject to preceding </w:t>
      </w:r>
      <w:r>
        <w:rPr>
          <w:rFonts w:ascii="Arial" w:cs="Arial" w:eastAsia="Arial" w:hAnsi="Arial"/>
          <w:sz w:val="19"/>
          <w:szCs w:val="19"/>
          <w:u w:val="single" w:color="auto"/>
          <w:color w:val="auto"/>
        </w:rPr>
        <w:t>clause (F</w:t>
      </w:r>
      <w:r>
        <w:rPr>
          <w:rFonts w:ascii="Arial" w:cs="Arial" w:eastAsia="Arial" w:hAnsi="Arial"/>
          <w:sz w:val="19"/>
          <w:szCs w:val="19"/>
          <w:color w:val="auto"/>
        </w:rPr>
        <w:t xml:space="preserve">), optional prepayment and redemption terms and, subject to preceding </w:t>
      </w:r>
      <w:r>
        <w:rPr>
          <w:rFonts w:ascii="Arial" w:cs="Arial" w:eastAsia="Arial" w:hAnsi="Arial"/>
          <w:sz w:val="19"/>
          <w:szCs w:val="19"/>
          <w:u w:val="single" w:color="auto"/>
          <w:color w:val="auto"/>
        </w:rPr>
        <w:t>clause (B)</w:t>
      </w:r>
      <w:r>
        <w:rPr>
          <w:rFonts w:ascii="Arial" w:cs="Arial" w:eastAsia="Arial" w:hAnsi="Arial"/>
          <w:sz w:val="19"/>
          <w:szCs w:val="19"/>
          <w:color w:val="auto"/>
        </w:rPr>
        <w:t>, an amortization schedule, as the Borrower and the lenders providing such Class of Replacement Term Loans may agree;</w:t>
      </w:r>
    </w:p>
    <w:p>
      <w:pPr>
        <w:spacing w:after="0" w:line="189" w:lineRule="exact"/>
        <w:rPr>
          <w:rFonts w:ascii="Arial" w:cs="Arial" w:eastAsia="Arial" w:hAnsi="Arial"/>
          <w:sz w:val="19"/>
          <w:szCs w:val="19"/>
          <w:color w:val="auto"/>
        </w:rPr>
      </w:pPr>
    </w:p>
    <w:p>
      <w:pPr>
        <w:jc w:val="both"/>
        <w:ind w:left="1600" w:right="19" w:firstLine="741"/>
        <w:spacing w:after="0" w:line="268" w:lineRule="auto"/>
        <w:tabs>
          <w:tab w:leader="none" w:pos="3011" w:val="left"/>
        </w:tabs>
        <w:numPr>
          <w:ilvl w:val="1"/>
          <w:numId w:val="317"/>
        </w:numPr>
        <w:rPr>
          <w:rFonts w:ascii="Arial" w:cs="Arial" w:eastAsia="Arial" w:hAnsi="Arial"/>
          <w:sz w:val="17"/>
          <w:szCs w:val="17"/>
          <w:color w:val="auto"/>
        </w:rPr>
      </w:pPr>
      <w:r>
        <w:rPr>
          <w:rFonts w:ascii="Arial" w:cs="Arial" w:eastAsia="Arial" w:hAnsi="Arial"/>
          <w:sz w:val="17"/>
          <w:szCs w:val="17"/>
          <w:color w:val="auto"/>
        </w:rPr>
        <w:t xml:space="preserve">the other terms and conditions of any Class of Replacement Term Loans (except as set forth above) shall be substantially consistent with the Replaced Term Loans (or any other then-existing Term Loans) or shall be reasonably satisfactory to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terms and conditions shall be deemed to be satisfactory to the Administrative Agent so long as any such terms and conditions (1) that are not substantially consistent with those applicable to the relevant Replaced Term Loans are applicable after the latest Maturity Date of such Class of Replaced Term Loans (in each case, as of the date of incurrence of such Class of Replacement Term Loans), (2) are substantially identical to, or (taken as a whole) not more favorable (as determined by the Borrower in good faith) to the lenders providing such Class of Replacement Term Loans than those applicable to the relevant Replaced Term Loans (other than such terms to which </w:t>
      </w:r>
      <w:r>
        <w:rPr>
          <w:rFonts w:ascii="Arial" w:cs="Arial" w:eastAsia="Arial" w:hAnsi="Arial"/>
          <w:sz w:val="17"/>
          <w:szCs w:val="17"/>
          <w:u w:val="single" w:color="auto"/>
          <w:color w:val="auto"/>
        </w:rPr>
        <w:t>clause</w:t>
      </w:r>
    </w:p>
    <w:p>
      <w:pPr>
        <w:spacing w:after="0" w:line="3" w:lineRule="exact"/>
        <w:rPr>
          <w:rFonts w:ascii="Arial" w:cs="Arial" w:eastAsia="Arial" w:hAnsi="Arial"/>
          <w:sz w:val="17"/>
          <w:szCs w:val="17"/>
          <w:color w:val="auto"/>
        </w:rPr>
      </w:pPr>
    </w:p>
    <w:p>
      <w:pPr>
        <w:jc w:val="both"/>
        <w:ind w:left="1600" w:right="19" w:hanging="7"/>
        <w:spacing w:after="0" w:line="259" w:lineRule="auto"/>
        <w:tabs>
          <w:tab w:leader="none" w:pos="1877" w:val="left"/>
        </w:tabs>
        <w:numPr>
          <w:ilvl w:val="0"/>
          <w:numId w:val="318"/>
        </w:numPr>
        <w:rPr>
          <w:rFonts w:ascii="Arial" w:cs="Arial" w:eastAsia="Arial" w:hAnsi="Arial"/>
          <w:sz w:val="18"/>
          <w:szCs w:val="18"/>
          <w:u w:val="single" w:color="auto"/>
          <w:color w:val="auto"/>
        </w:rPr>
      </w:pPr>
      <w:r>
        <w:rPr>
          <w:rFonts w:ascii="Arial" w:cs="Arial" w:eastAsia="Arial" w:hAnsi="Arial"/>
          <w:sz w:val="18"/>
          <w:szCs w:val="18"/>
          <w:color w:val="auto"/>
        </w:rPr>
        <w:t>is applicable), (3) reflect then-current market terms and conditions (as determined by the Borrower in good faith) for the applicable type of Indebtedness or (4) if more favorable to the lenders or the agent of such Replacement Term Loans than those contained in the Loan Documents, are then conformed (or added) to the Loan Documents pursuant to the applicable Refinancing Amendment;</w:t>
      </w:r>
    </w:p>
    <w:p>
      <w:pPr>
        <w:spacing w:after="0" w:line="175" w:lineRule="exact"/>
        <w:rPr>
          <w:rFonts w:ascii="Arial" w:cs="Arial" w:eastAsia="Arial" w:hAnsi="Arial"/>
          <w:sz w:val="18"/>
          <w:szCs w:val="18"/>
          <w:u w:val="single" w:color="auto"/>
          <w:color w:val="auto"/>
        </w:rPr>
      </w:pPr>
    </w:p>
    <w:p>
      <w:pPr>
        <w:jc w:val="both"/>
        <w:ind w:left="1600" w:right="39" w:firstLine="741"/>
        <w:spacing w:after="0" w:line="283" w:lineRule="auto"/>
        <w:tabs>
          <w:tab w:leader="none" w:pos="3008" w:val="left"/>
        </w:tabs>
        <w:numPr>
          <w:ilvl w:val="1"/>
          <w:numId w:val="318"/>
        </w:numPr>
        <w:rPr>
          <w:rFonts w:ascii="Arial" w:cs="Arial" w:eastAsia="Arial" w:hAnsi="Arial"/>
          <w:sz w:val="17"/>
          <w:szCs w:val="17"/>
          <w:color w:val="auto"/>
        </w:rPr>
      </w:pPr>
      <w:r>
        <w:rPr>
          <w:rFonts w:ascii="Arial" w:cs="Arial" w:eastAsia="Arial" w:hAnsi="Arial"/>
          <w:sz w:val="17"/>
          <w:szCs w:val="17"/>
          <w:color w:val="auto"/>
        </w:rPr>
        <w:t xml:space="preserve">Replacement Term Loans may be provided by any existing Lender or by any other Eligible Assignee;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have a right to consent (such consent not to be unreasonably withheld, conditioned or delayed) to the relevant Person’s provision of Replacement Term Loans if such consent would be required under </w:t>
      </w:r>
      <w:r>
        <w:rPr>
          <w:rFonts w:ascii="Arial" w:cs="Arial" w:eastAsia="Arial" w:hAnsi="Arial"/>
          <w:sz w:val="17"/>
          <w:szCs w:val="17"/>
          <w:u w:val="single" w:color="auto"/>
          <w:color w:val="auto"/>
        </w:rPr>
        <w:t>Section 9.05(b)</w:t>
      </w:r>
      <w:r>
        <w:rPr>
          <w:rFonts w:ascii="Arial" w:cs="Arial" w:eastAsia="Arial" w:hAnsi="Arial"/>
          <w:sz w:val="17"/>
          <w:szCs w:val="17"/>
          <w:color w:val="auto"/>
        </w:rPr>
        <w:t xml:space="preserve"> for an assignment of Loans to such Person; and</w:t>
      </w:r>
    </w:p>
    <w:p>
      <w:pPr>
        <w:spacing w:after="0" w:line="158" w:lineRule="exact"/>
        <w:rPr>
          <w:rFonts w:ascii="Arial" w:cs="Arial" w:eastAsia="Arial" w:hAnsi="Arial"/>
          <w:sz w:val="17"/>
          <w:szCs w:val="17"/>
          <w:color w:val="auto"/>
        </w:rPr>
      </w:pPr>
    </w:p>
    <w:p>
      <w:pPr>
        <w:jc w:val="both"/>
        <w:ind w:left="1600" w:right="59" w:firstLine="741"/>
        <w:spacing w:after="0" w:line="249" w:lineRule="auto"/>
        <w:tabs>
          <w:tab w:leader="none" w:pos="3008" w:val="left"/>
        </w:tabs>
        <w:numPr>
          <w:ilvl w:val="1"/>
          <w:numId w:val="318"/>
        </w:numPr>
        <w:rPr>
          <w:rFonts w:ascii="Arial" w:cs="Arial" w:eastAsia="Arial" w:hAnsi="Arial"/>
          <w:sz w:val="19"/>
          <w:szCs w:val="19"/>
          <w:color w:val="auto"/>
        </w:rPr>
      </w:pPr>
      <w:r>
        <w:rPr>
          <w:rFonts w:ascii="Arial" w:cs="Arial" w:eastAsia="Arial" w:hAnsi="Arial"/>
          <w:sz w:val="19"/>
          <w:szCs w:val="19"/>
          <w:color w:val="auto"/>
        </w:rPr>
        <w:t>the relevant outstanding Replaced Term Loans and all accrued but unpaid interest and fees then due and payable in connection therewith shall be paid in full, in each case on the date the applicable Replacement Term Loan is implemented; and</w:t>
      </w:r>
    </w:p>
    <w:p>
      <w:pPr>
        <w:spacing w:after="0" w:line="184" w:lineRule="exact"/>
        <w:rPr>
          <w:sz w:val="20"/>
          <w:szCs w:val="20"/>
          <w:color w:val="auto"/>
        </w:rPr>
      </w:pPr>
    </w:p>
    <w:p>
      <w:pPr>
        <w:ind w:left="840" w:right="1079" w:firstLine="751"/>
        <w:spacing w:after="0" w:line="289" w:lineRule="auto"/>
        <w:tabs>
          <w:tab w:leader="none" w:pos="2254" w:val="left"/>
        </w:tabs>
        <w:numPr>
          <w:ilvl w:val="0"/>
          <w:numId w:val="319"/>
        </w:numPr>
        <w:rPr>
          <w:rFonts w:ascii="Arial" w:cs="Arial" w:eastAsia="Arial" w:hAnsi="Arial"/>
          <w:sz w:val="18"/>
          <w:szCs w:val="18"/>
          <w:color w:val="auto"/>
        </w:rPr>
      </w:pPr>
      <w:r>
        <w:rPr>
          <w:rFonts w:ascii="Arial" w:cs="Arial" w:eastAsia="Arial" w:hAnsi="Arial"/>
          <w:sz w:val="18"/>
          <w:szCs w:val="18"/>
          <w:color w:val="auto"/>
        </w:rPr>
        <w:t>with the written consent of the Borrower and the Lenders providing the relevant Revolver Replacement Facility to permit the refinancing or replacement of all or any portion of 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182</w:t>
      </w:r>
      <w:r>
        <w:rPr>
          <w:rFonts w:ascii="Arial" w:cs="Arial" w:eastAsia="Arial" w:hAnsi="Arial"/>
          <w:sz w:val="18"/>
          <w:szCs w:val="18"/>
          <w:u w:val="single" w:color="auto"/>
          <w:color w:val="0000FF"/>
          <w:strike w:val="1"/>
        </w:rPr>
        <w:t>182</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50" w:name="page251"/>
    <w:bookmarkEnd w:id="250"/>
    <w:p>
      <w:pPr>
        <w:jc w:val="both"/>
        <w:ind w:left="840" w:right="59"/>
        <w:spacing w:after="0" w:line="241" w:lineRule="auto"/>
        <w:rPr>
          <w:sz w:val="20"/>
          <w:szCs w:val="20"/>
          <w:color w:val="auto"/>
        </w:rPr>
      </w:pPr>
      <w:r>
        <w:rPr>
          <w:rFonts w:ascii="Arial" w:cs="Arial" w:eastAsia="Arial" w:hAnsi="Arial"/>
          <w:sz w:val="19"/>
          <w:szCs w:val="19"/>
          <w:color w:val="auto"/>
        </w:rPr>
        <w:t>Revolving Credit Commitment of any Class (any such Revolving Credit Commitment being refinanced or replaced, a “</w:t>
      </w:r>
      <w:r>
        <w:rPr>
          <w:rFonts w:ascii="Arial" w:cs="Arial" w:eastAsia="Arial" w:hAnsi="Arial"/>
          <w:sz w:val="19"/>
          <w:szCs w:val="19"/>
          <w:u w:val="single" w:color="auto"/>
          <w:color w:val="auto"/>
        </w:rPr>
        <w:t>Replaced Revolving Facility</w:t>
      </w:r>
      <w:r>
        <w:rPr>
          <w:rFonts w:ascii="Arial" w:cs="Arial" w:eastAsia="Arial" w:hAnsi="Arial"/>
          <w:sz w:val="19"/>
          <w:szCs w:val="19"/>
          <w:color w:val="auto"/>
        </w:rPr>
        <w:t>”) with a replacement revolving facility and/or replacement term loans hereunder (a “</w:t>
      </w:r>
      <w:r>
        <w:rPr>
          <w:rFonts w:ascii="Arial" w:cs="Arial" w:eastAsia="Arial" w:hAnsi="Arial"/>
          <w:sz w:val="19"/>
          <w:szCs w:val="19"/>
          <w:u w:val="single" w:color="auto"/>
          <w:color w:val="auto"/>
        </w:rPr>
        <w:t>Revolver Replacement Facility</w:t>
      </w:r>
      <w:r>
        <w:rPr>
          <w:rFonts w:ascii="Arial" w:cs="Arial" w:eastAsia="Arial" w:hAnsi="Arial"/>
          <w:sz w:val="19"/>
          <w:szCs w:val="19"/>
          <w:color w:val="auto"/>
        </w:rPr>
        <w:t xml:space="preserve">”) pursuant to a Refinancing Amendment; </w:t>
      </w:r>
      <w:r>
        <w:rPr>
          <w:rFonts w:ascii="Arial" w:cs="Arial" w:eastAsia="Arial" w:hAnsi="Arial"/>
          <w:sz w:val="19"/>
          <w:szCs w:val="19"/>
          <w:u w:val="single" w:color="auto"/>
          <w:color w:val="auto"/>
        </w:rPr>
        <w:t>provided that</w:t>
      </w:r>
      <w:r>
        <w:rPr>
          <w:rFonts w:ascii="Arial" w:cs="Arial" w:eastAsia="Arial" w:hAnsi="Arial"/>
          <w:sz w:val="19"/>
          <w:szCs w:val="19"/>
          <w:color w:val="auto"/>
        </w:rPr>
        <w:t>:</w:t>
      </w:r>
    </w:p>
    <w:p>
      <w:pPr>
        <w:spacing w:after="0" w:line="179" w:lineRule="exact"/>
        <w:rPr>
          <w:sz w:val="20"/>
          <w:szCs w:val="20"/>
          <w:color w:val="auto"/>
        </w:rPr>
      </w:pPr>
    </w:p>
    <w:p>
      <w:pPr>
        <w:jc w:val="both"/>
        <w:ind w:left="1600" w:right="39" w:firstLine="741"/>
        <w:spacing w:after="0" w:line="242" w:lineRule="auto"/>
        <w:tabs>
          <w:tab w:leader="none" w:pos="3009" w:val="left"/>
        </w:tabs>
        <w:numPr>
          <w:ilvl w:val="0"/>
          <w:numId w:val="320"/>
        </w:numPr>
        <w:rPr>
          <w:rFonts w:ascii="Arial" w:cs="Arial" w:eastAsia="Arial" w:hAnsi="Arial"/>
          <w:sz w:val="19"/>
          <w:szCs w:val="19"/>
          <w:color w:val="auto"/>
        </w:rPr>
      </w:pPr>
      <w:r>
        <w:rPr>
          <w:rFonts w:ascii="Arial" w:cs="Arial" w:eastAsia="Arial" w:hAnsi="Arial"/>
          <w:sz w:val="19"/>
          <w:szCs w:val="19"/>
          <w:color w:val="auto"/>
        </w:rPr>
        <w:t xml:space="preserve">the aggregate maximum amount of any Revolver Replacement Facility shall not exceed the aggregate maximum amount of the commitments in respect of the relevant Replaced Revolving Facility plus (x) any additional amount permitted to be incurred under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and, to the extent any such additional amount is secured, the related Lien is permitted under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and (y) the amount of accrued interest, penalties and premium thereon, any committed but undrawn amounts and underwriting discounts, fees (including upfront fees, original issue discount or initial yield payments, commissions and expenses associated therewith and/or any underwriting discount, fees and/or initial yield payment associated with the applicable Revolver Replacement Facility);</w:t>
      </w:r>
    </w:p>
    <w:p>
      <w:pPr>
        <w:spacing w:after="0" w:line="195" w:lineRule="exact"/>
        <w:rPr>
          <w:rFonts w:ascii="Arial" w:cs="Arial" w:eastAsia="Arial" w:hAnsi="Arial"/>
          <w:sz w:val="19"/>
          <w:szCs w:val="19"/>
          <w:color w:val="auto"/>
        </w:rPr>
      </w:pPr>
    </w:p>
    <w:p>
      <w:pPr>
        <w:jc w:val="both"/>
        <w:ind w:left="1600" w:right="19" w:firstLine="741"/>
        <w:spacing w:after="0" w:line="249" w:lineRule="auto"/>
        <w:tabs>
          <w:tab w:leader="none" w:pos="3012" w:val="left"/>
        </w:tabs>
        <w:numPr>
          <w:ilvl w:val="0"/>
          <w:numId w:val="320"/>
        </w:numPr>
        <w:rPr>
          <w:rFonts w:ascii="Arial" w:cs="Arial" w:eastAsia="Arial" w:hAnsi="Arial"/>
          <w:sz w:val="19"/>
          <w:szCs w:val="19"/>
          <w:color w:val="auto"/>
        </w:rPr>
      </w:pPr>
      <w:r>
        <w:rPr>
          <w:rFonts w:ascii="Arial" w:cs="Arial" w:eastAsia="Arial" w:hAnsi="Arial"/>
          <w:sz w:val="19"/>
          <w:szCs w:val="19"/>
          <w:color w:val="auto"/>
        </w:rPr>
        <w:t>no Revolver Replacement Facility may have a final maturity date (or require commitment reductions) prior to the final maturity date of the relevant Replaced Revolving Facility at the time of such refinancing;</w:t>
      </w:r>
    </w:p>
    <w:p>
      <w:pPr>
        <w:spacing w:after="0" w:line="183" w:lineRule="exact"/>
        <w:rPr>
          <w:rFonts w:ascii="Arial" w:cs="Arial" w:eastAsia="Arial" w:hAnsi="Arial"/>
          <w:sz w:val="19"/>
          <w:szCs w:val="19"/>
          <w:color w:val="auto"/>
        </w:rPr>
      </w:pPr>
    </w:p>
    <w:p>
      <w:pPr>
        <w:jc w:val="both"/>
        <w:ind w:left="1600" w:right="19" w:firstLine="741"/>
        <w:spacing w:after="0" w:line="259" w:lineRule="auto"/>
        <w:tabs>
          <w:tab w:leader="none" w:pos="3011"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xml:space="preserve">any Revolver Replacement Facility may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junior to any then-existing Revolving Commitment in right of payment and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junior to any then-existing Revolving Commitment with respect to the Collateral or may be unsecured;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Revolver Replacement Facility that is (x) junior to the then-existing Revolving Credit Commitments in right of payment or security shall be subject to an Intercreditor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any Revolver Replacement Facility is not in the form of a loan constituting First Lien Debt, such Revolver Replacement Facility will be documented pursuant to separate documentation from the Loan Documents;</w:t>
      </w:r>
    </w:p>
    <w:p>
      <w:pPr>
        <w:spacing w:after="0" w:line="177" w:lineRule="exact"/>
        <w:rPr>
          <w:rFonts w:ascii="Arial" w:cs="Arial" w:eastAsia="Arial" w:hAnsi="Arial"/>
          <w:sz w:val="18"/>
          <w:szCs w:val="18"/>
          <w:color w:val="auto"/>
        </w:rPr>
      </w:pPr>
    </w:p>
    <w:p>
      <w:pPr>
        <w:ind w:left="3000" w:hanging="659"/>
        <w:spacing w:after="0"/>
        <w:tabs>
          <w:tab w:leader="none" w:pos="300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any Revolver Replacement Facility that is secured may not be secured by any asset other</w:t>
      </w:r>
    </w:p>
    <w:p>
      <w:pPr>
        <w:spacing w:after="0" w:line="36" w:lineRule="exact"/>
        <w:rPr>
          <w:rFonts w:ascii="Arial" w:cs="Arial" w:eastAsia="Arial" w:hAnsi="Arial"/>
          <w:sz w:val="17"/>
          <w:szCs w:val="17"/>
          <w:color w:val="auto"/>
        </w:rPr>
      </w:pPr>
    </w:p>
    <w:p>
      <w:pPr>
        <w:ind w:left="1600"/>
        <w:spacing w:after="0"/>
        <w:rPr>
          <w:rFonts w:ascii="Arial" w:cs="Arial" w:eastAsia="Arial" w:hAnsi="Arial"/>
          <w:sz w:val="17"/>
          <w:szCs w:val="17"/>
          <w:color w:val="auto"/>
        </w:rPr>
      </w:pPr>
      <w:r>
        <w:rPr>
          <w:rFonts w:ascii="Arial" w:cs="Arial" w:eastAsia="Arial" w:hAnsi="Arial"/>
          <w:sz w:val="19"/>
          <w:szCs w:val="19"/>
          <w:color w:val="auto"/>
        </w:rPr>
        <w:t>than Collateral;</w:t>
      </w:r>
    </w:p>
    <w:p>
      <w:pPr>
        <w:spacing w:after="0" w:line="197" w:lineRule="exact"/>
        <w:rPr>
          <w:rFonts w:ascii="Arial" w:cs="Arial" w:eastAsia="Arial" w:hAnsi="Arial"/>
          <w:sz w:val="17"/>
          <w:szCs w:val="17"/>
          <w:color w:val="auto"/>
        </w:rPr>
      </w:pPr>
    </w:p>
    <w:p>
      <w:pPr>
        <w:ind w:left="1600" w:right="39" w:firstLine="741"/>
        <w:spacing w:after="0" w:line="261" w:lineRule="auto"/>
        <w:tabs>
          <w:tab w:leader="none" w:pos="3008" w:val="left"/>
        </w:tabs>
        <w:numPr>
          <w:ilvl w:val="0"/>
          <w:numId w:val="320"/>
        </w:numPr>
        <w:rPr>
          <w:rFonts w:ascii="Arial" w:cs="Arial" w:eastAsia="Arial" w:hAnsi="Arial"/>
          <w:sz w:val="19"/>
          <w:szCs w:val="19"/>
          <w:color w:val="auto"/>
        </w:rPr>
      </w:pPr>
      <w:r>
        <w:rPr>
          <w:rFonts w:ascii="Arial" w:cs="Arial" w:eastAsia="Arial" w:hAnsi="Arial"/>
          <w:sz w:val="19"/>
          <w:szCs w:val="19"/>
          <w:color w:val="auto"/>
        </w:rPr>
        <w:t>any Revolver Replacement Facility that is guaranteed may not be guaranteed by any subsidiary of the Borrower other than one or more Loan Parties;</w:t>
      </w:r>
    </w:p>
    <w:p>
      <w:pPr>
        <w:spacing w:after="0" w:line="172" w:lineRule="exact"/>
        <w:rPr>
          <w:rFonts w:ascii="Arial" w:cs="Arial" w:eastAsia="Arial" w:hAnsi="Arial"/>
          <w:sz w:val="19"/>
          <w:szCs w:val="19"/>
          <w:color w:val="auto"/>
        </w:rPr>
      </w:pPr>
    </w:p>
    <w:p>
      <w:pPr>
        <w:jc w:val="both"/>
        <w:ind w:left="1600" w:right="39" w:firstLine="741"/>
        <w:spacing w:after="0" w:line="271" w:lineRule="auto"/>
        <w:tabs>
          <w:tab w:leader="none" w:pos="3009" w:val="left"/>
        </w:tabs>
        <w:numPr>
          <w:ilvl w:val="0"/>
          <w:numId w:val="320"/>
        </w:numPr>
        <w:rPr>
          <w:rFonts w:ascii="Arial" w:cs="Arial" w:eastAsia="Arial" w:hAnsi="Arial"/>
          <w:sz w:val="17"/>
          <w:szCs w:val="17"/>
          <w:color w:val="auto"/>
        </w:rPr>
      </w:pPr>
      <w:r>
        <w:rPr>
          <w:rFonts w:ascii="Arial" w:cs="Arial" w:eastAsia="Arial" w:hAnsi="Arial"/>
          <w:sz w:val="17"/>
          <w:szCs w:val="17"/>
          <w:color w:val="auto"/>
        </w:rPr>
        <w:t xml:space="preserve">(1) if the relevant Revolver Replacement Facility is a revolving facility, such Revolver Replacement Facility may provide for the borrowing and repayment of Revolving Loans with respect to any Revolving Facility after the effective date of such Revolver Replacement Facility on a pro rata basis or a non-pro rata basis with all other Revolving Facilities (it being understood that any Revolver Replacement Facility that participates in borrowings on a pro rata basis with other Revolving Facilities shall participate in repayments on a pro rata basis with such Revolving Facilities and that in the event of any Revolver Replacement Facility that must participate in borrowings on a less than pro rata basis as compared to other Revolving Facilities, such Revolver Replacement Facility shall participate in repayments on a less than pro rata basis as compared to such other Revolving Facilities (in each case, except, in any case, for (1) payments of interest and fees at different rates on the Revolving Facilities (and related outstandings), (2) repayments required on the Maturity Date of any Revolving Facility and (3) repayments made in connection with a permanent repayment and termination of the Revolving Credit Commitments under any Revolving Facility (subject to </w:t>
      </w:r>
      <w:r>
        <w:rPr>
          <w:rFonts w:ascii="Arial" w:cs="Arial" w:eastAsia="Arial" w:hAnsi="Arial"/>
          <w:sz w:val="17"/>
          <w:szCs w:val="17"/>
          <w:u w:val="single" w:color="auto"/>
          <w:color w:val="auto"/>
        </w:rPr>
        <w:t>clause (3)</w:t>
      </w:r>
      <w:r>
        <w:rPr>
          <w:rFonts w:ascii="Arial" w:cs="Arial" w:eastAsia="Arial" w:hAnsi="Arial"/>
          <w:sz w:val="17"/>
          <w:szCs w:val="17"/>
          <w:color w:val="auto"/>
        </w:rPr>
        <w:t xml:space="preserve"> below))), (2) if the relevant Revolver Replacement Facility is a revolving facility, all Letters of Credit and Swingline Loans shall be participated on a pro rata basis by all Revolving Lenders, (3) if the relevant Revolver Replacement Facility is a revolving facility, any permanent repayment of Revolving Loans with respect to, and reduction and termination of Revolving Credit Commitments under, any Revolver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183</w:t>
      </w:r>
      <w:r>
        <w:rPr>
          <w:rFonts w:ascii="Arial" w:cs="Arial" w:eastAsia="Arial" w:hAnsi="Arial"/>
          <w:sz w:val="18"/>
          <w:szCs w:val="18"/>
          <w:u w:val="single" w:color="auto"/>
          <w:color w:val="0000FF"/>
          <w:strike w:val="1"/>
        </w:rPr>
        <w:t>183</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51" w:name="page252"/>
    <w:bookmarkEnd w:id="251"/>
    <w:p>
      <w:pPr>
        <w:ind w:left="1600" w:right="20"/>
        <w:spacing w:after="0" w:line="257" w:lineRule="auto"/>
        <w:rPr>
          <w:sz w:val="20"/>
          <w:szCs w:val="20"/>
          <w:color w:val="auto"/>
        </w:rPr>
      </w:pPr>
      <w:r>
        <w:rPr>
          <w:rFonts w:ascii="Arial" w:cs="Arial" w:eastAsia="Arial" w:hAnsi="Arial"/>
          <w:sz w:val="17"/>
          <w:szCs w:val="17"/>
          <w:color w:val="auto"/>
        </w:rPr>
        <w:t xml:space="preserve">Replacement Facility after the effective date of such Revolver Replacement Facility shall be made on a pro rata basis or a non-pro rata basis with all other Revolving Facilities (it being understood that a Revolver Replacement Facility that participates in borrowings on a pro rata basis with other Revolving Facilities shall participate in permanent repayments of Revolving Loans with respect to, and reduction and termination of Revolving Credit Commitments under, such Revolving Facility on a pro rata basis with such other Revolving Facilities and that in the event of any Revolver Replacement Facility that must participate in borrowings on a less than pro rata basis with other Revolving Facilities, such Revolver Replacement Facility shall participate in permanent repayments of Revolving Loans with respect to, and reduction and termination of Revolving Credit Commitments under, such other Revolving Facility on a less than pro rata basis as compared to such other Revolving Facilities;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case, notwithstanding the foregoing, to the extent any such Revolving Commitments are terminated in full and refinanced or replaced with another Revolver Replacement Facility or Replacement Debt, such Revolving Commitments may be terminated on a greater than pro rata basis) and (4) if the relevant Revolver Replacement Facility is a term loan, it shall be subject to the “ratability” provisions applicable to Replacement Term Loans, consistent with </w:t>
      </w:r>
      <w:r>
        <w:rPr>
          <w:rFonts w:ascii="Arial" w:cs="Arial" w:eastAsia="Arial" w:hAnsi="Arial"/>
          <w:sz w:val="17"/>
          <w:szCs w:val="17"/>
          <w:u w:val="single" w:color="auto"/>
          <w:color w:val="auto"/>
        </w:rPr>
        <w:t>clause (F)</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9.02(c)(i)</w:t>
      </w:r>
      <w:r>
        <w:rPr>
          <w:rFonts w:ascii="Arial" w:cs="Arial" w:eastAsia="Arial" w:hAnsi="Arial"/>
          <w:sz w:val="17"/>
          <w:szCs w:val="17"/>
          <w:color w:val="auto"/>
        </w:rPr>
        <w:t>;</w:t>
      </w:r>
    </w:p>
    <w:p>
      <w:pPr>
        <w:spacing w:after="0" w:line="188" w:lineRule="exact"/>
        <w:rPr>
          <w:sz w:val="20"/>
          <w:szCs w:val="20"/>
          <w:color w:val="auto"/>
        </w:rPr>
      </w:pPr>
    </w:p>
    <w:p>
      <w:pPr>
        <w:jc w:val="both"/>
        <w:ind w:left="1600" w:right="40" w:firstLine="741"/>
        <w:spacing w:after="0" w:line="245" w:lineRule="auto"/>
        <w:tabs>
          <w:tab w:leader="none" w:pos="3010" w:val="left"/>
        </w:tabs>
        <w:numPr>
          <w:ilvl w:val="0"/>
          <w:numId w:val="321"/>
        </w:numPr>
        <w:rPr>
          <w:rFonts w:ascii="Arial" w:cs="Arial" w:eastAsia="Arial" w:hAnsi="Arial"/>
          <w:sz w:val="19"/>
          <w:szCs w:val="19"/>
          <w:color w:val="auto"/>
        </w:rPr>
      </w:pPr>
      <w:r>
        <w:rPr>
          <w:rFonts w:ascii="Arial" w:cs="Arial" w:eastAsia="Arial" w:hAnsi="Arial"/>
          <w:sz w:val="19"/>
          <w:szCs w:val="19"/>
          <w:color w:val="auto"/>
        </w:rPr>
        <w:t xml:space="preserve">any Revolver Replacement Facility may have pricing (including “MFN” or other pricing terms), interest, fees, rate margins, rate floors, premiums (including prepayment premiums), funding discounts, and, subject to preceding </w:t>
      </w:r>
      <w:r>
        <w:rPr>
          <w:rFonts w:ascii="Arial" w:cs="Arial" w:eastAsia="Arial" w:hAnsi="Arial"/>
          <w:sz w:val="19"/>
          <w:szCs w:val="19"/>
          <w:u w:val="single" w:color="auto"/>
          <w:color w:val="auto"/>
        </w:rPr>
        <w:t>clause (F</w:t>
      </w:r>
      <w:r>
        <w:rPr>
          <w:rFonts w:ascii="Arial" w:cs="Arial" w:eastAsia="Arial" w:hAnsi="Arial"/>
          <w:sz w:val="19"/>
          <w:szCs w:val="19"/>
          <w:color w:val="auto"/>
        </w:rPr>
        <w:t>), optional prepayment and redemption terms as the Borrower and the lenders providing such Revolver Replacement Facility may agree;</w:t>
      </w:r>
    </w:p>
    <w:p>
      <w:pPr>
        <w:spacing w:after="0" w:line="187" w:lineRule="exact"/>
        <w:rPr>
          <w:rFonts w:ascii="Arial" w:cs="Arial" w:eastAsia="Arial" w:hAnsi="Arial"/>
          <w:sz w:val="19"/>
          <w:szCs w:val="19"/>
          <w:color w:val="auto"/>
        </w:rPr>
      </w:pPr>
    </w:p>
    <w:p>
      <w:pPr>
        <w:ind w:left="1600" w:firstLine="741"/>
        <w:spacing w:after="0" w:line="270" w:lineRule="auto"/>
        <w:tabs>
          <w:tab w:leader="none" w:pos="3012" w:val="left"/>
        </w:tabs>
        <w:numPr>
          <w:ilvl w:val="0"/>
          <w:numId w:val="321"/>
        </w:numPr>
        <w:rPr>
          <w:rFonts w:ascii="Arial" w:cs="Arial" w:eastAsia="Arial" w:hAnsi="Arial"/>
          <w:sz w:val="17"/>
          <w:szCs w:val="17"/>
          <w:color w:val="auto"/>
        </w:rPr>
      </w:pPr>
      <w:r>
        <w:rPr>
          <w:rFonts w:ascii="Arial" w:cs="Arial" w:eastAsia="Arial" w:hAnsi="Arial"/>
          <w:sz w:val="17"/>
          <w:szCs w:val="17"/>
          <w:color w:val="auto"/>
        </w:rPr>
        <w:t xml:space="preserve">the other terms of any Revolver Replacement Facility (excluding as set forth above) shall be substantially consistent with the Replaced Revolving Facility (or any other then-existing Revolving Facility) or be reasonably satisfactory to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terms and conditions shall be deemed to be satisfactory to the Administrative Agent so long as any such terms and conditions (i) (1) that are not substantially consistent with those applicable to the relevant Replaced Revolving Facility are applicable only to periods after the latest Maturity Date of such Replaced Revolving Facility (in each case, as of the date of implementation of such Revolver Replacement Facility), (2) are substantially identical to, or (taken as a whole) no more favorable (as determined by the Borrower in good faith) to the lenders providing such Revolver Replacement Facility than those applicable to the relevant Replaced Revolving Facility (other than such terms to which </w:t>
      </w:r>
      <w:r>
        <w:rPr>
          <w:rFonts w:ascii="Arial" w:cs="Arial" w:eastAsia="Arial" w:hAnsi="Arial"/>
          <w:sz w:val="17"/>
          <w:szCs w:val="17"/>
          <w:u w:val="single" w:color="auto"/>
          <w:color w:val="auto"/>
        </w:rPr>
        <w:t>clause (1)</w:t>
      </w:r>
      <w:r>
        <w:rPr>
          <w:rFonts w:ascii="Arial" w:cs="Arial" w:eastAsia="Arial" w:hAnsi="Arial"/>
          <w:sz w:val="17"/>
          <w:szCs w:val="17"/>
          <w:color w:val="auto"/>
        </w:rPr>
        <w:t xml:space="preserve"> is applicable), (3) reflect then-current market terms and conditions (as determined by the Borrower in good faith) for the applicable type of Indebtedness or are reasonably acceptable to the Administrative Agent or (4) are more favorable to the lenders or the agent of such Revolver Replacement Facility than those contained in the Loan Documents and are then conformed (or added) to the Loan Documents pursuant to the applicable Refinancing Amendment) or (ii) in the case of a Revolver Replacement Facility that consists of replacement term loans, consistent with the provisions of </w:t>
      </w:r>
      <w:r>
        <w:rPr>
          <w:rFonts w:ascii="Arial" w:cs="Arial" w:eastAsia="Arial" w:hAnsi="Arial"/>
          <w:sz w:val="17"/>
          <w:szCs w:val="17"/>
          <w:u w:val="single" w:color="auto"/>
          <w:color w:val="auto"/>
        </w:rPr>
        <w:t>Section 9.02(c)(i)(H)</w:t>
      </w:r>
      <w:r>
        <w:rPr>
          <w:rFonts w:ascii="Arial" w:cs="Arial" w:eastAsia="Arial" w:hAnsi="Arial"/>
          <w:sz w:val="17"/>
          <w:szCs w:val="17"/>
          <w:color w:val="auto"/>
        </w:rPr>
        <w:t>;</w:t>
      </w:r>
    </w:p>
    <w:p>
      <w:pPr>
        <w:spacing w:after="0" w:line="170" w:lineRule="exact"/>
        <w:rPr>
          <w:rFonts w:ascii="Arial" w:cs="Arial" w:eastAsia="Arial" w:hAnsi="Arial"/>
          <w:sz w:val="17"/>
          <w:szCs w:val="17"/>
          <w:color w:val="auto"/>
        </w:rPr>
      </w:pPr>
    </w:p>
    <w:p>
      <w:pPr>
        <w:jc w:val="both"/>
        <w:ind w:left="1600" w:right="40" w:firstLine="741"/>
        <w:spacing w:after="0" w:line="268" w:lineRule="auto"/>
        <w:tabs>
          <w:tab w:leader="none" w:pos="3008"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commitments in respect of the relevant Replaced Revolving Facility (or the relevant portion thereof) shall be terminated, and all loans outstanding in respect of such Replaced Revolving Facility and all accrued but unpaid interest and fees then due and payable in connection therewith shall be paid in full, in each case on the date any Revolver Replacement Facility is implemented; and</w:t>
      </w:r>
    </w:p>
    <w:p>
      <w:pPr>
        <w:spacing w:after="0" w:line="168" w:lineRule="exact"/>
        <w:rPr>
          <w:rFonts w:ascii="Arial" w:cs="Arial" w:eastAsia="Arial" w:hAnsi="Arial"/>
          <w:sz w:val="18"/>
          <w:szCs w:val="18"/>
          <w:color w:val="auto"/>
        </w:rPr>
      </w:pPr>
    </w:p>
    <w:p>
      <w:pPr>
        <w:jc w:val="both"/>
        <w:ind w:left="1600" w:right="20" w:firstLine="741"/>
        <w:spacing w:after="0" w:line="245" w:lineRule="auto"/>
        <w:tabs>
          <w:tab w:leader="none" w:pos="3011" w:val="left"/>
        </w:tabs>
        <w:numPr>
          <w:ilvl w:val="0"/>
          <w:numId w:val="321"/>
        </w:numPr>
        <w:rPr>
          <w:rFonts w:ascii="Arial" w:cs="Arial" w:eastAsia="Arial" w:hAnsi="Arial"/>
          <w:sz w:val="19"/>
          <w:szCs w:val="19"/>
          <w:color w:val="auto"/>
        </w:rPr>
      </w:pPr>
      <w:r>
        <w:rPr>
          <w:rFonts w:ascii="Arial" w:cs="Arial" w:eastAsia="Arial" w:hAnsi="Arial"/>
          <w:sz w:val="19"/>
          <w:szCs w:val="19"/>
          <w:color w:val="auto"/>
        </w:rPr>
        <w:t xml:space="preserve">any Revolver Replacement Facility may be provided by any existing Lender and/or any other Eligible Assignee; </w:t>
      </w:r>
      <w:r>
        <w:rPr>
          <w:rFonts w:ascii="Arial" w:cs="Arial" w:eastAsia="Arial" w:hAnsi="Arial"/>
          <w:sz w:val="19"/>
          <w:szCs w:val="19"/>
          <w:u w:val="single" w:color="auto"/>
          <w:color w:val="auto"/>
        </w:rPr>
        <w:t>provided</w:t>
      </w:r>
      <w:r>
        <w:rPr>
          <w:rFonts w:ascii="Arial" w:cs="Arial" w:eastAsia="Arial" w:hAnsi="Arial"/>
          <w:sz w:val="19"/>
          <w:szCs w:val="19"/>
          <w:color w:val="auto"/>
        </w:rPr>
        <w:t>, that the Administrative Agent (and, in the case of any Revolver Replacement Facility that constitutes a revolving facility, any Issuing Bank) shall have a right to consent (such consent not to be unreasonably withheld, conditioned or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184</w:t>
      </w:r>
      <w:r>
        <w:rPr>
          <w:rFonts w:ascii="Arial" w:cs="Arial" w:eastAsia="Arial" w:hAnsi="Arial"/>
          <w:sz w:val="18"/>
          <w:szCs w:val="18"/>
          <w:u w:val="single" w:color="auto"/>
          <w:color w:val="0000FF"/>
          <w:strike w:val="1"/>
        </w:rPr>
        <w:t>184</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85" w:right="1439" w:bottom="1440" w:gutter="0" w:footer="0" w:header="0"/>
        </w:sectPr>
      </w:pPr>
    </w:p>
    <w:bookmarkStart w:id="252" w:name="page253"/>
    <w:bookmarkEnd w:id="252"/>
    <w:p>
      <w:pPr>
        <w:ind w:left="1600" w:right="79"/>
        <w:spacing w:after="0" w:line="261" w:lineRule="auto"/>
        <w:rPr>
          <w:sz w:val="20"/>
          <w:szCs w:val="20"/>
          <w:color w:val="auto"/>
        </w:rPr>
      </w:pPr>
      <w:r>
        <w:rPr>
          <w:rFonts w:ascii="Arial" w:cs="Arial" w:eastAsia="Arial" w:hAnsi="Arial"/>
          <w:sz w:val="19"/>
          <w:szCs w:val="19"/>
          <w:color w:val="auto"/>
        </w:rPr>
        <w:t xml:space="preserve">delayed) to the relevant Person’s provision of a Revolver Replacement Facility if such consent would be required under </w:t>
      </w:r>
      <w:r>
        <w:rPr>
          <w:rFonts w:ascii="Arial" w:cs="Arial" w:eastAsia="Arial" w:hAnsi="Arial"/>
          <w:sz w:val="19"/>
          <w:szCs w:val="19"/>
          <w:u w:val="single" w:color="auto"/>
          <w:color w:val="auto"/>
        </w:rPr>
        <w:t>Section 9.05(b)</w:t>
      </w:r>
      <w:r>
        <w:rPr>
          <w:rFonts w:ascii="Arial" w:cs="Arial" w:eastAsia="Arial" w:hAnsi="Arial"/>
          <w:sz w:val="19"/>
          <w:szCs w:val="19"/>
          <w:color w:val="auto"/>
        </w:rPr>
        <w:t xml:space="preserve"> for an assignment of Loans to the relevant Person;</w:t>
      </w:r>
    </w:p>
    <w:p>
      <w:pPr>
        <w:spacing w:after="0" w:line="159" w:lineRule="exact"/>
        <w:rPr>
          <w:sz w:val="20"/>
          <w:szCs w:val="20"/>
          <w:color w:val="auto"/>
        </w:rPr>
      </w:pPr>
    </w:p>
    <w:p>
      <w:pPr>
        <w:jc w:val="both"/>
        <w:ind w:left="100" w:right="59"/>
        <w:spacing w:after="0" w:line="231"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in respect of each of </w:t>
      </w:r>
      <w:r>
        <w:rPr>
          <w:rFonts w:ascii="Arial" w:cs="Arial" w:eastAsia="Arial" w:hAnsi="Arial"/>
          <w:sz w:val="19"/>
          <w:szCs w:val="19"/>
          <w:u w:val="single" w:color="auto"/>
          <w:color w:val="auto"/>
        </w:rPr>
        <w:t>sub-clauses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any Non-Debt Fund Affiliate and/or any Debt Fund Affiliate shall (x) be permitted without the consent of the Administrative Agent to provide any Class of Replacement Term Loans and/or any Revolver Replacement Facility in the form of a term loan, it being understood that in connection therewith, the relevant Non-Debt Fund Affiliate or Debt Fund Affiliate, as applicable, shall be subject to the restrictions applicable to such Person under </w:t>
      </w:r>
      <w:r>
        <w:rPr>
          <w:rFonts w:ascii="Arial" w:cs="Arial" w:eastAsia="Arial" w:hAnsi="Arial"/>
          <w:sz w:val="19"/>
          <w:szCs w:val="19"/>
          <w:u w:val="single" w:color="auto"/>
          <w:color w:val="auto"/>
        </w:rPr>
        <w:t>Section</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19"/>
          <w:szCs w:val="19"/>
          <w:u w:val="single" w:color="auto"/>
          <w:color w:val="auto"/>
        </w:rPr>
        <w:t>9.05</w:t>
      </w:r>
      <w:r>
        <w:rPr>
          <w:rFonts w:ascii="Arial" w:cs="Arial" w:eastAsia="Arial" w:hAnsi="Arial"/>
          <w:sz w:val="19"/>
          <w:szCs w:val="19"/>
          <w:color w:val="auto"/>
        </w:rPr>
        <w:t xml:space="preserve"> and (y) no Non-Debt Fund Affiliate may provide any Revolver Replacement Facility in the form of revolving facility.</w:t>
      </w:r>
    </w:p>
    <w:p>
      <w:pPr>
        <w:spacing w:after="0" w:line="184" w:lineRule="exact"/>
        <w:rPr>
          <w:sz w:val="20"/>
          <w:szCs w:val="20"/>
          <w:color w:val="auto"/>
        </w:rPr>
      </w:pPr>
    </w:p>
    <w:p>
      <w:pPr>
        <w:ind w:left="100" w:right="19" w:firstLine="749"/>
        <w:spacing w:after="0" w:line="231" w:lineRule="auto"/>
        <w:rPr>
          <w:sz w:val="20"/>
          <w:szCs w:val="20"/>
          <w:color w:val="auto"/>
        </w:rPr>
      </w:pPr>
      <w:r>
        <w:rPr>
          <w:rFonts w:ascii="Arial" w:cs="Arial" w:eastAsia="Arial" w:hAnsi="Arial"/>
          <w:sz w:val="19"/>
          <w:szCs w:val="19"/>
          <w:color w:val="auto"/>
        </w:rPr>
        <w:t>Each party hereto hereby agrees that this Agreement may be amended by the Borrower, the Administrative Agent and the lenders providing the relevant Class of Replacement Term Loans or the relevant Revolver Replacement Facility, as applicable, to the extent (but only to the extent) necessary to reflect the existence and terms of such Class of Replacement Term Loans or Revolver Replacement Facility, incurred or implemented pursuant thereto (including any amendment necessary to treat the loans and commitments subject thereto as a separate “tranche” and “Class” of Loans and/or commitments hereunder). It is understood that any Lender approached to provide all or a portion of any Class of Replacement Term Loans or any Revolver Replacement Facility, may elect or decline, in its sole discretion, to provide such Class of Replacement Term Loans or such Revolver Replacement Facility.</w:t>
      </w:r>
    </w:p>
    <w:p>
      <w:pPr>
        <w:spacing w:after="0" w:line="181" w:lineRule="exact"/>
        <w:rPr>
          <w:sz w:val="20"/>
          <w:szCs w:val="20"/>
          <w:color w:val="auto"/>
        </w:rPr>
      </w:pPr>
    </w:p>
    <w:p>
      <w:pPr>
        <w:ind w:left="100" w:right="59" w:firstLine="742"/>
        <w:spacing w:after="0" w:line="261" w:lineRule="auto"/>
        <w:tabs>
          <w:tab w:leader="none" w:pos="1520" w:val="left"/>
        </w:tabs>
        <w:numPr>
          <w:ilvl w:val="0"/>
          <w:numId w:val="322"/>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or any other provision of this Agreement or any provision of any other Loan Document:</w:t>
      </w:r>
    </w:p>
    <w:p>
      <w:pPr>
        <w:spacing w:after="0" w:line="172" w:lineRule="exact"/>
        <w:rPr>
          <w:rFonts w:ascii="Arial" w:cs="Arial" w:eastAsia="Arial" w:hAnsi="Arial"/>
          <w:sz w:val="19"/>
          <w:szCs w:val="19"/>
          <w:color w:val="auto"/>
        </w:rPr>
      </w:pPr>
    </w:p>
    <w:p>
      <w:pPr>
        <w:jc w:val="both"/>
        <w:ind w:left="840" w:right="39" w:firstLine="752"/>
        <w:spacing w:after="0" w:line="264" w:lineRule="auto"/>
        <w:tabs>
          <w:tab w:leader="none" w:pos="2256"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the Borrower and the Administrative Agent may, without the input or consent of any Lender, amend, supplement and/or waive this Agreement and/or any guaranty, collateral security agreement, pledge agreement and/or related document (if any) executed in connection with this Agreement to (A) comply with any Requirement of Law or the advice of counsel or (B) cause any such guaranty, collateral security agreement, pledge agreement or other document to be consistent with this Agreement and/or the relevant other Loan Documents,</w:t>
      </w:r>
    </w:p>
    <w:p>
      <w:pPr>
        <w:spacing w:after="0" w:line="171" w:lineRule="exact"/>
        <w:rPr>
          <w:rFonts w:ascii="Arial" w:cs="Arial" w:eastAsia="Arial" w:hAnsi="Arial"/>
          <w:sz w:val="18"/>
          <w:szCs w:val="18"/>
          <w:color w:val="auto"/>
        </w:rPr>
      </w:pPr>
    </w:p>
    <w:p>
      <w:pPr>
        <w:jc w:val="both"/>
        <w:ind w:left="840" w:right="39" w:firstLine="752"/>
        <w:spacing w:after="0" w:line="241" w:lineRule="auto"/>
        <w:tabs>
          <w:tab w:leader="none" w:pos="2256" w:val="left"/>
        </w:tabs>
        <w:numPr>
          <w:ilvl w:val="1"/>
          <w:numId w:val="322"/>
        </w:numPr>
        <w:rPr>
          <w:rFonts w:ascii="Arial" w:cs="Arial" w:eastAsia="Arial" w:hAnsi="Arial"/>
          <w:sz w:val="19"/>
          <w:szCs w:val="19"/>
          <w:color w:val="auto"/>
        </w:rPr>
      </w:pPr>
      <w:r>
        <w:rPr>
          <w:rFonts w:ascii="Arial" w:cs="Arial" w:eastAsia="Arial" w:hAnsi="Arial"/>
          <w:sz w:val="19"/>
          <w:szCs w:val="19"/>
          <w:color w:val="auto"/>
        </w:rPr>
        <w:t xml:space="preserve">the Borrower and the Administrative Agent may, without the input or consent of any other Lender (other than the relevant Lenders providing Loans under such Sections), effect amendments to this Agreement and the other Loan Documents as may be necessary or advisable in the reasonable opinion of the Borrower and the Administrative Agent to (A) effect the provisions of </w:t>
      </w:r>
      <w:r>
        <w:rPr>
          <w:rFonts w:ascii="Arial" w:cs="Arial" w:eastAsia="Arial" w:hAnsi="Arial"/>
          <w:sz w:val="19"/>
          <w:szCs w:val="19"/>
          <w:u w:val="single" w:color="auto"/>
          <w:color w:val="auto"/>
        </w:rPr>
        <w:t>Sections 1.10</w:t>
      </w:r>
      <w:r>
        <w:rPr>
          <w:rFonts w:ascii="Arial" w:cs="Arial" w:eastAsia="Arial" w:hAnsi="Arial"/>
          <w:sz w:val="19"/>
          <w:szCs w:val="19"/>
          <w:color w:val="auto"/>
        </w:rPr>
        <w:t xml:space="preserve">, </w:t>
      </w:r>
      <w:r>
        <w:rPr>
          <w:rFonts w:ascii="Arial" w:cs="Arial" w:eastAsia="Arial" w:hAnsi="Arial"/>
          <w:sz w:val="19"/>
          <w:szCs w:val="19"/>
          <w:u w:val="single" w:color="auto"/>
          <w:color w:val="auto"/>
        </w:rPr>
        <w:t>2.22</w:t>
      </w:r>
      <w:r>
        <w:rPr>
          <w:rFonts w:ascii="Arial" w:cs="Arial" w:eastAsia="Arial" w:hAnsi="Arial"/>
          <w:sz w:val="19"/>
          <w:szCs w:val="19"/>
          <w:color w:val="auto"/>
        </w:rPr>
        <w:t xml:space="preserve">, </w:t>
      </w:r>
      <w:r>
        <w:rPr>
          <w:rFonts w:ascii="Arial" w:cs="Arial" w:eastAsia="Arial" w:hAnsi="Arial"/>
          <w:sz w:val="19"/>
          <w:szCs w:val="19"/>
          <w:u w:val="single" w:color="auto"/>
          <w:color w:val="auto"/>
        </w:rPr>
        <w:t>2.23</w:t>
      </w:r>
      <w:r>
        <w:rPr>
          <w:rFonts w:ascii="Arial" w:cs="Arial" w:eastAsia="Arial" w:hAnsi="Arial"/>
          <w:sz w:val="19"/>
          <w:szCs w:val="19"/>
          <w:color w:val="auto"/>
        </w:rPr>
        <w:t xml:space="preserve">, </w:t>
      </w:r>
      <w:r>
        <w:rPr>
          <w:rFonts w:ascii="Arial" w:cs="Arial" w:eastAsia="Arial" w:hAnsi="Arial"/>
          <w:sz w:val="19"/>
          <w:szCs w:val="19"/>
          <w:u w:val="single" w:color="auto"/>
          <w:color w:val="auto"/>
        </w:rPr>
        <w:t>5.12</w:t>
      </w:r>
      <w:r>
        <w:rPr>
          <w:rFonts w:ascii="Arial" w:cs="Arial" w:eastAsia="Arial" w:hAnsi="Arial"/>
          <w:sz w:val="19"/>
          <w:szCs w:val="19"/>
          <w:color w:val="auto"/>
        </w:rPr>
        <w:t xml:space="preserve">, </w:t>
      </w:r>
      <w:r>
        <w:rPr>
          <w:rFonts w:ascii="Arial" w:cs="Arial" w:eastAsia="Arial" w:hAnsi="Arial"/>
          <w:sz w:val="19"/>
          <w:szCs w:val="19"/>
          <w:u w:val="single" w:color="auto"/>
          <w:color w:val="auto"/>
        </w:rPr>
        <w:t>5.17</w:t>
      </w:r>
      <w:r>
        <w:rPr>
          <w:rFonts w:ascii="Arial" w:cs="Arial" w:eastAsia="Arial" w:hAnsi="Arial"/>
          <w:sz w:val="19"/>
          <w:szCs w:val="19"/>
          <w:color w:val="auto"/>
        </w:rPr>
        <w:t xml:space="preserve">, </w:t>
      </w:r>
      <w:r>
        <w:rPr>
          <w:rFonts w:ascii="Arial" w:cs="Arial" w:eastAsia="Arial" w:hAnsi="Arial"/>
          <w:sz w:val="19"/>
          <w:szCs w:val="19"/>
          <w:u w:val="single" w:color="auto"/>
          <w:color w:val="auto"/>
        </w:rPr>
        <w:t>5.18</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9.02(c)</w:t>
      </w:r>
      <w:r>
        <w:rPr>
          <w:rFonts w:ascii="Arial" w:cs="Arial" w:eastAsia="Arial" w:hAnsi="Arial"/>
          <w:sz w:val="19"/>
          <w:szCs w:val="19"/>
          <w:color w:val="auto"/>
        </w:rPr>
        <w:t>, or any other provision of this Agreement or any other Loan Document specifying that any waiver, amendment or modification may be made with the consent or approval of the Administrative Agent and/or (B) add terms (including representations and warranties, conditions, prepayments, covenants or events of default) that are favorable to the then-existing Lenders, as reasonably determined by the Administrative Agent (it being understood that, where applicable, any such amendment may be effectuated as part of an Incremental Facility Amendment, an Extension Amendment and/or a Refinancing Amendment),</w:t>
      </w:r>
    </w:p>
    <w:p>
      <w:pPr>
        <w:spacing w:after="0" w:line="195" w:lineRule="exact"/>
        <w:rPr>
          <w:rFonts w:ascii="Arial" w:cs="Arial" w:eastAsia="Arial" w:hAnsi="Arial"/>
          <w:sz w:val="19"/>
          <w:szCs w:val="19"/>
          <w:color w:val="auto"/>
        </w:rPr>
      </w:pPr>
    </w:p>
    <w:p>
      <w:pPr>
        <w:jc w:val="both"/>
        <w:ind w:left="840" w:right="59" w:firstLine="751"/>
        <w:spacing w:after="0" w:line="263" w:lineRule="auto"/>
        <w:tabs>
          <w:tab w:leader="none" w:pos="2254" w:val="left"/>
        </w:tabs>
        <w:numPr>
          <w:ilvl w:val="1"/>
          <w:numId w:val="322"/>
        </w:numPr>
        <w:rPr>
          <w:rFonts w:ascii="Arial" w:cs="Arial" w:eastAsia="Arial" w:hAnsi="Arial"/>
          <w:sz w:val="18"/>
          <w:szCs w:val="18"/>
          <w:color w:val="auto"/>
        </w:rPr>
      </w:pPr>
      <w:r>
        <w:rPr>
          <w:rFonts w:ascii="Arial" w:cs="Arial" w:eastAsia="Arial" w:hAnsi="Arial"/>
          <w:sz w:val="18"/>
          <w:szCs w:val="18"/>
          <w:color w:val="auto"/>
        </w:rPr>
        <w:t>if the Administrative Agent and the Borrower have jointly identified any ambiguity, mistake, defect, inconsistency, obvious error or any error or omission of a technical nature or any necessary or desirable technical change, in each case, in any provision of any Loan Document, then the Administrative Agent and the Borrower shall be permitted to amend such provision solely to address such matter as reasonably determined by them,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185</w:t>
      </w:r>
      <w:r>
        <w:rPr>
          <w:rFonts w:ascii="Arial" w:cs="Arial" w:eastAsia="Arial" w:hAnsi="Arial"/>
          <w:sz w:val="18"/>
          <w:szCs w:val="18"/>
          <w:u w:val="single" w:color="auto"/>
          <w:color w:val="0000FF"/>
          <w:strike w:val="1"/>
        </w:rPr>
        <w:t>185</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53" w:name="page254"/>
    <w:bookmarkEnd w:id="253"/>
    <w:p>
      <w:pPr>
        <w:ind w:left="840" w:right="59" w:firstLine="751"/>
        <w:spacing w:after="0" w:line="261" w:lineRule="auto"/>
        <w:tabs>
          <w:tab w:leader="none" w:pos="2254" w:val="left"/>
        </w:tabs>
        <w:numPr>
          <w:ilvl w:val="0"/>
          <w:numId w:val="323"/>
        </w:numPr>
        <w:rPr>
          <w:rFonts w:ascii="Arial" w:cs="Arial" w:eastAsia="Arial" w:hAnsi="Arial"/>
          <w:sz w:val="19"/>
          <w:szCs w:val="19"/>
          <w:color w:val="auto"/>
        </w:rPr>
      </w:pPr>
      <w:r>
        <w:rPr>
          <w:rFonts w:ascii="Arial" w:cs="Arial" w:eastAsia="Arial" w:hAnsi="Arial"/>
          <w:sz w:val="19"/>
          <w:szCs w:val="19"/>
          <w:color w:val="auto"/>
        </w:rPr>
        <w:t>the Administrative Agent and the Borrower may amend, restate, amend and restate or otherwise modify any Intercreditor Agreement and/or any other Additional Agreement as provided therein,</w:t>
      </w:r>
    </w:p>
    <w:p>
      <w:pPr>
        <w:spacing w:after="0" w:line="186" w:lineRule="exact"/>
        <w:rPr>
          <w:rFonts w:ascii="Arial" w:cs="Arial" w:eastAsia="Arial" w:hAnsi="Arial"/>
          <w:sz w:val="19"/>
          <w:szCs w:val="19"/>
          <w:color w:val="auto"/>
        </w:rPr>
      </w:pPr>
    </w:p>
    <w:p>
      <w:pPr>
        <w:jc w:val="both"/>
        <w:ind w:left="840" w:right="39" w:firstLine="752"/>
        <w:spacing w:after="0" w:line="245" w:lineRule="auto"/>
        <w:tabs>
          <w:tab w:leader="none" w:pos="2255" w:val="left"/>
        </w:tabs>
        <w:numPr>
          <w:ilvl w:val="0"/>
          <w:numId w:val="323"/>
        </w:numPr>
        <w:rPr>
          <w:rFonts w:ascii="Arial" w:cs="Arial" w:eastAsia="Arial" w:hAnsi="Arial"/>
          <w:sz w:val="19"/>
          <w:szCs w:val="19"/>
          <w:color w:val="auto"/>
        </w:rPr>
      </w:pPr>
      <w:r>
        <w:rPr>
          <w:rFonts w:ascii="Arial" w:cs="Arial" w:eastAsia="Arial" w:hAnsi="Arial"/>
          <w:sz w:val="19"/>
          <w:szCs w:val="19"/>
          <w:color w:val="auto"/>
        </w:rPr>
        <w:t xml:space="preserve">the Administrative Agent may amend the Commitment Schedule to reflect assignments entered into pursuant to </w:t>
      </w:r>
      <w:r>
        <w:rPr>
          <w:rFonts w:ascii="Arial" w:cs="Arial" w:eastAsia="Arial" w:hAnsi="Arial"/>
          <w:sz w:val="19"/>
          <w:szCs w:val="19"/>
          <w:u w:val="single" w:color="auto"/>
          <w:color w:val="auto"/>
        </w:rPr>
        <w:t>Section 9.05</w:t>
      </w:r>
      <w:r>
        <w:rPr>
          <w:rFonts w:ascii="Arial" w:cs="Arial" w:eastAsia="Arial" w:hAnsi="Arial"/>
          <w:sz w:val="19"/>
          <w:szCs w:val="19"/>
          <w:color w:val="auto"/>
        </w:rPr>
        <w:t xml:space="preserve">, Commitment reductions or terminations pursuant to </w:t>
      </w:r>
      <w:r>
        <w:rPr>
          <w:rFonts w:ascii="Arial" w:cs="Arial" w:eastAsia="Arial" w:hAnsi="Arial"/>
          <w:sz w:val="19"/>
          <w:szCs w:val="19"/>
          <w:u w:val="single" w:color="auto"/>
          <w:color w:val="auto"/>
        </w:rPr>
        <w:t>Section 2.09</w:t>
      </w:r>
      <w:r>
        <w:rPr>
          <w:rFonts w:ascii="Arial" w:cs="Arial" w:eastAsia="Arial" w:hAnsi="Arial"/>
          <w:sz w:val="19"/>
          <w:szCs w:val="19"/>
          <w:color w:val="auto"/>
        </w:rPr>
        <w:t xml:space="preserve">, implementations of Additional Commitments or incurrences of Additional Loans pursuant to </w:t>
      </w:r>
      <w:r>
        <w:rPr>
          <w:rFonts w:ascii="Arial" w:cs="Arial" w:eastAsia="Arial" w:hAnsi="Arial"/>
          <w:sz w:val="19"/>
          <w:szCs w:val="19"/>
          <w:u w:val="single" w:color="auto"/>
          <w:color w:val="auto"/>
        </w:rPr>
        <w:t>Sections 2.22</w:t>
      </w:r>
      <w:r>
        <w:rPr>
          <w:rFonts w:ascii="Arial" w:cs="Arial" w:eastAsia="Arial" w:hAnsi="Arial"/>
          <w:sz w:val="19"/>
          <w:szCs w:val="19"/>
          <w:color w:val="auto"/>
        </w:rPr>
        <w:t xml:space="preserve">, </w:t>
      </w:r>
      <w:r>
        <w:rPr>
          <w:rFonts w:ascii="Arial" w:cs="Arial" w:eastAsia="Arial" w:hAnsi="Arial"/>
          <w:sz w:val="19"/>
          <w:szCs w:val="19"/>
          <w:u w:val="single" w:color="auto"/>
          <w:color w:val="auto"/>
        </w:rPr>
        <w:t>2.23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9.02(c)</w:t>
      </w:r>
      <w:r>
        <w:rPr>
          <w:rFonts w:ascii="Arial" w:cs="Arial" w:eastAsia="Arial" w:hAnsi="Arial"/>
          <w:sz w:val="19"/>
          <w:szCs w:val="19"/>
          <w:color w:val="auto"/>
        </w:rPr>
        <w:t xml:space="preserve"> and reductions or terminations of any such Additional Commitments or Additional Loans,</w:t>
      </w:r>
    </w:p>
    <w:p>
      <w:pPr>
        <w:spacing w:after="0" w:line="187" w:lineRule="exact"/>
        <w:rPr>
          <w:rFonts w:ascii="Arial" w:cs="Arial" w:eastAsia="Arial" w:hAnsi="Arial"/>
          <w:sz w:val="19"/>
          <w:szCs w:val="19"/>
          <w:color w:val="auto"/>
        </w:rPr>
      </w:pPr>
    </w:p>
    <w:p>
      <w:pPr>
        <w:ind w:left="840" w:right="59" w:firstLine="751"/>
        <w:spacing w:after="0" w:line="261" w:lineRule="auto"/>
        <w:tabs>
          <w:tab w:leader="none" w:pos="2254" w:val="left"/>
        </w:tabs>
        <w:numPr>
          <w:ilvl w:val="0"/>
          <w:numId w:val="323"/>
        </w:numPr>
        <w:rPr>
          <w:rFonts w:ascii="Arial" w:cs="Arial" w:eastAsia="Arial" w:hAnsi="Arial"/>
          <w:sz w:val="19"/>
          <w:szCs w:val="19"/>
          <w:color w:val="auto"/>
        </w:rPr>
      </w:pPr>
      <w:r>
        <w:rPr>
          <w:rFonts w:ascii="Arial" w:cs="Arial" w:eastAsia="Arial" w:hAnsi="Arial"/>
          <w:sz w:val="19"/>
          <w:szCs w:val="19"/>
          <w:color w:val="auto"/>
        </w:rPr>
        <w:t xml:space="preserve">no Defaulting Lender shall have any right to approve or disapprove any amendment, waiver or consent hereunder, except as permitted pursuant to </w:t>
      </w:r>
      <w:r>
        <w:rPr>
          <w:rFonts w:ascii="Arial" w:cs="Arial" w:eastAsia="Arial" w:hAnsi="Arial"/>
          <w:sz w:val="19"/>
          <w:szCs w:val="19"/>
          <w:u w:val="single" w:color="auto"/>
          <w:color w:val="auto"/>
        </w:rPr>
        <w:t>Section 2.21(b)</w:t>
      </w:r>
      <w:r>
        <w:rPr>
          <w:rFonts w:ascii="Arial" w:cs="Arial" w:eastAsia="Arial" w:hAnsi="Arial"/>
          <w:sz w:val="19"/>
          <w:szCs w:val="19"/>
          <w:color w:val="auto"/>
        </w:rPr>
        <w:t>,</w:t>
      </w:r>
    </w:p>
    <w:p>
      <w:pPr>
        <w:spacing w:after="0" w:line="172" w:lineRule="exact"/>
        <w:rPr>
          <w:rFonts w:ascii="Arial" w:cs="Arial" w:eastAsia="Arial" w:hAnsi="Arial"/>
          <w:sz w:val="19"/>
          <w:szCs w:val="19"/>
          <w:color w:val="auto"/>
        </w:rPr>
      </w:pPr>
    </w:p>
    <w:p>
      <w:pPr>
        <w:jc w:val="both"/>
        <w:ind w:left="840" w:right="59" w:firstLine="751"/>
        <w:spacing w:after="0" w:line="242" w:lineRule="auto"/>
        <w:tabs>
          <w:tab w:leader="none" w:pos="2254" w:val="left"/>
        </w:tabs>
        <w:numPr>
          <w:ilvl w:val="0"/>
          <w:numId w:val="323"/>
        </w:numPr>
        <w:rPr>
          <w:rFonts w:ascii="Arial" w:cs="Arial" w:eastAsia="Arial" w:hAnsi="Arial"/>
          <w:sz w:val="19"/>
          <w:szCs w:val="19"/>
          <w:color w:val="auto"/>
        </w:rPr>
      </w:pPr>
      <w:r>
        <w:rPr>
          <w:rFonts w:ascii="Arial" w:cs="Arial" w:eastAsia="Arial" w:hAnsi="Arial"/>
          <w:sz w:val="19"/>
          <w:szCs w:val="19"/>
          <w:color w:val="auto"/>
        </w:rPr>
        <w:t>this Agreement may be amended (or amended and restated) with the written consent of the Required Lenders, the Administrative Agent and the Borrower (i) to add one or more additional credit facilities to this Agreement and to permit any extension of credit from time to time outstanding thereunder and the accrued interest and fees in respect thereof to share ratably in the relevant benefits of this Agreement and the other Loan Documents and (ii) to include appropriately the Lenders holding such credit facilities in any determination of the Required Lenders on substantially the same basis as the Lenders prior to such inclusion,</w:t>
      </w:r>
    </w:p>
    <w:p>
      <w:pPr>
        <w:spacing w:after="0" w:line="203" w:lineRule="exact"/>
        <w:rPr>
          <w:rFonts w:ascii="Arial" w:cs="Arial" w:eastAsia="Arial" w:hAnsi="Arial"/>
          <w:sz w:val="19"/>
          <w:szCs w:val="19"/>
          <w:color w:val="auto"/>
        </w:rPr>
      </w:pPr>
    </w:p>
    <w:p>
      <w:pPr>
        <w:jc w:val="both"/>
        <w:ind w:left="840" w:right="59" w:firstLine="751"/>
        <w:spacing w:after="0" w:line="241" w:lineRule="auto"/>
        <w:tabs>
          <w:tab w:leader="none" w:pos="2254" w:val="left"/>
        </w:tabs>
        <w:numPr>
          <w:ilvl w:val="0"/>
          <w:numId w:val="323"/>
        </w:numPr>
        <w:rPr>
          <w:rFonts w:ascii="Arial" w:cs="Arial" w:eastAsia="Arial" w:hAnsi="Arial"/>
          <w:sz w:val="19"/>
          <w:szCs w:val="19"/>
          <w:color w:val="auto"/>
        </w:rPr>
      </w:pPr>
      <w:r>
        <w:rPr>
          <w:rFonts w:ascii="Arial" w:cs="Arial" w:eastAsia="Arial" w:hAnsi="Arial"/>
          <w:sz w:val="19"/>
          <w:szCs w:val="19"/>
          <w:color w:val="auto"/>
        </w:rPr>
        <w:t>any amendment, waiver or modification of any term or provision that solely affects Lenders under one or more Classes and does not directly and adversely affect Lenders under one or more other Classes (including any waiver or modification of any condition to any extension of credit under any Class of Commitments, pricing or other modification) may be effected with the consent of Lenders owning more than 50% of the aggregate commitments or Loans of such directly affected Class in lieu of the consent of the Required Lenders, so long as such amendment, waiver or modification is not of the type that would require the consent each Lender directly and adversely affected thereby or each Lender,</w:t>
      </w:r>
    </w:p>
    <w:p>
      <w:pPr>
        <w:spacing w:after="0" w:line="273" w:lineRule="exact"/>
        <w:rPr>
          <w:rFonts w:ascii="Arial" w:cs="Arial" w:eastAsia="Arial" w:hAnsi="Arial"/>
          <w:sz w:val="19"/>
          <w:szCs w:val="19"/>
          <w:color w:val="auto"/>
        </w:rPr>
      </w:pPr>
    </w:p>
    <w:p>
      <w:pPr>
        <w:ind w:left="2340" w:hanging="748"/>
        <w:spacing w:after="0"/>
        <w:tabs>
          <w:tab w:leader="none" w:pos="2340" w:val="left"/>
        </w:tabs>
        <w:numPr>
          <w:ilvl w:val="0"/>
          <w:numId w:val="323"/>
        </w:numPr>
        <w:rPr>
          <w:rFonts w:ascii="Arial" w:cs="Arial" w:eastAsia="Arial" w:hAnsi="Arial"/>
          <w:sz w:val="19"/>
          <w:szCs w:val="19"/>
          <w:color w:val="auto"/>
        </w:rPr>
      </w:pPr>
      <w:r>
        <w:rPr>
          <w:rFonts w:ascii="Arial" w:cs="Arial" w:eastAsia="Arial" w:hAnsi="Arial"/>
          <w:sz w:val="19"/>
          <w:szCs w:val="19"/>
          <w:color w:val="auto"/>
        </w:rPr>
        <w:t xml:space="preserve">this Agreement may be amended in the manner prescribed in </w:t>
      </w:r>
      <w:r>
        <w:rPr>
          <w:rFonts w:ascii="Arial" w:cs="Arial" w:eastAsia="Arial" w:hAnsi="Arial"/>
          <w:sz w:val="19"/>
          <w:szCs w:val="19"/>
          <w:u w:val="single" w:color="auto"/>
          <w:color w:val="auto"/>
        </w:rPr>
        <w:t>Sections 1.13</w:t>
      </w:r>
      <w:r>
        <w:rPr>
          <w:rFonts w:ascii="Arial" w:cs="Arial" w:eastAsia="Arial" w:hAnsi="Arial"/>
          <w:sz w:val="19"/>
          <w:szCs w:val="19"/>
          <w:color w:val="auto"/>
        </w:rPr>
        <w:t xml:space="preserve"> and/or</w:t>
      </w:r>
    </w:p>
    <w:p>
      <w:pPr>
        <w:spacing w:after="0" w:line="14" w:lineRule="exact"/>
        <w:rPr>
          <w:sz w:val="20"/>
          <w:szCs w:val="20"/>
          <w:color w:val="auto"/>
        </w:rPr>
      </w:pPr>
    </w:p>
    <w:p>
      <w:pPr>
        <w:ind w:left="840"/>
        <w:spacing w:after="0"/>
        <w:rPr>
          <w:sz w:val="20"/>
          <w:szCs w:val="20"/>
          <w:color w:val="auto"/>
        </w:rPr>
      </w:pPr>
      <w:r>
        <w:rPr>
          <w:rFonts w:ascii="Arial" w:cs="Arial" w:eastAsia="Arial" w:hAnsi="Arial"/>
          <w:sz w:val="19"/>
          <w:szCs w:val="19"/>
          <w:u w:val="single" w:color="auto"/>
          <w:color w:val="auto"/>
        </w:rPr>
        <w:t>2.05(h)</w:t>
      </w:r>
      <w:r>
        <w:rPr>
          <w:rFonts w:ascii="Arial" w:cs="Arial" w:eastAsia="Arial" w:hAnsi="Arial"/>
          <w:sz w:val="19"/>
          <w:szCs w:val="19"/>
          <w:color w:val="auto"/>
        </w:rPr>
        <w:t>,</w:t>
      </w:r>
    </w:p>
    <w:p>
      <w:pPr>
        <w:spacing w:after="0" w:line="279" w:lineRule="exact"/>
        <w:rPr>
          <w:sz w:val="20"/>
          <w:szCs w:val="20"/>
          <w:color w:val="auto"/>
        </w:rPr>
      </w:pPr>
    </w:p>
    <w:p>
      <w:pPr>
        <w:jc w:val="both"/>
        <w:ind w:left="840" w:right="59" w:firstLine="751"/>
        <w:spacing w:after="0" w:line="273" w:lineRule="auto"/>
        <w:tabs>
          <w:tab w:leader="none" w:pos="2254" w:val="left"/>
        </w:tabs>
        <w:numPr>
          <w:ilvl w:val="0"/>
          <w:numId w:val="324"/>
        </w:numPr>
        <w:rPr>
          <w:rFonts w:ascii="Arial" w:cs="Arial" w:eastAsia="Arial" w:hAnsi="Arial"/>
          <w:sz w:val="17"/>
          <w:szCs w:val="17"/>
          <w:color w:val="auto"/>
        </w:rPr>
      </w:pPr>
      <w:r>
        <w:rPr>
          <w:rFonts w:ascii="Arial" w:cs="Arial" w:eastAsia="Arial" w:hAnsi="Arial"/>
          <w:sz w:val="17"/>
          <w:szCs w:val="17"/>
          <w:color w:val="auto"/>
        </w:rPr>
        <w:t xml:space="preserve">this Agreement may be amended in the manner prescribed in </w:t>
      </w:r>
      <w:r>
        <w:rPr>
          <w:rFonts w:ascii="Arial" w:cs="Arial" w:eastAsia="Arial" w:hAnsi="Arial"/>
          <w:sz w:val="17"/>
          <w:szCs w:val="17"/>
          <w:u w:val="single" w:color="auto"/>
          <w:color w:val="auto"/>
        </w:rPr>
        <w:t>Sections 2.22(i)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2.23(c)</w:t>
      </w:r>
      <w:r>
        <w:rPr>
          <w:rFonts w:ascii="Arial" w:cs="Arial" w:eastAsia="Arial" w:hAnsi="Arial"/>
          <w:sz w:val="17"/>
          <w:szCs w:val="17"/>
          <w:color w:val="auto"/>
        </w:rPr>
        <w:t>; it being understood and agreed that any such amendment may provide that with respect to any Class of Loans and/or Commitments that is structured as a “delayed draw” or similar facility, (i) any condition precedent to the funding of any Loan thereunder and/or (ii) any Event of Default arising as a result of any inaccuracy of any representation and/or warranty (including any certification) made in connection with the satisfaction of any such condition precedent, in each case, may be waived, amended or modified solely with the consent of a majority of the holders of such Loans and/or Commitments (or such other percentage of such holders as may be required in the amendment implementing such Class of Loans and/or Commitments (and without the consent of the Required Lenders or any other Lenders),</w:t>
      </w:r>
    </w:p>
    <w:p>
      <w:pPr>
        <w:spacing w:after="0" w:line="165" w:lineRule="exact"/>
        <w:rPr>
          <w:rFonts w:ascii="Arial" w:cs="Arial" w:eastAsia="Arial" w:hAnsi="Arial"/>
          <w:sz w:val="17"/>
          <w:szCs w:val="17"/>
          <w:color w:val="auto"/>
        </w:rPr>
      </w:pPr>
    </w:p>
    <w:p>
      <w:pPr>
        <w:ind w:left="840" w:right="99" w:firstLine="752"/>
        <w:spacing w:after="0" w:line="276" w:lineRule="auto"/>
        <w:tabs>
          <w:tab w:leader="none" w:pos="2252" w:val="left"/>
        </w:tabs>
        <w:numPr>
          <w:ilvl w:val="0"/>
          <w:numId w:val="324"/>
        </w:numPr>
        <w:rPr>
          <w:rFonts w:ascii="Arial" w:cs="Arial" w:eastAsia="Arial" w:hAnsi="Arial"/>
          <w:sz w:val="19"/>
          <w:szCs w:val="19"/>
          <w:color w:val="auto"/>
        </w:rPr>
      </w:pPr>
      <w:r>
        <w:rPr>
          <w:rFonts w:ascii="Arial" w:cs="Arial" w:eastAsia="Arial" w:hAnsi="Arial"/>
          <w:sz w:val="19"/>
          <w:szCs w:val="19"/>
          <w:color w:val="auto"/>
        </w:rPr>
        <w:t>for the avoidance of doubt, any “MFN” provision may be amended solely with the consent of the Borrower and the Required Lenders, and</w:t>
      </w:r>
    </w:p>
    <w:p>
      <w:pPr>
        <w:spacing w:after="0" w:line="158" w:lineRule="exact"/>
        <w:rPr>
          <w:rFonts w:ascii="Arial" w:cs="Arial" w:eastAsia="Arial" w:hAnsi="Arial"/>
          <w:sz w:val="19"/>
          <w:szCs w:val="19"/>
          <w:color w:val="auto"/>
        </w:rPr>
      </w:pPr>
    </w:p>
    <w:p>
      <w:pPr>
        <w:jc w:val="both"/>
        <w:ind w:left="840" w:right="59" w:firstLine="751"/>
        <w:spacing w:after="0" w:line="245" w:lineRule="auto"/>
        <w:tabs>
          <w:tab w:leader="none" w:pos="2254" w:val="left"/>
        </w:tabs>
        <w:numPr>
          <w:ilvl w:val="0"/>
          <w:numId w:val="324"/>
        </w:numPr>
        <w:rPr>
          <w:rFonts w:ascii="Arial" w:cs="Arial" w:eastAsia="Arial" w:hAnsi="Arial"/>
          <w:sz w:val="19"/>
          <w:szCs w:val="19"/>
          <w:color w:val="auto"/>
        </w:rPr>
      </w:pPr>
      <w:r>
        <w:rPr>
          <w:rFonts w:ascii="Arial" w:cs="Arial" w:eastAsia="Arial" w:hAnsi="Arial"/>
          <w:sz w:val="19"/>
          <w:szCs w:val="19"/>
          <w:color w:val="auto"/>
        </w:rPr>
        <w:t xml:space="preserve">the Required Lenders, without the consent of any other Lender, may (A) rescind any acceleration of the Loans and/or any other Obligation pursuant to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hereof and/or (B) agree that the Administrative Agent and the Lenders will forbear from exercising any remedy provided under any Loan Document with respect to any Event of Default.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186</w:t>
      </w:r>
      <w:r>
        <w:rPr>
          <w:rFonts w:ascii="Arial" w:cs="Arial" w:eastAsia="Arial" w:hAnsi="Arial"/>
          <w:sz w:val="18"/>
          <w:szCs w:val="18"/>
          <w:u w:val="single" w:color="auto"/>
          <w:color w:val="0000FF"/>
          <w:strike w:val="1"/>
        </w:rPr>
        <w:t>186</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54" w:name="page255"/>
    <w:bookmarkEnd w:id="254"/>
    <w:p>
      <w:pPr>
        <w:ind w:left="1600" w:hanging="758"/>
        <w:spacing w:after="0"/>
        <w:tabs>
          <w:tab w:leader="none" w:pos="1600" w:val="left"/>
        </w:tabs>
        <w:numPr>
          <w:ilvl w:val="0"/>
          <w:numId w:val="325"/>
        </w:numPr>
        <w:rPr>
          <w:rFonts w:ascii="Arial" w:cs="Arial" w:eastAsia="Arial" w:hAnsi="Arial"/>
          <w:sz w:val="19"/>
          <w:szCs w:val="19"/>
          <w:color w:val="auto"/>
        </w:rPr>
      </w:pPr>
      <w:r>
        <w:rPr>
          <w:rFonts w:ascii="Arial" w:cs="Arial" w:eastAsia="Arial" w:hAnsi="Arial"/>
          <w:sz w:val="19"/>
          <w:szCs w:val="19"/>
          <w:color w:val="auto"/>
        </w:rPr>
        <w:t>It is understood that:</w:t>
      </w:r>
    </w:p>
    <w:p>
      <w:pPr>
        <w:spacing w:after="0" w:line="213" w:lineRule="exact"/>
        <w:rPr>
          <w:rFonts w:ascii="Arial" w:cs="Arial" w:eastAsia="Arial" w:hAnsi="Arial"/>
          <w:sz w:val="19"/>
          <w:szCs w:val="19"/>
          <w:color w:val="auto"/>
        </w:rPr>
      </w:pPr>
    </w:p>
    <w:p>
      <w:pPr>
        <w:ind w:left="840" w:right="139" w:firstLine="752"/>
        <w:spacing w:after="0" w:line="272" w:lineRule="auto"/>
        <w:tabs>
          <w:tab w:leader="none" w:pos="2256" w:val="left"/>
        </w:tabs>
        <w:numPr>
          <w:ilvl w:val="1"/>
          <w:numId w:val="325"/>
        </w:numPr>
        <w:rPr>
          <w:rFonts w:ascii="Arial" w:cs="Arial" w:eastAsia="Arial" w:hAnsi="Arial"/>
          <w:sz w:val="17"/>
          <w:szCs w:val="17"/>
          <w:color w:val="auto"/>
        </w:rPr>
      </w:pPr>
      <w:r>
        <w:rPr>
          <w:rFonts w:ascii="Arial" w:cs="Arial" w:eastAsia="Arial" w:hAnsi="Arial"/>
          <w:sz w:val="17"/>
          <w:szCs w:val="17"/>
          <w:color w:val="auto"/>
        </w:rPr>
        <w:t>notwithstanding anything to the contrary herein, in connection with any determination as to whether the Required Lenders or Required Revolving Lenders, as applicable, have (A) consented (or not consented) to any amendment or waiver of any provision of this Agreement or any other Loan Document or any departure by any Loan Party therefrom, (B) otherwise acted on any matter related to any Loan Document, or (C) directed or required the Administrative Agent or any Lender to undertake any action (or refrain from taking any action) with respect to or under any Loan Document, any Lender (other than any Arranger, Revolving Lender or Lender that is a Regulated Bank or an affiliate of any such Arranger, Revolving Lender or Lender)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w:t>
      </w:r>
      <w:r>
        <w:rPr>
          <w:rFonts w:ascii="Arial" w:cs="Arial" w:eastAsia="Arial" w:hAnsi="Arial"/>
          <w:sz w:val="17"/>
          <w:szCs w:val="17"/>
          <w:u w:val="single" w:color="auto"/>
          <w:color w:val="auto"/>
        </w:rPr>
        <w:t>Net Short Lender</w:t>
      </w:r>
      <w:r>
        <w:rPr>
          <w:rFonts w:ascii="Arial" w:cs="Arial" w:eastAsia="Arial" w:hAnsi="Arial"/>
          <w:sz w:val="17"/>
          <w:szCs w:val="17"/>
          <w:color w:val="auto"/>
        </w:rPr>
        <w:t>”) shall, unless the Borrower otherwise elects (in its sole discretion), have no right to vote any of its Loans and Commitments and shall be deemed to have voted its interest as a Lender without discretion in the same proportion as the allocation of voting with respect to such matter by Lenders who are not Net Short Lenders;</w:t>
      </w:r>
    </w:p>
    <w:p>
      <w:pPr>
        <w:spacing w:after="0" w:line="171" w:lineRule="exact"/>
        <w:rPr>
          <w:rFonts w:ascii="Arial" w:cs="Arial" w:eastAsia="Arial" w:hAnsi="Arial"/>
          <w:sz w:val="17"/>
          <w:szCs w:val="17"/>
          <w:color w:val="auto"/>
        </w:rPr>
      </w:pPr>
    </w:p>
    <w:p>
      <w:pPr>
        <w:ind w:left="2260" w:hanging="668"/>
        <w:spacing w:after="0"/>
        <w:tabs>
          <w:tab w:leader="none" w:pos="2260" w:val="left"/>
        </w:tabs>
        <w:numPr>
          <w:ilvl w:val="1"/>
          <w:numId w:val="325"/>
        </w:numPr>
        <w:rPr>
          <w:rFonts w:ascii="Arial" w:cs="Arial" w:eastAsia="Arial" w:hAnsi="Arial"/>
          <w:sz w:val="17"/>
          <w:szCs w:val="17"/>
          <w:color w:val="auto"/>
        </w:rPr>
      </w:pPr>
      <w:r>
        <w:rPr>
          <w:rFonts w:ascii="Arial" w:cs="Arial" w:eastAsia="Arial" w:hAnsi="Arial"/>
          <w:sz w:val="17"/>
          <w:szCs w:val="17"/>
          <w:color w:val="auto"/>
        </w:rPr>
        <w:t>for purposes of determining whether a Lender has a “net short position” on any date of determination:</w:t>
      </w:r>
    </w:p>
    <w:p>
      <w:pPr>
        <w:spacing w:after="0" w:line="36" w:lineRule="exact"/>
        <w:rPr>
          <w:rFonts w:ascii="Arial" w:cs="Arial" w:eastAsia="Arial" w:hAnsi="Arial"/>
          <w:sz w:val="17"/>
          <w:szCs w:val="17"/>
          <w:color w:val="auto"/>
        </w:rPr>
      </w:pPr>
    </w:p>
    <w:p>
      <w:pPr>
        <w:ind w:left="840" w:right="19" w:firstLine="3"/>
        <w:spacing w:after="0" w:line="268" w:lineRule="auto"/>
        <w:tabs>
          <w:tab w:leader="none" w:pos="1077" w:val="left"/>
        </w:tabs>
        <w:numPr>
          <w:ilvl w:val="0"/>
          <w:numId w:val="326"/>
        </w:numPr>
        <w:rPr>
          <w:rFonts w:ascii="Arial" w:cs="Arial" w:eastAsia="Arial" w:hAnsi="Arial"/>
          <w:sz w:val="17"/>
          <w:szCs w:val="17"/>
          <w:color w:val="auto"/>
        </w:rPr>
      </w:pPr>
      <w:r>
        <w:rPr>
          <w:rFonts w:ascii="Arial" w:cs="Arial" w:eastAsia="Arial" w:hAnsi="Arial"/>
          <w:sz w:val="17"/>
          <w:szCs w:val="17"/>
          <w:color w:val="auto"/>
        </w:rPr>
        <w:t>derivative contracts with respect to the Loans and Commitments and such contracts that are the functional equivalent thereof shall be counted at the notional amount thereof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the Borrower and/or any other Loan Party or any instrument issued or guaranteed by the Borrower and/or any other Loan Party shall not be deemed to create a short position with respect to the Loans and/or Commitments, so long as (x) such index is not created, designed, administered or requested by such Lender and (y) the Borrower and/or any other Loan Party and any instrument issued or guaranteed by the Borrower and/or any other Loan Party, collectively, represent less than 5% of the components of such index, (iv)derivative transactions that are documented using either the 2014 ISDA Credit Derivatives Definitions or the 2003 ISDA Credit Derivatives Definitions (collectively, the “</w:t>
      </w:r>
      <w:r>
        <w:rPr>
          <w:rFonts w:ascii="Arial" w:cs="Arial" w:eastAsia="Arial" w:hAnsi="Arial"/>
          <w:sz w:val="17"/>
          <w:szCs w:val="17"/>
          <w:u w:val="single" w:color="auto"/>
          <w:color w:val="auto"/>
        </w:rPr>
        <w:t>ISDA CDS Definitions</w:t>
      </w:r>
      <w:r>
        <w:rPr>
          <w:rFonts w:ascii="Arial" w:cs="Arial" w:eastAsia="Arial" w:hAnsi="Arial"/>
          <w:sz w:val="17"/>
          <w:szCs w:val="17"/>
          <w:color w:val="auto"/>
        </w:rPr>
        <w:t>”) shall be deemed to create a short position with respect to the Loans and/or Commitments if such Lender is a protection buyer or the equivalent thereof for such derivative transaction and (1)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(2) the Loans or the Commitments would be a “Deliverable Obligation” under the terms of such derivative transaction or (3) the Borrower and/or any other Loan Party is designated as a “Reference Entity” under the terms of such derivative transactions, and (v) credit derivative transactions or other derivative transactions not documented using the ISDA CDS Definitions shall be deemed to create a short position with respect to the Loans and/or Commitments if such transactions are functionally equivalent to a transaction that offers the Lender protection in respect of the Loans or the Commitments, or as to the credit quality of the Borrower and/or any other Loan Party other than, in each case, as part of an index so long as (x) such index is not created, designed, administered or requested by such Lender and (y) the Borrower and/or any other Loan Party and any instrument issued or guaranteed by the Borrower and/or any other Loan Party, collectively, represent less than 5% of the components of such index;</w:t>
      </w:r>
    </w:p>
    <w:p>
      <w:pPr>
        <w:spacing w:after="0" w:line="388" w:lineRule="exact"/>
        <w:rPr>
          <w:rFonts w:ascii="Arial" w:cs="Arial" w:eastAsia="Arial" w:hAnsi="Arial"/>
          <w:sz w:val="17"/>
          <w:szCs w:val="17"/>
          <w:color w:val="auto"/>
        </w:rPr>
      </w:pPr>
    </w:p>
    <w:p>
      <w:pPr>
        <w:ind w:left="840" w:right="59" w:firstLine="751"/>
        <w:spacing w:after="0" w:line="261" w:lineRule="auto"/>
        <w:tabs>
          <w:tab w:leader="none" w:pos="2254" w:val="left"/>
        </w:tabs>
        <w:numPr>
          <w:ilvl w:val="1"/>
          <w:numId w:val="326"/>
        </w:numPr>
        <w:rPr>
          <w:rFonts w:ascii="Arial" w:cs="Arial" w:eastAsia="Arial" w:hAnsi="Arial"/>
          <w:sz w:val="19"/>
          <w:szCs w:val="19"/>
          <w:color w:val="auto"/>
        </w:rPr>
      </w:pPr>
      <w:r>
        <w:rPr>
          <w:rFonts w:ascii="Arial" w:cs="Arial" w:eastAsia="Arial" w:hAnsi="Arial"/>
          <w:sz w:val="19"/>
          <w:szCs w:val="19"/>
          <w:color w:val="auto"/>
        </w:rPr>
        <w:t>in connection with any such determination, each Lender shall promptly notify the Administrative Agent in writing that it is a Net Short Lender, or shall otherwise be deemed to have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187</w:t>
      </w:r>
      <w:r>
        <w:rPr>
          <w:rFonts w:ascii="Arial" w:cs="Arial" w:eastAsia="Arial" w:hAnsi="Arial"/>
          <w:sz w:val="18"/>
          <w:szCs w:val="18"/>
          <w:u w:val="single" w:color="auto"/>
          <w:color w:val="0000FF"/>
          <w:strike w:val="1"/>
        </w:rPr>
        <w:t>187</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55" w:name="page256"/>
    <w:bookmarkEnd w:id="255"/>
    <w:p>
      <w:pPr>
        <w:jc w:val="both"/>
        <w:ind w:left="840" w:right="59"/>
        <w:spacing w:after="0" w:line="241" w:lineRule="auto"/>
        <w:rPr>
          <w:sz w:val="20"/>
          <w:szCs w:val="20"/>
          <w:color w:val="auto"/>
        </w:rPr>
      </w:pPr>
      <w:r>
        <w:rPr>
          <w:rFonts w:ascii="Arial" w:cs="Arial" w:eastAsia="Arial" w:hAnsi="Arial"/>
          <w:sz w:val="19"/>
          <w:szCs w:val="19"/>
          <w:color w:val="auto"/>
        </w:rPr>
        <w:t>represented and warranted to the Borrower and the Administrative Agent that it is not a Net Short Lender (it being understood and agreed that the Borrower and the Administrative Agent shall be entitled to rely on each such representation and deemed representation); and</w:t>
      </w:r>
    </w:p>
    <w:p>
      <w:pPr>
        <w:spacing w:after="0" w:line="179" w:lineRule="exact"/>
        <w:rPr>
          <w:sz w:val="20"/>
          <w:szCs w:val="20"/>
          <w:color w:val="auto"/>
        </w:rPr>
      </w:pPr>
    </w:p>
    <w:p>
      <w:pPr>
        <w:jc w:val="both"/>
        <w:ind w:left="840" w:right="59" w:firstLine="751"/>
        <w:spacing w:after="0" w:line="269" w:lineRule="auto"/>
        <w:tabs>
          <w:tab w:leader="none" w:pos="2254" w:val="left"/>
        </w:tabs>
        <w:numPr>
          <w:ilvl w:val="0"/>
          <w:numId w:val="327"/>
        </w:numPr>
        <w:rPr>
          <w:rFonts w:ascii="Arial" w:cs="Arial" w:eastAsia="Arial" w:hAnsi="Arial"/>
          <w:sz w:val="18"/>
          <w:szCs w:val="18"/>
          <w:color w:val="auto"/>
        </w:rPr>
      </w:pPr>
      <w:r>
        <w:rPr>
          <w:rFonts w:ascii="Arial" w:cs="Arial" w:eastAsia="Arial" w:hAnsi="Arial"/>
          <w:sz w:val="18"/>
          <w:szCs w:val="18"/>
          <w:color w:val="auto"/>
        </w:rPr>
        <w:t>once deemed effective, no amendment or waiver of any provision of this Agreement or any other Loan Document or any departure by any Loan Party therefrom shall be deemed to be invalid on the basis that a consenting Lender is determined to be a Net Short Lender after the effective date of such amendment or waiver.</w:t>
      </w:r>
    </w:p>
    <w:p>
      <w:pPr>
        <w:spacing w:after="0" w:line="168" w:lineRule="exact"/>
        <w:rPr>
          <w:sz w:val="20"/>
          <w:szCs w:val="20"/>
          <w:color w:val="auto"/>
        </w:rPr>
      </w:pPr>
    </w:p>
    <w:p>
      <w:pPr>
        <w:jc w:val="both"/>
        <w:ind w:left="840" w:right="59" w:firstLine="749"/>
        <w:spacing w:after="0" w:line="270" w:lineRule="auto"/>
        <w:rPr>
          <w:sz w:val="20"/>
          <w:szCs w:val="20"/>
          <w:color w:val="auto"/>
        </w:rPr>
      </w:pPr>
      <w:r>
        <w:rPr>
          <w:rFonts w:ascii="Arial" w:cs="Arial" w:eastAsia="Arial" w:hAnsi="Arial"/>
          <w:sz w:val="17"/>
          <w:szCs w:val="17"/>
          <w:color w:val="auto"/>
        </w:rPr>
        <w:t xml:space="preserve">The Administrative Agent shall not be responsible or have any liability for, or have any duty to ascertain, inquire into, monitor or enforce, compliance with the provisions of this </w:t>
      </w:r>
      <w:r>
        <w:rPr>
          <w:rFonts w:ascii="Arial" w:cs="Arial" w:eastAsia="Arial" w:hAnsi="Arial"/>
          <w:sz w:val="17"/>
          <w:szCs w:val="17"/>
          <w:u w:val="single" w:color="auto"/>
          <w:color w:val="auto"/>
        </w:rPr>
        <w:t>Section 9.02(e)</w:t>
      </w:r>
      <w:r>
        <w:rPr>
          <w:rFonts w:ascii="Arial" w:cs="Arial" w:eastAsia="Arial" w:hAnsi="Arial"/>
          <w:sz w:val="17"/>
          <w:szCs w:val="17"/>
          <w:color w:val="auto"/>
        </w:rPr>
        <w:t>. Without limiting the generality of the foregoing, the Administrative Agent shall not (x) be obligated to ascertain, monitor or inquire as to whether any Lender or participant or prospective Lender or participant is a Net Short Lender or (y) have any liability with respect to or arising out of the voting in any amendment or waiver to any Loan Document by any Net Short Lender.</w:t>
      </w:r>
    </w:p>
    <w:p>
      <w:pPr>
        <w:spacing w:after="0" w:line="156"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9.03.  </w:t>
      </w:r>
      <w:r>
        <w:rPr>
          <w:rFonts w:ascii="Arial" w:cs="Arial" w:eastAsia="Arial" w:hAnsi="Arial"/>
          <w:sz w:val="19"/>
          <w:szCs w:val="19"/>
          <w:u w:val="single" w:color="auto"/>
          <w:color w:val="auto"/>
        </w:rPr>
        <w:t>Expenses; Indemnity</w:t>
      </w:r>
      <w:r>
        <w:rPr>
          <w:rFonts w:ascii="Arial" w:cs="Arial" w:eastAsia="Arial" w:hAnsi="Arial"/>
          <w:sz w:val="19"/>
          <w:szCs w:val="19"/>
          <w:color w:val="auto"/>
        </w:rPr>
        <w:t>.</w:t>
      </w:r>
    </w:p>
    <w:p>
      <w:pPr>
        <w:spacing w:after="0" w:line="200" w:lineRule="exact"/>
        <w:rPr>
          <w:sz w:val="20"/>
          <w:szCs w:val="20"/>
          <w:color w:val="auto"/>
        </w:rPr>
      </w:pPr>
    </w:p>
    <w:p>
      <w:pPr>
        <w:jc w:val="both"/>
        <w:ind w:left="100" w:right="19" w:firstLine="741"/>
        <w:spacing w:after="0" w:line="269" w:lineRule="auto"/>
        <w:tabs>
          <w:tab w:leader="none" w:pos="1522" w:val="left"/>
        </w:tabs>
        <w:numPr>
          <w:ilvl w:val="0"/>
          <w:numId w:val="328"/>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9.05(f)</w:t>
      </w:r>
      <w:r>
        <w:rPr>
          <w:rFonts w:ascii="Arial" w:cs="Arial" w:eastAsia="Arial" w:hAnsi="Arial"/>
          <w:sz w:val="17"/>
          <w:szCs w:val="17"/>
          <w:color w:val="auto"/>
        </w:rPr>
        <w:t xml:space="preserve">, the Borrower shall pay (i) all reasonable and documented out-of-pocket expenses incurred by each Arranger, the Administrative Agent and their respective Affiliates (but limited, in the case of legal fees and expenses, to the actual reasonable and documented out-of-pocket fees, disbursements and other charges of one firm of outside counsel to all such Persons taken as a whole and, if necessary, of one local counsel in any relevant material jurisdiction to all such Persons, taken as a whole) in connection with the syndication and distribution (including via the Internet or through a service such as Intralinks) of the Credit Facilities, the preparation, execution, delivery and administration of the Loan Documents and any related documentation, including in connection with any amendment, modification or waiver of any provision of any Loan Document (whether or not the transactions contemplated thereby are consummated, but only to the extent the preparation of any such amendment, modification or waiver was requested by the Borrower and except as otherwise provided in a separate writing between the Borrower, the relevant Arranger and/or the Administrative Agent) and (ii) without duplication of the obligation set forth in </w:t>
      </w:r>
      <w:r>
        <w:rPr>
          <w:rFonts w:ascii="Arial" w:cs="Arial" w:eastAsia="Arial" w:hAnsi="Arial"/>
          <w:sz w:val="17"/>
          <w:szCs w:val="17"/>
          <w:u w:val="single" w:color="auto"/>
          <w:color w:val="auto"/>
        </w:rPr>
        <w:t>Section 9.03(b)</w:t>
      </w:r>
      <w:r>
        <w:rPr>
          <w:rFonts w:ascii="Arial" w:cs="Arial" w:eastAsia="Arial" w:hAnsi="Arial"/>
          <w:sz w:val="17"/>
          <w:szCs w:val="17"/>
          <w:color w:val="auto"/>
        </w:rPr>
        <w:t xml:space="preserve">, all reasonable and documented out-of-pocket expenses incurred by the Administrative Agent, the Arrangers, the Issuing Banks or the Lenders or any of their respective Affiliates (but limited (x) in the case of legal fees and expenses, to the actual reasonable and documented out-of-pocket fees, disbursements and other charges of one firm of outside counsel to all such Persons taken as a whole and, if necessary, of one local counsel in any relevant material jurisdiction to all such Persons, taken as a whole (and solely in the case of a conflict of interest, (A) one additional counsel to all affected Persons, taken as a whole, and (B) one additional local counsel in any such jurisdiction to all affected Persons, taken as a whole), and (y) in the case of other third party advisors, to the actual reasonable and documented out-of-pocket fees, disbursements and other charges of only third party advisors the engagement of whom has been approved by the Borrower (such approval not to be unreasonably withheld, delayed or conditioned) in writing) in connection with the enforcement, collection or protection of their respective rights in connection with the Loan Documents, including their respective rights under this Section, or in connection with the Loans made and/or Letters of Credit issued hereunder. Except to the extent required to be paid on the Closing Date, all amounts due under this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shall be payable by the Borrower within 30 days of receipt by the Borrower of an invoice setting forth such expenses in reasonable detail, together with backup documentation supporting the relevant reimbursement request.</w:t>
      </w:r>
    </w:p>
    <w:p>
      <w:pPr>
        <w:spacing w:after="0" w:line="171" w:lineRule="exact"/>
        <w:rPr>
          <w:rFonts w:ascii="Arial" w:cs="Arial" w:eastAsia="Arial" w:hAnsi="Arial"/>
          <w:sz w:val="17"/>
          <w:szCs w:val="17"/>
          <w:color w:val="auto"/>
        </w:rPr>
      </w:pPr>
    </w:p>
    <w:p>
      <w:pPr>
        <w:jc w:val="both"/>
        <w:ind w:left="100" w:right="59" w:firstLine="741"/>
        <w:spacing w:after="0" w:line="245" w:lineRule="auto"/>
        <w:tabs>
          <w:tab w:leader="none" w:pos="1520" w:val="left"/>
        </w:tabs>
        <w:numPr>
          <w:ilvl w:val="0"/>
          <w:numId w:val="328"/>
        </w:numPr>
        <w:rPr>
          <w:rFonts w:ascii="Arial" w:cs="Arial" w:eastAsia="Arial" w:hAnsi="Arial"/>
          <w:sz w:val="19"/>
          <w:szCs w:val="19"/>
          <w:color w:val="auto"/>
        </w:rPr>
      </w:pPr>
      <w:r>
        <w:rPr>
          <w:rFonts w:ascii="Arial" w:cs="Arial" w:eastAsia="Arial" w:hAnsi="Arial"/>
          <w:sz w:val="19"/>
          <w:szCs w:val="19"/>
          <w:color w:val="auto"/>
        </w:rPr>
        <w:t>The Borrower shall indemnify each Arranger, the Administrative Agent, each Issuing Bank and each Lender, and each Related Party of any of the foregoing Persons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against, and hold each Indemnitee harmless from, any and all losses, claims, damages and liabilities (but limited, in the case of any such loss, claim, damage and/or liability constituting legal fees and expenses to the actual reasonable and documented out-of-pocket fees, disbursements and other charges of one counsel to all Indemnitees taken as a whole and, if reasonably necessary, one local counsel in any relevant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188</w:t>
      </w:r>
      <w:r>
        <w:rPr>
          <w:rFonts w:ascii="Arial" w:cs="Arial" w:eastAsia="Arial" w:hAnsi="Arial"/>
          <w:sz w:val="18"/>
          <w:szCs w:val="18"/>
          <w:u w:val="single" w:color="auto"/>
          <w:color w:val="0000FF"/>
          <w:strike w:val="1"/>
        </w:rPr>
        <w:t>188</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56" w:name="page257"/>
    <w:bookmarkEnd w:id="256"/>
    <w:p>
      <w:pPr>
        <w:jc w:val="both"/>
        <w:ind w:left="100"/>
        <w:spacing w:after="0" w:line="255" w:lineRule="auto"/>
        <w:rPr>
          <w:sz w:val="20"/>
          <w:szCs w:val="20"/>
          <w:color w:val="auto"/>
        </w:rPr>
      </w:pPr>
      <w:r>
        <w:rPr>
          <w:rFonts w:ascii="Arial" w:cs="Arial" w:eastAsia="Arial" w:hAnsi="Arial"/>
          <w:sz w:val="17"/>
          <w:szCs w:val="17"/>
          <w:color w:val="auto"/>
        </w:rPr>
        <w:t xml:space="preserve">material jurisdiction to all Indemnitees, taken as a whole and solely in the case of a conflict of interest, (x) one additional counsel to all affected Indemnitees, taken as a whole, and (y) one additional local counsel to all affected Indemnitees, taken as a whole),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or thereby and/or the enforcement of the Loan Documents, (ii) the use of the proceeds of the Loans or any Letter of Credit, (iii) any actual or alleged Release or presence of Hazardous Materials on, at, under or from any property currently or formerly owned, leased or operated by the Borrower, any of its Restricted Subsidiaries or any other Loan Party or any Environmental Liability related to the Borrower, any of its Restricted Subsidiaries or any other Loan Party and/or (iv) any actual or prospective claim, litigation, investigation or proceeding relating to any of the foregoing, whether based on contract, tort or any other theory and regardless of whether any Indemnitee is a party thereto (and regardless of whether such matter is initiated by or against a third party or by or against the Borrower, any other Loan Party or any of their respective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any such loss, claim, damage, or liability (i) is determined by a final and non-appealable judgment of a court of competent jurisdiction (or documented in any settlement agreement referred to below) to have resulted from the gross negligence, bad faith or willful misconduct of such Indemnitee or, to the extent such judgment finds (or any such settlement agreement acknowledges) that any such loss, claim, damage, or liability has resulted from such Person’s (or such Person’s Related Party’s) material breach of the Loan Documents (other than, with the written consent of the Borrower in its sole discretion, the Administrative Agent, in its capacity as such, in respect of obligations not owed to the Loan Parties) or (ii) arises out of any claim, litigation, investigation or proceeding brought by such Indemnitee against another Indemnitee (other than any claim, litigation, investigation or proceeding that is brought by or against the Administrative Agent, any Issuing Bank or any Arranger, acting in its capacity as the Administrative Agent, as an Issuing Bank or as an Arranger) that does not involve any act or omission of Holdings, the Borrower or any of its subsidiaries. Each Indemnitee shall be obligated to refund or return any and all amounts paid by the Borrower pursuant to this </w:t>
      </w:r>
      <w:r>
        <w:rPr>
          <w:rFonts w:ascii="Arial" w:cs="Arial" w:eastAsia="Arial" w:hAnsi="Arial"/>
          <w:sz w:val="17"/>
          <w:szCs w:val="17"/>
          <w:u w:val="single" w:color="auto"/>
          <w:color w:val="auto"/>
        </w:rPr>
        <w:t>Section 9.03(b)</w:t>
      </w:r>
      <w:r>
        <w:rPr>
          <w:rFonts w:ascii="Arial" w:cs="Arial" w:eastAsia="Arial" w:hAnsi="Arial"/>
          <w:sz w:val="17"/>
          <w:szCs w:val="17"/>
          <w:color w:val="auto"/>
        </w:rPr>
        <w:t xml:space="preserve"> to such Indemnitee for any fees, expenses, or damages to the extent such Indemnitee is not entitled to payment thereof in accordance with the terms hereof. Any amount due under this </w:t>
      </w:r>
      <w:r>
        <w:rPr>
          <w:rFonts w:ascii="Arial" w:cs="Arial" w:eastAsia="Arial" w:hAnsi="Arial"/>
          <w:sz w:val="17"/>
          <w:szCs w:val="17"/>
          <w:u w:val="single" w:color="auto"/>
          <w:color w:val="auto"/>
        </w:rPr>
        <w:t>Section 9.03(b)</w:t>
      </w:r>
      <w:r>
        <w:rPr>
          <w:rFonts w:ascii="Arial" w:cs="Arial" w:eastAsia="Arial" w:hAnsi="Arial"/>
          <w:sz w:val="17"/>
          <w:szCs w:val="17"/>
          <w:color w:val="auto"/>
        </w:rPr>
        <w:t xml:space="preserve"> shall be payable by the Borrower within 30 days (x) after receipt by the Borrower of a written demand therefor, in the case of any indemnification obligations and (y) in the case of reimbursement of costs and expenses, after receipt by the Borrower of an invoice setting forth such costs and expenses in reasonable detail, together with reasonable backup documentation supporting the relevant reimbursement request. This </w:t>
      </w:r>
      <w:r>
        <w:rPr>
          <w:rFonts w:ascii="Arial" w:cs="Arial" w:eastAsia="Arial" w:hAnsi="Arial"/>
          <w:sz w:val="17"/>
          <w:szCs w:val="17"/>
          <w:u w:val="single" w:color="auto"/>
          <w:color w:val="auto"/>
        </w:rPr>
        <w:t>Section 9.03(b)</w:t>
      </w:r>
      <w:r>
        <w:rPr>
          <w:rFonts w:ascii="Arial" w:cs="Arial" w:eastAsia="Arial" w:hAnsi="Arial"/>
          <w:sz w:val="17"/>
          <w:szCs w:val="17"/>
          <w:color w:val="auto"/>
        </w:rPr>
        <w:t xml:space="preserve"> shall not apply to Taxes other than any Taxes that represent losses, claims, damages or liabilities in respect of a non-Tax claim.</w:t>
      </w:r>
    </w:p>
    <w:p>
      <w:pPr>
        <w:spacing w:after="0" w:line="395" w:lineRule="exact"/>
        <w:rPr>
          <w:sz w:val="20"/>
          <w:szCs w:val="20"/>
          <w:color w:val="auto"/>
        </w:rPr>
      </w:pPr>
    </w:p>
    <w:p>
      <w:pPr>
        <w:jc w:val="both"/>
        <w:ind w:left="100" w:right="60" w:firstLine="741"/>
        <w:spacing w:after="0" w:line="274" w:lineRule="auto"/>
        <w:tabs>
          <w:tab w:leader="none" w:pos="152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The Borrower shall not be liable for any settlement of any proceeding effected without its written consent (which consent shall not be unreasonably withheld, delayed or conditioned) or any other losses, claims, damages, liabilities and/or expenses incurred in connection therewith, but if any proceeding is settled with the written consent of the Borrower, or if there is a final judgment against any Indemnitee in any such proceeding, the Borrower agrees to indemnify and hold harmless each Indemnitee to the extent and in the manner set forth above. The Borrower shall not, without the prior written consent of the affected Indemnitee (which consent shall not be unreasonably withheld, conditioned or delayed), effect any settlement of any pending or threatened proceeding in respect of which indemnity could have been sought hereunder by such Indemnitee unless (i) such settlement includes an unconditional release of such Indemnitee from all liability or claims that are the subject matter of such proceeding and (ii) such settlement does not include any statement as to any admission of fault or culpability.</w:t>
      </w:r>
    </w:p>
    <w:p>
      <w:pPr>
        <w:spacing w:after="0" w:line="165" w:lineRule="exact"/>
        <w:rPr>
          <w:sz w:val="20"/>
          <w:szCs w:val="20"/>
          <w:color w:val="auto"/>
        </w:rPr>
      </w:pPr>
    </w:p>
    <w:p>
      <w:pPr>
        <w:jc w:val="both"/>
        <w:ind w:left="100" w:right="40" w:firstLine="749"/>
        <w:spacing w:after="0" w:line="266"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u w:val="single" w:color="auto"/>
          <w:color w:val="auto"/>
        </w:rPr>
        <w:t>Waiver of Claim</w:t>
      </w:r>
      <w:r>
        <w:rPr>
          <w:rFonts w:ascii="Arial" w:cs="Arial" w:eastAsia="Arial" w:hAnsi="Arial"/>
          <w:sz w:val="17"/>
          <w:szCs w:val="17"/>
          <w:color w:val="auto"/>
        </w:rPr>
        <w:t>. To the extent permitted by applicable Requirements of Law, no party to this Agreement nor any Secured Party shall assert, and each hereby waives on behalf of itself and its Related Parties, any claim against any other party hereto, any Loan Party and/or any Related Party of any thereof, on any theory of liability, for special, indirect, consequential or punitive damages (as opposed to direct or actual damages) arising out of, in connection with, or as a result of, this Agreement or any agreement or instrument contemplated hereby, the Transactions, any Loan or any Letter of Credit or the use of the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189</w:t>
      </w:r>
      <w:r>
        <w:rPr>
          <w:rFonts w:ascii="Arial" w:cs="Arial" w:eastAsia="Arial" w:hAnsi="Arial"/>
          <w:sz w:val="18"/>
          <w:szCs w:val="18"/>
          <w:u w:val="single" w:color="auto"/>
          <w:color w:val="0000FF"/>
          <w:strike w:val="1"/>
        </w:rPr>
        <w:t>189</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85" w:right="1439" w:bottom="1440" w:gutter="0" w:footer="0" w:header="0"/>
        </w:sectPr>
      </w:pPr>
    </w:p>
    <w:bookmarkStart w:id="257" w:name="page258"/>
    <w:bookmarkEnd w:id="257"/>
    <w:p>
      <w:pPr>
        <w:ind w:left="100" w:right="79"/>
        <w:spacing w:after="0" w:line="289" w:lineRule="auto"/>
        <w:rPr>
          <w:sz w:val="20"/>
          <w:szCs w:val="20"/>
          <w:color w:val="auto"/>
        </w:rPr>
      </w:pPr>
      <w:r>
        <w:rPr>
          <w:rFonts w:ascii="Arial" w:cs="Arial" w:eastAsia="Arial" w:hAnsi="Arial"/>
          <w:sz w:val="18"/>
          <w:szCs w:val="18"/>
          <w:color w:val="auto"/>
        </w:rPr>
        <w:t xml:space="preserve">proceeds thereof, except, in the case of any claim by any Indemnitee against the Borrower, to the extent such damages would otherwise be subject to indemnification pursuant to, and in accordance with, the terms of </w:t>
      </w:r>
      <w:r>
        <w:rPr>
          <w:rFonts w:ascii="Arial" w:cs="Arial" w:eastAsia="Arial" w:hAnsi="Arial"/>
          <w:sz w:val="18"/>
          <w:szCs w:val="18"/>
          <w:u w:val="single" w:color="auto"/>
          <w:color w:val="auto"/>
        </w:rPr>
        <w:t>Section 9.03</w:t>
      </w:r>
      <w:r>
        <w:rPr>
          <w:rFonts w:ascii="Arial" w:cs="Arial" w:eastAsia="Arial" w:hAnsi="Arial"/>
          <w:sz w:val="18"/>
          <w:szCs w:val="18"/>
          <w:color w:val="auto"/>
        </w:rPr>
        <w:t>.</w:t>
      </w:r>
    </w:p>
    <w:p>
      <w:pPr>
        <w:spacing w:after="0" w:line="136"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9.05.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w:t>
      </w:r>
    </w:p>
    <w:p>
      <w:pPr>
        <w:spacing w:after="0" w:line="200" w:lineRule="exact"/>
        <w:rPr>
          <w:sz w:val="20"/>
          <w:szCs w:val="20"/>
          <w:color w:val="auto"/>
        </w:rPr>
      </w:pPr>
    </w:p>
    <w:p>
      <w:pPr>
        <w:jc w:val="both"/>
        <w:ind w:left="100" w:right="19" w:firstLine="741"/>
        <w:spacing w:after="0" w:line="255" w:lineRule="auto"/>
        <w:tabs>
          <w:tab w:leader="none" w:pos="1522"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The provisions of this Agreement shall be binding upon and inure to the benefit of the parties hereto and their respective successors and permitted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except as permitted under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the terms of this Section (any attempted assignment or transfer not complying with the terms of this Section shall be null and void (other than an assignment or transfer to a Disqualified Institution, which shall be subject to </w:t>
      </w:r>
      <w:r>
        <w:rPr>
          <w:rFonts w:ascii="Arial" w:cs="Arial" w:eastAsia="Arial" w:hAnsi="Arial"/>
          <w:sz w:val="18"/>
          <w:szCs w:val="18"/>
          <w:u w:val="single" w:color="auto"/>
          <w:color w:val="auto"/>
        </w:rPr>
        <w:t>Section 9.05(f)</w:t>
      </w:r>
      <w:r>
        <w:rPr>
          <w:rFonts w:ascii="Arial" w:cs="Arial" w:eastAsia="Arial" w:hAnsi="Arial"/>
          <w:sz w:val="18"/>
          <w:szCs w:val="18"/>
          <w:color w:val="auto"/>
        </w:rPr>
        <w:t xml:space="preserve">). Nothing in this Agreement, expressed or implied, shall be construed to confer upon any Person (other than the parties hereto, their respective successors and permitted assigns, to the extent provided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9.05(c)</w:t>
      </w:r>
      <w:r>
        <w:rPr>
          <w:rFonts w:ascii="Arial" w:cs="Arial" w:eastAsia="Arial" w:hAnsi="Arial"/>
          <w:sz w:val="18"/>
          <w:szCs w:val="18"/>
          <w:color w:val="auto"/>
        </w:rPr>
        <w:t>), Participants and, to the extent expressly contemplated hereby, the Related Parties of each of the Arrangers, the Administrative Agent, the Issuing Banks and the Lenders) any legal or equitable right, remedy or claim under or by reason of this Agreement.</w:t>
      </w:r>
    </w:p>
    <w:p>
      <w:pPr>
        <w:spacing w:after="0" w:line="186" w:lineRule="exact"/>
        <w:rPr>
          <w:rFonts w:ascii="Arial" w:cs="Arial" w:eastAsia="Arial" w:hAnsi="Arial"/>
          <w:sz w:val="18"/>
          <w:szCs w:val="18"/>
          <w:color w:val="auto"/>
        </w:rPr>
      </w:pPr>
    </w:p>
    <w:p>
      <w:pPr>
        <w:jc w:val="both"/>
        <w:ind w:left="100" w:right="59" w:firstLine="741"/>
        <w:spacing w:after="0" w:line="292" w:lineRule="auto"/>
        <w:tabs>
          <w:tab w:leader="none" w:pos="152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 xml:space="preserve">(i) Subject to the conditions set forth in </w:t>
      </w:r>
      <w:r>
        <w:rPr>
          <w:rFonts w:ascii="Arial" w:cs="Arial" w:eastAsia="Arial" w:hAnsi="Arial"/>
          <w:sz w:val="17"/>
          <w:szCs w:val="17"/>
          <w:u w:val="single" w:color="auto"/>
          <w:color w:val="auto"/>
        </w:rPr>
        <w:t>paragraph (b)(ii)</w:t>
      </w:r>
      <w:r>
        <w:rPr>
          <w:rFonts w:ascii="Arial" w:cs="Arial" w:eastAsia="Arial" w:hAnsi="Arial"/>
          <w:sz w:val="17"/>
          <w:szCs w:val="17"/>
          <w:color w:val="auto"/>
        </w:rPr>
        <w:t xml:space="preserve"> below, any Lender may assign to one or more Eligible Assignees all or a portion of its rights and obligations under this Agreement (including all or a portion of any Loan or Additional Commitment added pursuant to </w:t>
      </w:r>
      <w:r>
        <w:rPr>
          <w:rFonts w:ascii="Arial" w:cs="Arial" w:eastAsia="Arial" w:hAnsi="Arial"/>
          <w:sz w:val="17"/>
          <w:szCs w:val="17"/>
          <w:u w:val="single" w:color="auto"/>
          <w:color w:val="auto"/>
        </w:rPr>
        <w:t>Sections 2.22</w:t>
      </w:r>
      <w:r>
        <w:rPr>
          <w:rFonts w:ascii="Arial" w:cs="Arial" w:eastAsia="Arial" w:hAnsi="Arial"/>
          <w:sz w:val="17"/>
          <w:szCs w:val="17"/>
          <w:color w:val="auto"/>
        </w:rPr>
        <w:t xml:space="preserve">, </w:t>
      </w:r>
      <w:r>
        <w:rPr>
          <w:rFonts w:ascii="Arial" w:cs="Arial" w:eastAsia="Arial" w:hAnsi="Arial"/>
          <w:sz w:val="17"/>
          <w:szCs w:val="17"/>
          <w:u w:val="single" w:color="auto"/>
          <w:color w:val="auto"/>
        </w:rPr>
        <w:t>2.23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9.02(c)</w:t>
      </w:r>
      <w:r>
        <w:rPr>
          <w:rFonts w:ascii="Arial" w:cs="Arial" w:eastAsia="Arial" w:hAnsi="Arial"/>
          <w:sz w:val="17"/>
          <w:szCs w:val="17"/>
          <w:color w:val="auto"/>
        </w:rPr>
        <w:t xml:space="preserve"> at the time owing to it) with the prior written consent of:</w:t>
      </w:r>
    </w:p>
    <w:p>
      <w:pPr>
        <w:spacing w:after="0" w:line="150" w:lineRule="exact"/>
        <w:rPr>
          <w:rFonts w:ascii="Arial" w:cs="Arial" w:eastAsia="Arial" w:hAnsi="Arial"/>
          <w:sz w:val="17"/>
          <w:szCs w:val="17"/>
          <w:color w:val="auto"/>
        </w:rPr>
      </w:pPr>
    </w:p>
    <w:p>
      <w:pPr>
        <w:jc w:val="both"/>
        <w:ind w:left="1600" w:right="39" w:firstLine="741"/>
        <w:spacing w:after="0" w:line="256" w:lineRule="auto"/>
        <w:tabs>
          <w:tab w:leader="none" w:pos="3009" w:val="left"/>
        </w:tabs>
        <w:numPr>
          <w:ilvl w:val="2"/>
          <w:numId w:val="330"/>
        </w:numPr>
        <w:rPr>
          <w:rFonts w:ascii="Arial" w:cs="Arial" w:eastAsia="Arial" w:hAnsi="Arial"/>
          <w:sz w:val="18"/>
          <w:szCs w:val="18"/>
          <w:color w:val="auto"/>
        </w:rPr>
      </w:pPr>
      <w:r>
        <w:rPr>
          <w:rFonts w:ascii="Arial" w:cs="Arial" w:eastAsia="Arial" w:hAnsi="Arial"/>
          <w:sz w:val="18"/>
          <w:szCs w:val="18"/>
          <w:color w:val="auto"/>
        </w:rPr>
        <w:t xml:space="preserve">the Borrower (such consent not to be unreasonably withheld, conditioned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the Borrower shall be deemed to have consented to any assignment of Term Loans (other than any assignment to any Disqualified Institution or any natural person (or any holding company, investment vehicle or trust for, or owned and operated by, or for the primary benefit of, one or more natural persons)) unless it has objected thereto by written notice to the Administrative Agent within 10 Business Days after receipt by the Borrower of a written notice for consent thereto and (y) the consent of the Borrower shall not be required for any assignment of (1) Term Loans or Term Commitments to any Term Lender or any Affiliate of any Term Lender or an Approved Fund, (2) at any time when an Event of Default under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or (3) of Revolving Loans or Revolving Credit Commitments to any other Revolving Lender; it being understood and agreed that the Borrower may withhold its consent (in its sole discretion) to any assignment to any Person that is known by it to be an Affiliate of a Disqualified Institution and/or an Affiliate of a Competitor (other than a Competitor Debt Fund Affiliate, unless the Borrower has other reasonable grounds on which to withhold its consent);</w:t>
      </w:r>
    </w:p>
    <w:p>
      <w:pPr>
        <w:spacing w:after="0" w:line="180" w:lineRule="exact"/>
        <w:rPr>
          <w:rFonts w:ascii="Arial" w:cs="Arial" w:eastAsia="Arial" w:hAnsi="Arial"/>
          <w:sz w:val="18"/>
          <w:szCs w:val="18"/>
          <w:color w:val="auto"/>
        </w:rPr>
      </w:pPr>
    </w:p>
    <w:p>
      <w:pPr>
        <w:jc w:val="both"/>
        <w:ind w:left="1600" w:right="59" w:firstLine="741"/>
        <w:spacing w:after="0" w:line="249" w:lineRule="auto"/>
        <w:tabs>
          <w:tab w:leader="none" w:pos="3008" w:val="left"/>
        </w:tabs>
        <w:numPr>
          <w:ilvl w:val="2"/>
          <w:numId w:val="330"/>
        </w:numPr>
        <w:rPr>
          <w:rFonts w:ascii="Arial" w:cs="Arial" w:eastAsia="Arial" w:hAnsi="Arial"/>
          <w:sz w:val="19"/>
          <w:szCs w:val="19"/>
          <w:color w:val="auto"/>
        </w:rPr>
      </w:pPr>
      <w:r>
        <w:rPr>
          <w:rFonts w:ascii="Arial" w:cs="Arial" w:eastAsia="Arial" w:hAnsi="Arial"/>
          <w:sz w:val="19"/>
          <w:szCs w:val="19"/>
          <w:color w:val="auto"/>
        </w:rPr>
        <w:t xml:space="preserve">the Administrative Agent (such consent not to be unreasonably withheld, conditioned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that no consent of the Administrative Agent shall be required for any assignment to another Lender, any Affiliate of a Lender or any Approved Fund; and</w:t>
      </w:r>
    </w:p>
    <w:p>
      <w:pPr>
        <w:spacing w:after="0" w:line="183" w:lineRule="exact"/>
        <w:rPr>
          <w:rFonts w:ascii="Arial" w:cs="Arial" w:eastAsia="Arial" w:hAnsi="Arial"/>
          <w:sz w:val="19"/>
          <w:szCs w:val="19"/>
          <w:color w:val="auto"/>
        </w:rPr>
      </w:pPr>
    </w:p>
    <w:p>
      <w:pPr>
        <w:jc w:val="both"/>
        <w:ind w:left="1600" w:right="59" w:firstLine="741"/>
        <w:spacing w:after="0" w:line="245" w:lineRule="auto"/>
        <w:tabs>
          <w:tab w:leader="none" w:pos="3008" w:val="left"/>
        </w:tabs>
        <w:numPr>
          <w:ilvl w:val="2"/>
          <w:numId w:val="330"/>
        </w:numPr>
        <w:rPr>
          <w:rFonts w:ascii="Arial" w:cs="Arial" w:eastAsia="Arial" w:hAnsi="Arial"/>
          <w:sz w:val="19"/>
          <w:szCs w:val="19"/>
          <w:color w:val="auto"/>
        </w:rPr>
      </w:pPr>
      <w:r>
        <w:rPr>
          <w:rFonts w:ascii="Arial" w:cs="Arial" w:eastAsia="Arial" w:hAnsi="Arial"/>
          <w:sz w:val="19"/>
          <w:szCs w:val="19"/>
          <w:color w:val="auto"/>
        </w:rPr>
        <w:t xml:space="preserve">in the case of any Revolving Facility, each Issuing Bank and the Swingline Lender (such consent not to be unreasonably withheld, conditioned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that no consent of any Issuing Bank or the Swingline Lender shall be required for any assignment to a Revolving Lender or an Affiliate of a Revolving Lender.</w:t>
      </w:r>
    </w:p>
    <w:p>
      <w:pPr>
        <w:spacing w:after="0" w:line="187" w:lineRule="exact"/>
        <w:rPr>
          <w:rFonts w:ascii="Arial" w:cs="Arial" w:eastAsia="Arial" w:hAnsi="Arial"/>
          <w:sz w:val="19"/>
          <w:szCs w:val="19"/>
          <w:color w:val="auto"/>
        </w:rPr>
      </w:pPr>
    </w:p>
    <w:p>
      <w:pPr>
        <w:ind w:left="2340" w:hanging="748"/>
        <w:spacing w:after="0"/>
        <w:tabs>
          <w:tab w:leader="none" w:pos="2340" w:val="left"/>
        </w:tabs>
        <w:numPr>
          <w:ilvl w:val="1"/>
          <w:numId w:val="330"/>
        </w:numPr>
        <w:rPr>
          <w:rFonts w:ascii="Arial" w:cs="Arial" w:eastAsia="Arial" w:hAnsi="Arial"/>
          <w:sz w:val="19"/>
          <w:szCs w:val="19"/>
          <w:color w:val="auto"/>
        </w:rPr>
      </w:pPr>
      <w:r>
        <w:rPr>
          <w:rFonts w:ascii="Arial" w:cs="Arial" w:eastAsia="Arial" w:hAnsi="Arial"/>
          <w:sz w:val="19"/>
          <w:szCs w:val="19"/>
          <w:color w:val="auto"/>
        </w:rPr>
        <w:t>Assignments shall be subject to the following additional conditions: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190</w:t>
      </w:r>
      <w:r>
        <w:rPr>
          <w:rFonts w:ascii="Arial" w:cs="Arial" w:eastAsia="Arial" w:hAnsi="Arial"/>
          <w:sz w:val="18"/>
          <w:szCs w:val="18"/>
          <w:u w:val="single" w:color="auto"/>
          <w:color w:val="0000FF"/>
          <w:strike w:val="1"/>
        </w:rPr>
        <w:t>190</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58" w:name="page259"/>
    <w:bookmarkEnd w:id="258"/>
    <w:p>
      <w:pPr>
        <w:jc w:val="both"/>
        <w:ind w:left="1600" w:right="59" w:firstLine="741"/>
        <w:spacing w:after="0" w:line="275" w:lineRule="auto"/>
        <w:tabs>
          <w:tab w:leader="none" w:pos="3008" w:val="left"/>
        </w:tabs>
        <w:numPr>
          <w:ilvl w:val="1"/>
          <w:numId w:val="331"/>
        </w:numPr>
        <w:rPr>
          <w:rFonts w:ascii="Arial" w:cs="Arial" w:eastAsia="Arial" w:hAnsi="Arial"/>
          <w:sz w:val="17"/>
          <w:szCs w:val="17"/>
          <w:color w:val="auto"/>
        </w:rPr>
      </w:pPr>
      <w:r>
        <w:rPr>
          <w:rFonts w:ascii="Arial" w:cs="Arial" w:eastAsia="Arial" w:hAnsi="Arial"/>
          <w:sz w:val="17"/>
          <w:szCs w:val="17"/>
          <w:color w:val="auto"/>
        </w:rPr>
        <w:t>except in the case of any assignment to another Lender, any Affiliate of any Lender or any Approved Fund or any assignment of the entire remaining amount of the relevant assigning Lender’s Loans or Commitments of any Class, the principal amount of Loans or Commitments of the assigning Lender subject to the relevant assignment (determined as of the date on which the Assignment Agreement with respect to such assignment is delivered to the Administrative Agent and determined on an aggregate basis in the event of concurrent assignments to Related Funds or by Related Funds) shall not be less than (x) $1,000,000 in the case of Term Loans and Term Commitments or (y) $5,000,000 in the case of Revolving Loans and Revolving Credit Commitments, in each case unless the Borrower and the Administrative Agent otherwise consent;</w:t>
      </w:r>
    </w:p>
    <w:p>
      <w:pPr>
        <w:spacing w:after="0" w:line="165" w:lineRule="exact"/>
        <w:rPr>
          <w:rFonts w:ascii="Arial" w:cs="Arial" w:eastAsia="Arial" w:hAnsi="Arial"/>
          <w:sz w:val="17"/>
          <w:szCs w:val="17"/>
          <w:color w:val="auto"/>
        </w:rPr>
      </w:pPr>
    </w:p>
    <w:p>
      <w:pPr>
        <w:ind w:left="1600" w:right="59" w:firstLine="741"/>
        <w:spacing w:after="0" w:line="261" w:lineRule="auto"/>
        <w:tabs>
          <w:tab w:leader="none" w:pos="3008" w:val="left"/>
        </w:tabs>
        <w:numPr>
          <w:ilvl w:val="1"/>
          <w:numId w:val="331"/>
        </w:numPr>
        <w:rPr>
          <w:rFonts w:ascii="Arial" w:cs="Arial" w:eastAsia="Arial" w:hAnsi="Arial"/>
          <w:sz w:val="19"/>
          <w:szCs w:val="19"/>
          <w:color w:val="auto"/>
        </w:rPr>
      </w:pPr>
      <w:r>
        <w:rPr>
          <w:rFonts w:ascii="Arial" w:cs="Arial" w:eastAsia="Arial" w:hAnsi="Arial"/>
          <w:sz w:val="19"/>
          <w:szCs w:val="19"/>
          <w:color w:val="auto"/>
        </w:rPr>
        <w:t>any partial assignment shall be made as an assignment of a proportionate part of all the relevant assigning Lender’s rights and obligations under this Agreement;</w:t>
      </w:r>
    </w:p>
    <w:p>
      <w:pPr>
        <w:spacing w:after="0" w:line="172" w:lineRule="exact"/>
        <w:rPr>
          <w:rFonts w:ascii="Arial" w:cs="Arial" w:eastAsia="Arial" w:hAnsi="Arial"/>
          <w:sz w:val="19"/>
          <w:szCs w:val="19"/>
          <w:color w:val="auto"/>
        </w:rPr>
      </w:pPr>
    </w:p>
    <w:p>
      <w:pPr>
        <w:jc w:val="both"/>
        <w:ind w:left="1600" w:right="19" w:firstLine="741"/>
        <w:spacing w:after="0" w:line="246" w:lineRule="auto"/>
        <w:tabs>
          <w:tab w:leader="none" w:pos="3011" w:val="left"/>
        </w:tabs>
        <w:numPr>
          <w:ilvl w:val="1"/>
          <w:numId w:val="331"/>
        </w:numPr>
        <w:rPr>
          <w:rFonts w:ascii="Arial" w:cs="Arial" w:eastAsia="Arial" w:hAnsi="Arial"/>
          <w:sz w:val="19"/>
          <w:szCs w:val="19"/>
          <w:color w:val="auto"/>
        </w:rPr>
      </w:pPr>
      <w:r>
        <w:rPr>
          <w:rFonts w:ascii="Arial" w:cs="Arial" w:eastAsia="Arial" w:hAnsi="Arial"/>
          <w:sz w:val="19"/>
          <w:szCs w:val="19"/>
          <w:color w:val="auto"/>
        </w:rPr>
        <w:t>the parties to each assignment shall execute and deliver to the Administrative Agent an Assignment Agreement via an electronic settlement system acceptable to the Administrative Agent (or, if previously agreed with the Administrative Agent, manually), and shall pay to the Administrative Agent a processing and recordation fee of $3,500 (which fee may be waived or reduced in the sole discretion of the Administrative Agent); and</w:t>
      </w:r>
    </w:p>
    <w:p>
      <w:pPr>
        <w:spacing w:after="0" w:line="189" w:lineRule="exact"/>
        <w:rPr>
          <w:rFonts w:ascii="Arial" w:cs="Arial" w:eastAsia="Arial" w:hAnsi="Arial"/>
          <w:sz w:val="19"/>
          <w:szCs w:val="19"/>
          <w:color w:val="auto"/>
        </w:rPr>
      </w:pPr>
    </w:p>
    <w:p>
      <w:pPr>
        <w:jc w:val="both"/>
        <w:ind w:left="1600" w:right="59" w:firstLine="741"/>
        <w:spacing w:after="0" w:line="249" w:lineRule="auto"/>
        <w:tabs>
          <w:tab w:leader="none" w:pos="3008" w:val="left"/>
        </w:tabs>
        <w:numPr>
          <w:ilvl w:val="1"/>
          <w:numId w:val="331"/>
        </w:numPr>
        <w:rPr>
          <w:rFonts w:ascii="Arial" w:cs="Arial" w:eastAsia="Arial" w:hAnsi="Arial"/>
          <w:sz w:val="19"/>
          <w:szCs w:val="19"/>
          <w:color w:val="auto"/>
        </w:rPr>
      </w:pPr>
      <w:r>
        <w:rPr>
          <w:rFonts w:ascii="Arial" w:cs="Arial" w:eastAsia="Arial" w:hAnsi="Arial"/>
          <w:sz w:val="19"/>
          <w:szCs w:val="19"/>
          <w:color w:val="auto"/>
        </w:rPr>
        <w:t xml:space="preserve">the relevant Eligible Assignee, if it is not a Lender, shall deliver on or prior to the effective date of such assignment, to the Administrative Agent (1) an Administrative Questionnaire and (2) any IRS form required under </w:t>
      </w:r>
      <w:r>
        <w:rPr>
          <w:rFonts w:ascii="Arial" w:cs="Arial" w:eastAsia="Arial" w:hAnsi="Arial"/>
          <w:sz w:val="19"/>
          <w:szCs w:val="19"/>
          <w:u w:val="single" w:color="auto"/>
          <w:color w:val="auto"/>
        </w:rPr>
        <w:t>Section 2.17</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jc w:val="both"/>
        <w:ind w:left="840" w:right="39" w:firstLine="752"/>
        <w:spacing w:after="0" w:line="270" w:lineRule="auto"/>
        <w:tabs>
          <w:tab w:leader="none" w:pos="2256" w:val="left"/>
        </w:tabs>
        <w:numPr>
          <w:ilvl w:val="0"/>
          <w:numId w:val="332"/>
        </w:numPr>
        <w:rPr>
          <w:rFonts w:ascii="Arial" w:cs="Arial" w:eastAsia="Arial" w:hAnsi="Arial"/>
          <w:sz w:val="17"/>
          <w:szCs w:val="17"/>
          <w:color w:val="auto"/>
        </w:rPr>
      </w:pPr>
      <w:r>
        <w:rPr>
          <w:rFonts w:ascii="Arial" w:cs="Arial" w:eastAsia="Arial" w:hAnsi="Arial"/>
          <w:sz w:val="17"/>
          <w:szCs w:val="17"/>
          <w:color w:val="auto"/>
        </w:rPr>
        <w:t xml:space="preserve">Subject to the acceptance and recording thereof pursuant to </w:t>
      </w:r>
      <w:r>
        <w:rPr>
          <w:rFonts w:ascii="Arial" w:cs="Arial" w:eastAsia="Arial" w:hAnsi="Arial"/>
          <w:sz w:val="17"/>
          <w:szCs w:val="17"/>
          <w:u w:val="single" w:color="auto"/>
          <w:color w:val="auto"/>
        </w:rPr>
        <w:t>paragraph (b)(iv)</w:t>
      </w:r>
      <w:r>
        <w:rPr>
          <w:rFonts w:ascii="Arial" w:cs="Arial" w:eastAsia="Arial" w:hAnsi="Arial"/>
          <w:sz w:val="17"/>
          <w:szCs w:val="17"/>
          <w:color w:val="auto"/>
        </w:rPr>
        <w:t xml:space="preserve"> of this Section, from and after the effective date specified in any Assignment Agreement, the Eligible Assignee thereunder shall be a party hereto and, to the extent of the interest assigned pursuant to such Assignment Agreement, have the rights and obligations of a Lender under this Agreement, and the assigning Lender thereunder shall, to the extent of the interest assigned by such Assignment Agreement, be released from its obligations under this Agreement (and, in the case of an Assignment Agreement covering all of the assigning Lender’s rights and obligations under this Agreement, such Lender shall cease to be a party hereto but shall continue to be (A) entitled to the benefits of </w:t>
      </w:r>
      <w:r>
        <w:rPr>
          <w:rFonts w:ascii="Arial" w:cs="Arial" w:eastAsia="Arial" w:hAnsi="Arial"/>
          <w:sz w:val="17"/>
          <w:szCs w:val="17"/>
          <w:u w:val="single" w:color="auto"/>
          <w:color w:val="auto"/>
        </w:rPr>
        <w:t>Sections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9.03</w:t>
      </w:r>
      <w:r>
        <w:rPr>
          <w:rFonts w:ascii="Arial" w:cs="Arial" w:eastAsia="Arial" w:hAnsi="Arial"/>
          <w:sz w:val="17"/>
          <w:szCs w:val="17"/>
          <w:color w:val="auto"/>
        </w:rPr>
        <w:t xml:space="preserve"> with respect to facts and circumstances occurring on or prior to the effective date of such assignment and (B) subject to its obligations thereunder and under </w:t>
      </w:r>
      <w:r>
        <w:rPr>
          <w:rFonts w:ascii="Arial" w:cs="Arial" w:eastAsia="Arial" w:hAnsi="Arial"/>
          <w:sz w:val="17"/>
          <w:szCs w:val="17"/>
          <w:u w:val="single" w:color="auto"/>
          <w:color w:val="auto"/>
        </w:rPr>
        <w:t>Section 9.13</w:t>
      </w:r>
      <w:r>
        <w:rPr>
          <w:rFonts w:ascii="Arial" w:cs="Arial" w:eastAsia="Arial" w:hAnsi="Arial"/>
          <w:sz w:val="17"/>
          <w:szCs w:val="17"/>
          <w:color w:val="auto"/>
        </w:rPr>
        <w:t>). If any assignment by any Lender holding any Promissory Note is made after the issuance of such Promissory Note, the assigning Lender shall, upon the effectiveness of such assignment or as promptly thereafter as practicable, surrender such Promissory Note to the Administrative Agent for cancellation, and, following such cancellation, if requested by either the assignee or the assigning Lender, the Borrower shall issue and deliver a new Promissory Note to such assignee and/or to such assigning Lender, with appropriate insertions, to reflect the new commitments and/or outstanding Loans of the assignee and/or the assigning Lender.</w:t>
      </w:r>
    </w:p>
    <w:p>
      <w:pPr>
        <w:spacing w:after="0" w:line="174" w:lineRule="exact"/>
        <w:rPr>
          <w:rFonts w:ascii="Arial" w:cs="Arial" w:eastAsia="Arial" w:hAnsi="Arial"/>
          <w:sz w:val="17"/>
          <w:szCs w:val="17"/>
          <w:color w:val="auto"/>
        </w:rPr>
      </w:pPr>
    </w:p>
    <w:p>
      <w:pPr>
        <w:jc w:val="both"/>
        <w:ind w:left="840" w:right="19" w:firstLine="752"/>
        <w:spacing w:after="0" w:line="257" w:lineRule="auto"/>
        <w:tabs>
          <w:tab w:leader="none" w:pos="2256"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Administrative Agent, acting for this purpose as a non-fiduciary agent of the Borrower, shall maintain at one of its offices in the US a copy of each Assignment Agreement delivered to it and a register for the recordation of the names and addresses of the Lenders and their respective successors and assigns, and the commitment of, and principal amount of and interest on the Loans and LC Disbursements owing to, each Lender or Issuing Bank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Failure to make any such recordation, or any error in such recordation, shall not affect the Borrower’s obligations in respect of such Loans and LC Disbursements. The entries in the Register shall be conclusive, absent manifest error, and the Borrower, the Administrative Agent, the Issuing Banks and the Lenders shall treat each Person whose name is recorded in the Register pursuant to the terms hereof as a Lender hereunder for all purposes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191</w:t>
      </w:r>
      <w:r>
        <w:rPr>
          <w:rFonts w:ascii="Arial" w:cs="Arial" w:eastAsia="Arial" w:hAnsi="Arial"/>
          <w:sz w:val="18"/>
          <w:szCs w:val="18"/>
          <w:u w:val="single" w:color="auto"/>
          <w:color w:val="0000FF"/>
          <w:strike w:val="1"/>
        </w:rPr>
        <w:t>191</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59" w:name="page260"/>
    <w:bookmarkEnd w:id="259"/>
    <w:p>
      <w:pPr>
        <w:jc w:val="both"/>
        <w:ind w:left="840" w:right="59"/>
        <w:spacing w:after="0" w:line="241" w:lineRule="auto"/>
        <w:rPr>
          <w:sz w:val="20"/>
          <w:szCs w:val="20"/>
          <w:color w:val="auto"/>
        </w:rPr>
      </w:pPr>
      <w:r>
        <w:rPr>
          <w:rFonts w:ascii="Arial" w:cs="Arial" w:eastAsia="Arial" w:hAnsi="Arial"/>
          <w:sz w:val="19"/>
          <w:szCs w:val="19"/>
          <w:color w:val="auto"/>
        </w:rPr>
        <w:t>of this Agreement, notwithstanding notice to the contrary. The Register shall be available for inspection by the Borrower, each Issuing Bank and each Lender (but only as to its own holdings), at any reasonable time and from time to time upon reasonable prior notice.</w:t>
      </w:r>
    </w:p>
    <w:p>
      <w:pPr>
        <w:spacing w:after="0" w:line="179" w:lineRule="exact"/>
        <w:rPr>
          <w:sz w:val="20"/>
          <w:szCs w:val="20"/>
          <w:color w:val="auto"/>
        </w:rPr>
      </w:pPr>
    </w:p>
    <w:p>
      <w:pPr>
        <w:jc w:val="both"/>
        <w:ind w:left="840" w:right="19" w:firstLine="752"/>
        <w:spacing w:after="0" w:line="274" w:lineRule="auto"/>
        <w:tabs>
          <w:tab w:leader="none" w:pos="2257" w:val="left"/>
        </w:tabs>
        <w:numPr>
          <w:ilvl w:val="1"/>
          <w:numId w:val="333"/>
        </w:numPr>
        <w:rPr>
          <w:rFonts w:ascii="Arial" w:cs="Arial" w:eastAsia="Arial" w:hAnsi="Arial"/>
          <w:sz w:val="17"/>
          <w:szCs w:val="17"/>
          <w:color w:val="auto"/>
        </w:rPr>
      </w:pPr>
      <w:r>
        <w:rPr>
          <w:rFonts w:ascii="Arial" w:cs="Arial" w:eastAsia="Arial" w:hAnsi="Arial"/>
          <w:sz w:val="17"/>
          <w:szCs w:val="17"/>
          <w:color w:val="auto"/>
        </w:rPr>
        <w:t xml:space="preserve">Upon its receipt of a duly completed Assignment Agreement executed by an assigning Lender and an Eligible Assignee, the Eligible Assignee’s completed Administrative Questionnaire and any tax certification required by </w:t>
      </w:r>
      <w:r>
        <w:rPr>
          <w:rFonts w:ascii="Arial" w:cs="Arial" w:eastAsia="Arial" w:hAnsi="Arial"/>
          <w:sz w:val="17"/>
          <w:szCs w:val="17"/>
          <w:u w:val="single" w:color="auto"/>
          <w:color w:val="auto"/>
        </w:rPr>
        <w:t>Section 9.05(b)(ii)(D)(2)</w:t>
      </w:r>
      <w:r>
        <w:rPr>
          <w:rFonts w:ascii="Arial" w:cs="Arial" w:eastAsia="Arial" w:hAnsi="Arial"/>
          <w:sz w:val="17"/>
          <w:szCs w:val="17"/>
          <w:color w:val="auto"/>
        </w:rPr>
        <w:t xml:space="preserve"> (unless the assignee is already a Lender hereunder), the processing and recordation fee referred to in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if applicable, and any written consent to the relevant assignment required by </w:t>
      </w:r>
      <w:r>
        <w:rPr>
          <w:rFonts w:ascii="Arial" w:cs="Arial" w:eastAsia="Arial" w:hAnsi="Arial"/>
          <w:sz w:val="17"/>
          <w:szCs w:val="17"/>
          <w:u w:val="single" w:color="auto"/>
          <w:color w:val="auto"/>
        </w:rPr>
        <w:t>paragraph</w:t>
      </w:r>
    </w:p>
    <w:p>
      <w:pPr>
        <w:jc w:val="both"/>
        <w:ind w:left="840" w:right="19" w:firstLine="3"/>
        <w:spacing w:after="0"/>
        <w:tabs>
          <w:tab w:leader="none" w:pos="1164" w:val="left"/>
        </w:tabs>
        <w:numPr>
          <w:ilvl w:val="0"/>
          <w:numId w:val="334"/>
        </w:numPr>
        <w:rPr>
          <w:rFonts w:ascii="Arial" w:cs="Arial" w:eastAsia="Arial" w:hAnsi="Arial"/>
          <w:sz w:val="19"/>
          <w:szCs w:val="19"/>
          <w:u w:val="single" w:color="auto"/>
          <w:color w:val="auto"/>
        </w:rPr>
      </w:pPr>
      <w:r>
        <w:rPr>
          <w:rFonts w:ascii="Arial" w:cs="Arial" w:eastAsia="Arial" w:hAnsi="Arial"/>
          <w:sz w:val="19"/>
          <w:szCs w:val="19"/>
          <w:color w:val="auto"/>
        </w:rPr>
        <w:t>of this Section, the Administrative Agent shall promptly accept such Assignment Agreement and record the information contained therein in the Register. No assignment shall be effective for purposes of this Agreement unless it has been recorded in the Register as provided in this paragraph.</w:t>
      </w:r>
    </w:p>
    <w:p>
      <w:pPr>
        <w:spacing w:after="0" w:line="193" w:lineRule="exact"/>
        <w:rPr>
          <w:sz w:val="20"/>
          <w:szCs w:val="20"/>
          <w:color w:val="auto"/>
        </w:rPr>
      </w:pPr>
    </w:p>
    <w:p>
      <w:pPr>
        <w:jc w:val="both"/>
        <w:ind w:left="840" w:right="19" w:firstLine="752"/>
        <w:spacing w:after="0" w:line="269" w:lineRule="auto"/>
        <w:tabs>
          <w:tab w:leader="none" w:pos="2257" w:val="left"/>
        </w:tabs>
        <w:numPr>
          <w:ilvl w:val="2"/>
          <w:numId w:val="335"/>
        </w:numPr>
        <w:rPr>
          <w:rFonts w:ascii="Arial" w:cs="Arial" w:eastAsia="Arial" w:hAnsi="Arial"/>
          <w:sz w:val="17"/>
          <w:szCs w:val="17"/>
          <w:color w:val="auto"/>
        </w:rPr>
      </w:pPr>
      <w:r>
        <w:rPr>
          <w:rFonts w:ascii="Arial" w:cs="Arial" w:eastAsia="Arial" w:hAnsi="Arial"/>
          <w:sz w:val="17"/>
          <w:szCs w:val="17"/>
          <w:color w:val="auto"/>
        </w:rPr>
        <w:t>By executing and delivering an Assignment Agreement, the assigning Lender and the Eligible Assignee thereunder shall be deemed to confirm and agree with each other and the other parties hereto as follows: (A) the assigning Lender warrants that it is the legal and beneficial owner of the interest being assigned thereby free and clear of any adverse claim and that the amount of its commitments, and the outstanding balances of its Loans, in each case without giving effect to any assignment thereof which has not become effective, are as set forth in such Assignment Agreement,</w:t>
      </w:r>
    </w:p>
    <w:p>
      <w:pPr>
        <w:jc w:val="both"/>
        <w:ind w:left="840" w:right="19" w:firstLine="3"/>
        <w:spacing w:after="0" w:line="241" w:lineRule="auto"/>
        <w:tabs>
          <w:tab w:leader="none" w:pos="1157" w:val="left"/>
        </w:tabs>
        <w:numPr>
          <w:ilvl w:val="1"/>
          <w:numId w:val="336"/>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the assigning Lender makes no representation or warranty and assumes no responsibility with respect to any statement, warranty or representation made in or in connection with this Agreement, or the execution, legality, validity, enforceability, genuineness, sufficiency or value of this Agreement, any other Loan Document or any other instrument or document furnished pursuant hereto, or the financial condition of the Borrower or any Restricted Subsidiary or the performance or observance by the Borrower or any Restricted Subsidiary of any of its obligations under this Agreement, any other Loan Document or any other instrument or document furnished pursuant hereto; (C) the assignee represents and warrants that it is (1) an Eligible Assignee and (2) not a Disqualified Institution or an Affiliate of any Disqualified Institution, legally authorized to enter into such Assignment Agreement; (D) the assignee confirms that it has received a copy of this Agreement and each applicable Intercreditor Agreement, together with copies of the financial statements referred to in </w:t>
      </w:r>
      <w:r>
        <w:rPr>
          <w:rFonts w:ascii="Arial" w:cs="Arial" w:eastAsia="Arial" w:hAnsi="Arial"/>
          <w:sz w:val="18"/>
          <w:szCs w:val="18"/>
          <w:u w:val="single" w:color="auto"/>
          <w:color w:val="auto"/>
        </w:rPr>
        <w:t>Section 4.01(c)</w:t>
      </w:r>
      <w:r>
        <w:rPr>
          <w:rFonts w:ascii="Arial" w:cs="Arial" w:eastAsia="Arial" w:hAnsi="Arial"/>
          <w:sz w:val="18"/>
          <w:szCs w:val="18"/>
          <w:color w:val="auto"/>
        </w:rPr>
        <w:t xml:space="preserve"> or the most recent financial statements delivered pursuant to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and such other documents and information as it has deemed appropriate to make its own credit analysis and decision to enter into such Assignment Agreement; (E) the assignee will independently and without reliance upon the Administrative Agent, the assigning Lender or any other Lender and based on such documents and information as it deems appropriate at the time, continue to make its own credit decisions in taking or not taking action under this Agreement; (F) the assignee appoints and authorizes the Administrative Agent to take such action as agent on its behalf and to exercise such powers under this Agreement as are delegated to the Administrative Agent, by the terms hereof, together with such powers as are reasonably incidental thereto; and (G) the assignee agrees that it will perform in accordance with their terms all the obligations which by the terms of this Agreement are required to be performed by it as a Lender.</w:t>
      </w:r>
    </w:p>
    <w:p>
      <w:pPr>
        <w:spacing w:after="0" w:line="179" w:lineRule="exact"/>
        <w:rPr>
          <w:rFonts w:ascii="Arial" w:cs="Arial" w:eastAsia="Arial" w:hAnsi="Arial"/>
          <w:sz w:val="18"/>
          <w:szCs w:val="18"/>
          <w:color w:val="auto"/>
        </w:rPr>
      </w:pPr>
    </w:p>
    <w:p>
      <w:pPr>
        <w:jc w:val="both"/>
        <w:ind w:left="100" w:right="59" w:firstLine="741"/>
        <w:spacing w:after="0" w:line="274" w:lineRule="auto"/>
        <w:tabs>
          <w:tab w:leader="none" w:pos="152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 xml:space="preserve">(i) Any Lender may, without the consent of the Borrower (solely in the case of any participation in any Lender’s rights and obligations with respect to any Term Loan), the Administrative Agent, any Issuing Bank or any other Lender, sell participations to any bank or other entity (other than to any Disqualified Institution, any natural person (or any holding company, investment vehicle or trust for, or owned and operated by, or for the primary benefit of, one or more natural persons) or, other than with respect to any participation to any Debt Fund Affiliate (any such participations to a Debt Fund Affiliate being subject to the limitation set forth in the first proviso of the final paragraph set forth in </w:t>
      </w:r>
      <w:r>
        <w:rPr>
          <w:rFonts w:ascii="Arial" w:cs="Arial" w:eastAsia="Arial" w:hAnsi="Arial"/>
          <w:sz w:val="17"/>
          <w:szCs w:val="17"/>
          <w:u w:val="single" w:color="auto"/>
          <w:color w:val="auto"/>
        </w:rPr>
        <w:t>Section 9.05(g)</w:t>
      </w:r>
      <w:r>
        <w:rPr>
          <w:rFonts w:ascii="Arial" w:cs="Arial" w:eastAsia="Arial" w:hAnsi="Arial"/>
          <w:sz w:val="17"/>
          <w:szCs w:val="17"/>
          <w:color w:val="auto"/>
        </w:rPr>
        <w:t>, as if the limitation applied to such participations), the Borrower or any of its Affiliates)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 obligations under this Agreement (including all or a portion of its commitments and the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that it is understood and agreed that the consent of the Borrower will be required for any participation of any rights or obligations (including any Loan 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192</w:t>
      </w:r>
      <w:r>
        <w:rPr>
          <w:rFonts w:ascii="Arial" w:cs="Arial" w:eastAsia="Arial" w:hAnsi="Arial"/>
          <w:sz w:val="18"/>
          <w:szCs w:val="18"/>
          <w:u w:val="single" w:color="auto"/>
          <w:color w:val="0000FF"/>
          <w:strike w:val="1"/>
        </w:rPr>
        <w:t>192</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60" w:name="page261"/>
    <w:bookmarkEnd w:id="260"/>
    <w:p>
      <w:pPr>
        <w:jc w:val="both"/>
        <w:ind w:left="100"/>
        <w:spacing w:after="0" w:line="256" w:lineRule="auto"/>
        <w:rPr>
          <w:sz w:val="20"/>
          <w:szCs w:val="20"/>
          <w:color w:val="auto"/>
        </w:rPr>
      </w:pPr>
      <w:r>
        <w:rPr>
          <w:rFonts w:ascii="Arial" w:cs="Arial" w:eastAsia="Arial" w:hAnsi="Arial"/>
          <w:sz w:val="17"/>
          <w:szCs w:val="17"/>
          <w:color w:val="auto"/>
        </w:rPr>
        <w:t xml:space="preserve">Commitment) of any Lender under or in respect of the Revolving Facility; </w:t>
      </w:r>
      <w:r>
        <w:rPr>
          <w:rFonts w:ascii="Arial" w:cs="Arial" w:eastAsia="Arial" w:hAnsi="Arial"/>
          <w:sz w:val="17"/>
          <w:szCs w:val="17"/>
          <w:u w:val="single" w:color="auto"/>
          <w:color w:val="auto"/>
        </w:rPr>
        <w:t>provide</w:t>
      </w:r>
      <w:r>
        <w:rPr>
          <w:rFonts w:ascii="Arial" w:cs="Arial" w:eastAsia="Arial" w:hAnsi="Arial"/>
          <w:sz w:val="17"/>
          <w:szCs w:val="17"/>
          <w:color w:val="auto"/>
        </w:rPr>
        <w:t xml:space="preserve">d,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any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or instrument may provide that such Lender will not, without the consent of the relevant Participant, agree to any amendment, modification or waiver described in (x)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the first proviso to </w:t>
      </w:r>
      <w:r>
        <w:rPr>
          <w:rFonts w:ascii="Arial" w:cs="Arial" w:eastAsia="Arial" w:hAnsi="Arial"/>
          <w:sz w:val="17"/>
          <w:szCs w:val="17"/>
          <w:u w:val="single" w:color="auto"/>
          <w:color w:val="auto"/>
        </w:rPr>
        <w:t>Section 9.02(b)</w:t>
      </w:r>
      <w:r>
        <w:rPr>
          <w:rFonts w:ascii="Arial" w:cs="Arial" w:eastAsia="Arial" w:hAnsi="Arial"/>
          <w:sz w:val="17"/>
          <w:szCs w:val="17"/>
          <w:color w:val="auto"/>
        </w:rPr>
        <w:t xml:space="preserve"> that directly and adversely affects the Loans or commitments in which such Participant has an interest and (y) </w:t>
      </w:r>
      <w:r>
        <w:rPr>
          <w:rFonts w:ascii="Arial" w:cs="Arial" w:eastAsia="Arial" w:hAnsi="Arial"/>
          <w:sz w:val="17"/>
          <w:szCs w:val="17"/>
          <w:u w:val="single" w:color="auto"/>
          <w:color w:val="auto"/>
        </w:rPr>
        <w:t>clauses (B)(1)</w:t>
      </w:r>
      <w:r>
        <w:rPr>
          <w:rFonts w:ascii="Arial" w:cs="Arial" w:eastAsia="Arial" w:hAnsi="Arial"/>
          <w:sz w:val="17"/>
          <w:szCs w:val="17"/>
          <w:color w:val="auto"/>
        </w:rPr>
        <w:t xml:space="preserve">, </w:t>
      </w:r>
      <w:r>
        <w:rPr>
          <w:rFonts w:ascii="Arial" w:cs="Arial" w:eastAsia="Arial" w:hAnsi="Arial"/>
          <w:sz w:val="17"/>
          <w:szCs w:val="17"/>
          <w:u w:val="single" w:color="auto"/>
          <w:color w:val="auto"/>
        </w:rPr>
        <w:t>(2)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w:t>
      </w:r>
      <w:r>
        <w:rPr>
          <w:rFonts w:ascii="Arial" w:cs="Arial" w:eastAsia="Arial" w:hAnsi="Arial"/>
          <w:sz w:val="17"/>
          <w:szCs w:val="17"/>
          <w:color w:val="auto"/>
        </w:rPr>
        <w:t xml:space="preserve"> of the first proviso to </w:t>
      </w:r>
      <w:r>
        <w:rPr>
          <w:rFonts w:ascii="Arial" w:cs="Arial" w:eastAsia="Arial" w:hAnsi="Arial"/>
          <w:sz w:val="17"/>
          <w:szCs w:val="17"/>
          <w:u w:val="single" w:color="auto"/>
          <w:color w:val="auto"/>
        </w:rPr>
        <w:t>Section 9.02(b)</w:t>
      </w:r>
      <w:r>
        <w:rPr>
          <w:rFonts w:ascii="Arial" w:cs="Arial" w:eastAsia="Arial" w:hAnsi="Arial"/>
          <w:sz w:val="17"/>
          <w:szCs w:val="17"/>
          <w:color w:val="auto"/>
        </w:rPr>
        <w:t xml:space="preserve">; it being understood and agreed that no Lender may enter into any agreement or other arrangement with any Participant that provides such Participant with the right to agree to or approve (or direct such Lender to agree, approve, consent or not to agree, approve or consent) any other amendment, modification or waiver in respect of any Loan Document, and any such agreement or arrangement shall be deemed to be null and void and of no force or effect. Subject to </w:t>
      </w:r>
      <w:r>
        <w:rPr>
          <w:rFonts w:ascii="Arial" w:cs="Arial" w:eastAsia="Arial" w:hAnsi="Arial"/>
          <w:sz w:val="17"/>
          <w:szCs w:val="17"/>
          <w:u w:val="single" w:color="auto"/>
          <w:color w:val="auto"/>
        </w:rPr>
        <w:t>paragraph (c)(ii)</w:t>
      </w:r>
      <w:r>
        <w:rPr>
          <w:rFonts w:ascii="Arial" w:cs="Arial" w:eastAsia="Arial" w:hAnsi="Arial"/>
          <w:sz w:val="17"/>
          <w:szCs w:val="17"/>
          <w:color w:val="auto"/>
        </w:rPr>
        <w:t xml:space="preserve"> of this Section, the Borrower agrees that each Participant shall be entitled to the benefits of </w:t>
      </w:r>
      <w:r>
        <w:rPr>
          <w:rFonts w:ascii="Arial" w:cs="Arial" w:eastAsia="Arial" w:hAnsi="Arial"/>
          <w:sz w:val="17"/>
          <w:szCs w:val="17"/>
          <w:u w:val="single" w:color="auto"/>
          <w:color w:val="auto"/>
        </w:rPr>
        <w:t>Sections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(subject to the limitations and requirements of such Sections and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to the same extent as if it were a Lender and had acquired its interest by assignment pursuant to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and it being understood that the documentation required under </w:t>
      </w:r>
      <w:r>
        <w:rPr>
          <w:rFonts w:ascii="Arial" w:cs="Arial" w:eastAsia="Arial" w:hAnsi="Arial"/>
          <w:sz w:val="17"/>
          <w:szCs w:val="17"/>
          <w:u w:val="single" w:color="auto"/>
          <w:color w:val="auto"/>
        </w:rPr>
        <w:t>Section 2.17(f)</w:t>
      </w:r>
      <w:r>
        <w:rPr>
          <w:rFonts w:ascii="Arial" w:cs="Arial" w:eastAsia="Arial" w:hAnsi="Arial"/>
          <w:sz w:val="17"/>
          <w:szCs w:val="17"/>
          <w:color w:val="auto"/>
        </w:rPr>
        <w:t xml:space="preserve"> shall be delivered to the participating Lender, and if additional amounts are required to be paid pursuant to </w:t>
      </w:r>
      <w:r>
        <w:rPr>
          <w:rFonts w:ascii="Arial" w:cs="Arial" w:eastAsia="Arial" w:hAnsi="Arial"/>
          <w:sz w:val="17"/>
          <w:szCs w:val="17"/>
          <w:u w:val="single" w:color="auto"/>
          <w:color w:val="auto"/>
        </w:rPr>
        <w:t>Section 2.17(a)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2.17(c)</w:t>
      </w:r>
      <w:r>
        <w:rPr>
          <w:rFonts w:ascii="Arial" w:cs="Arial" w:eastAsia="Arial" w:hAnsi="Arial"/>
          <w:sz w:val="17"/>
          <w:szCs w:val="17"/>
          <w:color w:val="auto"/>
        </w:rPr>
        <w:t xml:space="preserve">, to the Borrower and the Administrative Agent). To the extent permitted by applicable Requirements of Law, each Participant also shall be entitled to the benefits of </w:t>
      </w:r>
      <w:r>
        <w:rPr>
          <w:rFonts w:ascii="Arial" w:cs="Arial" w:eastAsia="Arial" w:hAnsi="Arial"/>
          <w:sz w:val="17"/>
          <w:szCs w:val="17"/>
          <w:u w:val="single" w:color="auto"/>
          <w:color w:val="auto"/>
        </w:rPr>
        <w:t>Section 9.09</w:t>
      </w:r>
      <w:r>
        <w:rPr>
          <w:rFonts w:ascii="Arial" w:cs="Arial" w:eastAsia="Arial" w:hAnsi="Arial"/>
          <w:sz w:val="17"/>
          <w:szCs w:val="17"/>
          <w:color w:val="auto"/>
        </w:rPr>
        <w:t xml:space="preserve"> as though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shall be subject to </w:t>
      </w:r>
      <w:r>
        <w:rPr>
          <w:rFonts w:ascii="Arial" w:cs="Arial" w:eastAsia="Arial" w:hAnsi="Arial"/>
          <w:sz w:val="17"/>
          <w:szCs w:val="17"/>
          <w:u w:val="single" w:color="auto"/>
          <w:color w:val="auto"/>
        </w:rPr>
        <w:t>Section 2.18(c)</w:t>
      </w:r>
      <w:r>
        <w:rPr>
          <w:rFonts w:ascii="Arial" w:cs="Arial" w:eastAsia="Arial" w:hAnsi="Arial"/>
          <w:sz w:val="17"/>
          <w:szCs w:val="17"/>
          <w:color w:val="auto"/>
        </w:rPr>
        <w:t xml:space="preserve"> as though it were a Lender.</w:t>
      </w:r>
    </w:p>
    <w:p>
      <w:pPr>
        <w:spacing w:after="0" w:line="177"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 xml:space="preserve">(ii)  No Participant shall be entitled to receive any greater payment under </w:t>
      </w:r>
      <w:r>
        <w:rPr>
          <w:rFonts w:ascii="Arial" w:cs="Arial" w:eastAsia="Arial" w:hAnsi="Arial"/>
          <w:sz w:val="19"/>
          <w:szCs w:val="19"/>
          <w:u w:val="single" w:color="auto"/>
          <w:color w:val="auto"/>
        </w:rPr>
        <w:t>Section 2.15</w:t>
      </w:r>
      <w:r>
        <w:rPr>
          <w:rFonts w:ascii="Arial" w:cs="Arial" w:eastAsia="Arial" w:hAnsi="Arial"/>
          <w:sz w:val="19"/>
          <w:szCs w:val="19"/>
          <w:color w:val="auto"/>
        </w:rPr>
        <w:t>,</w:t>
      </w:r>
    </w:p>
    <w:p>
      <w:pPr>
        <w:spacing w:after="0" w:line="14" w:lineRule="exact"/>
        <w:rPr>
          <w:sz w:val="20"/>
          <w:szCs w:val="20"/>
          <w:color w:val="auto"/>
        </w:rPr>
      </w:pPr>
    </w:p>
    <w:p>
      <w:pPr>
        <w:jc w:val="both"/>
        <w:ind w:left="840" w:right="20"/>
        <w:spacing w:after="0" w:line="265" w:lineRule="auto"/>
        <w:rPr>
          <w:sz w:val="20"/>
          <w:szCs w:val="20"/>
          <w:color w:val="auto"/>
        </w:rPr>
      </w:pPr>
      <w:r>
        <w:rPr>
          <w:rFonts w:ascii="Arial" w:cs="Arial" w:eastAsia="Arial" w:hAnsi="Arial"/>
          <w:sz w:val="17"/>
          <w:szCs w:val="17"/>
          <w:u w:val="single" w:color="auto"/>
          <w:color w:val="auto"/>
        </w:rPr>
        <w:t>2.16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than the participating Lender would have been entitled to receive with respect to the participation sold to such Participant unless the participation is made with the prior written consent of the Borrower (in its sole discretion), expressly acknowledging that such Participant’s entitlement to benefits under </w:t>
      </w:r>
      <w:r>
        <w:rPr>
          <w:rFonts w:ascii="Arial" w:cs="Arial" w:eastAsia="Arial" w:hAnsi="Arial"/>
          <w:sz w:val="17"/>
          <w:szCs w:val="17"/>
          <w:u w:val="single" w:color="auto"/>
          <w:color w:val="auto"/>
        </w:rPr>
        <w:t>Sections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is not limited to what the participating Lender would have been entitled to receive absent the grant to such Participant.</w:t>
      </w:r>
    </w:p>
    <w:p>
      <w:pPr>
        <w:spacing w:after="0" w:line="160" w:lineRule="exact"/>
        <w:rPr>
          <w:sz w:val="20"/>
          <w:szCs w:val="20"/>
          <w:color w:val="auto"/>
        </w:rPr>
      </w:pPr>
    </w:p>
    <w:p>
      <w:pPr>
        <w:jc w:val="both"/>
        <w:ind w:left="100" w:right="20" w:firstLine="749"/>
        <w:spacing w:after="0" w:line="258" w:lineRule="auto"/>
        <w:rPr>
          <w:sz w:val="20"/>
          <w:szCs w:val="20"/>
          <w:color w:val="auto"/>
        </w:rPr>
      </w:pPr>
      <w:r>
        <w:rPr>
          <w:rFonts w:ascii="Arial" w:cs="Arial" w:eastAsia="Arial" w:hAnsi="Arial"/>
          <w:sz w:val="17"/>
          <w:szCs w:val="17"/>
          <w:color w:val="auto"/>
        </w:rPr>
        <w:t xml:space="preserve">Each Lender that sells a participation or makes a grant to an SPC (as defined in </w:t>
      </w:r>
      <w:r>
        <w:rPr>
          <w:rFonts w:ascii="Arial" w:cs="Arial" w:eastAsia="Arial" w:hAnsi="Arial"/>
          <w:sz w:val="17"/>
          <w:szCs w:val="17"/>
          <w:u w:val="single" w:color="auto"/>
          <w:color w:val="auto"/>
        </w:rPr>
        <w:t>Section 9.05(e)</w:t>
      </w:r>
      <w:r>
        <w:rPr>
          <w:rFonts w:ascii="Arial" w:cs="Arial" w:eastAsia="Arial" w:hAnsi="Arial"/>
          <w:sz w:val="17"/>
          <w:szCs w:val="17"/>
          <w:color w:val="auto"/>
        </w:rPr>
        <w:t>) shall, acting solely for this purpose as a non-fiduciary agent of the Borrower, maintain a register on which it enters the name and address of each Participant and each SPC and their respective successors and registered assigns, and the principal of and interest amounts on each Participant’s and each SPC’s interest in the Loans or other obligations under the Loan Documents (a “</w:t>
      </w:r>
      <w:r>
        <w:rPr>
          <w:rFonts w:ascii="Arial" w:cs="Arial" w:eastAsia="Arial" w:hAnsi="Arial"/>
          <w:sz w:val="17"/>
          <w:szCs w:val="17"/>
          <w:u w:val="single" w:color="auto"/>
          <w:color w:val="auto"/>
        </w:rPr>
        <w:t>Participant/SPC Register</w:t>
      </w:r>
      <w:r>
        <w:rPr>
          <w:rFonts w:ascii="Arial" w:cs="Arial" w:eastAsia="Arial" w:hAnsi="Arial"/>
          <w:sz w:val="17"/>
          <w:szCs w:val="17"/>
          <w:color w:val="auto"/>
        </w:rPr>
        <w:t>”); provided that no Lender shall have any obligation to disclose all or any portion of any Participant/SPC Register (including the identity of any Participant or SPC or any information relating to any Participant’s or SPC’s interest in any Commitment, Loan, Letter of Credit or any other obligation under any Loan Document) to any Person except to the extent that such disclosure is necessary to establish that such Commitment, Loan, Letter of Credit or other obligation is in registered form under Section 5f.103-1(c) or Proposed Section 1.163-5(b) of the Treasury Regulations (or any amended or successor version). The entries in the Participant/SPC Register shall be conclusive absent manifest error, and each Lender shall treat each Person whose name is recorded in the Participant/SPC Register as the owner of such participation for all purposes of this Agreement notwithstanding any notice to the contrary. For the avoidance of doubt, the Administrative Agent (in its capacity as Administrative Agent) shall have no responsibility for maintaining a Participant/SPC Register.</w:t>
      </w:r>
    </w:p>
    <w:p>
      <w:pPr>
        <w:spacing w:after="0" w:line="171" w:lineRule="exact"/>
        <w:rPr>
          <w:sz w:val="20"/>
          <w:szCs w:val="20"/>
          <w:color w:val="auto"/>
        </w:rPr>
      </w:pPr>
    </w:p>
    <w:p>
      <w:pPr>
        <w:jc w:val="both"/>
        <w:ind w:left="100" w:right="40" w:firstLine="741"/>
        <w:spacing w:after="0" w:line="243" w:lineRule="auto"/>
        <w:tabs>
          <w:tab w:leader="none" w:pos="1521" w:val="left"/>
        </w:tabs>
        <w:numPr>
          <w:ilvl w:val="0"/>
          <w:numId w:val="338"/>
        </w:numPr>
        <w:rPr>
          <w:rFonts w:ascii="Arial" w:cs="Arial" w:eastAsia="Arial" w:hAnsi="Arial"/>
          <w:sz w:val="19"/>
          <w:szCs w:val="19"/>
          <w:color w:val="auto"/>
        </w:rPr>
      </w:pPr>
      <w:r>
        <w:rPr>
          <w:rFonts w:ascii="Arial" w:cs="Arial" w:eastAsia="Arial" w:hAnsi="Arial"/>
          <w:sz w:val="19"/>
          <w:szCs w:val="19"/>
          <w:color w:val="auto"/>
        </w:rPr>
        <w:t>(i) Any Lender may at any time pledge or assign a security interest in all or any portion of its rights under this Agreement (other than to any Disqualified Institution or any natural person (or any holding company, investment vehicle or trust for, or owned and operated by, or for the primary benefit of, one or more natural persons)) to secure obligations of such Lender, including without limitation any pledge or assignment to secure obligations to any Federal Reserve Bank or other central bank having jurisdiction over such 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193</w:t>
      </w:r>
      <w:r>
        <w:rPr>
          <w:rFonts w:ascii="Arial" w:cs="Arial" w:eastAsia="Arial" w:hAnsi="Arial"/>
          <w:sz w:val="18"/>
          <w:szCs w:val="18"/>
          <w:u w:val="single" w:color="auto"/>
          <w:color w:val="0000FF"/>
          <w:strike w:val="1"/>
        </w:rPr>
        <w:t>193</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85" w:right="1439" w:bottom="1440" w:gutter="0" w:footer="0" w:header="0"/>
        </w:sectPr>
      </w:pPr>
    </w:p>
    <w:bookmarkStart w:id="261" w:name="page262"/>
    <w:bookmarkEnd w:id="261"/>
    <w:p>
      <w:pPr>
        <w:jc w:val="both"/>
        <w:ind w:left="100" w:right="59"/>
        <w:spacing w:after="0" w:line="241" w:lineRule="auto"/>
        <w:rPr>
          <w:sz w:val="20"/>
          <w:szCs w:val="20"/>
          <w:color w:val="auto"/>
        </w:rPr>
      </w:pPr>
      <w:r>
        <w:rPr>
          <w:rFonts w:ascii="Arial" w:cs="Arial" w:eastAsia="Arial" w:hAnsi="Arial"/>
          <w:sz w:val="19"/>
          <w:szCs w:val="19"/>
          <w:color w:val="auto"/>
        </w:rPr>
        <w:t xml:space="preserve">and this </w:t>
      </w:r>
      <w:r>
        <w:rPr>
          <w:rFonts w:ascii="Arial" w:cs="Arial" w:eastAsia="Arial" w:hAnsi="Arial"/>
          <w:sz w:val="19"/>
          <w:szCs w:val="19"/>
          <w:u w:val="single" w:color="auto"/>
          <w:color w:val="auto"/>
        </w:rPr>
        <w:t>Section 9.05</w:t>
      </w:r>
      <w:r>
        <w:rPr>
          <w:rFonts w:ascii="Arial" w:cs="Arial" w:eastAsia="Arial" w:hAnsi="Arial"/>
          <w:sz w:val="19"/>
          <w:szCs w:val="19"/>
          <w:color w:val="auto"/>
        </w:rPr>
        <w:t xml:space="preserve"> shall not apply to any such pledge or assignment of a security interest;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of a security interest shall release any Lender from any of its obligations hereunder or substitute any such pledgee or assignee for such Lender as a party hereto.</w:t>
      </w:r>
    </w:p>
    <w:p>
      <w:pPr>
        <w:spacing w:after="0" w:line="179" w:lineRule="exact"/>
        <w:rPr>
          <w:sz w:val="20"/>
          <w:szCs w:val="20"/>
          <w:color w:val="auto"/>
        </w:rPr>
      </w:pPr>
    </w:p>
    <w:p>
      <w:pPr>
        <w:jc w:val="both"/>
        <w:ind w:left="840" w:right="59" w:firstLine="752"/>
        <w:spacing w:after="0" w:line="261" w:lineRule="auto"/>
        <w:tabs>
          <w:tab w:leader="none" w:pos="1934" w:val="left"/>
        </w:tabs>
        <w:numPr>
          <w:ilvl w:val="2"/>
          <w:numId w:val="339"/>
        </w:numPr>
        <w:rPr>
          <w:rFonts w:ascii="Arial" w:cs="Arial" w:eastAsia="Arial" w:hAnsi="Arial"/>
          <w:sz w:val="18"/>
          <w:szCs w:val="18"/>
          <w:color w:val="auto"/>
        </w:rPr>
      </w:pPr>
      <w:r>
        <w:rPr>
          <w:rFonts w:ascii="Arial" w:cs="Arial" w:eastAsia="Arial" w:hAnsi="Arial"/>
          <w:sz w:val="18"/>
          <w:szCs w:val="18"/>
          <w:color w:val="auto"/>
        </w:rPr>
        <w:t>No Lender may at any time enter into a total return swap, total rate of return swap, credit default swap or other derivative instrument under which any Secured Obligation is a reference obligation (any such swap or other derivative instrument, an “</w:t>
      </w:r>
      <w:r>
        <w:rPr>
          <w:rFonts w:ascii="Arial" w:cs="Arial" w:eastAsia="Arial" w:hAnsi="Arial"/>
          <w:sz w:val="18"/>
          <w:szCs w:val="18"/>
          <w:u w:val="single" w:color="auto"/>
          <w:color w:val="auto"/>
        </w:rPr>
        <w:t>Obligations Derivative Instrument</w:t>
      </w:r>
      <w:r>
        <w:rPr>
          <w:rFonts w:ascii="Arial" w:cs="Arial" w:eastAsia="Arial" w:hAnsi="Arial"/>
          <w:sz w:val="18"/>
          <w:szCs w:val="18"/>
          <w:color w:val="auto"/>
        </w:rPr>
        <w:t>”) with any counterparty that is a Disqualified Institution.</w:t>
      </w:r>
    </w:p>
    <w:p>
      <w:pPr>
        <w:spacing w:after="0" w:line="161" w:lineRule="exact"/>
        <w:rPr>
          <w:rFonts w:ascii="Arial" w:cs="Arial" w:eastAsia="Arial" w:hAnsi="Arial"/>
          <w:sz w:val="18"/>
          <w:szCs w:val="18"/>
          <w:color w:val="auto"/>
        </w:rPr>
      </w:pPr>
    </w:p>
    <w:p>
      <w:pPr>
        <w:jc w:val="both"/>
        <w:ind w:left="100" w:right="19" w:firstLine="742"/>
        <w:spacing w:after="0" w:line="254" w:lineRule="auto"/>
        <w:tabs>
          <w:tab w:leader="none" w:pos="1522" w:val="left"/>
        </w:tabs>
        <w:numPr>
          <w:ilvl w:val="1"/>
          <w:numId w:val="340"/>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any Lender (a “</w:t>
      </w:r>
      <w:r>
        <w:rPr>
          <w:rFonts w:ascii="Arial" w:cs="Arial" w:eastAsia="Arial" w:hAnsi="Arial"/>
          <w:sz w:val="18"/>
          <w:szCs w:val="18"/>
          <w:u w:val="single" w:color="auto"/>
          <w:color w:val="auto"/>
        </w:rPr>
        <w:t>Granting Lender</w:t>
      </w:r>
      <w:r>
        <w:rPr>
          <w:rFonts w:ascii="Arial" w:cs="Arial" w:eastAsia="Arial" w:hAnsi="Arial"/>
          <w:sz w:val="18"/>
          <w:szCs w:val="18"/>
          <w:color w:val="auto"/>
        </w:rPr>
        <w:t>”) may grant to a special purpose funding vehicle (an “</w:t>
      </w:r>
      <w:r>
        <w:rPr>
          <w:rFonts w:ascii="Arial" w:cs="Arial" w:eastAsia="Arial" w:hAnsi="Arial"/>
          <w:sz w:val="18"/>
          <w:szCs w:val="18"/>
          <w:u w:val="single" w:color="auto"/>
          <w:color w:val="auto"/>
        </w:rPr>
        <w:t>SPC</w:t>
      </w:r>
      <w:r>
        <w:rPr>
          <w:rFonts w:ascii="Arial" w:cs="Arial" w:eastAsia="Arial" w:hAnsi="Arial"/>
          <w:sz w:val="18"/>
          <w:szCs w:val="18"/>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nothing herein shall constitute a commitment by any SPC to make any Loan and (ii) if an SPC elects not to exercise such option or otherwise fails to provide all or any part of such Loan, the Granting Lender shall be obligated to make such Loan pursuant to the terms hereof. The making of any Loan by an SPC hereunder shall utilize the Commitment of the Granting Lender to the same extent, and as if, such Loan were made by such Granting Lender. Each party hereto hereby agrees that</w:t>
      </w:r>
    </w:p>
    <w:p>
      <w:pPr>
        <w:spacing w:after="0" w:line="5" w:lineRule="exact"/>
        <w:rPr>
          <w:rFonts w:ascii="Arial" w:cs="Arial" w:eastAsia="Arial" w:hAnsi="Arial"/>
          <w:sz w:val="18"/>
          <w:szCs w:val="18"/>
          <w:color w:val="auto"/>
        </w:rPr>
      </w:pPr>
    </w:p>
    <w:p>
      <w:pPr>
        <w:jc w:val="both"/>
        <w:ind w:left="100" w:right="59" w:hanging="7"/>
        <w:spacing w:after="0" w:line="238" w:lineRule="auto"/>
        <w:tabs>
          <w:tab w:leader="none" w:pos="351" w:val="left"/>
        </w:tabs>
        <w:numPr>
          <w:ilvl w:val="0"/>
          <w:numId w:val="341"/>
        </w:numPr>
        <w:rPr>
          <w:rFonts w:ascii="Arial" w:cs="Arial" w:eastAsia="Arial" w:hAnsi="Arial"/>
          <w:sz w:val="18"/>
          <w:szCs w:val="18"/>
          <w:color w:val="auto"/>
        </w:rPr>
      </w:pPr>
      <w:r>
        <w:rPr>
          <w:rFonts w:ascii="Arial" w:cs="Arial" w:eastAsia="Arial" w:hAnsi="Arial"/>
          <w:sz w:val="18"/>
          <w:szCs w:val="18"/>
          <w:color w:val="auto"/>
        </w:rPr>
        <w:t xml:space="preserve">neither the grant to any SPC nor the exercise by any SPC of such option shall increase the costs or expenses or otherwise increase or change the obligations of the Borrower under this Agreement (including its obligations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and no SPC shall be entitled to any greater amount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or any other provision of this Agreement or any other Loan Document that the Granting Lender would have been entitled to receive, unless the grant to such SPC is made with the prior written consent of the Borrower (in its sole discretion), expressly acknowledging that such SPC’s entitlement to benefits under </w:t>
      </w:r>
      <w:r>
        <w:rPr>
          <w:rFonts w:ascii="Arial" w:cs="Arial" w:eastAsia="Arial" w:hAnsi="Arial"/>
          <w:sz w:val="18"/>
          <w:szCs w:val="18"/>
          <w:u w:val="single" w:color="auto"/>
          <w:color w:val="auto"/>
        </w:rPr>
        <w:t>Sections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is not limited to what the Granting Lender would have been entitled to receive absent the grant to the SPC, (ii) no SPC shall be liable for any indemnity or similar payment obligation under this Agreement (all liability for which shall remain with the Granting Lender) and</w:t>
      </w:r>
    </w:p>
    <w:p>
      <w:pPr>
        <w:spacing w:after="0" w:line="4" w:lineRule="exact"/>
        <w:rPr>
          <w:rFonts w:ascii="Arial" w:cs="Arial" w:eastAsia="Arial" w:hAnsi="Arial"/>
          <w:sz w:val="18"/>
          <w:szCs w:val="18"/>
          <w:color w:val="auto"/>
        </w:rPr>
      </w:pPr>
    </w:p>
    <w:p>
      <w:pPr>
        <w:jc w:val="both"/>
        <w:ind w:left="100" w:right="19" w:hanging="7"/>
        <w:spacing w:after="0" w:line="241" w:lineRule="auto"/>
        <w:tabs>
          <w:tab w:leader="none" w:pos="434" w:val="left"/>
        </w:tabs>
        <w:numPr>
          <w:ilvl w:val="0"/>
          <w:numId w:val="342"/>
        </w:numPr>
        <w:rPr>
          <w:rFonts w:ascii="Arial" w:cs="Arial" w:eastAsia="Arial" w:hAnsi="Arial"/>
          <w:sz w:val="18"/>
          <w:szCs w:val="18"/>
          <w:color w:val="auto"/>
        </w:rPr>
      </w:pPr>
      <w:r>
        <w:rPr>
          <w:rFonts w:ascii="Arial" w:cs="Arial" w:eastAsia="Arial" w:hAnsi="Arial"/>
          <w:sz w:val="18"/>
          <w:szCs w:val="18"/>
          <w:color w:val="auto"/>
        </w:rPr>
        <w:t xml:space="preserve">the Granting Lender shall for all purposes including approval of any amendment, waiver or other modification of any provision of the Loan Documents, remain the Lender of record hereunder.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SPC, it will not institute against, or join any other Person in instituting against, such SPC any bankruptcy, reorganization, arrangement, insolvency or liquidation proceedings under the Requirements of Law of the US or any State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SPC’s Granting Lender is in compliance in all material respects with its obligations to the Borrower hereunder and</w:t>
      </w:r>
    </w:p>
    <w:p>
      <w:pPr>
        <w:spacing w:after="0" w:line="3" w:lineRule="exact"/>
        <w:rPr>
          <w:rFonts w:ascii="Arial" w:cs="Arial" w:eastAsia="Arial" w:hAnsi="Arial"/>
          <w:sz w:val="18"/>
          <w:szCs w:val="18"/>
          <w:color w:val="auto"/>
        </w:rPr>
      </w:pPr>
    </w:p>
    <w:p>
      <w:pPr>
        <w:jc w:val="both"/>
        <w:ind w:left="100" w:right="59" w:hanging="7"/>
        <w:spacing w:after="0" w:line="238" w:lineRule="auto"/>
        <w:tabs>
          <w:tab w:leader="none" w:pos="408" w:val="left"/>
        </w:tabs>
        <w:numPr>
          <w:ilvl w:val="0"/>
          <w:numId w:val="343"/>
        </w:numPr>
        <w:rPr>
          <w:rFonts w:ascii="Arial" w:cs="Arial" w:eastAsia="Arial" w:hAnsi="Arial"/>
          <w:sz w:val="19"/>
          <w:szCs w:val="19"/>
          <w:color w:val="auto"/>
        </w:rPr>
      </w:pPr>
      <w:r>
        <w:rPr>
          <w:rFonts w:ascii="Arial" w:cs="Arial" w:eastAsia="Arial" w:hAnsi="Arial"/>
          <w:sz w:val="19"/>
          <w:szCs w:val="19"/>
          <w:color w:val="auto"/>
        </w:rPr>
        <w:t xml:space="preserve">each Lender designating any SPC hereby agrees to indemnify, save and hold harmless each other party hereto for any loss, cost, damage or expense arising out of its inability to institute such a proceeding against such SPC during such period of forbearance. In addition, notwithstanding anything to the contrary contained in this </w:t>
      </w:r>
      <w:r>
        <w:rPr>
          <w:rFonts w:ascii="Arial" w:cs="Arial" w:eastAsia="Arial" w:hAnsi="Arial"/>
          <w:sz w:val="19"/>
          <w:szCs w:val="19"/>
          <w:u w:val="single" w:color="auto"/>
          <w:color w:val="auto"/>
        </w:rPr>
        <w:t>Section 9.05</w:t>
      </w:r>
      <w:r>
        <w:rPr>
          <w:rFonts w:ascii="Arial" w:cs="Arial" w:eastAsia="Arial" w:hAnsi="Arial"/>
          <w:sz w:val="19"/>
          <w:szCs w:val="19"/>
          <w:color w:val="auto"/>
        </w:rPr>
        <w:t>, any SPC may (i) with notice to, but without the prior written consent of, the Borrower or the Administrative Agent and without paying any processing fee therefor, assign all or a portion of its interests in any Loan to the Granting Lender and (ii) disclose on a confidential basis any non-public information relating to its Loans to any rating agency, commercial paper dealer or provider of any surety, guaranty or credit or liquidity enhancement to such SPC.</w:t>
      </w:r>
    </w:p>
    <w:p>
      <w:pPr>
        <w:spacing w:after="0" w:line="195" w:lineRule="exact"/>
        <w:rPr>
          <w:rFonts w:ascii="Arial" w:cs="Arial" w:eastAsia="Arial" w:hAnsi="Arial"/>
          <w:sz w:val="19"/>
          <w:szCs w:val="19"/>
          <w:color w:val="auto"/>
        </w:rPr>
      </w:pPr>
    </w:p>
    <w:p>
      <w:pPr>
        <w:jc w:val="both"/>
        <w:ind w:left="100" w:right="39" w:firstLine="742"/>
        <w:spacing w:after="0" w:line="258" w:lineRule="auto"/>
        <w:tabs>
          <w:tab w:leader="none" w:pos="1522" w:val="left"/>
        </w:tabs>
        <w:numPr>
          <w:ilvl w:val="1"/>
          <w:numId w:val="343"/>
        </w:numPr>
        <w:rPr>
          <w:rFonts w:ascii="Arial" w:cs="Arial" w:eastAsia="Arial" w:hAnsi="Arial"/>
          <w:sz w:val="18"/>
          <w:szCs w:val="18"/>
          <w:color w:val="auto"/>
        </w:rPr>
      </w:pPr>
      <w:r>
        <w:rPr>
          <w:rFonts w:ascii="Arial" w:cs="Arial" w:eastAsia="Arial" w:hAnsi="Arial"/>
          <w:sz w:val="18"/>
          <w:szCs w:val="18"/>
          <w:color w:val="auto"/>
        </w:rPr>
        <w:t xml:space="preserve">(i) Any assignment, participation, entry into an Obligations Derivative Instrument or pledge by a Lender (A) to or with any Disqualified Institution or (B) in the case of any assignment and/or participation, without the Borrower’s consent to the extent the Borrower’s consent is required under this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(and, if applicable, not deemed to have been given pursuant to </w:t>
      </w:r>
      <w:r>
        <w:rPr>
          <w:rFonts w:ascii="Arial" w:cs="Arial" w:eastAsia="Arial" w:hAnsi="Arial"/>
          <w:sz w:val="18"/>
          <w:szCs w:val="18"/>
          <w:u w:val="single" w:color="auto"/>
          <w:color w:val="auto"/>
        </w:rPr>
        <w:t>Section 9.05(b)(i)(A)</w:t>
      </w:r>
      <w:r>
        <w:rPr>
          <w:rFonts w:ascii="Arial" w:cs="Arial" w:eastAsia="Arial" w:hAnsi="Arial"/>
          <w:sz w:val="18"/>
          <w:szCs w:val="18"/>
          <w:color w:val="auto"/>
        </w:rPr>
        <w:t xml:space="preserve">), in each case, to any Person shall be null and void unless, solely in the case of any assignment, solely to the extent that there has been any subsequent assignment by a Disqualified Institution or any such other Person to an Eligible Assignee that complies with the requirements of </w:t>
      </w:r>
      <w:r>
        <w:rPr>
          <w:rFonts w:ascii="Arial" w:cs="Arial" w:eastAsia="Arial" w:hAnsi="Arial"/>
          <w:sz w:val="18"/>
          <w:szCs w:val="18"/>
          <w:u w:val="single" w:color="auto"/>
          <w:color w:val="auto"/>
        </w:rPr>
        <w:t>Section 9.05(b)</w:t>
      </w:r>
      <w:r>
        <w:rPr>
          <w:rFonts w:ascii="Arial" w:cs="Arial" w:eastAsia="Arial" w:hAnsi="Arial"/>
          <w:sz w:val="18"/>
          <w:szCs w:val="18"/>
          <w:color w:val="auto"/>
        </w:rPr>
        <w:t>, in which case such subsequent assignment will be deemed to be a valid and enforceable assignment for the purposes hereof; and Holdings and the Borrower shall each be entitled to seek specific performance to unwind any such assignment, participation,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194</w:t>
      </w:r>
      <w:r>
        <w:rPr>
          <w:rFonts w:ascii="Arial" w:cs="Arial" w:eastAsia="Arial" w:hAnsi="Arial"/>
          <w:sz w:val="18"/>
          <w:szCs w:val="18"/>
          <w:u w:val="single" w:color="auto"/>
          <w:color w:val="0000FF"/>
          <w:strike w:val="1"/>
        </w:rPr>
        <w:t>194</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62" w:name="page263"/>
    <w:bookmarkEnd w:id="262"/>
    <w:p>
      <w:pPr>
        <w:jc w:val="both"/>
        <w:ind w:left="100" w:right="59"/>
        <w:spacing w:after="0" w:line="243" w:lineRule="auto"/>
        <w:rPr>
          <w:sz w:val="20"/>
          <w:szCs w:val="20"/>
          <w:color w:val="auto"/>
        </w:rPr>
      </w:pPr>
      <w:r>
        <w:rPr>
          <w:rFonts w:ascii="Arial" w:cs="Arial" w:eastAsia="Arial" w:hAnsi="Arial"/>
          <w:sz w:val="18"/>
          <w:szCs w:val="18"/>
          <w:color w:val="auto"/>
        </w:rPr>
        <w:t xml:space="preserve">Obligations Derivative Instrument or pledge and/or specifically enforce this </w:t>
      </w:r>
      <w:r>
        <w:rPr>
          <w:rFonts w:ascii="Arial" w:cs="Arial" w:eastAsia="Arial" w:hAnsi="Arial"/>
          <w:sz w:val="18"/>
          <w:szCs w:val="18"/>
          <w:u w:val="single" w:color="auto"/>
          <w:color w:val="auto"/>
        </w:rPr>
        <w:t>Section 9.05(f)</w:t>
      </w:r>
      <w:r>
        <w:rPr>
          <w:rFonts w:ascii="Arial" w:cs="Arial" w:eastAsia="Arial" w:hAnsi="Arial"/>
          <w:sz w:val="18"/>
          <w:szCs w:val="18"/>
          <w:color w:val="auto"/>
        </w:rPr>
        <w:t xml:space="preserve"> in addition to injunctive relief (without posting a bond or presenting evidence of irreparable harm) or any other remedy available to the Borrower at law or in equity; it being understood and agreed that the Borrower, Holdings and its subsidiaries will suffer irreparable harm if any Lender breaches any obligation under this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as it relates to any assignment or participation to a Disqualified Person, any entry into any Obligations Derivative Instrument with any Disqualified Person, the pledge or assignment of any security interest in any Loan or Commitment to a Disqualified Person and/or any assignment or participation of, or pledge or assignment of a security interest in, any Loan or Commitment to any Person to whom the Borrower’s consent is required but not obtained. Nothing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9.05(f)</w:t>
      </w:r>
      <w:r>
        <w:rPr>
          <w:rFonts w:ascii="Arial" w:cs="Arial" w:eastAsia="Arial" w:hAnsi="Arial"/>
          <w:sz w:val="18"/>
          <w:szCs w:val="18"/>
          <w:color w:val="auto"/>
        </w:rPr>
        <w:t xml:space="preserve"> shall be deemed to prejudice any right or remedy that Holdings or the Borrower may otherwise have at law or equity. The Administrative Agent may make the list of Disqualified Institutions available on a confidential basis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9.13</w:t>
      </w:r>
      <w:r>
        <w:rPr>
          <w:rFonts w:ascii="Arial" w:cs="Arial" w:eastAsia="Arial" w:hAnsi="Arial"/>
          <w:sz w:val="18"/>
          <w:szCs w:val="18"/>
          <w:color w:val="auto"/>
        </w:rPr>
        <w:t xml:space="preserve"> to any Lender who specifically requests a copy thereof, and such Lender may provide such list of Disqualified Institutions to any potential assignee or participant or counterparty to any Obligations Derivative Instrument who agrees to keep such list confidential in accordance with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solely for the purpose of permitting such Person to verify whether such Person (or any Affiliate thereof) constitutes a Disqualified Institution.</w:t>
      </w:r>
    </w:p>
    <w:p>
      <w:pPr>
        <w:spacing w:after="0" w:line="178" w:lineRule="exact"/>
        <w:rPr>
          <w:sz w:val="20"/>
          <w:szCs w:val="20"/>
          <w:color w:val="auto"/>
        </w:rPr>
      </w:pPr>
    </w:p>
    <w:p>
      <w:pPr>
        <w:jc w:val="both"/>
        <w:ind w:left="840" w:right="19" w:firstLine="751"/>
        <w:spacing w:after="0" w:line="268" w:lineRule="auto"/>
        <w:tabs>
          <w:tab w:leader="none" w:pos="2257" w:val="left"/>
        </w:tabs>
        <w:numPr>
          <w:ilvl w:val="1"/>
          <w:numId w:val="344"/>
        </w:numPr>
        <w:rPr>
          <w:rFonts w:ascii="Arial" w:cs="Arial" w:eastAsia="Arial" w:hAnsi="Arial"/>
          <w:sz w:val="17"/>
          <w:szCs w:val="17"/>
          <w:color w:val="auto"/>
        </w:rPr>
      </w:pPr>
      <w:r>
        <w:rPr>
          <w:rFonts w:ascii="Arial" w:cs="Arial" w:eastAsia="Arial" w:hAnsi="Arial"/>
          <w:sz w:val="17"/>
          <w:szCs w:val="17"/>
          <w:color w:val="auto"/>
        </w:rPr>
        <w:t xml:space="preserve">If any assignment or participation under this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is made to any Disqualified Institution and/or any Affiliate of any Disqualified Institution (other than any Competitor Debt Fund Affiliate) and/or any other Person to whom the Borrower’s consent is required but not obtained, in each case, without the Borrower’s prior written consent (any such person, a “</w:t>
      </w:r>
      <w:r>
        <w:rPr>
          <w:rFonts w:ascii="Arial" w:cs="Arial" w:eastAsia="Arial" w:hAnsi="Arial"/>
          <w:sz w:val="17"/>
          <w:szCs w:val="17"/>
          <w:u w:val="single" w:color="auto"/>
          <w:color w:val="auto"/>
        </w:rPr>
        <w:t>Disqualified Person</w:t>
      </w:r>
      <w:r>
        <w:rPr>
          <w:rFonts w:ascii="Arial" w:cs="Arial" w:eastAsia="Arial" w:hAnsi="Arial"/>
          <w:sz w:val="17"/>
          <w:szCs w:val="17"/>
          <w:color w:val="auto"/>
        </w:rPr>
        <w:t xml:space="preserve">”), then the Borrower may, at its sole expense and effort, upon notice to the applicable Disqualified Person and the Administrative Agent, (A) terminate any Commitment of such Disqualified Person and repay all obligations of the Borrower owing to such Disqualified Person, (B) in the case of any outstanding Term Loan, held by such Disqualified Person, purchase such Term Loan by paying the lesser of (x) par and (y) the amount that such Disqualified Person paid to acquire such Term Loan,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accrued interest thereon, accrued fees and all other amounts payable to it hereunder and/or (C) require such Disqualified Person to assign, without recourse (in accordance with and subject to the restrictions contained in this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all of its interests, rights and obligations under this Agreement to one or more Eligible Assignees;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 the case of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the applicable Disqualified Person has received payment of an amount equal to the lesser of (1) par and (2) the amount that such Disqualified Person paid for the applicable Loans and participations in Letters of Credit and Swingline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accrued interest thereon, accrued fees and all other amounts payable to it hereunder, from the Borrower, (II) in the case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the Borrower shall not be liable to the relevant Disqualified Person under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if any </w:t>
      </w:r>
      <w:r>
        <w:rPr>
          <w:rFonts w:ascii="Arial" w:cs="Arial" w:eastAsia="Arial" w:hAnsi="Arial"/>
          <w:sz w:val="17"/>
          <w:szCs w:val="17"/>
          <w:color w:val="FF0000"/>
          <w:strike w:val="1"/>
        </w:rPr>
        <w:t>LIBO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 owing to such Disqualified Person is repaid or purchased other than on the last day of the Interest Period relating thereto,</w:t>
      </w:r>
    </w:p>
    <w:p>
      <w:pPr>
        <w:spacing w:after="0" w:line="6" w:lineRule="exact"/>
        <w:rPr>
          <w:rFonts w:ascii="Arial" w:cs="Arial" w:eastAsia="Arial" w:hAnsi="Arial"/>
          <w:sz w:val="17"/>
          <w:szCs w:val="17"/>
          <w:color w:val="auto"/>
        </w:rPr>
      </w:pPr>
    </w:p>
    <w:p>
      <w:pPr>
        <w:jc w:val="both"/>
        <w:ind w:left="840" w:right="19" w:firstLine="3"/>
        <w:spacing w:after="0" w:line="268" w:lineRule="auto"/>
        <w:tabs>
          <w:tab w:leader="none" w:pos="1213" w:val="left"/>
        </w:tabs>
        <w:numPr>
          <w:ilvl w:val="0"/>
          <w:numId w:val="345"/>
        </w:numPr>
        <w:rPr>
          <w:rFonts w:ascii="Arial" w:cs="Arial" w:eastAsia="Arial" w:hAnsi="Arial"/>
          <w:sz w:val="17"/>
          <w:szCs w:val="17"/>
          <w:color w:val="auto"/>
        </w:rPr>
      </w:pPr>
      <w:r>
        <w:rPr>
          <w:rFonts w:ascii="Arial" w:cs="Arial" w:eastAsia="Arial" w:hAnsi="Arial"/>
          <w:sz w:val="17"/>
          <w:szCs w:val="17"/>
          <w:color w:val="auto"/>
        </w:rPr>
        <w:t xml:space="preserve">in the case of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the relevant assignment shall otherwise comply with this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(except that (x) no registration and processing fee required under this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shall be required with any assignment pursuant to this paragraph and (y) any Term Loan acquired by any Affiliated Lender pursuant to this paragraph will not be included in calculating compliance with the Affiliated Lender Cap for a period of 90 days following such transfer;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the aggregate principal amount of Term Loans held by Affiliated Lenders exceeds the Affiliated Lender Cap on the 91st day following such transfer, then such excess amount shall either be (x) contributed to the Borrower or any of its subsidiaries and retired and cancelled immediately upon such contribution or (y) automatically cancelled)) and (IV) in no event shall such Disqualified Person be entitled to receive amounts to which it would otherwise be entitled under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2.13(d)</w:t>
      </w:r>
      <w:r>
        <w:rPr>
          <w:rFonts w:ascii="Arial" w:cs="Arial" w:eastAsia="Arial" w:hAnsi="Arial"/>
          <w:sz w:val="17"/>
          <w:szCs w:val="17"/>
          <w:color w:val="auto"/>
        </w:rPr>
        <w:t>. Further, whether or not the Borrower has taken any action described in the preceding sentence, (A) no Disqualified Person identified by the Borrower to the Administrative Agent shall be permitted to (x) receive information (including financial statements) provided by any Loan Party, the Administrative Agent or any Lender and/or (y) attend and/or participate in conference calls or meetings attended solely by the Lenders and the Administrative Agent, (B) (x) for purposes of determining whether the Required Lenders or the majority Lenders under any Class have (i) consented (or not consented) to any amendment, modification, waiver, consent or other action with respect to any of the terms of any Loan Document or any departure by any Loan Party therefrom, (ii)</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195</w:t>
      </w:r>
      <w:r>
        <w:rPr>
          <w:rFonts w:ascii="Arial" w:cs="Arial" w:eastAsia="Arial" w:hAnsi="Arial"/>
          <w:sz w:val="18"/>
          <w:szCs w:val="18"/>
          <w:u w:val="single" w:color="auto"/>
          <w:color w:val="0000FF"/>
          <w:strike w:val="1"/>
        </w:rPr>
        <w:t>195</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63" w:name="page264"/>
    <w:bookmarkEnd w:id="263"/>
    <w:p>
      <w:pPr>
        <w:jc w:val="both"/>
        <w:ind w:left="840" w:right="19"/>
        <w:spacing w:after="0" w:line="244" w:lineRule="auto"/>
        <w:rPr>
          <w:sz w:val="20"/>
          <w:szCs w:val="20"/>
          <w:color w:val="auto"/>
        </w:rPr>
      </w:pPr>
      <w:r>
        <w:rPr>
          <w:rFonts w:ascii="Arial" w:cs="Arial" w:eastAsia="Arial" w:hAnsi="Arial"/>
          <w:sz w:val="18"/>
          <w:szCs w:val="18"/>
          <w:color w:val="auto"/>
        </w:rPr>
        <w:t xml:space="preserve">otherwise acted on any matter related to any Loan Document, or (iii) directed or required the Administrative Agent or any Lender to undertake any action (or refrain from taking any action) with respect to or under any Loan Document, have a right to consent (or not consent), otherwise act or direct or require the Administrative Agent or any Lender to take (or refrain from taking) any such action; it being understood that all Loans held by any Disqualified Person shall be deemed to be not outstanding for all purposes of calculating whether the Required Lenders, majority Lenders under any Class, all Lenders or all affected Lenders, as the case may be, have taken any action, and (y) shall be deemed to vote in the same proportion as Lenders that are not Disqualified Persons (1) in any proceeding under any Debtor Relief Law commenced by or against the Borrower or any other Loan Party and/or (2) for purposes of any matter requiring the consent of each Lender or each affected Lender and (C) shall not be entitled to receive the benefits of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For the sake of clarity, the provisions in this </w:t>
      </w:r>
      <w:r>
        <w:rPr>
          <w:rFonts w:ascii="Arial" w:cs="Arial" w:eastAsia="Arial" w:hAnsi="Arial"/>
          <w:sz w:val="18"/>
          <w:szCs w:val="18"/>
          <w:u w:val="single" w:color="auto"/>
          <w:color w:val="auto"/>
        </w:rPr>
        <w:t>Section 9.05(f)</w:t>
      </w:r>
      <w:r>
        <w:rPr>
          <w:rFonts w:ascii="Arial" w:cs="Arial" w:eastAsia="Arial" w:hAnsi="Arial"/>
          <w:sz w:val="18"/>
          <w:szCs w:val="18"/>
          <w:color w:val="auto"/>
        </w:rPr>
        <w:t xml:space="preserve"> shall not apply to any Person that is an assignee of any Disqualified Person, if such assignee is not a Disqualified Person.</w:t>
      </w:r>
    </w:p>
    <w:p>
      <w:pPr>
        <w:spacing w:after="0" w:line="183" w:lineRule="exact"/>
        <w:rPr>
          <w:sz w:val="20"/>
          <w:szCs w:val="20"/>
          <w:color w:val="auto"/>
        </w:rPr>
      </w:pPr>
    </w:p>
    <w:p>
      <w:pPr>
        <w:jc w:val="both"/>
        <w:ind w:left="840" w:right="39" w:firstLine="751"/>
        <w:spacing w:after="0" w:line="242" w:lineRule="auto"/>
        <w:tabs>
          <w:tab w:leader="none" w:pos="2256" w:val="left"/>
        </w:tabs>
        <w:numPr>
          <w:ilvl w:val="1"/>
          <w:numId w:val="346"/>
        </w:numPr>
        <w:rPr>
          <w:rFonts w:ascii="Arial" w:cs="Arial" w:eastAsia="Arial" w:hAnsi="Arial"/>
          <w:sz w:val="19"/>
          <w:szCs w:val="19"/>
          <w:color w:val="auto"/>
        </w:rPr>
      </w:pPr>
      <w:r>
        <w:rPr>
          <w:rFonts w:ascii="Arial" w:cs="Arial" w:eastAsia="Arial" w:hAnsi="Arial"/>
          <w:sz w:val="19"/>
          <w:szCs w:val="19"/>
          <w:color w:val="auto"/>
        </w:rPr>
        <w:t>Notwithstanding anything to the contrary herein, each of Holdings, the Borrower and each Lender acknowledges and agrees that the Administrative Agent shall not (x) have any liability for any assignment or participation made to any Disqualified Institution or Affiliated Lender (regardless of whether the consent of the Administrative Agent is required thereto) or (y) be obligated to ascertain, monitor or inquire as to whether any Lender or participant or prospective Lender or participant is a Disqualified Lender, and none of the Borrower, any Lender or any of their respective Affiliates will bring any claim to that effect.</w:t>
      </w:r>
    </w:p>
    <w:p>
      <w:pPr>
        <w:spacing w:after="0" w:line="190" w:lineRule="exact"/>
        <w:rPr>
          <w:rFonts w:ascii="Arial" w:cs="Arial" w:eastAsia="Arial" w:hAnsi="Arial"/>
          <w:sz w:val="19"/>
          <w:szCs w:val="19"/>
          <w:color w:val="auto"/>
        </w:rPr>
      </w:pPr>
    </w:p>
    <w:p>
      <w:pPr>
        <w:jc w:val="both"/>
        <w:ind w:left="100" w:right="39" w:firstLine="742"/>
        <w:spacing w:after="0" w:line="283" w:lineRule="auto"/>
        <w:tabs>
          <w:tab w:leader="none" w:pos="1521" w:val="left"/>
        </w:tabs>
        <w:numPr>
          <w:ilvl w:val="0"/>
          <w:numId w:val="347"/>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herein, any Lender may, at any time, assign all or a portion of its rights and obligations under this Agreement in respect of its Term Loans to any Affiliated Lender on a non-pro rata basis (A) through Dutch Auctions open to all Lenders holding the relevant Term Loans on a pro rata basis or (B) through open market purchases, in each case with respect to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without the consent of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71" w:lineRule="exact"/>
        <w:rPr>
          <w:rFonts w:ascii="Arial" w:cs="Arial" w:eastAsia="Arial" w:hAnsi="Arial"/>
          <w:sz w:val="17"/>
          <w:szCs w:val="17"/>
          <w:color w:val="auto"/>
        </w:rPr>
      </w:pPr>
    </w:p>
    <w:p>
      <w:pPr>
        <w:jc w:val="both"/>
        <w:ind w:left="840" w:right="59" w:firstLine="751"/>
        <w:spacing w:after="0" w:line="276" w:lineRule="auto"/>
        <w:tabs>
          <w:tab w:leader="none" w:pos="2254" w:val="left"/>
        </w:tabs>
        <w:numPr>
          <w:ilvl w:val="1"/>
          <w:numId w:val="347"/>
        </w:numPr>
        <w:rPr>
          <w:rFonts w:ascii="Arial" w:cs="Arial" w:eastAsia="Arial" w:hAnsi="Arial"/>
          <w:sz w:val="17"/>
          <w:szCs w:val="17"/>
          <w:color w:val="auto"/>
        </w:rPr>
      </w:pPr>
      <w:r>
        <w:rPr>
          <w:rFonts w:ascii="Arial" w:cs="Arial" w:eastAsia="Arial" w:hAnsi="Arial"/>
          <w:sz w:val="17"/>
          <w:szCs w:val="17"/>
          <w:color w:val="auto"/>
        </w:rPr>
        <w:t xml:space="preserve">any Term Loan acquired by Holdings, the Borrower or any of its Restricted Subsidiaries shall, to the extent permitted by applicable Requirements of Law, be retired and cancelled immediately upon the acquisition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any such retirement and cancellation, the aggregate outstanding principal amount of the Term Loans shall be deemed reduced by the full par value of the aggregate principal amount of the Term Loans so retired and cancelled, and each principal repayment installment with respect to the Term Loans pursuant to </w:t>
      </w:r>
      <w:r>
        <w:rPr>
          <w:rFonts w:ascii="Arial" w:cs="Arial" w:eastAsia="Arial" w:hAnsi="Arial"/>
          <w:sz w:val="17"/>
          <w:szCs w:val="17"/>
          <w:u w:val="single" w:color="auto"/>
          <w:color w:val="auto"/>
        </w:rPr>
        <w:t>Section 2.10(a)</w:t>
      </w:r>
      <w:r>
        <w:rPr>
          <w:rFonts w:ascii="Arial" w:cs="Arial" w:eastAsia="Arial" w:hAnsi="Arial"/>
          <w:sz w:val="17"/>
          <w:szCs w:val="17"/>
          <w:color w:val="auto"/>
        </w:rPr>
        <w:t xml:space="preserve"> shall be reduced on a pro rata basis by the full par value of the aggregate principal amount of Term Loans so cancelled;</w:t>
      </w:r>
    </w:p>
    <w:p>
      <w:pPr>
        <w:spacing w:after="0" w:line="163" w:lineRule="exact"/>
        <w:rPr>
          <w:sz w:val="20"/>
          <w:szCs w:val="20"/>
          <w:color w:val="auto"/>
        </w:rPr>
      </w:pPr>
    </w:p>
    <w:p>
      <w:pPr>
        <w:jc w:val="both"/>
        <w:ind w:left="840" w:right="19" w:firstLine="751"/>
        <w:spacing w:after="0" w:line="275" w:lineRule="auto"/>
        <w:tabs>
          <w:tab w:leader="none" w:pos="2257" w:val="left"/>
        </w:tabs>
        <w:numPr>
          <w:ilvl w:val="0"/>
          <w:numId w:val="348"/>
        </w:numPr>
        <w:rPr>
          <w:rFonts w:ascii="Arial" w:cs="Arial" w:eastAsia="Arial" w:hAnsi="Arial"/>
          <w:sz w:val="17"/>
          <w:szCs w:val="17"/>
          <w:color w:val="auto"/>
        </w:rPr>
      </w:pPr>
      <w:r>
        <w:rPr>
          <w:rFonts w:ascii="Arial" w:cs="Arial" w:eastAsia="Arial" w:hAnsi="Arial"/>
          <w:sz w:val="17"/>
          <w:szCs w:val="17"/>
          <w:color w:val="auto"/>
        </w:rPr>
        <w:t xml:space="preserve">any Term Loan acquired by any Non-Debt Fund Affiliate (other than Holdings, the Borrower or any of its Restricted Subsidiaries) may (but shall not be required to) be contributed to the Borrower or any of its subsidiaries (it being understood that any such Term Loans shall, to the extent permitted by applicable Requirements of Law, be retired and cancelled promptly upon such contribution);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any such cancellation, the aggregate outstanding principal amount of the Term Loans shall be deemed reduced, as of the date of such contribution, by the full par value of the aggregate principal amount of the Term Loans so contributed and cancelled, and each principal repayment installment with respect to the Term Loans pursuant to </w:t>
      </w:r>
      <w:r>
        <w:rPr>
          <w:rFonts w:ascii="Arial" w:cs="Arial" w:eastAsia="Arial" w:hAnsi="Arial"/>
          <w:sz w:val="17"/>
          <w:szCs w:val="17"/>
          <w:u w:val="single" w:color="auto"/>
          <w:color w:val="auto"/>
        </w:rPr>
        <w:t>Section 2.10(a)</w:t>
      </w:r>
      <w:r>
        <w:rPr>
          <w:rFonts w:ascii="Arial" w:cs="Arial" w:eastAsia="Arial" w:hAnsi="Arial"/>
          <w:sz w:val="17"/>
          <w:szCs w:val="17"/>
          <w:color w:val="auto"/>
        </w:rPr>
        <w:t xml:space="preserve"> shall be reduced pro rata by the full par value of the aggregate principal amount of Initial Term Loans so contributed and cancelled;</w:t>
      </w:r>
    </w:p>
    <w:p>
      <w:pPr>
        <w:spacing w:after="0" w:line="165" w:lineRule="exact"/>
        <w:rPr>
          <w:rFonts w:ascii="Arial" w:cs="Arial" w:eastAsia="Arial" w:hAnsi="Arial"/>
          <w:sz w:val="17"/>
          <w:szCs w:val="17"/>
          <w:color w:val="auto"/>
        </w:rPr>
      </w:pPr>
    </w:p>
    <w:p>
      <w:pPr>
        <w:ind w:left="840" w:right="59" w:firstLine="751"/>
        <w:spacing w:after="0" w:line="261" w:lineRule="auto"/>
        <w:tabs>
          <w:tab w:leader="none" w:pos="2254" w:val="left"/>
        </w:tabs>
        <w:numPr>
          <w:ilvl w:val="0"/>
          <w:numId w:val="348"/>
        </w:numPr>
        <w:rPr>
          <w:rFonts w:ascii="Arial" w:cs="Arial" w:eastAsia="Arial" w:hAnsi="Arial"/>
          <w:sz w:val="19"/>
          <w:szCs w:val="19"/>
          <w:color w:val="auto"/>
        </w:rPr>
      </w:pPr>
      <w:r>
        <w:rPr>
          <w:rFonts w:ascii="Arial" w:cs="Arial" w:eastAsia="Arial" w:hAnsi="Arial"/>
          <w:sz w:val="19"/>
          <w:szCs w:val="19"/>
          <w:color w:val="auto"/>
        </w:rPr>
        <w:t>the relevant Affiliated Lender and assigning or purchasing, as applicable, Lender shall have executed an Affiliated Lender Assignment and Assumption;</w:t>
      </w:r>
    </w:p>
    <w:p>
      <w:pPr>
        <w:spacing w:after="0" w:line="172" w:lineRule="exact"/>
        <w:rPr>
          <w:rFonts w:ascii="Arial" w:cs="Arial" w:eastAsia="Arial" w:hAnsi="Arial"/>
          <w:sz w:val="19"/>
          <w:szCs w:val="19"/>
          <w:color w:val="auto"/>
        </w:rPr>
      </w:pPr>
    </w:p>
    <w:p>
      <w:pPr>
        <w:ind w:left="840" w:right="59" w:firstLine="752"/>
        <w:spacing w:after="0" w:line="261" w:lineRule="auto"/>
        <w:tabs>
          <w:tab w:leader="none" w:pos="2254" w:val="left"/>
        </w:tabs>
        <w:numPr>
          <w:ilvl w:val="0"/>
          <w:numId w:val="348"/>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9.05(f)(ii)</w:t>
      </w:r>
      <w:r>
        <w:rPr>
          <w:rFonts w:ascii="Arial" w:cs="Arial" w:eastAsia="Arial" w:hAnsi="Arial"/>
          <w:sz w:val="19"/>
          <w:szCs w:val="19"/>
          <w:color w:val="auto"/>
        </w:rPr>
        <w:t>, after giving effect to the relevant assignment and to all other assignments to all Affiliated Lenders, the aggregate outstanding principal amount of all Term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196</w:t>
      </w:r>
      <w:r>
        <w:rPr>
          <w:rFonts w:ascii="Arial" w:cs="Arial" w:eastAsia="Arial" w:hAnsi="Arial"/>
          <w:sz w:val="18"/>
          <w:szCs w:val="18"/>
          <w:u w:val="single" w:color="auto"/>
          <w:color w:val="0000FF"/>
          <w:strike w:val="1"/>
        </w:rPr>
        <w:t>196</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64" w:name="page265"/>
    <w:bookmarkEnd w:id="264"/>
    <w:p>
      <w:pPr>
        <w:jc w:val="both"/>
        <w:ind w:left="840" w:right="59"/>
        <w:spacing w:after="0" w:line="259" w:lineRule="auto"/>
        <w:rPr>
          <w:sz w:val="20"/>
          <w:szCs w:val="20"/>
          <w:color w:val="auto"/>
        </w:rPr>
      </w:pPr>
      <w:r>
        <w:rPr>
          <w:rFonts w:ascii="Arial" w:cs="Arial" w:eastAsia="Arial" w:hAnsi="Arial"/>
          <w:sz w:val="17"/>
          <w:szCs w:val="17"/>
          <w:color w:val="auto"/>
        </w:rPr>
        <w:t>Loans then held by all Affiliated Lenders shall not exceed 25% of the aggregate principal amount of the Term Loans then outstanding (after giving effect to any substantially simultaneous cancellation thereof) (the “</w:t>
      </w:r>
      <w:r>
        <w:rPr>
          <w:rFonts w:ascii="Arial" w:cs="Arial" w:eastAsia="Arial" w:hAnsi="Arial"/>
          <w:sz w:val="17"/>
          <w:szCs w:val="17"/>
          <w:u w:val="single" w:color="auto"/>
          <w:color w:val="auto"/>
        </w:rPr>
        <w:t>Affiliated Lender Cap</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party hereto acknowledges and agrees that the Administrative Agent shall not be liable for any losses, damages, penalties, claims, demands, actions, judgments, suits, costs, expenses and disbursements of any kind or nature whatsoever incurred or suffered by any Person in connection with any compliance or non-compliance with this </w:t>
      </w:r>
      <w:r>
        <w:rPr>
          <w:rFonts w:ascii="Arial" w:cs="Arial" w:eastAsia="Arial" w:hAnsi="Arial"/>
          <w:sz w:val="17"/>
          <w:szCs w:val="17"/>
          <w:u w:val="single" w:color="auto"/>
          <w:color w:val="auto"/>
        </w:rPr>
        <w:t>clause (g)</w:t>
      </w:r>
    </w:p>
    <w:p>
      <w:pPr>
        <w:spacing w:after="0" w:line="1" w:lineRule="exact"/>
        <w:rPr>
          <w:sz w:val="20"/>
          <w:szCs w:val="20"/>
          <w:color w:val="auto"/>
        </w:rPr>
      </w:pPr>
    </w:p>
    <w:p>
      <w:pPr>
        <w:jc w:val="both"/>
        <w:ind w:left="840" w:right="59" w:firstLine="3"/>
        <w:spacing w:after="0" w:line="242" w:lineRule="auto"/>
        <w:tabs>
          <w:tab w:leader="none" w:pos="1166" w:val="left"/>
        </w:tabs>
        <w:numPr>
          <w:ilvl w:val="0"/>
          <w:numId w:val="349"/>
        </w:numPr>
        <w:rPr>
          <w:rFonts w:ascii="Arial" w:cs="Arial" w:eastAsia="Arial" w:hAnsi="Arial"/>
          <w:sz w:val="18"/>
          <w:szCs w:val="18"/>
          <w:u w:val="single" w:color="auto"/>
          <w:color w:val="auto"/>
        </w:rPr>
      </w:pPr>
      <w:r>
        <w:rPr>
          <w:rFonts w:ascii="Arial" w:cs="Arial" w:eastAsia="Arial" w:hAnsi="Arial"/>
          <w:sz w:val="18"/>
          <w:szCs w:val="18"/>
          <w:color w:val="auto"/>
        </w:rPr>
        <w:t>or any purported assignment exceeding the Affiliated Lender Cap (it being understood and agreed that the Affiliated Lender Cap is intended to apply to any Loan made available to Affiliated Lenders by means other than formal assignment (</w:t>
      </w:r>
      <w:r>
        <w:rPr>
          <w:rFonts w:ascii="Arial" w:cs="Arial" w:eastAsia="Arial" w:hAnsi="Arial"/>
          <w:sz w:val="18"/>
          <w:szCs w:val="18"/>
          <w:i w:val="1"/>
          <w:iCs w:val="1"/>
          <w:color w:val="auto"/>
        </w:rPr>
        <w:t>e.g.</w:t>
      </w:r>
      <w:r>
        <w:rPr>
          <w:rFonts w:ascii="Arial" w:cs="Arial" w:eastAsia="Arial" w:hAnsi="Arial"/>
          <w:sz w:val="18"/>
          <w:szCs w:val="18"/>
          <w:color w:val="auto"/>
        </w:rPr>
        <w:t xml:space="preserve">, as a result of an acquisition of another Lender (other than any Debt Fund Affiliate) by any Affiliated Lender or the provision of Additional Term Loans by any Affiliated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to the extent that any assignment to any Affiliated Lender would result in the aggregate principal amount of Term Loans held by Affiliated Lenders exceeding the Affiliated Lender Cap (after giving effect to any substantially simultaneous cancellations thereof), the assignment of the relevant excess amount shall be null and void (except to the extent such excess amount is subsequently assigned to a Person that is not an Affiliated Lender);</w:t>
      </w:r>
    </w:p>
    <w:p>
      <w:pPr>
        <w:spacing w:after="0" w:line="177" w:lineRule="exact"/>
        <w:rPr>
          <w:rFonts w:ascii="Arial" w:cs="Arial" w:eastAsia="Arial" w:hAnsi="Arial"/>
          <w:sz w:val="18"/>
          <w:szCs w:val="18"/>
          <w:u w:val="single" w:color="auto"/>
          <w:color w:val="auto"/>
        </w:rPr>
      </w:pPr>
    </w:p>
    <w:p>
      <w:pPr>
        <w:jc w:val="both"/>
        <w:ind w:left="840" w:right="19" w:firstLine="751"/>
        <w:spacing w:after="0" w:line="268" w:lineRule="auto"/>
        <w:tabs>
          <w:tab w:leader="none" w:pos="2257" w:val="left"/>
        </w:tabs>
        <w:numPr>
          <w:ilvl w:val="1"/>
          <w:numId w:val="349"/>
        </w:numPr>
        <w:rPr>
          <w:rFonts w:ascii="Arial" w:cs="Arial" w:eastAsia="Arial" w:hAnsi="Arial"/>
          <w:sz w:val="18"/>
          <w:szCs w:val="18"/>
          <w:color w:val="auto"/>
        </w:rPr>
      </w:pPr>
      <w:r>
        <w:rPr>
          <w:rFonts w:ascii="Arial" w:cs="Arial" w:eastAsia="Arial" w:hAnsi="Arial"/>
          <w:sz w:val="18"/>
          <w:szCs w:val="18"/>
          <w:color w:val="auto"/>
        </w:rPr>
        <w:t>in connection with any assignment effected pursuant to a Dutch Auction and/or open market purchase conducted by Holdings, the Borrower or any of its Restricted Subsidiaries, (A) the relevant Person may not use the proceeds of any Revolving Loan to fund such assignment and (B) no Event of Default exists at the time of the launch of the relevant Dutch Auction or the confirmation of such open market purchase, as applicable; and</w:t>
      </w:r>
    </w:p>
    <w:p>
      <w:pPr>
        <w:spacing w:after="0" w:line="168" w:lineRule="exact"/>
        <w:rPr>
          <w:rFonts w:ascii="Arial" w:cs="Arial" w:eastAsia="Arial" w:hAnsi="Arial"/>
          <w:sz w:val="18"/>
          <w:szCs w:val="18"/>
          <w:color w:val="auto"/>
        </w:rPr>
      </w:pPr>
    </w:p>
    <w:p>
      <w:pPr>
        <w:ind w:left="840" w:right="59" w:firstLine="751"/>
        <w:spacing w:after="0" w:line="261" w:lineRule="auto"/>
        <w:tabs>
          <w:tab w:leader="none" w:pos="2254" w:val="left"/>
        </w:tabs>
        <w:numPr>
          <w:ilvl w:val="1"/>
          <w:numId w:val="349"/>
        </w:numPr>
        <w:rPr>
          <w:rFonts w:ascii="Arial" w:cs="Arial" w:eastAsia="Arial" w:hAnsi="Arial"/>
          <w:sz w:val="19"/>
          <w:szCs w:val="19"/>
          <w:color w:val="auto"/>
        </w:rPr>
      </w:pPr>
      <w:r>
        <w:rPr>
          <w:rFonts w:ascii="Arial" w:cs="Arial" w:eastAsia="Arial" w:hAnsi="Arial"/>
          <w:sz w:val="19"/>
          <w:szCs w:val="19"/>
          <w:color w:val="auto"/>
        </w:rPr>
        <w:t>by its acquisition of Term Loans, each relevant Affiliated Lender shall be deemed to have acknowledged and agreed that:</w:t>
      </w:r>
    </w:p>
    <w:p>
      <w:pPr>
        <w:spacing w:after="0" w:line="172" w:lineRule="exact"/>
        <w:rPr>
          <w:rFonts w:ascii="Arial" w:cs="Arial" w:eastAsia="Arial" w:hAnsi="Arial"/>
          <w:sz w:val="19"/>
          <w:szCs w:val="19"/>
          <w:color w:val="auto"/>
        </w:rPr>
      </w:pPr>
    </w:p>
    <w:p>
      <w:pPr>
        <w:jc w:val="both"/>
        <w:ind w:left="1600" w:right="59" w:firstLine="741"/>
        <w:spacing w:after="0" w:line="268" w:lineRule="auto"/>
        <w:tabs>
          <w:tab w:leader="none" w:pos="3008" w:val="left"/>
        </w:tabs>
        <w:numPr>
          <w:ilvl w:val="3"/>
          <w:numId w:val="349"/>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above, the Term Loans held by such Affiliated Lender shall be disregarded in both the numerator and denominator in the calculation of any Required Lender or other Lender vote;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such Affiliated Lender shall have the right to vote (and the Term Loans held by such Affiliated Lender shall not be so disregarded) with respect to any amendment, modification, waiver, consent or other action that requires the vote of all Lenders or all Lenders directly and adversely affected thereby, as the case may be, and (y) no amendment, modification, waiver, consent or other action shall</w:t>
      </w:r>
    </w:p>
    <w:p>
      <w:pPr>
        <w:spacing w:after="0" w:line="2" w:lineRule="exact"/>
        <w:rPr>
          <w:rFonts w:ascii="Arial" w:cs="Arial" w:eastAsia="Arial" w:hAnsi="Arial"/>
          <w:sz w:val="17"/>
          <w:szCs w:val="17"/>
          <w:color w:val="auto"/>
        </w:rPr>
      </w:pPr>
    </w:p>
    <w:p>
      <w:pPr>
        <w:jc w:val="both"/>
        <w:ind w:left="1600" w:right="59" w:hanging="7"/>
        <w:spacing w:after="0" w:line="232" w:lineRule="auto"/>
        <w:tabs>
          <w:tab w:leader="none" w:pos="1872" w:val="left"/>
        </w:tabs>
        <w:numPr>
          <w:ilvl w:val="2"/>
          <w:numId w:val="349"/>
        </w:numPr>
        <w:rPr>
          <w:rFonts w:ascii="Arial" w:cs="Arial" w:eastAsia="Arial" w:hAnsi="Arial"/>
          <w:sz w:val="19"/>
          <w:szCs w:val="19"/>
          <w:color w:val="auto"/>
        </w:rPr>
      </w:pPr>
      <w:r>
        <w:rPr>
          <w:rFonts w:ascii="Arial" w:cs="Arial" w:eastAsia="Arial" w:hAnsi="Arial"/>
          <w:sz w:val="19"/>
          <w:szCs w:val="19"/>
          <w:color w:val="auto"/>
        </w:rPr>
        <w:t>disproportionately affect such Affiliated Lender in its capacity as a Lender as compared to other Lenders of the same Class that are not Affiliated Lenders or (2) deprive any Affiliated Lender of its share of any payment in which the Lenders are entitled to share on a pro rata basis hereunder, in each case without the consent of such Affiliated Lender; and</w:t>
      </w:r>
    </w:p>
    <w:p>
      <w:pPr>
        <w:spacing w:after="0" w:line="192" w:lineRule="exact"/>
        <w:rPr>
          <w:rFonts w:ascii="Arial" w:cs="Arial" w:eastAsia="Arial" w:hAnsi="Arial"/>
          <w:sz w:val="19"/>
          <w:szCs w:val="19"/>
          <w:color w:val="auto"/>
        </w:rPr>
      </w:pPr>
    </w:p>
    <w:p>
      <w:pPr>
        <w:jc w:val="both"/>
        <w:ind w:left="1600" w:right="39" w:firstLine="741"/>
        <w:spacing w:after="0"/>
        <w:tabs>
          <w:tab w:leader="none" w:pos="3008" w:val="left"/>
        </w:tabs>
        <w:numPr>
          <w:ilvl w:val="3"/>
          <w:numId w:val="350"/>
        </w:numPr>
        <w:rPr>
          <w:rFonts w:ascii="Arial" w:cs="Arial" w:eastAsia="Arial" w:hAnsi="Arial"/>
          <w:sz w:val="19"/>
          <w:szCs w:val="19"/>
          <w:color w:val="auto"/>
        </w:rPr>
      </w:pPr>
      <w:r>
        <w:rPr>
          <w:rFonts w:ascii="Arial" w:cs="Arial" w:eastAsia="Arial" w:hAnsi="Arial"/>
          <w:sz w:val="19"/>
          <w:szCs w:val="19"/>
          <w:color w:val="auto"/>
        </w:rPr>
        <w:t xml:space="preserve">such Affiliated Lender, solely in its capacity as an Affiliated Lender, will not be entitled to (i) attend (including by telephone) or participate in any meeting or discussion (or portion thereof) among the Administrative Agent or any Lender or among Lenders to which the Loan Parties or their representatives are not invited or (ii) receive any information or material prepared by the Administrative Agent or any Lender or any communication by or among the Administrative Agent and one or more Lenders, except to the extent such information or materials have been made available by the Administrative Agent or any Lender to any Loan Party or its representatives (and in any case, other than the right to receive notices of Borrowings, prepayments and other administrative notices in respect of its Term Loans required to be delivered to Lenders pursuant to </w:t>
      </w:r>
      <w:r>
        <w:rPr>
          <w:rFonts w:ascii="Arial" w:cs="Arial" w:eastAsia="Arial" w:hAnsi="Arial"/>
          <w:sz w:val="19"/>
          <w:szCs w:val="19"/>
          <w:u w:val="single" w:color="auto"/>
          <w:color w:val="auto"/>
        </w:rPr>
        <w:t>Article 2</w:t>
      </w:r>
      <w:r>
        <w:rPr>
          <w:rFonts w:ascii="Arial" w:cs="Arial" w:eastAsia="Arial" w:hAnsi="Arial"/>
          <w:sz w:val="19"/>
          <w:szCs w:val="19"/>
          <w:color w:val="auto"/>
        </w:rPr>
        <w:t>);</w:t>
      </w:r>
    </w:p>
    <w:p>
      <w:pPr>
        <w:spacing w:after="0" w:line="193" w:lineRule="exact"/>
        <w:rPr>
          <w:rFonts w:ascii="Arial" w:cs="Arial" w:eastAsia="Arial" w:hAnsi="Arial"/>
          <w:sz w:val="19"/>
          <w:szCs w:val="19"/>
          <w:color w:val="auto"/>
        </w:rPr>
      </w:pPr>
    </w:p>
    <w:p>
      <w:pPr>
        <w:ind w:left="840" w:right="59" w:firstLine="751"/>
        <w:spacing w:after="0" w:line="261" w:lineRule="auto"/>
        <w:tabs>
          <w:tab w:leader="none" w:pos="2254" w:val="left"/>
        </w:tabs>
        <w:numPr>
          <w:ilvl w:val="1"/>
          <w:numId w:val="351"/>
        </w:numPr>
        <w:rPr>
          <w:rFonts w:ascii="Arial" w:cs="Arial" w:eastAsia="Arial" w:hAnsi="Arial"/>
          <w:sz w:val="19"/>
          <w:szCs w:val="19"/>
          <w:color w:val="auto"/>
        </w:rPr>
      </w:pPr>
      <w:r>
        <w:rPr>
          <w:rFonts w:ascii="Arial" w:cs="Arial" w:eastAsia="Arial" w:hAnsi="Arial"/>
          <w:sz w:val="19"/>
          <w:szCs w:val="19"/>
          <w:color w:val="auto"/>
        </w:rPr>
        <w:t>no Affiliated Lender shall be required to represent or warrant that it is not in possession of material non-public information with respect to Holdings and/or any subsidiary thereof</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197</w:t>
      </w:r>
      <w:r>
        <w:rPr>
          <w:rFonts w:ascii="Arial" w:cs="Arial" w:eastAsia="Arial" w:hAnsi="Arial"/>
          <w:sz w:val="18"/>
          <w:szCs w:val="18"/>
          <w:u w:val="single" w:color="auto"/>
          <w:color w:val="0000FF"/>
          <w:strike w:val="1"/>
        </w:rPr>
        <w:t>197</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65" w:name="page266"/>
    <w:bookmarkEnd w:id="265"/>
    <w:p>
      <w:pPr>
        <w:ind w:left="840"/>
        <w:spacing w:after="0"/>
        <w:rPr>
          <w:sz w:val="20"/>
          <w:szCs w:val="20"/>
          <w:color w:val="auto"/>
        </w:rPr>
      </w:pPr>
      <w:r>
        <w:rPr>
          <w:rFonts w:ascii="Arial" w:cs="Arial" w:eastAsia="Arial" w:hAnsi="Arial"/>
          <w:sz w:val="19"/>
          <w:szCs w:val="19"/>
          <w:color w:val="auto"/>
        </w:rPr>
        <w:t xml:space="preserve">and/or their respective securities in connection with any assignment permitted by this </w:t>
      </w:r>
      <w:r>
        <w:rPr>
          <w:rFonts w:ascii="Arial" w:cs="Arial" w:eastAsia="Arial" w:hAnsi="Arial"/>
          <w:sz w:val="19"/>
          <w:szCs w:val="19"/>
          <w:u w:val="single" w:color="auto"/>
          <w:color w:val="auto"/>
        </w:rPr>
        <w:t>Section 9.05(g)</w:t>
      </w:r>
      <w:r>
        <w:rPr>
          <w:rFonts w:ascii="Arial" w:cs="Arial" w:eastAsia="Arial" w:hAnsi="Arial"/>
          <w:sz w:val="19"/>
          <w:szCs w:val="19"/>
          <w:color w:val="auto"/>
        </w:rPr>
        <w:t>; and</w:t>
      </w:r>
    </w:p>
    <w:p>
      <w:pPr>
        <w:spacing w:after="0" w:line="214" w:lineRule="exact"/>
        <w:rPr>
          <w:sz w:val="20"/>
          <w:szCs w:val="20"/>
          <w:color w:val="auto"/>
        </w:rPr>
      </w:pPr>
    </w:p>
    <w:p>
      <w:pPr>
        <w:jc w:val="both"/>
        <w:ind w:left="840" w:right="59" w:firstLine="751"/>
        <w:spacing w:after="0" w:line="268" w:lineRule="auto"/>
        <w:tabs>
          <w:tab w:leader="none" w:pos="2254" w:val="left"/>
        </w:tabs>
        <w:numPr>
          <w:ilvl w:val="1"/>
          <w:numId w:val="352"/>
        </w:numPr>
        <w:rPr>
          <w:rFonts w:ascii="Arial" w:cs="Arial" w:eastAsia="Arial" w:hAnsi="Arial"/>
          <w:sz w:val="17"/>
          <w:szCs w:val="17"/>
          <w:color w:val="auto"/>
        </w:rPr>
      </w:pPr>
      <w:r>
        <w:rPr>
          <w:rFonts w:ascii="Arial" w:cs="Arial" w:eastAsia="Arial" w:hAnsi="Arial"/>
          <w:sz w:val="17"/>
          <w:szCs w:val="17"/>
          <w:color w:val="auto"/>
        </w:rPr>
        <w:t xml:space="preserve">in any proceeding under any Debtor Relief Law, (A) the interest of any Affiliated Lender in any Term Loan will be deemed to be voted in the same proportion as the vote of Lenders that are not Affiliated Lenders on the relevant matter;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Affiliated Lender will be entitled to vote its interest in any Term Loan to the extent that any plan of reorganization or other arrangement with respect to which the relevant vote is sought proposes to treat the interest of such Affiliated Lender (in its capacity as a Lender) in such Term Loan in a manner that is less favorable to such Affiliated Lender than the proposed treatment of Term Loans held by other Term Lenders and</w:t>
      </w:r>
    </w:p>
    <w:p>
      <w:pPr>
        <w:spacing w:after="0" w:line="2" w:lineRule="exact"/>
        <w:rPr>
          <w:rFonts w:ascii="Arial" w:cs="Arial" w:eastAsia="Arial" w:hAnsi="Arial"/>
          <w:sz w:val="17"/>
          <w:szCs w:val="17"/>
          <w:color w:val="auto"/>
        </w:rPr>
      </w:pPr>
    </w:p>
    <w:p>
      <w:pPr>
        <w:ind w:left="840" w:right="99" w:firstLine="3"/>
        <w:spacing w:after="0" w:line="243" w:lineRule="auto"/>
        <w:tabs>
          <w:tab w:leader="none" w:pos="1161" w:val="left"/>
        </w:tabs>
        <w:numPr>
          <w:ilvl w:val="0"/>
          <w:numId w:val="353"/>
        </w:numPr>
        <w:rPr>
          <w:rFonts w:ascii="Arial" w:cs="Arial" w:eastAsia="Arial" w:hAnsi="Arial"/>
          <w:sz w:val="19"/>
          <w:szCs w:val="19"/>
          <w:color w:val="auto"/>
        </w:rPr>
      </w:pPr>
      <w:r>
        <w:rPr>
          <w:rFonts w:ascii="Arial" w:cs="Arial" w:eastAsia="Arial" w:hAnsi="Arial"/>
          <w:sz w:val="19"/>
          <w:szCs w:val="19"/>
          <w:color w:val="auto"/>
        </w:rPr>
        <w:t>all Affiliated Lenders shall be treated as a single lender for purposes of any “numerosity” or similar requirement applicable therein.</w:t>
      </w:r>
    </w:p>
    <w:p>
      <w:pPr>
        <w:spacing w:after="0" w:line="176" w:lineRule="exact"/>
        <w:rPr>
          <w:sz w:val="20"/>
          <w:szCs w:val="20"/>
          <w:color w:val="auto"/>
        </w:rPr>
      </w:pPr>
    </w:p>
    <w:p>
      <w:pPr>
        <w:jc w:val="both"/>
        <w:ind w:left="100" w:right="39"/>
        <w:spacing w:after="0" w:line="255" w:lineRule="auto"/>
        <w:rPr>
          <w:sz w:val="20"/>
          <w:szCs w:val="20"/>
          <w:color w:val="auto"/>
        </w:rPr>
      </w:pPr>
      <w:r>
        <w:rPr>
          <w:rFonts w:ascii="Arial" w:cs="Arial" w:eastAsia="Arial" w:hAnsi="Arial"/>
          <w:sz w:val="17"/>
          <w:szCs w:val="17"/>
          <w:color w:val="auto"/>
        </w:rPr>
        <w:t xml:space="preserve">Notwithstanding anything to the contrary contained herein, any Lender may, at any time, assign all or a portion of its rights and obligations under this Agreement in respect of its Loans and/or Commitments to any Debt Fund Affiliate, and any Debt Fund Affiliate may, from time to time, purchase Loans and/or Commitments (x) on a pro rata basis through Dutch Auctions open to all applicable Lenders in accordance with customary procedures or (y) on a non-pro rata basis through open market purchases without the consent of the Administrative Agent, in each case, notwithstanding the requirements set forth in </w:t>
      </w:r>
      <w:r>
        <w:rPr>
          <w:rFonts w:ascii="Arial" w:cs="Arial" w:eastAsia="Arial" w:hAnsi="Arial"/>
          <w:sz w:val="17"/>
          <w:szCs w:val="17"/>
          <w:u w:val="single" w:color="auto"/>
          <w:color w:val="auto"/>
        </w:rPr>
        <w:t>subclauses (i)</w:t>
      </w:r>
      <w:r>
        <w:rPr>
          <w:rFonts w:ascii="Arial" w:cs="Arial" w:eastAsia="Arial" w:hAnsi="Arial"/>
          <w:sz w:val="17"/>
          <w:szCs w:val="17"/>
          <w:color w:val="auto"/>
        </w:rPr>
        <w:t xml:space="preserve"> through</w:t>
      </w:r>
    </w:p>
    <w:p>
      <w:pPr>
        <w:spacing w:after="0" w:line="4" w:lineRule="exact"/>
        <w:rPr>
          <w:sz w:val="20"/>
          <w:szCs w:val="20"/>
          <w:color w:val="auto"/>
        </w:rPr>
      </w:pPr>
    </w:p>
    <w:p>
      <w:pPr>
        <w:jc w:val="both"/>
        <w:ind w:left="100" w:right="59" w:hanging="7"/>
        <w:spacing w:after="0" w:line="229" w:lineRule="auto"/>
        <w:tabs>
          <w:tab w:leader="none" w:pos="525" w:val="left"/>
        </w:tabs>
        <w:numPr>
          <w:ilvl w:val="0"/>
          <w:numId w:val="354"/>
        </w:numPr>
        <w:rPr>
          <w:rFonts w:ascii="Arial" w:cs="Arial" w:eastAsia="Arial" w:hAnsi="Arial"/>
          <w:sz w:val="19"/>
          <w:szCs w:val="19"/>
          <w:u w:val="single" w:color="auto"/>
          <w:color w:val="auto"/>
        </w:rPr>
      </w:pPr>
      <w:r>
        <w:rPr>
          <w:rFonts w:ascii="Arial" w:cs="Arial" w:eastAsia="Arial" w:hAnsi="Arial"/>
          <w:sz w:val="19"/>
          <w:szCs w:val="19"/>
          <w:color w:val="auto"/>
        </w:rPr>
        <w:t xml:space="preserve">of this </w:t>
      </w:r>
      <w:r>
        <w:rPr>
          <w:rFonts w:ascii="Arial" w:cs="Arial" w:eastAsia="Arial" w:hAnsi="Arial"/>
          <w:sz w:val="19"/>
          <w:szCs w:val="19"/>
          <w:u w:val="single" w:color="auto"/>
          <w:color w:val="auto"/>
        </w:rPr>
        <w:t>clause (g)</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Loans and Commitments held by all Debt Fund Affiliates shall not account for more than 49.9% of the amounts included in determining whether the Required Lenders or Required Revolving Lenders have (A) consented to any amendment, modification, waiver, consent or other action with respect to any of the terms of any Loan Document or any departure by any Loan Party therefrom,</w:t>
      </w:r>
    </w:p>
    <w:p>
      <w:pPr>
        <w:spacing w:after="0" w:line="3" w:lineRule="exact"/>
        <w:rPr>
          <w:rFonts w:ascii="Arial" w:cs="Arial" w:eastAsia="Arial" w:hAnsi="Arial"/>
          <w:sz w:val="19"/>
          <w:szCs w:val="19"/>
          <w:u w:val="single" w:color="auto"/>
          <w:color w:val="auto"/>
        </w:rPr>
      </w:pPr>
    </w:p>
    <w:p>
      <w:pPr>
        <w:jc w:val="both"/>
        <w:ind w:left="100" w:right="39"/>
        <w:spacing w:after="0" w:line="270" w:lineRule="auto"/>
        <w:rPr>
          <w:rFonts w:ascii="Arial" w:cs="Arial" w:eastAsia="Arial" w:hAnsi="Arial"/>
          <w:sz w:val="19"/>
          <w:szCs w:val="19"/>
          <w:u w:val="single" w:color="auto"/>
          <w:color w:val="auto"/>
        </w:rPr>
      </w:pPr>
      <w:r>
        <w:rPr>
          <w:rFonts w:ascii="Arial" w:cs="Arial" w:eastAsia="Arial" w:hAnsi="Arial"/>
          <w:sz w:val="17"/>
          <w:szCs w:val="17"/>
          <w:color w:val="auto"/>
        </w:rPr>
        <w:t xml:space="preserve">(B) otherwise acted on any matter related to any Loan Document or (C) directed or required the Administrative Agent or any Lender to undertake any action (or refrain from taking any action) with respect to or under any Loan Document; it being understood and agreed that the portion of the Loan and/or Commitments that accounts for more than 49.9% of the relevant Required Lender or Required Revolving Lender action shall be deemed to be voted pro rata along with other Lenders that are not Debt Fund Affiliates. Any Loan acquired by any Debt Fund Affiliate may (but shall not be required to) be contributed to Holdings or any of its subsidiaries for purposes of cancelling such Indebtedness (it being understood that any Loan so contributed shall, to the extent permitted by applicable Requirements of Law, be retired and cancelled immediately upon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any such cancellation, the aggregate outstanding principal amount of the relevant Class of Loans shall be deemed reduced, as of the date of such contribution, by the full par value of the aggregate principal amount of the Loans so contributed and cancelled, and each principal repayment installment with respect to the Term Loans pursuant to </w:t>
      </w:r>
      <w:r>
        <w:rPr>
          <w:rFonts w:ascii="Arial" w:cs="Arial" w:eastAsia="Arial" w:hAnsi="Arial"/>
          <w:sz w:val="17"/>
          <w:szCs w:val="17"/>
          <w:u w:val="single" w:color="auto"/>
          <w:color w:val="auto"/>
        </w:rPr>
        <w:t>Section 2.10(a)</w:t>
      </w:r>
      <w:r>
        <w:rPr>
          <w:rFonts w:ascii="Arial" w:cs="Arial" w:eastAsia="Arial" w:hAnsi="Arial"/>
          <w:sz w:val="17"/>
          <w:szCs w:val="17"/>
          <w:color w:val="auto"/>
        </w:rPr>
        <w:t xml:space="preserve"> shall be reduced pro rata by the full par value of the aggregate principal amount of any applicable Term Loans so contributed and cancelled.</w:t>
      </w:r>
    </w:p>
    <w:p>
      <w:pPr>
        <w:spacing w:after="0" w:line="157" w:lineRule="exact"/>
        <w:rPr>
          <w:sz w:val="20"/>
          <w:szCs w:val="20"/>
          <w:color w:val="auto"/>
        </w:rPr>
      </w:pPr>
    </w:p>
    <w:p>
      <w:pPr>
        <w:jc w:val="both"/>
        <w:ind w:left="100" w:right="19" w:firstLine="749"/>
        <w:spacing w:after="0" w:line="244"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 and issuance of any Letter of Credit regardless of any investigation made by any such other party or on its behalf and notwithstanding that the Administrative Agent may have had notice or knowledge of any Default or Event of Default or incorrect representation or warranty at the time any credit is extended hereunder, and shall continue in full force and effect until the Termination Date. The provisions of </w:t>
      </w:r>
      <w:r>
        <w:rPr>
          <w:rFonts w:ascii="Arial" w:cs="Arial" w:eastAsia="Arial" w:hAnsi="Arial"/>
          <w:sz w:val="18"/>
          <w:szCs w:val="18"/>
          <w:u w:val="single" w:color="auto"/>
          <w:color w:val="auto"/>
        </w:rPr>
        <w:t>Sections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w:t>
      </w:r>
      <w:r>
        <w:rPr>
          <w:rFonts w:ascii="Arial" w:cs="Arial" w:eastAsia="Arial" w:hAnsi="Arial"/>
          <w:sz w:val="18"/>
          <w:szCs w:val="18"/>
          <w:u w:val="single" w:color="auto"/>
          <w:color w:val="auto"/>
        </w:rPr>
        <w:t>9.03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shall survive and remain in full force and effect regardless of the consummation of the transactions contemplated hereby, the repayment of the Loans, the expiration or termination of the Letters of Credit and the Revolving Credit Commitment, the occurrence of the Termination Date or the termination of this Agreement or any provision hereof but in each case, subject to the limitations set forth in this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198</w:t>
      </w:r>
      <w:r>
        <w:rPr>
          <w:rFonts w:ascii="Arial" w:cs="Arial" w:eastAsia="Arial" w:hAnsi="Arial"/>
          <w:sz w:val="18"/>
          <w:szCs w:val="18"/>
          <w:u w:val="single" w:color="auto"/>
          <w:color w:val="0000FF"/>
          <w:strike w:val="1"/>
        </w:rPr>
        <w:t>198</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66" w:name="page267"/>
    <w:bookmarkEnd w:id="266"/>
    <w:p>
      <w:pPr>
        <w:ind w:left="100" w:right="179" w:firstLine="749"/>
        <w:spacing w:after="0" w:line="257" w:lineRule="auto"/>
        <w:rPr>
          <w:sz w:val="20"/>
          <w:szCs w:val="20"/>
          <w:color w:val="auto"/>
        </w:rPr>
      </w:pPr>
      <w:r>
        <w:rPr>
          <w:rFonts w:ascii="Arial" w:cs="Arial" w:eastAsia="Arial" w:hAnsi="Arial"/>
          <w:sz w:val="17"/>
          <w:szCs w:val="17"/>
          <w:color w:val="auto"/>
        </w:rPr>
        <w:t xml:space="preserve">Section 9.07. </w:t>
      </w:r>
      <w:r>
        <w:rPr>
          <w:rFonts w:ascii="Arial" w:cs="Arial" w:eastAsia="Arial" w:hAnsi="Arial"/>
          <w:sz w:val="17"/>
          <w:szCs w:val="17"/>
          <w:u w:val="single" w:color="auto"/>
          <w:color w:val="auto"/>
        </w:rPr>
        <w:t>Counterparts; Integration; Effectiveness</w:t>
      </w:r>
      <w:r>
        <w:rPr>
          <w:rFonts w:ascii="Arial" w:cs="Arial" w:eastAsia="Arial" w:hAnsi="Arial"/>
          <w:sz w:val="17"/>
          <w:szCs w:val="17"/>
          <w:color w:val="auto"/>
        </w:rPr>
        <w:t>. This Agreement may be executed in counterparts (and by different parties hereto on different counterparts), each of which shall constitute an original, but all of which when taken together shall constitute a single contract. This Agreement, the other Loan Documents, each Intercreditor Agreement and the Fee Letter constitute the entire agreement among the parties relating to the subject matter hereof and supersede any and all previous agreements and understandings, oral or written, relating to the subject matter hereof. This Agreement shall become effective when it has been executed by Holdings, the Borrower and the Administrative Agent and when the Administrative Agent has received counterparts hereof which, when taken together, bear the signatures of each of the other parties hereto, and thereafter shall be binding upon and inure to the benefit of the parties hereto and their respective successors and permitted assigns. Delivery of an executed counterpart of a signature page to this Agreement by facsimile or by email as a “.pdf” or “.tif” attachment shall be effective as delivery of a manually executed counterpart of this Agreement. It is understood and agreed that, subject to any Requirement of Law, the words “execution”, “signed”, “signature”, “delivery” and words of like import in or relating to any Loan Document shall be deemed to include any Electronic Signature, delivery or the keeping of any record in electronic form, each of which shall have the same legal effect, validity or enforceability as a manually executed signature, physical delivery thereof or the use of a paper-based recordkeeping system to the extent and as provided for in any Requirements of Law, including the Federal Electronic Signatures in Global and National Commerce Act, the New York State Electronic Signatures and Records Act, or any similar state laws based on the Uniform Electronic Transactions Act.</w:t>
      </w:r>
    </w:p>
    <w:p>
      <w:pPr>
        <w:spacing w:after="0" w:line="174" w:lineRule="exact"/>
        <w:rPr>
          <w:sz w:val="20"/>
          <w:szCs w:val="20"/>
          <w:color w:val="auto"/>
        </w:rPr>
      </w:pPr>
    </w:p>
    <w:p>
      <w:pPr>
        <w:jc w:val="both"/>
        <w:ind w:left="100" w:right="39" w:firstLine="749"/>
        <w:spacing w:after="0" w:line="233" w:lineRule="auto"/>
        <w:rPr>
          <w:sz w:val="20"/>
          <w:szCs w:val="20"/>
          <w:color w:val="auto"/>
        </w:rPr>
      </w:pPr>
      <w:r>
        <w:rPr>
          <w:rFonts w:ascii="Arial" w:cs="Arial" w:eastAsia="Arial" w:hAnsi="Arial"/>
          <w:sz w:val="19"/>
          <w:szCs w:val="19"/>
          <w:color w:val="auto"/>
        </w:rPr>
        <w:t xml:space="preserve">Section 9.08. </w:t>
      </w:r>
      <w:r>
        <w:rPr>
          <w:rFonts w:ascii="Arial" w:cs="Arial" w:eastAsia="Arial" w:hAnsi="Arial"/>
          <w:sz w:val="19"/>
          <w:szCs w:val="19"/>
          <w:u w:val="single" w:color="auto"/>
          <w:color w:val="auto"/>
        </w:rPr>
        <w:t>Severability</w:t>
      </w:r>
      <w:r>
        <w:rPr>
          <w:rFonts w:ascii="Arial" w:cs="Arial" w:eastAsia="Arial" w:hAnsi="Arial"/>
          <w:sz w:val="19"/>
          <w:szCs w:val="19"/>
          <w:color w:val="auto"/>
        </w:rPr>
        <w:t>. To the extent permitted by applicable Requirements of Law,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95" w:lineRule="exact"/>
        <w:rPr>
          <w:sz w:val="20"/>
          <w:szCs w:val="20"/>
          <w:color w:val="auto"/>
        </w:rPr>
      </w:pPr>
    </w:p>
    <w:p>
      <w:pPr>
        <w:jc w:val="both"/>
        <w:ind w:left="100" w:right="59" w:firstLine="749"/>
        <w:spacing w:after="0" w:line="257" w:lineRule="auto"/>
        <w:rPr>
          <w:sz w:val="20"/>
          <w:szCs w:val="20"/>
          <w:color w:val="auto"/>
        </w:rPr>
      </w:pPr>
      <w:r>
        <w:rPr>
          <w:rFonts w:ascii="Arial" w:cs="Arial" w:eastAsia="Arial" w:hAnsi="Arial"/>
          <w:sz w:val="17"/>
          <w:szCs w:val="17"/>
          <w:color w:val="auto"/>
        </w:rPr>
        <w:t xml:space="preserve">Section 9.09. </w:t>
      </w: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At any time when an Event of Default exists, the Administrative Agent and, upon the written consent of the Administrative Agent, each Issuing Bank and each Lender is hereby authorized at any time and from time to time, to the fullest extent permitted by applicable Requirements of Law, to set off and apply any and all deposits (general or special, time or demand, provisional or final) at any time held and other obligations (in any currency) at any time owing by the Administrative Agent, such Issuing Bank or such Lender, respectively, to or for the credit or the account of any Loan Party against any of and all the Secured Obligations held by the Administrative Agent, such Issuing Bank or such Lender, irrespective of whether or not the Administrative Agent, such Issuing Bank or such Lender shall have made any demand under the Loan Documents and although such obligations may be contingent or unmatured or are owed to a branch or office of such Lender or Issuing Bank different than the branch or office holding such deposit or obligation on such Indebtedness. The Administrative Agent shall promptly notify the Borrower and any applicable Lender or Issuing Bank shall promptly notify the Borrower and the Administrative Agent of such set-off or application,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failure to give or any delay in giving such notice shall not affect the validity of any such set-off or application under this Section. The rights of each Lender, each Issuing Bank and the Administrative Agent under this Section are in addition to other rights and remedies (including other rights of setoff) which such Lender, such Issuing Bank or the Administrative Agent may have. For the avoidance of doubt, the term “Lender” shall, for all purposes of this paragraph, include the Swingline Lender.</w:t>
      </w:r>
    </w:p>
    <w:p>
      <w:pPr>
        <w:spacing w:after="0" w:line="168"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9.10.  </w:t>
      </w:r>
      <w:r>
        <w:rPr>
          <w:rFonts w:ascii="Arial" w:cs="Arial" w:eastAsia="Arial" w:hAnsi="Arial"/>
          <w:sz w:val="19"/>
          <w:szCs w:val="19"/>
          <w:u w:val="single" w:color="auto"/>
          <w:color w:val="auto"/>
        </w:rPr>
        <w:t>Governing Law; Jurisdiction; Consent to Service of Process</w:t>
      </w:r>
      <w:r>
        <w:rPr>
          <w:rFonts w:ascii="Arial" w:cs="Arial" w:eastAsia="Arial" w:hAnsi="Arial"/>
          <w:sz w:val="19"/>
          <w:szCs w:val="19"/>
          <w:color w:val="auto"/>
        </w:rPr>
        <w:t>.</w:t>
      </w:r>
    </w:p>
    <w:p>
      <w:pPr>
        <w:spacing w:after="0" w:line="214" w:lineRule="exact"/>
        <w:rPr>
          <w:sz w:val="20"/>
          <w:szCs w:val="20"/>
          <w:color w:val="auto"/>
        </w:rPr>
      </w:pPr>
    </w:p>
    <w:p>
      <w:pPr>
        <w:jc w:val="both"/>
        <w:ind w:left="100" w:right="19" w:firstLine="742"/>
        <w:spacing w:after="0" w:line="243" w:lineRule="auto"/>
        <w:tabs>
          <w:tab w:leader="none" w:pos="1522" w:val="left"/>
        </w:tabs>
        <w:numPr>
          <w:ilvl w:val="0"/>
          <w:numId w:val="355"/>
        </w:numPr>
        <w:rPr>
          <w:rFonts w:ascii="Arial" w:cs="Arial" w:eastAsia="Arial" w:hAnsi="Arial"/>
          <w:sz w:val="19"/>
          <w:szCs w:val="19"/>
          <w:color w:val="auto"/>
        </w:rPr>
      </w:pPr>
      <w:r>
        <w:rPr>
          <w:rFonts w:ascii="Arial" w:cs="Arial" w:eastAsia="Arial" w:hAnsi="Arial"/>
          <w:sz w:val="19"/>
          <w:szCs w:val="19"/>
          <w:color w:val="auto"/>
        </w:rPr>
        <w:t>THIS AGREEMENT AND THE OTHER LOAN DOCUMENTS (OTHER THAN AS EXPRESSLY SET FORTH IN ANY OTHER LOAN DOCUMENT) AND ANY CLAIM, CONTROVERSY OR DISPUTE ARISING UNDER OR RELATED TO THIS AGREEMENT AND THE OTHER LOAN DOCUMENTS (OTHER THAN AS EXPRESSLY SET FORTH IN ANY OTHER LOAN DOCUMENT), WHETHER IN TORT, CONTRACT (AT LAW OR IN EQUITY) OR OTHERWISE, SHALL BE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199</w:t>
      </w:r>
      <w:r>
        <w:rPr>
          <w:rFonts w:ascii="Arial" w:cs="Arial" w:eastAsia="Arial" w:hAnsi="Arial"/>
          <w:sz w:val="18"/>
          <w:szCs w:val="18"/>
          <w:u w:val="single" w:color="auto"/>
          <w:color w:val="0000FF"/>
          <w:strike w:val="1"/>
        </w:rPr>
        <w:t>199</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67" w:name="page268"/>
    <w:bookmarkEnd w:id="267"/>
    <w:p>
      <w:pPr>
        <w:ind w:left="100" w:right="480"/>
        <w:spacing w:after="0" w:line="261" w:lineRule="auto"/>
        <w:rPr>
          <w:sz w:val="20"/>
          <w:szCs w:val="20"/>
          <w:color w:val="auto"/>
        </w:rPr>
      </w:pPr>
      <w:r>
        <w:rPr>
          <w:rFonts w:ascii="Arial" w:cs="Arial" w:eastAsia="Arial" w:hAnsi="Arial"/>
          <w:sz w:val="19"/>
          <w:szCs w:val="19"/>
          <w:color w:val="auto"/>
        </w:rPr>
        <w:t>GOVERNED BY, AND CONSTRUED AND INTERPRETED IN ACCORDANCE WITH, THE LAWS OF THE STATE OF NEW YORK.</w:t>
      </w:r>
    </w:p>
    <w:p>
      <w:pPr>
        <w:spacing w:after="0" w:line="159" w:lineRule="exact"/>
        <w:rPr>
          <w:sz w:val="20"/>
          <w:szCs w:val="20"/>
          <w:color w:val="auto"/>
        </w:rPr>
      </w:pPr>
    </w:p>
    <w:p>
      <w:pPr>
        <w:jc w:val="both"/>
        <w:ind w:left="100" w:firstLine="741"/>
        <w:spacing w:after="0"/>
        <w:tabs>
          <w:tab w:leader="none" w:pos="1524" w:val="left"/>
        </w:tabs>
        <w:numPr>
          <w:ilvl w:val="0"/>
          <w:numId w:val="356"/>
        </w:numPr>
        <w:rPr>
          <w:rFonts w:ascii="Arial" w:cs="Arial" w:eastAsia="Arial" w:hAnsi="Arial"/>
          <w:sz w:val="19"/>
          <w:szCs w:val="19"/>
          <w:color w:val="auto"/>
        </w:rPr>
      </w:pPr>
      <w:r>
        <w:rPr>
          <w:rFonts w:ascii="Arial" w:cs="Arial" w:eastAsia="Arial" w:hAnsi="Arial"/>
          <w:sz w:val="19"/>
          <w:szCs w:val="19"/>
          <w:color w:val="auto"/>
        </w:rPr>
        <w:t>EACH PARTY HERETO HEREBY IRREVOCABLY AND UNCONDITIONALLY SUBMITS, FOR ITSELF AND ITS PROPERTY, TO THE EXCLUSIVE JURISDICTION OF ANY US FEDERAL OR NEW YORK STATE COURT SITTING IN THE BOROUGH OF MANHATTAN, IN THE CITY OF NEW YORK (OR ANY APPELLATE COURT THEREFROM) OVER ANY SUIT, ACTION OR PROCEEDING ARISING OUT OF OR RELATING TO ANY LOAN DOCUMENT AND AGREES THAT ALL CLAIMS IN RESPECT OF ANY SUCH ACTION OR PROCEEDING SHALL (EXCEPT AS PERMITTED BELOW) BE HEARD AND DETERMINED IN SUCH NEW YORK STATE OR, TO THE EXTENT PERMITTED BY APPLICABLE REQUIREMENTS OF LAW, FEDERAL COURT. EACH PARTY HERETO AGREES THAT SERVICE OF ANY PROCESS, SUMMONS, NOTICE OR DOCUMENT BY REGISTERED MAIL ADDRESSED TO SUCH PERSON SHALL BE EFFECTIVE SERVICE OF PROCESS AGAINST SUCH PERSON FOR ANY SUIT, ACTION OR PROCEEDING BROUGHT IN ANY SUCH COURT. EACH PARTY HERETO AGREES THAT A FINAL JUDGMENT IN ANY SUCH ACTION OR PROCEEDING MAY BE ENFORCED IN OTHER JURISDICTIONS BY SUIT ON THE JUDGMENT OR IN ANY OTHER MANNER PROVIDED BY APPLICABLE REQUIREMENTS OF LAW. EACH PARTY HERETO AGREES THAT THE ADMINISTRATIVE AGENT RETAINS THE RIGHT TO BRING PROCEEDINGS AGAINST ANY LOAN PARTY IN THE COURTS OF ANY OTHER JURISDICTION SOLELY IN CONNECTION WITH THE EXERCISE OF ITS RIGHTS UNDER ANY COLLATERAL DOCUMENT.</w:t>
      </w:r>
    </w:p>
    <w:p>
      <w:pPr>
        <w:spacing w:after="0" w:line="192" w:lineRule="exact"/>
        <w:rPr>
          <w:rFonts w:ascii="Arial" w:cs="Arial" w:eastAsia="Arial" w:hAnsi="Arial"/>
          <w:sz w:val="19"/>
          <w:szCs w:val="19"/>
          <w:color w:val="auto"/>
        </w:rPr>
      </w:pPr>
    </w:p>
    <w:p>
      <w:pPr>
        <w:jc w:val="both"/>
        <w:ind w:left="100" w:firstLine="741"/>
        <w:spacing w:after="0" w:line="259" w:lineRule="auto"/>
        <w:tabs>
          <w:tab w:leader="none" w:pos="1524" w:val="left"/>
        </w:tabs>
        <w:numPr>
          <w:ilvl w:val="0"/>
          <w:numId w:val="356"/>
        </w:numPr>
        <w:rPr>
          <w:rFonts w:ascii="Arial" w:cs="Arial" w:eastAsia="Arial" w:hAnsi="Arial"/>
          <w:sz w:val="18"/>
          <w:szCs w:val="18"/>
          <w:color w:val="auto"/>
        </w:rPr>
      </w:pPr>
      <w:r>
        <w:rPr>
          <w:rFonts w:ascii="Arial" w:cs="Arial" w:eastAsia="Arial" w:hAnsi="Arial"/>
          <w:sz w:val="18"/>
          <w:szCs w:val="18"/>
          <w:color w:val="auto"/>
        </w:rPr>
        <w:t xml:space="preserve">EACH PARTY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EACH PARTY HERETO HEREBY IRREVOCABLY WAIVES, TO THE FULLEST EXTENT PERMITTED BY APPLICABLE REQUIREMENTS OF LAW, ANY CLAIM OR DEFENSE OF AN INCONVENIENT FORUM TO THE MAINTENANCE OF SUCH ACTION, SUIT OR PROCEEDING IN ANY SUCH COURT.</w:t>
      </w:r>
    </w:p>
    <w:p>
      <w:pPr>
        <w:spacing w:after="0" w:line="177" w:lineRule="exact"/>
        <w:rPr>
          <w:rFonts w:ascii="Arial" w:cs="Arial" w:eastAsia="Arial" w:hAnsi="Arial"/>
          <w:sz w:val="18"/>
          <w:szCs w:val="18"/>
          <w:color w:val="auto"/>
        </w:rPr>
      </w:pPr>
    </w:p>
    <w:p>
      <w:pPr>
        <w:jc w:val="both"/>
        <w:ind w:left="100" w:right="20" w:firstLine="742"/>
        <w:spacing w:after="0" w:line="241" w:lineRule="auto"/>
        <w:tabs>
          <w:tab w:leader="none" w:pos="1522" w:val="left"/>
        </w:tabs>
        <w:numPr>
          <w:ilvl w:val="0"/>
          <w:numId w:val="356"/>
        </w:numPr>
        <w:rPr>
          <w:rFonts w:ascii="Arial" w:cs="Arial" w:eastAsia="Arial" w:hAnsi="Arial"/>
          <w:sz w:val="19"/>
          <w:szCs w:val="19"/>
          <w:color w:val="auto"/>
        </w:rPr>
      </w:pPr>
      <w:r>
        <w:rPr>
          <w:rFonts w:ascii="Arial" w:cs="Arial" w:eastAsia="Arial" w:hAnsi="Arial"/>
          <w:sz w:val="19"/>
          <w:szCs w:val="19"/>
          <w:color w:val="auto"/>
        </w:rPr>
        <w:t xml:space="preserve">TO THE EXTENT PERMITTED BY APPLICABLE REQUIREMENTS OF LAW, EACH PARTY HERETO HEREBY IRREVOCABLY WAIVES PERSONAL SERVICE OF ANY AND ALL PROCESS UPON IT AND AGREES THAT ALL SUCH SERVICE OF PROCESS MAY BE MADE BY REGISTERED MAIL (OR ANY SUBSTANTIALLY SIMILAR FORM OF MAIL) DIRECTED TO IT AT ITS ADDRESS FOR NOTICES AS PROVIDED FOR IN </w:t>
      </w:r>
      <w:r>
        <w:rPr>
          <w:rFonts w:ascii="Arial" w:cs="Arial" w:eastAsia="Arial" w:hAnsi="Arial"/>
          <w:sz w:val="19"/>
          <w:szCs w:val="19"/>
          <w:u w:val="single" w:color="auto"/>
          <w:color w:val="auto"/>
        </w:rPr>
        <w:t>SECTION 9.01</w:t>
      </w:r>
      <w:r>
        <w:rPr>
          <w:rFonts w:ascii="Arial" w:cs="Arial" w:eastAsia="Arial" w:hAnsi="Arial"/>
          <w:sz w:val="19"/>
          <w:szCs w:val="19"/>
          <w:color w:val="auto"/>
        </w:rPr>
        <w:t>. EACH PARTY HERETO HEREBY WAIVES ANY OBJECTION TO SUCH SERVICE OF PROCESS AND FURTHER IRREVOCABLY WAIVES AND AGREES NOT TO PLEAD OR CLAIM IN ANY ACTION OR PROCEEDING COMMENCED HEREUNDER OR UNDER ANY LOAN DOCUMENT THAT SERVICE OF PROCESS WAS INVALID AND INEFFECTIVE. NOTHING IN THIS AGREEMENT OR ANY OTHER LOAN DOCUMENT WILL AFFECT THE RIGHT OF ANY PARTY TO THIS AGREEMENT TO SERVE PROCESS IN ANY OTHER MANNER PERMITTED BY APPLICABLE REQUIREMENTS OF LAW.</w:t>
      </w:r>
    </w:p>
    <w:p>
      <w:pPr>
        <w:spacing w:after="0" w:line="196" w:lineRule="exact"/>
        <w:rPr>
          <w:sz w:val="20"/>
          <w:szCs w:val="20"/>
          <w:color w:val="auto"/>
        </w:rPr>
      </w:pPr>
    </w:p>
    <w:p>
      <w:pPr>
        <w:ind w:left="100" w:right="140" w:firstLine="749"/>
        <w:spacing w:after="0" w:line="232" w:lineRule="auto"/>
        <w:rPr>
          <w:sz w:val="20"/>
          <w:szCs w:val="20"/>
          <w:color w:val="auto"/>
        </w:rPr>
      </w:pPr>
      <w:r>
        <w:rPr>
          <w:rFonts w:ascii="Arial" w:cs="Arial" w:eastAsia="Arial" w:hAnsi="Arial"/>
          <w:sz w:val="19"/>
          <w:szCs w:val="19"/>
          <w:color w:val="auto"/>
        </w:rPr>
        <w:t xml:space="preserve">Section 9.11.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IRREVOCABLY WAIVES, TO THE FULLEST EXTENT PERMITTED BY APPLICABLE REQUIREMENTS OF LAW, ANY RIGHT IT MAY HAVE TO A TRIAL BY JURY IN ANY SUIT, ACTION, PROCEEDING OR COUNTERCLAIM (WHETHER BASED ON CONTRACT, TORT OR ANY OTHER THEORY) DIRECTLY OR INDIRECTLY ARISING OUT OF OR RELATING TO THIS AGREEMENT, ANY OTHER LOAN DOCUMENT OR THE TRANSACTIONS CONTEMPLATED HEREBY OR THEREBY. EACH PARTY HERETO (a) CERTIFIES THAT NO REPRESENTATIVE, AGENT OR ATTORNEY OF ANY OTHER PARTY HERETO HAS REPRESENTED, EXPRESSLY OR OTHERWISE, THAT SUCH</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200</w:t>
      </w:r>
      <w:r>
        <w:rPr>
          <w:rFonts w:ascii="Arial" w:cs="Arial" w:eastAsia="Arial" w:hAnsi="Arial"/>
          <w:sz w:val="18"/>
          <w:szCs w:val="18"/>
          <w:u w:val="single" w:color="auto"/>
          <w:color w:val="0000FF"/>
          <w:strike w:val="1"/>
        </w:rPr>
        <w:t>200</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85" w:right="1439" w:bottom="1440" w:gutter="0" w:footer="0" w:header="0"/>
        </w:sectPr>
      </w:pPr>
    </w:p>
    <w:bookmarkStart w:id="268" w:name="page269"/>
    <w:bookmarkEnd w:id="268"/>
    <w:p>
      <w:pPr>
        <w:ind w:left="100"/>
        <w:spacing w:after="0"/>
        <w:rPr>
          <w:sz w:val="20"/>
          <w:szCs w:val="20"/>
          <w:color w:val="auto"/>
        </w:rPr>
      </w:pPr>
      <w:r>
        <w:rPr>
          <w:rFonts w:ascii="Arial" w:cs="Arial" w:eastAsia="Arial" w:hAnsi="Arial"/>
          <w:sz w:val="18"/>
          <w:szCs w:val="18"/>
          <w:color w:val="auto"/>
        </w:rPr>
        <w:t>OTHER PARTY WOULD NOT, IN THE EVENT OF LITIGATION, SEEK TO ENFORCE THE FOREGOING WAIVER AND</w:t>
      </w:r>
    </w:p>
    <w:p>
      <w:pPr>
        <w:spacing w:after="0" w:line="25" w:lineRule="exact"/>
        <w:rPr>
          <w:sz w:val="20"/>
          <w:szCs w:val="20"/>
          <w:color w:val="auto"/>
        </w:rPr>
      </w:pPr>
    </w:p>
    <w:p>
      <w:pPr>
        <w:ind w:left="100" w:right="19" w:hanging="7"/>
        <w:spacing w:after="0" w:line="254" w:lineRule="auto"/>
        <w:tabs>
          <w:tab w:leader="none" w:pos="393"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ACKNOWLEDGES THAT IT AND THE OTHER PARTIES HERETO HAVE BEEN INDUCED TO ENTER INTO THIS AGREEMENT BY, AMONG OTHER THINGS, THE MUTUAL WAIVERS AND CERTIFICATIONS IN THIS SECTION.</w:t>
      </w:r>
    </w:p>
    <w:p>
      <w:pPr>
        <w:spacing w:after="0" w:line="167" w:lineRule="exact"/>
        <w:rPr>
          <w:sz w:val="20"/>
          <w:szCs w:val="20"/>
          <w:color w:val="auto"/>
        </w:rPr>
      </w:pPr>
    </w:p>
    <w:p>
      <w:pPr>
        <w:jc w:val="both"/>
        <w:ind w:left="100" w:right="19" w:firstLine="749"/>
        <w:spacing w:after="0" w:line="241" w:lineRule="auto"/>
        <w:rPr>
          <w:sz w:val="20"/>
          <w:szCs w:val="20"/>
          <w:color w:val="auto"/>
        </w:rPr>
      </w:pPr>
      <w:r>
        <w:rPr>
          <w:rFonts w:ascii="Arial" w:cs="Arial" w:eastAsia="Arial" w:hAnsi="Arial"/>
          <w:sz w:val="19"/>
          <w:szCs w:val="19"/>
          <w:color w:val="auto"/>
        </w:rPr>
        <w:t xml:space="preserve">Section 9.12. </w:t>
      </w:r>
      <w:r>
        <w:rPr>
          <w:rFonts w:ascii="Arial" w:cs="Arial" w:eastAsia="Arial" w:hAnsi="Arial"/>
          <w:sz w:val="19"/>
          <w:szCs w:val="19"/>
          <w:u w:val="single" w:color="auto"/>
          <w:color w:val="auto"/>
        </w:rPr>
        <w:t>Headings</w:t>
      </w:r>
      <w:r>
        <w:rPr>
          <w:rFonts w:ascii="Arial" w:cs="Arial" w:eastAsia="Arial" w:hAnsi="Arial"/>
          <w:sz w:val="19"/>
          <w:szCs w:val="19"/>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9" w:lineRule="exact"/>
        <w:rPr>
          <w:sz w:val="20"/>
          <w:szCs w:val="20"/>
          <w:color w:val="auto"/>
        </w:rPr>
      </w:pPr>
    </w:p>
    <w:p>
      <w:pPr>
        <w:jc w:val="both"/>
        <w:ind w:left="100" w:right="59" w:firstLine="749"/>
        <w:spacing w:after="0" w:line="241" w:lineRule="auto"/>
        <w:rPr>
          <w:sz w:val="20"/>
          <w:szCs w:val="20"/>
          <w:color w:val="auto"/>
        </w:rPr>
      </w:pPr>
      <w:r>
        <w:rPr>
          <w:rFonts w:ascii="Arial" w:cs="Arial" w:eastAsia="Arial" w:hAnsi="Arial"/>
          <w:sz w:val="19"/>
          <w:szCs w:val="19"/>
          <w:color w:val="auto"/>
        </w:rPr>
        <w:t xml:space="preserve">Section 9.13. </w:t>
      </w:r>
      <w:r>
        <w:rPr>
          <w:rFonts w:ascii="Arial" w:cs="Arial" w:eastAsia="Arial" w:hAnsi="Arial"/>
          <w:sz w:val="19"/>
          <w:szCs w:val="19"/>
          <w:u w:val="single" w:color="auto"/>
          <w:color w:val="auto"/>
        </w:rPr>
        <w:t>Confidentiality</w:t>
      </w:r>
      <w:r>
        <w:rPr>
          <w:rFonts w:ascii="Arial" w:cs="Arial" w:eastAsia="Arial" w:hAnsi="Arial"/>
          <w:sz w:val="19"/>
          <w:szCs w:val="19"/>
          <w:color w:val="auto"/>
        </w:rPr>
        <w:t>. Each of the Administrative Agent, each Lender, each Issuing Bank and each Arranger agrees (and each Lender agrees to cause its SPC, if any) to maintain the confidentiality of the Confidential Information (as defined below), except that Confidential Information may be disclosed:</w:t>
      </w:r>
    </w:p>
    <w:p>
      <w:pPr>
        <w:spacing w:after="0" w:line="179" w:lineRule="exact"/>
        <w:rPr>
          <w:sz w:val="20"/>
          <w:szCs w:val="20"/>
          <w:color w:val="auto"/>
        </w:rPr>
      </w:pPr>
    </w:p>
    <w:p>
      <w:pPr>
        <w:ind w:left="100" w:right="39" w:firstLine="742"/>
        <w:spacing w:after="0" w:line="271" w:lineRule="auto"/>
        <w:tabs>
          <w:tab w:leader="none" w:pos="1521" w:val="left"/>
        </w:tabs>
        <w:numPr>
          <w:ilvl w:val="0"/>
          <w:numId w:val="358"/>
        </w:numPr>
        <w:rPr>
          <w:rFonts w:ascii="Arial" w:cs="Arial" w:eastAsia="Arial" w:hAnsi="Arial"/>
          <w:sz w:val="17"/>
          <w:szCs w:val="17"/>
          <w:color w:val="auto"/>
        </w:rPr>
      </w:pPr>
      <w:r>
        <w:rPr>
          <w:rFonts w:ascii="Arial" w:cs="Arial" w:eastAsia="Arial" w:hAnsi="Arial"/>
          <w:sz w:val="17"/>
          <w:szCs w:val="17"/>
          <w:color w:val="auto"/>
        </w:rPr>
        <w:t>to its and its Affiliates’ members, partners, directors (or equivalent managers), officers, managers, employees, agents, independent auditors, or other experts and advisors, including accountants, legal counsel and other advisors (collectively, the “</w:t>
      </w:r>
      <w:r>
        <w:rPr>
          <w:rFonts w:ascii="Arial" w:cs="Arial" w:eastAsia="Arial" w:hAnsi="Arial"/>
          <w:sz w:val="17"/>
          <w:szCs w:val="17"/>
          <w:u w:val="single" w:color="auto"/>
          <w:color w:val="auto"/>
        </w:rPr>
        <w:t>Representatives</w:t>
      </w:r>
      <w:r>
        <w:rPr>
          <w:rFonts w:ascii="Arial" w:cs="Arial" w:eastAsia="Arial" w:hAnsi="Arial"/>
          <w:sz w:val="17"/>
          <w:szCs w:val="17"/>
          <w:color w:val="auto"/>
        </w:rPr>
        <w:t>”) on a “need to know” basis solely in connection with the transactions contemplated hereby and who are informed of the confidential nature of the Confidential Information and are or have been advised of their obligation to keep the Confidential Information of this type confidential; provided that such Person shall be responsible for its Affiliates’ and their Representatives’ compliance with this paragraph; provided, further, that unless the Borrower otherwise consents, no such disclosure shall be made by the Administrative Agent, any Issuing Bank, any Arranger, any Lender or any Affiliate or Representative thereof to any Affiliate or Representative of the Administrative Agent, any Issuing Bank, any Arranger, or any Lender that is a Disqualified Institution (other than any Excluded Party that is a senior employee of such Lead Arranger who is required, in accordance with industry regulations or such Lead Arranger’s internal policies and procedures, to act in a supervisory capacity and such Lead Arranger’s internal, legal, compliance, risk management, credit or investment committee members, so long as such senior employee does not share any such information with any other individual primarily engaged in private equity, venture capital or mezzanine financing activities at the Disqualified Institution itself (other than any other senior employee contemplated by this parenthetical)),</w:t>
      </w:r>
    </w:p>
    <w:p>
      <w:pPr>
        <w:spacing w:after="0" w:line="168" w:lineRule="exact"/>
        <w:rPr>
          <w:rFonts w:ascii="Arial" w:cs="Arial" w:eastAsia="Arial" w:hAnsi="Arial"/>
          <w:sz w:val="17"/>
          <w:szCs w:val="17"/>
          <w:color w:val="auto"/>
        </w:rPr>
      </w:pPr>
    </w:p>
    <w:p>
      <w:pPr>
        <w:jc w:val="both"/>
        <w:ind w:left="100" w:right="59" w:firstLine="742"/>
        <w:spacing w:after="0" w:line="279" w:lineRule="auto"/>
        <w:tabs>
          <w:tab w:leader="none" w:pos="152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to the extent compelled by legal process in, or reasonably necessary to, the defense of such legal, judicial or administrative proceeding, in any legal, judicial or administrative proceeding or otherwise as required by applicable Requirements of Law (in which case such Person shall, except with respect to any audit or examination conducted by bank accountants or any governmental, regulatory or self-regulatory authority exercising examination or regulatory authority, (i) to the extent practicable and permitted by applicable Requirements of Law, inform the Borrower promptly in advance thereof and (ii) use commercially reasonable efforts to ensure that any such information so disclosed is accorded confidential treatment),</w:t>
      </w:r>
    </w:p>
    <w:p>
      <w:pPr>
        <w:spacing w:after="0" w:line="162" w:lineRule="exact"/>
        <w:rPr>
          <w:rFonts w:ascii="Arial" w:cs="Arial" w:eastAsia="Arial" w:hAnsi="Arial"/>
          <w:sz w:val="17"/>
          <w:szCs w:val="17"/>
          <w:color w:val="auto"/>
        </w:rPr>
      </w:pPr>
    </w:p>
    <w:p>
      <w:pPr>
        <w:jc w:val="both"/>
        <w:ind w:left="100" w:right="59" w:firstLine="741"/>
        <w:spacing w:after="0" w:line="258" w:lineRule="auto"/>
        <w:tabs>
          <w:tab w:leader="none" w:pos="152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upon the demand or request of any Governmental Authority (including any self-regulatory body) purporting to have jurisdiction over such Person or its Affiliates (in which case such Person shall, except with respect to any audit or examination conducted by bank accountants or any Governmental Authority or regulatory or self-regulatory authority exercising examination or regulatory authority, to the extent permitted by applicable Requirements of Law, (i) to the extent practicable and permitted by applicable Requirements of Law, inform the Borrower promptly in advance thereof and (ii) use commercially reasonable efforts to ensure that any information so disclosed is accorded confidential treatment),</w:t>
      </w:r>
    </w:p>
    <w:p>
      <w:pPr>
        <w:spacing w:after="0" w:line="176" w:lineRule="exact"/>
        <w:rPr>
          <w:rFonts w:ascii="Arial" w:cs="Arial" w:eastAsia="Arial" w:hAnsi="Arial"/>
          <w:sz w:val="18"/>
          <w:szCs w:val="18"/>
          <w:color w:val="auto"/>
        </w:rPr>
      </w:pPr>
    </w:p>
    <w:p>
      <w:pPr>
        <w:ind w:left="100" w:right="59" w:firstLine="742"/>
        <w:spacing w:after="0" w:line="320" w:lineRule="auto"/>
        <w:tabs>
          <w:tab w:leader="none" w:pos="152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to the extent provided by or on behalf of the Borrower to the Administrative Agent for distribution to the Issuing Banks and/or Lenders, by the Administrative Agent to any Lender or Issuing Bank party to this Agreement, as applicable,</w:t>
      </w:r>
    </w:p>
    <w:p>
      <w:pPr>
        <w:spacing w:after="0" w:line="126" w:lineRule="exact"/>
        <w:rPr>
          <w:rFonts w:ascii="Arial" w:cs="Arial" w:eastAsia="Arial" w:hAnsi="Arial"/>
          <w:sz w:val="17"/>
          <w:szCs w:val="17"/>
          <w:color w:val="auto"/>
        </w:rPr>
      </w:pPr>
    </w:p>
    <w:p>
      <w:pPr>
        <w:jc w:val="both"/>
        <w:ind w:left="100" w:right="19" w:firstLine="741"/>
        <w:spacing w:after="0" w:line="256" w:lineRule="auto"/>
        <w:tabs>
          <w:tab w:leader="none" w:pos="1522" w:val="left"/>
        </w:tabs>
        <w:numPr>
          <w:ilvl w:val="0"/>
          <w:numId w:val="358"/>
        </w:numPr>
        <w:rPr>
          <w:rFonts w:ascii="Arial" w:cs="Arial" w:eastAsia="Arial" w:hAnsi="Arial"/>
          <w:sz w:val="19"/>
          <w:szCs w:val="19"/>
          <w:color w:val="auto"/>
        </w:rPr>
      </w:pPr>
      <w:r>
        <w:rPr>
          <w:rFonts w:ascii="Arial" w:cs="Arial" w:eastAsia="Arial" w:hAnsi="Arial"/>
          <w:sz w:val="19"/>
          <w:szCs w:val="19"/>
          <w:color w:val="auto"/>
        </w:rPr>
        <w:t>subject to an acknowledgment and agreement by the relevant recipient that the Confidential Information is being disseminated on a confidential basis (on substantially the terms set forth in this paragraph or as otherwise reasonably acceptable to the Borrower and the Administrative Agent) in accordance with the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201</w:t>
      </w:r>
      <w:r>
        <w:rPr>
          <w:rFonts w:ascii="Arial" w:cs="Arial" w:eastAsia="Arial" w:hAnsi="Arial"/>
          <w:sz w:val="18"/>
          <w:szCs w:val="18"/>
          <w:u w:val="single" w:color="auto"/>
          <w:color w:val="0000FF"/>
          <w:strike w:val="1"/>
        </w:rPr>
        <w:t>201</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69" w:name="page270"/>
    <w:bookmarkEnd w:id="269"/>
    <w:p>
      <w:pPr>
        <w:jc w:val="both"/>
        <w:ind w:left="100" w:right="19"/>
        <w:spacing w:after="0" w:line="247" w:lineRule="auto"/>
        <w:rPr>
          <w:sz w:val="20"/>
          <w:szCs w:val="20"/>
          <w:color w:val="auto"/>
        </w:rPr>
      </w:pPr>
      <w:r>
        <w:rPr>
          <w:rFonts w:ascii="Arial" w:cs="Arial" w:eastAsia="Arial" w:hAnsi="Arial"/>
          <w:sz w:val="18"/>
          <w:szCs w:val="18"/>
          <w:color w:val="auto"/>
        </w:rPr>
        <w:t xml:space="preserve">standard syndication process of the Arrangers or market standards for dissemination of the relevant type of information, which shall in any event require “click through” or other affirmative action on the part of the recipient to access the Confidential Information and acknowledge its confidentiality obligations in respect thereof, to (i) any Eligible Assignee of or Participant in, or any prospective Eligible Assignee of or prospective Participant in, any of its rights or obligations under this Agreement, including any SPC (in each case other than a Disqualified Institution and/or any Person to whom the Borrower has, at the time of disclosure, affirmatively declined to consent to any assignment or participation), (ii) any pledgee referred to in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and/or (iii) any actual or prospective, direct or indirect contractual counterparty (or its advisors) to any Derivative Transaction (including any credit default swap) or similar derivative product to which any Loan Party is a party,</w:t>
      </w:r>
    </w:p>
    <w:p>
      <w:pPr>
        <w:spacing w:after="0" w:line="172" w:lineRule="exact"/>
        <w:rPr>
          <w:sz w:val="20"/>
          <w:szCs w:val="20"/>
          <w:color w:val="auto"/>
        </w:rPr>
      </w:pPr>
    </w:p>
    <w:p>
      <w:pPr>
        <w:jc w:val="both"/>
        <w:ind w:left="100" w:right="59" w:firstLine="741"/>
        <w:spacing w:after="0" w:line="249" w:lineRule="auto"/>
        <w:tabs>
          <w:tab w:leader="none" w:pos="1519" w:val="left"/>
        </w:tabs>
        <w:numPr>
          <w:ilvl w:val="0"/>
          <w:numId w:val="359"/>
        </w:numPr>
        <w:rPr>
          <w:rFonts w:ascii="Arial" w:cs="Arial" w:eastAsia="Arial" w:hAnsi="Arial"/>
          <w:sz w:val="19"/>
          <w:szCs w:val="19"/>
          <w:color w:val="auto"/>
        </w:rPr>
      </w:pPr>
      <w:r>
        <w:rPr>
          <w:rFonts w:ascii="Arial" w:cs="Arial" w:eastAsia="Arial" w:hAnsi="Arial"/>
          <w:sz w:val="19"/>
          <w:szCs w:val="19"/>
          <w:color w:val="auto"/>
        </w:rPr>
        <w:t>subject to the Borrower’s prior approval of the information to be disclosed, to the CUSIP Service Bureau or any similar agency on a confidential basis in connection with the issuance and monitoring of CUSIP numbers with respect to the facilities or</w:t>
      </w:r>
    </w:p>
    <w:p>
      <w:pPr>
        <w:spacing w:after="0" w:line="183" w:lineRule="exact"/>
        <w:rPr>
          <w:rFonts w:ascii="Arial" w:cs="Arial" w:eastAsia="Arial" w:hAnsi="Arial"/>
          <w:sz w:val="19"/>
          <w:szCs w:val="19"/>
          <w:color w:val="auto"/>
        </w:rPr>
      </w:pPr>
    </w:p>
    <w:p>
      <w:pPr>
        <w:jc w:val="both"/>
        <w:ind w:left="100" w:right="59" w:firstLine="741"/>
        <w:spacing w:after="0" w:line="243" w:lineRule="auto"/>
        <w:tabs>
          <w:tab w:leader="none" w:pos="1519" w:val="left"/>
        </w:tabs>
        <w:numPr>
          <w:ilvl w:val="0"/>
          <w:numId w:val="359"/>
        </w:numPr>
        <w:rPr>
          <w:rFonts w:ascii="Arial" w:cs="Arial" w:eastAsia="Arial" w:hAnsi="Arial"/>
          <w:sz w:val="19"/>
          <w:szCs w:val="19"/>
          <w:color w:val="auto"/>
        </w:rPr>
      </w:pPr>
      <w:r>
        <w:rPr>
          <w:rFonts w:ascii="Arial" w:cs="Arial" w:eastAsia="Arial" w:hAnsi="Arial"/>
          <w:sz w:val="19"/>
          <w:szCs w:val="19"/>
          <w:color w:val="auto"/>
        </w:rPr>
        <w:t>(i) the existence of this Agreement (but not the terms hereof) and the existence of the Credit Facilities (but not the terms thereof) and (ii) certain other limited generic information regarding the Credit Facilities (but not any other Confidential Information), may be disclosed to market data collectors and other similar service providers to the lending industry and, in the case of the Administrative Agent, to service providers to the Administrative Agent in connection with the administration of the Credit Facilities,</w:t>
      </w:r>
    </w:p>
    <w:p>
      <w:pPr>
        <w:spacing w:after="0" w:line="189" w:lineRule="exact"/>
        <w:rPr>
          <w:rFonts w:ascii="Arial" w:cs="Arial" w:eastAsia="Arial" w:hAnsi="Arial"/>
          <w:sz w:val="19"/>
          <w:szCs w:val="19"/>
          <w:color w:val="auto"/>
        </w:rPr>
      </w:pPr>
    </w:p>
    <w:p>
      <w:pPr>
        <w:ind w:left="100" w:right="59" w:firstLine="742"/>
        <w:spacing w:after="0" w:line="276" w:lineRule="auto"/>
        <w:tabs>
          <w:tab w:leader="none" w:pos="1520" w:val="left"/>
        </w:tabs>
        <w:numPr>
          <w:ilvl w:val="0"/>
          <w:numId w:val="359"/>
        </w:numPr>
        <w:rPr>
          <w:rFonts w:ascii="Arial" w:cs="Arial" w:eastAsia="Arial" w:hAnsi="Arial"/>
          <w:sz w:val="19"/>
          <w:szCs w:val="19"/>
          <w:color w:val="auto"/>
        </w:rPr>
      </w:pPr>
      <w:r>
        <w:rPr>
          <w:rFonts w:ascii="Arial" w:cs="Arial" w:eastAsia="Arial" w:hAnsi="Arial"/>
          <w:sz w:val="19"/>
          <w:szCs w:val="19"/>
          <w:color w:val="auto"/>
        </w:rPr>
        <w:t>to the extent the Confidential Information becomes publicly available other than as a result of a breach of this Section by such Person, its Affiliates or their respective Representatives, and</w:t>
      </w:r>
    </w:p>
    <w:p>
      <w:pPr>
        <w:spacing w:after="0" w:line="158" w:lineRule="exact"/>
        <w:rPr>
          <w:rFonts w:ascii="Arial" w:cs="Arial" w:eastAsia="Arial" w:hAnsi="Arial"/>
          <w:sz w:val="19"/>
          <w:szCs w:val="19"/>
          <w:color w:val="auto"/>
        </w:rPr>
      </w:pPr>
    </w:p>
    <w:p>
      <w:pPr>
        <w:ind w:left="1600" w:hanging="758"/>
        <w:spacing w:after="0"/>
        <w:tabs>
          <w:tab w:leader="none" w:pos="1600" w:val="left"/>
        </w:tabs>
        <w:numPr>
          <w:ilvl w:val="0"/>
          <w:numId w:val="359"/>
        </w:numPr>
        <w:rPr>
          <w:rFonts w:ascii="Arial" w:cs="Arial" w:eastAsia="Arial" w:hAnsi="Arial"/>
          <w:sz w:val="19"/>
          <w:szCs w:val="19"/>
          <w:color w:val="auto"/>
        </w:rPr>
      </w:pPr>
      <w:r>
        <w:rPr>
          <w:rFonts w:ascii="Arial" w:cs="Arial" w:eastAsia="Arial" w:hAnsi="Arial"/>
          <w:sz w:val="19"/>
          <w:szCs w:val="19"/>
          <w:color w:val="auto"/>
        </w:rPr>
        <w:t>with the prior written consent of the Borrower.</w:t>
      </w:r>
    </w:p>
    <w:p>
      <w:pPr>
        <w:spacing w:after="0" w:line="214" w:lineRule="exact"/>
        <w:rPr>
          <w:sz w:val="20"/>
          <w:szCs w:val="20"/>
          <w:color w:val="auto"/>
        </w:rPr>
      </w:pPr>
    </w:p>
    <w:p>
      <w:pPr>
        <w:jc w:val="both"/>
        <w:ind w:left="100" w:right="39"/>
        <w:spacing w:after="0" w:line="244" w:lineRule="auto"/>
        <w:rPr>
          <w:sz w:val="20"/>
          <w:szCs w:val="20"/>
          <w:color w:val="auto"/>
        </w:rPr>
      </w:pPr>
      <w:r>
        <w:rPr>
          <w:rFonts w:ascii="Arial" w:cs="Arial" w:eastAsia="Arial" w:hAnsi="Arial"/>
          <w:sz w:val="18"/>
          <w:szCs w:val="18"/>
          <w:color w:val="auto"/>
        </w:rPr>
        <w:t>For purposes of this Section,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information relating to Holdings, the Borrower and/or any of its subsidiaries and their respective businesses or the Transactions (including any information obtained by the Administrative Agent, any Issuing Bank, any Lender or any Arranger, or any of their respective Affiliates or Representatives, based on a review of any books and records relating to Holdings, the Borrower and/or any of its subsidiaries and their respective Affiliates from time to time, including prior to the date hereof) other than any such information that is publicly available to the Administrative Agent or any Arranger, Issuing Bank, or Lender on a non-confidential basis prior to disclosure by Holdings or any of its subsidiaries. For the avoidance of doubt, in no event shall any disclosure of any Confidential Information be made to any Person that is a Disqualified Institution at the time of disclosure.</w:t>
      </w:r>
    </w:p>
    <w:p>
      <w:pPr>
        <w:spacing w:after="0" w:line="180" w:lineRule="exact"/>
        <w:rPr>
          <w:sz w:val="20"/>
          <w:szCs w:val="20"/>
          <w:color w:val="auto"/>
        </w:rPr>
      </w:pPr>
    </w:p>
    <w:p>
      <w:pPr>
        <w:jc w:val="both"/>
        <w:ind w:left="100" w:right="39" w:firstLine="749"/>
        <w:spacing w:after="0" w:line="257" w:lineRule="auto"/>
        <w:rPr>
          <w:sz w:val="20"/>
          <w:szCs w:val="20"/>
          <w:color w:val="auto"/>
        </w:rPr>
      </w:pPr>
      <w:r>
        <w:rPr>
          <w:rFonts w:ascii="Arial" w:cs="Arial" w:eastAsia="Arial" w:hAnsi="Arial"/>
          <w:sz w:val="17"/>
          <w:szCs w:val="17"/>
          <w:color w:val="auto"/>
        </w:rPr>
        <w:t xml:space="preserve">Section 9.14. </w:t>
      </w:r>
      <w:r>
        <w:rPr>
          <w:rFonts w:ascii="Arial" w:cs="Arial" w:eastAsia="Arial" w:hAnsi="Arial"/>
          <w:sz w:val="17"/>
          <w:szCs w:val="17"/>
          <w:u w:val="single" w:color="auto"/>
          <w:color w:val="auto"/>
        </w:rPr>
        <w:t>No Fiduciary Duty</w:t>
      </w:r>
      <w:r>
        <w:rPr>
          <w:rFonts w:ascii="Arial" w:cs="Arial" w:eastAsia="Arial" w:hAnsi="Arial"/>
          <w:sz w:val="17"/>
          <w:szCs w:val="17"/>
          <w:color w:val="auto"/>
        </w:rPr>
        <w:t>. Each of the Administrative Agent, the Arrangers, each Lender, each Issuing Bank and their respective Affiliates (collectively, solely for purposes of this paragraph, the “</w:t>
      </w:r>
      <w:r>
        <w:rPr>
          <w:rFonts w:ascii="Arial" w:cs="Arial" w:eastAsia="Arial" w:hAnsi="Arial"/>
          <w:sz w:val="17"/>
          <w:szCs w:val="17"/>
          <w:u w:val="single" w:color="auto"/>
          <w:color w:val="auto"/>
        </w:rPr>
        <w:t>Credit Parties</w:t>
      </w:r>
      <w:r>
        <w:rPr>
          <w:rFonts w:ascii="Arial" w:cs="Arial" w:eastAsia="Arial" w:hAnsi="Arial"/>
          <w:sz w:val="17"/>
          <w:szCs w:val="17"/>
          <w:color w:val="auto"/>
        </w:rPr>
        <w:t>”), may have economic interests that conflict with those of the Loan Parties, their stockholders and/or their respective affiliates. Each Loan Party agrees that nothing in the Loan Documents or otherwise will be deemed to create an advisory, fiduciary or agency relationship or fiduciary or other implied duty between any Credit Party, on the one hand, and such Loan Party, its respective stockholders or its respective affiliates, on the other. Each Loan Party acknowledges and agrees that: (i) the transactions contemplated by the Loan Documents (including the exercise of rights and remedies hereunder and thereunder) are arm’s-length commercial transactions between the Credit Parties, on the one hand, and the Loan Parties, on the other, and (ii) in connection therewith and with the process leading thereto, (x) no Credit Party, in its capacity as such, has assumed an advisory or fiduciary responsibility in favor of any Loan Party, its respective stockholders or its respective affiliates with respect to the transactions contemplated hereby (or the exercise of rights or remedies with respect thereto) or the process leading thereto (irrespective of whether any Credit Party has advised, is currently advising or will advise any Loan Party, its respective stockholders or its respective Affiliates on other matters) or any other obligation to any Loan Party except the obligations expressly set forth in the Loan Documents and (y) each Credit Party, in its capacity as such, is acting solely as principal and not as the agent or fiduciary of such Loan Party, its respective management, stockholders,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202</w:t>
      </w:r>
      <w:r>
        <w:rPr>
          <w:rFonts w:ascii="Arial" w:cs="Arial" w:eastAsia="Arial" w:hAnsi="Arial"/>
          <w:sz w:val="18"/>
          <w:szCs w:val="18"/>
          <w:u w:val="single" w:color="auto"/>
          <w:color w:val="0000FF"/>
          <w:strike w:val="1"/>
        </w:rPr>
        <w:t>202</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70" w:name="page271"/>
    <w:bookmarkEnd w:id="270"/>
    <w:p>
      <w:pPr>
        <w:jc w:val="both"/>
        <w:ind w:left="100" w:right="59"/>
        <w:spacing w:after="0" w:line="241" w:lineRule="auto"/>
        <w:rPr>
          <w:sz w:val="20"/>
          <w:szCs w:val="20"/>
          <w:color w:val="auto"/>
        </w:rPr>
      </w:pPr>
      <w:r>
        <w:rPr>
          <w:rFonts w:ascii="Arial" w:cs="Arial" w:eastAsia="Arial" w:hAnsi="Arial"/>
          <w:sz w:val="19"/>
          <w:szCs w:val="19"/>
          <w:color w:val="auto"/>
        </w:rPr>
        <w:t>creditors or any other Person. Each Loan Party acknowledges and agrees that such Loan Party has consulted its own legal, tax and financial advisors to the extent it deemed appropriate and that it is responsible for making its own independent judgment with respect to such transactions and the process leading thereto.</w:t>
      </w:r>
    </w:p>
    <w:p>
      <w:pPr>
        <w:spacing w:after="0" w:line="179" w:lineRule="exact"/>
        <w:rPr>
          <w:sz w:val="20"/>
          <w:szCs w:val="20"/>
          <w:color w:val="auto"/>
        </w:rPr>
      </w:pPr>
    </w:p>
    <w:p>
      <w:pPr>
        <w:jc w:val="both"/>
        <w:ind w:left="100" w:right="59" w:firstLine="749"/>
        <w:spacing w:after="0" w:line="241" w:lineRule="auto"/>
        <w:rPr>
          <w:sz w:val="20"/>
          <w:szCs w:val="20"/>
          <w:color w:val="auto"/>
        </w:rPr>
      </w:pPr>
      <w:r>
        <w:rPr>
          <w:rFonts w:ascii="Arial" w:cs="Arial" w:eastAsia="Arial" w:hAnsi="Arial"/>
          <w:sz w:val="19"/>
          <w:szCs w:val="19"/>
          <w:color w:val="auto"/>
        </w:rPr>
        <w:t xml:space="preserve">Section 9.15. </w:t>
      </w:r>
      <w:r>
        <w:rPr>
          <w:rFonts w:ascii="Arial" w:cs="Arial" w:eastAsia="Arial" w:hAnsi="Arial"/>
          <w:sz w:val="19"/>
          <w:szCs w:val="19"/>
          <w:u w:val="single" w:color="auto"/>
          <w:color w:val="auto"/>
        </w:rPr>
        <w:t>Several Obligations</w:t>
      </w:r>
      <w:r>
        <w:rPr>
          <w:rFonts w:ascii="Arial" w:cs="Arial" w:eastAsia="Arial" w:hAnsi="Arial"/>
          <w:sz w:val="19"/>
          <w:szCs w:val="19"/>
          <w:color w:val="auto"/>
        </w:rPr>
        <w:t>. The respective obligations of the Lenders hereunder are several and not joint and the failure of any Lender to make any Loan, issue any Letter of Credit or perform any of its obligations hereunder shall not relieve any other Lender from any of its obligations hereunder.</w:t>
      </w:r>
    </w:p>
    <w:p>
      <w:pPr>
        <w:spacing w:after="0" w:line="179" w:lineRule="exact"/>
        <w:rPr>
          <w:sz w:val="20"/>
          <w:szCs w:val="20"/>
          <w:color w:val="auto"/>
        </w:rPr>
      </w:pPr>
    </w:p>
    <w:p>
      <w:pPr>
        <w:jc w:val="both"/>
        <w:ind w:left="100" w:right="39" w:firstLine="749"/>
        <w:spacing w:after="0" w:line="234" w:lineRule="auto"/>
        <w:rPr>
          <w:sz w:val="20"/>
          <w:szCs w:val="20"/>
          <w:color w:val="auto"/>
        </w:rPr>
      </w:pPr>
      <w:r>
        <w:rPr>
          <w:rFonts w:ascii="Arial" w:cs="Arial" w:eastAsia="Arial" w:hAnsi="Arial"/>
          <w:sz w:val="19"/>
          <w:szCs w:val="19"/>
          <w:color w:val="auto"/>
        </w:rPr>
        <w:t xml:space="preserve">Section 9.16. </w:t>
      </w:r>
      <w:r>
        <w:rPr>
          <w:rFonts w:ascii="Arial" w:cs="Arial" w:eastAsia="Arial" w:hAnsi="Arial"/>
          <w:sz w:val="19"/>
          <w:szCs w:val="19"/>
          <w:u w:val="single" w:color="auto"/>
          <w:color w:val="auto"/>
        </w:rPr>
        <w:t>USA PATRIOT Act</w:t>
      </w:r>
      <w:r>
        <w:rPr>
          <w:rFonts w:ascii="Arial" w:cs="Arial" w:eastAsia="Arial" w:hAnsi="Arial"/>
          <w:sz w:val="19"/>
          <w:szCs w:val="19"/>
          <w:color w:val="auto"/>
        </w:rPr>
        <w:t>. Each Lender that is subject to the requirements of the USA PATRIOT Act and the requirements of the Beneficial Ownership Regulation hereby notifies the Loan Parties that pursuant to the requirements of the USA PATRIOT Act and the Beneficial Ownership Regulation, it is required to obtain, verify and record information that identifies each Loan Party, which information includes the name and address of such Loan Party and other information that will allow such Lender to identify such Loan Party in accordance with the USA PATRIOT Act and the Borrower in accordance with the Beneficial Ownership Regulation.</w:t>
      </w:r>
    </w:p>
    <w:p>
      <w:pPr>
        <w:spacing w:after="0" w:line="180" w:lineRule="exact"/>
        <w:rPr>
          <w:sz w:val="20"/>
          <w:szCs w:val="20"/>
          <w:color w:val="auto"/>
        </w:rPr>
      </w:pPr>
    </w:p>
    <w:p>
      <w:pPr>
        <w:jc w:val="both"/>
        <w:ind w:left="100" w:right="59" w:firstLine="749"/>
        <w:spacing w:after="0" w:line="241" w:lineRule="auto"/>
        <w:rPr>
          <w:sz w:val="20"/>
          <w:szCs w:val="20"/>
          <w:color w:val="auto"/>
        </w:rPr>
      </w:pPr>
      <w:r>
        <w:rPr>
          <w:rFonts w:ascii="Arial" w:cs="Arial" w:eastAsia="Arial" w:hAnsi="Arial"/>
          <w:sz w:val="19"/>
          <w:szCs w:val="19"/>
          <w:color w:val="auto"/>
        </w:rPr>
        <w:t xml:space="preserve">Section 9.17. </w:t>
      </w:r>
      <w:r>
        <w:rPr>
          <w:rFonts w:ascii="Arial" w:cs="Arial" w:eastAsia="Arial" w:hAnsi="Arial"/>
          <w:sz w:val="19"/>
          <w:szCs w:val="19"/>
          <w:u w:val="single" w:color="auto"/>
          <w:color w:val="auto"/>
        </w:rPr>
        <w:t>Disclosure of Agent Conflicts</w:t>
      </w:r>
      <w:r>
        <w:rPr>
          <w:rFonts w:ascii="Arial" w:cs="Arial" w:eastAsia="Arial" w:hAnsi="Arial"/>
          <w:sz w:val="19"/>
          <w:szCs w:val="19"/>
          <w:color w:val="auto"/>
        </w:rPr>
        <w:t>. Each Loan Party, each Issuing Bank and each Lender hereby acknowledge and agree that the Administrative Agent and/or its Affiliates from time to time may hold investments in, make other loans to or have other relationships with any of the Loan Parties and their respective Affiliates.</w:t>
      </w:r>
    </w:p>
    <w:p>
      <w:pPr>
        <w:spacing w:after="0" w:line="179" w:lineRule="exact"/>
        <w:rPr>
          <w:sz w:val="20"/>
          <w:szCs w:val="20"/>
          <w:color w:val="auto"/>
        </w:rPr>
      </w:pPr>
    </w:p>
    <w:p>
      <w:pPr>
        <w:jc w:val="both"/>
        <w:ind w:left="100" w:right="19" w:firstLine="749"/>
        <w:spacing w:after="0" w:line="232" w:lineRule="auto"/>
        <w:rPr>
          <w:sz w:val="20"/>
          <w:szCs w:val="20"/>
          <w:color w:val="auto"/>
        </w:rPr>
      </w:pPr>
      <w:r>
        <w:rPr>
          <w:rFonts w:ascii="Arial" w:cs="Arial" w:eastAsia="Arial" w:hAnsi="Arial"/>
          <w:sz w:val="19"/>
          <w:szCs w:val="19"/>
          <w:color w:val="auto"/>
        </w:rPr>
        <w:t xml:space="preserve">Section 9.18. </w:t>
      </w:r>
      <w:r>
        <w:rPr>
          <w:rFonts w:ascii="Arial" w:cs="Arial" w:eastAsia="Arial" w:hAnsi="Arial"/>
          <w:sz w:val="19"/>
          <w:szCs w:val="19"/>
          <w:u w:val="single" w:color="auto"/>
          <w:color w:val="auto"/>
        </w:rPr>
        <w:t>Appointment for Perfection</w:t>
      </w:r>
      <w:r>
        <w:rPr>
          <w:rFonts w:ascii="Arial" w:cs="Arial" w:eastAsia="Arial" w:hAnsi="Arial"/>
          <w:sz w:val="19"/>
          <w:szCs w:val="19"/>
          <w:color w:val="auto"/>
        </w:rPr>
        <w:t>. Each Lender hereby appoints each other Lender and each Issuing Bank as its agent for the purpose of perfecting Liens for the benefit of the Administrative Agent, the Issuing Banks and the Lenders, in assets which, in accordance with Article 9 of the UCC or any other applicable Requirement of Law can be perfected only by possession. If any Lender or Issuing Bank (other than the Administrative Agent) obtains possession of any Collateral, such Lender or Issuing Bank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82" w:lineRule="exact"/>
        <w:rPr>
          <w:sz w:val="20"/>
          <w:szCs w:val="20"/>
          <w:color w:val="auto"/>
        </w:rPr>
      </w:pPr>
    </w:p>
    <w:p>
      <w:pPr>
        <w:ind w:left="100" w:right="59" w:firstLine="749"/>
        <w:spacing w:after="0" w:line="259" w:lineRule="auto"/>
        <w:rPr>
          <w:sz w:val="20"/>
          <w:szCs w:val="20"/>
          <w:color w:val="auto"/>
        </w:rPr>
      </w:pPr>
      <w:r>
        <w:rPr>
          <w:rFonts w:ascii="Arial" w:cs="Arial" w:eastAsia="Arial" w:hAnsi="Arial"/>
          <w:sz w:val="17"/>
          <w:szCs w:val="17"/>
          <w:color w:val="auto"/>
        </w:rPr>
        <w:t xml:space="preserve">Section 9.19. </w:t>
      </w:r>
      <w:r>
        <w:rPr>
          <w:rFonts w:ascii="Arial" w:cs="Arial" w:eastAsia="Arial" w:hAnsi="Arial"/>
          <w:sz w:val="17"/>
          <w:szCs w:val="17"/>
          <w:u w:val="single" w:color="auto"/>
          <w:color w:val="auto"/>
        </w:rPr>
        <w:t>Interest Rate Limitation</w:t>
      </w:r>
      <w:r>
        <w:rPr>
          <w:rFonts w:ascii="Arial" w:cs="Arial" w:eastAsia="Arial" w:hAnsi="Arial"/>
          <w:sz w:val="17"/>
          <w:szCs w:val="17"/>
          <w:color w:val="auto"/>
        </w:rPr>
        <w:t>. Notwithstanding anything herein to the contrary, if at any time the interest rate applicable to any Loan or Letter of Credit, together with all fees, charges and other amounts which are treated as interest on such Loan or Letter of Credit under applicable Requirements of Law (collectively the “</w:t>
      </w:r>
      <w:r>
        <w:rPr>
          <w:rFonts w:ascii="Arial" w:cs="Arial" w:eastAsia="Arial" w:hAnsi="Arial"/>
          <w:sz w:val="17"/>
          <w:szCs w:val="17"/>
          <w:u w:val="single" w:color="auto"/>
          <w:color w:val="auto"/>
        </w:rPr>
        <w:t>Charged Amounts</w:t>
      </w:r>
      <w:r>
        <w:rPr>
          <w:rFonts w:ascii="Arial" w:cs="Arial" w:eastAsia="Arial" w:hAnsi="Arial"/>
          <w:sz w:val="17"/>
          <w:szCs w:val="17"/>
          <w:color w:val="auto"/>
        </w:rPr>
        <w:t>”), shall exceed the maximum lawful rate (the “</w:t>
      </w:r>
      <w:r>
        <w:rPr>
          <w:rFonts w:ascii="Arial" w:cs="Arial" w:eastAsia="Arial" w:hAnsi="Arial"/>
          <w:sz w:val="17"/>
          <w:szCs w:val="17"/>
          <w:u w:val="single" w:color="auto"/>
          <w:color w:val="auto"/>
        </w:rPr>
        <w:t>Maximum Rate</w:t>
      </w:r>
      <w:r>
        <w:rPr>
          <w:rFonts w:ascii="Arial" w:cs="Arial" w:eastAsia="Arial" w:hAnsi="Arial"/>
          <w:sz w:val="17"/>
          <w:szCs w:val="17"/>
          <w:color w:val="auto"/>
        </w:rPr>
        <w:t>”) which may be contracted for, charged, taken, received or reserved by the Lender or Issuing Bank holding such Loan or Letter of Credit in accordance with applicable Requirements of Law, the rate of interest payable in respect of such Loan or Letter of Credit hereunder, together with all Charged Amounts payable in respect thereof, shall be limited to the Maximum Rate and, to the extent lawful, the interest and Charged Amounts that would have been payable in respect of such Loan or Letter of Credit but were not payable as a result of the operation of this Section shall be cumulated and the interest and Charged Amounts payable to such Lender or Issuing Bank in respect of other Loans or Letters of Credit or periods shall be increased (but not above the Maximum Rate therefor) until such cumulated amount, together with interest thereon at the Federal Funds Effective Rate to the date of repayment, have been received by such Lender or Issuing Bank.</w:t>
      </w:r>
    </w:p>
    <w:p>
      <w:pPr>
        <w:spacing w:after="0" w:line="164" w:lineRule="exact"/>
        <w:rPr>
          <w:sz w:val="20"/>
          <w:szCs w:val="20"/>
          <w:color w:val="auto"/>
        </w:rPr>
      </w:pPr>
    </w:p>
    <w:p>
      <w:pPr>
        <w:jc w:val="both"/>
        <w:ind w:left="100" w:right="19" w:firstLine="749"/>
        <w:spacing w:after="0" w:line="233" w:lineRule="auto"/>
        <w:rPr>
          <w:sz w:val="20"/>
          <w:szCs w:val="20"/>
          <w:color w:val="auto"/>
        </w:rPr>
      </w:pPr>
      <w:r>
        <w:rPr>
          <w:rFonts w:ascii="Arial" w:cs="Arial" w:eastAsia="Arial" w:hAnsi="Arial"/>
          <w:sz w:val="19"/>
          <w:szCs w:val="19"/>
          <w:color w:val="auto"/>
        </w:rPr>
        <w:t xml:space="preserve">Section 9.20. </w:t>
      </w:r>
      <w:r>
        <w:rPr>
          <w:rFonts w:ascii="Arial" w:cs="Arial" w:eastAsia="Arial" w:hAnsi="Arial"/>
          <w:sz w:val="19"/>
          <w:szCs w:val="19"/>
          <w:u w:val="single" w:color="auto"/>
          <w:color w:val="auto"/>
        </w:rPr>
        <w:t>Intercreditor Agreements</w:t>
      </w:r>
      <w:r>
        <w:rPr>
          <w:rFonts w:ascii="Arial" w:cs="Arial" w:eastAsia="Arial" w:hAnsi="Arial"/>
          <w:sz w:val="19"/>
          <w:szCs w:val="19"/>
          <w:color w:val="auto"/>
        </w:rPr>
        <w:t xml:space="preserve">. REFERENCE IS MADE TO EACH INTERCREDITOR AGREEMENT. EACH SECURED PARTY HEREUNDER AGREES THAT IT WILL BE BOUND BY AND WILL TAKE NO ACTION CONTRARY TO THE PROVISIONS OF EACH INTERCREDITOR AGREEMENT AND AUTHORIZES AND INSTRUCTS THE ADMINISTRATIVE AGENT TO ENTER INTO EACH APPLICABLE INTERCREDITOR AGREEMENT AS “FIRST LIEN AGENT” (OR EQUIVALENT) AND ON BEHALF OF SUCH SECURED PARTY. THE PROVISIONS OF THIS </w:t>
      </w:r>
      <w:r>
        <w:rPr>
          <w:rFonts w:ascii="Arial" w:cs="Arial" w:eastAsia="Arial" w:hAnsi="Arial"/>
          <w:sz w:val="19"/>
          <w:szCs w:val="19"/>
          <w:u w:val="single" w:color="auto"/>
          <w:color w:val="auto"/>
        </w:rPr>
        <w:t>SECTION 9.20</w:t>
      </w:r>
      <w:r>
        <w:rPr>
          <w:rFonts w:ascii="Arial" w:cs="Arial" w:eastAsia="Arial" w:hAnsi="Arial"/>
          <w:sz w:val="19"/>
          <w:szCs w:val="19"/>
          <w:color w:val="auto"/>
        </w:rPr>
        <w:t xml:space="preserve"> ARE NOT INTENDED TO SUMMARIZE ALL RELEVANT PROVISIONS OF ANY INTERCREDITOR AGREEMENT. REFERENCE MUST BE MADE TO EACH INTERCREDITOR AGREEMENT ITSELF TO UNDERSTAND ALL TERMS AND CONDITIONS THEREOF. EACH</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203</w:t>
      </w:r>
      <w:r>
        <w:rPr>
          <w:rFonts w:ascii="Arial" w:cs="Arial" w:eastAsia="Arial" w:hAnsi="Arial"/>
          <w:sz w:val="18"/>
          <w:szCs w:val="18"/>
          <w:u w:val="single" w:color="auto"/>
          <w:color w:val="0000FF"/>
          <w:strike w:val="1"/>
        </w:rPr>
        <w:t>203</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71" w:name="page272"/>
    <w:bookmarkEnd w:id="271"/>
    <w:p>
      <w:pPr>
        <w:jc w:val="both"/>
        <w:ind w:left="100" w:right="19"/>
        <w:spacing w:after="0" w:line="247" w:lineRule="auto"/>
        <w:rPr>
          <w:sz w:val="20"/>
          <w:szCs w:val="20"/>
          <w:color w:val="auto"/>
        </w:rPr>
      </w:pPr>
      <w:r>
        <w:rPr>
          <w:rFonts w:ascii="Arial" w:cs="Arial" w:eastAsia="Arial" w:hAnsi="Arial"/>
          <w:sz w:val="18"/>
          <w:szCs w:val="18"/>
          <w:color w:val="auto"/>
        </w:rPr>
        <w:t>SECURED PARTY IS RESPONSIBLE FOR MAKING ITS OWN ANALYSIS AND REVIEW OF EACH INTERCREDITOR AGREEMENT AND THE TERMS AND PROVISIONS THEREOF, AND NEITHER THE ADMINISTRATIVE AGENT NOR ANY OF ITS AFFILIATES MAKES ANY REPRESENTATION TO ANY SECURED PARTY AS TO THE SUFFICIENCY OR ADVISABILITY OF THE PROVISIONS CONTAINED IN ANY INTERCREDITOR AGREEMENT. THE FOREGOING PROVISIONS ARE INTENDED AS AN INDUCEMENT TO THE LENDERS OR HOLDERS OF ANY OTHER INDEBTEDNESS SUBJECT TO ANY APPLICABLE INTERCREDITOR AGREEMENT TO EXTEND CREDIT THEREUNDER AND SUCH LENDERS AND/OR HOLDERS ARE INTENDED THIRD PARTY BENEFICIARIES OF SUCH PROVISIONS AND THE PROVISIONS OF EACH APPLICABLE INTERCREDITOR AGREEMENT.</w:t>
      </w:r>
    </w:p>
    <w:p>
      <w:pPr>
        <w:spacing w:after="0" w:line="172" w:lineRule="exact"/>
        <w:rPr>
          <w:sz w:val="20"/>
          <w:szCs w:val="20"/>
          <w:color w:val="auto"/>
        </w:rPr>
      </w:pPr>
    </w:p>
    <w:p>
      <w:pPr>
        <w:jc w:val="both"/>
        <w:ind w:left="100" w:right="19" w:firstLine="749"/>
        <w:spacing w:after="0" w:line="252" w:lineRule="auto"/>
        <w:rPr>
          <w:sz w:val="20"/>
          <w:szCs w:val="20"/>
          <w:color w:val="auto"/>
        </w:rPr>
      </w:pPr>
      <w:r>
        <w:rPr>
          <w:rFonts w:ascii="Arial" w:cs="Arial" w:eastAsia="Arial" w:hAnsi="Arial"/>
          <w:sz w:val="18"/>
          <w:szCs w:val="18"/>
          <w:color w:val="auto"/>
        </w:rPr>
        <w:t xml:space="preserve">Section 9.21. </w:t>
      </w:r>
      <w:r>
        <w:rPr>
          <w:rFonts w:ascii="Arial" w:cs="Arial" w:eastAsia="Arial" w:hAnsi="Arial"/>
          <w:sz w:val="18"/>
          <w:szCs w:val="18"/>
          <w:u w:val="single" w:color="auto"/>
          <w:color w:val="auto"/>
        </w:rPr>
        <w:t>Conflicts</w:t>
      </w:r>
      <w:r>
        <w:rPr>
          <w:rFonts w:ascii="Arial" w:cs="Arial" w:eastAsia="Arial" w:hAnsi="Arial"/>
          <w:sz w:val="18"/>
          <w:szCs w:val="18"/>
          <w:color w:val="auto"/>
        </w:rPr>
        <w:t xml:space="preserve">. Notwithstanding anything to the contrary contained herein or in any other Loan Document, in the event of any conflict or inconsistency between this Agreement and any other Loan Document, the terms of this Agreement shall govern and control;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conflict or inconsistency between any Intercreditor Agreement and any Loan Document, the terms of such Intercreditor Agreement shall govern and control.</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Section 9.22.  </w:t>
      </w:r>
      <w:r>
        <w:rPr>
          <w:rFonts w:ascii="Arial" w:cs="Arial" w:eastAsia="Arial" w:hAnsi="Arial"/>
          <w:sz w:val="19"/>
          <w:szCs w:val="19"/>
          <w:u w:val="single" w:color="auto"/>
          <w:color w:val="auto"/>
        </w:rPr>
        <w:t>Release of Guarantors</w:t>
      </w:r>
      <w:r>
        <w:rPr>
          <w:rFonts w:ascii="Arial" w:cs="Arial" w:eastAsia="Arial" w:hAnsi="Arial"/>
          <w:sz w:val="19"/>
          <w:szCs w:val="19"/>
          <w:color w:val="auto"/>
        </w:rPr>
        <w:t xml:space="preserve">. Notwithstanding anything in </w:t>
      </w:r>
      <w:r>
        <w:rPr>
          <w:rFonts w:ascii="Arial" w:cs="Arial" w:eastAsia="Arial" w:hAnsi="Arial"/>
          <w:sz w:val="19"/>
          <w:szCs w:val="19"/>
          <w:u w:val="single" w:color="auto"/>
          <w:color w:val="auto"/>
        </w:rPr>
        <w:t>Section 9.02(b)</w:t>
      </w:r>
      <w:r>
        <w:rPr>
          <w:rFonts w:ascii="Arial" w:cs="Arial" w:eastAsia="Arial" w:hAnsi="Arial"/>
          <w:sz w:val="19"/>
          <w:szCs w:val="19"/>
          <w:color w:val="auto"/>
        </w:rPr>
        <w:t xml:space="preserve"> to the contrary,</w:t>
      </w:r>
    </w:p>
    <w:p>
      <w:pPr>
        <w:jc w:val="both"/>
        <w:ind w:left="100" w:right="19" w:hanging="7"/>
        <w:spacing w:after="0" w:line="270" w:lineRule="auto"/>
        <w:tabs>
          <w:tab w:leader="none" w:pos="396" w:val="left"/>
        </w:tabs>
        <w:numPr>
          <w:ilvl w:val="0"/>
          <w:numId w:val="360"/>
        </w:numPr>
        <w:rPr>
          <w:rFonts w:ascii="Arial" w:cs="Arial" w:eastAsia="Arial" w:hAnsi="Arial"/>
          <w:sz w:val="17"/>
          <w:szCs w:val="17"/>
          <w:color w:val="auto"/>
        </w:rPr>
      </w:pPr>
      <w:r>
        <w:rPr>
          <w:rFonts w:ascii="Arial" w:cs="Arial" w:eastAsia="Arial" w:hAnsi="Arial"/>
          <w:sz w:val="17"/>
          <w:szCs w:val="17"/>
          <w:color w:val="auto"/>
        </w:rPr>
        <w:t xml:space="preserve">any Subsidiary Guarantor shall automatically be released from its obligations hereunder (and its Loan Guaranty and any Lien granted by such Subsidiary Guarantor pursuant to any Collateral Document shall be automatically released) (i) upon the consummation of any transaction or series of related transactions not prohibited hereunder if as a result thereof such Subsidiary Guarantor ceases to be a Restricted Subsidiary (or is or becomes an Excluded Subsidiary as a result of a single transaction or series of related transactions not prohibited hereunder), (ii) upon the occurrence of the Termination Date and/or (iii) in the case of any Discretionary Guarantor, at the election of the Borrower, upon notice from the Borrower to the Administrative Agent at any time and (b) any Subsidiary Guarantor that meets the definition of an “Excluded Subsidiary” shall be released by the Administrative Agent promptly following the request therefor by the Borrower, subject, if applicable, to the Specified Guarantor Release Provision. In connection with any such release, the Administrative Agent shall promptly execute and deliver to the relevant Loan Party, at such Loan Party’s expense, all documents that such Loan Party shall reasonably request to evidence termination or release;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the request of the Administrative Agent, the Borrower shall deliver a certificate of a Responsible Officer certifying that the relevant transaction has been consummated in compliance with the terms of this Agreement. Any execution and delivery of any document pursuant to the preceding sentence of this </w:t>
      </w:r>
      <w:r>
        <w:rPr>
          <w:rFonts w:ascii="Arial" w:cs="Arial" w:eastAsia="Arial" w:hAnsi="Arial"/>
          <w:sz w:val="17"/>
          <w:szCs w:val="17"/>
          <w:u w:val="single" w:color="auto"/>
          <w:color w:val="auto"/>
        </w:rPr>
        <w:t>Section 9.22</w:t>
      </w:r>
      <w:r>
        <w:rPr>
          <w:rFonts w:ascii="Arial" w:cs="Arial" w:eastAsia="Arial" w:hAnsi="Arial"/>
          <w:sz w:val="17"/>
          <w:szCs w:val="17"/>
          <w:color w:val="auto"/>
        </w:rPr>
        <w:t xml:space="preserve"> shall be without recourse to or warranty by the Administrative Agent (other than as to the Administrative Agent’s authority to execute and deliver such documents).</w:t>
      </w:r>
    </w:p>
    <w:p>
      <w:pPr>
        <w:spacing w:after="0" w:line="172" w:lineRule="exact"/>
        <w:rPr>
          <w:sz w:val="20"/>
          <w:szCs w:val="20"/>
          <w:color w:val="auto"/>
        </w:rPr>
      </w:pPr>
    </w:p>
    <w:p>
      <w:pPr>
        <w:ind w:left="100" w:right="139" w:firstLine="749"/>
        <w:spacing w:after="0" w:line="233" w:lineRule="auto"/>
        <w:rPr>
          <w:sz w:val="20"/>
          <w:szCs w:val="20"/>
          <w:color w:val="auto"/>
        </w:rPr>
      </w:pPr>
      <w:r>
        <w:rPr>
          <w:rFonts w:ascii="Arial" w:cs="Arial" w:eastAsia="Arial" w:hAnsi="Arial"/>
          <w:sz w:val="19"/>
          <w:szCs w:val="19"/>
          <w:color w:val="auto"/>
        </w:rPr>
        <w:t xml:space="preserve">Section 9.23. </w:t>
      </w:r>
      <w:r>
        <w:rPr>
          <w:rFonts w:ascii="Arial" w:cs="Arial" w:eastAsia="Arial" w:hAnsi="Arial"/>
          <w:sz w:val="19"/>
          <w:szCs w:val="19"/>
          <w:u w:val="single" w:color="auto"/>
          <w:color w:val="auto"/>
        </w:rPr>
        <w:t>Acknowledgement and Consent to Bail-In of Affected Financial Institutions</w:t>
      </w:r>
      <w:r>
        <w:rPr>
          <w:rFonts w:ascii="Arial" w:cs="Arial" w:eastAsia="Arial" w:hAnsi="Arial"/>
          <w:sz w:val="19"/>
          <w:szCs w:val="19"/>
          <w:color w:val="auto"/>
        </w:rPr>
        <w:t>. Notwithstanding anything to the contrary in any Loan Document or in any other agreement, arrangement or understanding of the parties hereto, each such party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1" w:lineRule="exact"/>
        <w:rPr>
          <w:sz w:val="20"/>
          <w:szCs w:val="20"/>
          <w:color w:val="auto"/>
        </w:rPr>
      </w:pPr>
    </w:p>
    <w:p>
      <w:pPr>
        <w:ind w:left="100" w:right="59" w:firstLine="742"/>
        <w:spacing w:after="0" w:line="289" w:lineRule="auto"/>
        <w:tabs>
          <w:tab w:leader="none" w:pos="152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49" w:lineRule="exact"/>
        <w:rPr>
          <w:rFonts w:ascii="Arial" w:cs="Arial" w:eastAsia="Arial" w:hAnsi="Arial"/>
          <w:sz w:val="18"/>
          <w:szCs w:val="18"/>
          <w:color w:val="auto"/>
        </w:rPr>
      </w:pPr>
    </w:p>
    <w:p>
      <w:pPr>
        <w:ind w:left="1600" w:hanging="758"/>
        <w:spacing w:after="0"/>
        <w:tabs>
          <w:tab w:leader="none" w:pos="1600" w:val="left"/>
        </w:tabs>
        <w:numPr>
          <w:ilvl w:val="0"/>
          <w:numId w:val="361"/>
        </w:numPr>
        <w:rPr>
          <w:rFonts w:ascii="Arial" w:cs="Arial" w:eastAsia="Arial" w:hAnsi="Arial"/>
          <w:sz w:val="19"/>
          <w:szCs w:val="19"/>
          <w:color w:val="auto"/>
        </w:rPr>
      </w:pPr>
      <w:r>
        <w:rPr>
          <w:rFonts w:ascii="Arial" w:cs="Arial" w:eastAsia="Arial" w:hAnsi="Arial"/>
          <w:sz w:val="19"/>
          <w:szCs w:val="19"/>
          <w:color w:val="auto"/>
        </w:rPr>
        <w:t>the effects of any Bail-In Action on any such liability, including, if applicable:</w:t>
      </w:r>
    </w:p>
    <w:p>
      <w:pPr>
        <w:spacing w:after="0" w:line="213" w:lineRule="exact"/>
        <w:rPr>
          <w:rFonts w:ascii="Arial" w:cs="Arial" w:eastAsia="Arial" w:hAnsi="Arial"/>
          <w:sz w:val="19"/>
          <w:szCs w:val="19"/>
          <w:color w:val="auto"/>
        </w:rPr>
      </w:pPr>
    </w:p>
    <w:p>
      <w:pPr>
        <w:ind w:left="2340" w:hanging="748"/>
        <w:spacing w:after="0"/>
        <w:tabs>
          <w:tab w:leader="none" w:pos="2340" w:val="left"/>
        </w:tabs>
        <w:numPr>
          <w:ilvl w:val="1"/>
          <w:numId w:val="361"/>
        </w:numPr>
        <w:rPr>
          <w:rFonts w:ascii="Arial" w:cs="Arial" w:eastAsia="Arial" w:hAnsi="Arial"/>
          <w:sz w:val="19"/>
          <w:szCs w:val="19"/>
          <w:color w:val="auto"/>
        </w:rPr>
      </w:pPr>
      <w:r>
        <w:rPr>
          <w:rFonts w:ascii="Arial" w:cs="Arial" w:eastAsia="Arial" w:hAnsi="Arial"/>
          <w:sz w:val="19"/>
          <w:szCs w:val="19"/>
          <w:color w:val="auto"/>
        </w:rPr>
        <w:t>a reduction in full or in part or cancellation of any such liability;</w:t>
      </w:r>
    </w:p>
    <w:p>
      <w:pPr>
        <w:spacing w:after="0" w:line="213" w:lineRule="exact"/>
        <w:rPr>
          <w:rFonts w:ascii="Arial" w:cs="Arial" w:eastAsia="Arial" w:hAnsi="Arial"/>
          <w:sz w:val="19"/>
          <w:szCs w:val="19"/>
          <w:color w:val="auto"/>
        </w:rPr>
      </w:pPr>
    </w:p>
    <w:p>
      <w:pPr>
        <w:ind w:left="840" w:right="419" w:firstLine="752"/>
        <w:spacing w:after="0" w:line="261" w:lineRule="auto"/>
        <w:tabs>
          <w:tab w:leader="none" w:pos="2366" w:val="left"/>
        </w:tabs>
        <w:numPr>
          <w:ilvl w:val="1"/>
          <w:numId w:val="361"/>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shares or other instruments of ownership in such Affected Financial Institution, its parent entity, or a bridge institution that may be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204</w:t>
      </w:r>
      <w:r>
        <w:rPr>
          <w:rFonts w:ascii="Arial" w:cs="Arial" w:eastAsia="Arial" w:hAnsi="Arial"/>
          <w:sz w:val="18"/>
          <w:szCs w:val="18"/>
          <w:u w:val="single" w:color="auto"/>
          <w:color w:val="0000FF"/>
          <w:strike w:val="1"/>
        </w:rPr>
        <w:t>204</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72" w:name="page273"/>
    <w:bookmarkEnd w:id="272"/>
    <w:p>
      <w:pPr>
        <w:ind w:left="840" w:right="79"/>
        <w:spacing w:after="0" w:line="289" w:lineRule="auto"/>
        <w:rPr>
          <w:sz w:val="20"/>
          <w:szCs w:val="20"/>
          <w:color w:val="auto"/>
        </w:rPr>
      </w:pPr>
      <w:r>
        <w:rPr>
          <w:rFonts w:ascii="Arial" w:cs="Arial" w:eastAsia="Arial" w:hAnsi="Arial"/>
          <w:sz w:val="18"/>
          <w:szCs w:val="18"/>
          <w:color w:val="auto"/>
        </w:rPr>
        <w:t>issued to it or otherwise conferred on it, and that such shares or other instruments of ownership will be accepted by it in lieu of any rights with respect to any such liability under this Agreement or any other Loan Document; or</w:t>
      </w:r>
    </w:p>
    <w:p>
      <w:pPr>
        <w:spacing w:after="0" w:line="136" w:lineRule="exact"/>
        <w:rPr>
          <w:sz w:val="20"/>
          <w:szCs w:val="20"/>
          <w:color w:val="auto"/>
        </w:rPr>
      </w:pPr>
    </w:p>
    <w:p>
      <w:pPr>
        <w:ind w:left="840" w:right="419" w:firstLine="751"/>
        <w:spacing w:after="0" w:line="261" w:lineRule="auto"/>
        <w:tabs>
          <w:tab w:leader="none" w:pos="2366" w:val="left"/>
        </w:tabs>
        <w:numPr>
          <w:ilvl w:val="0"/>
          <w:numId w:val="362"/>
        </w:numPr>
        <w:rPr>
          <w:rFonts w:ascii="Arial" w:cs="Arial" w:eastAsia="Arial" w:hAnsi="Arial"/>
          <w:sz w:val="19"/>
          <w:szCs w:val="19"/>
          <w:color w:val="auto"/>
        </w:rPr>
      </w:pPr>
      <w:r>
        <w:rPr>
          <w:rFonts w:ascii="Arial" w:cs="Arial" w:eastAsia="Arial" w:hAnsi="Arial"/>
          <w:sz w:val="19"/>
          <w:szCs w:val="19"/>
          <w:color w:val="auto"/>
        </w:rPr>
        <w:t>the variation of the terms of such liability in connection with the exercise of the Write-Down and Conversion Powers of the applicable Resolution Authority.</w:t>
      </w:r>
    </w:p>
    <w:p>
      <w:pPr>
        <w:spacing w:after="0" w:line="173" w:lineRule="exact"/>
        <w:rPr>
          <w:sz w:val="20"/>
          <w:szCs w:val="20"/>
          <w:color w:val="auto"/>
        </w:rPr>
      </w:pPr>
    </w:p>
    <w:p>
      <w:pPr>
        <w:jc w:val="both"/>
        <w:ind w:left="100" w:right="59" w:firstLine="749"/>
        <w:spacing w:after="0" w:line="241" w:lineRule="auto"/>
        <w:rPr>
          <w:sz w:val="20"/>
          <w:szCs w:val="20"/>
          <w:color w:val="auto"/>
        </w:rPr>
      </w:pPr>
      <w:r>
        <w:rPr>
          <w:rFonts w:ascii="Arial" w:cs="Arial" w:eastAsia="Arial" w:hAnsi="Arial"/>
          <w:sz w:val="19"/>
          <w:szCs w:val="19"/>
          <w:color w:val="auto"/>
        </w:rPr>
        <w:t xml:space="preserve">Section 9.24. </w:t>
      </w:r>
      <w:r>
        <w:rPr>
          <w:rFonts w:ascii="Arial" w:cs="Arial" w:eastAsia="Arial" w:hAnsi="Arial"/>
          <w:sz w:val="19"/>
          <w:szCs w:val="19"/>
          <w:u w:val="single" w:color="auto"/>
          <w:color w:val="auto"/>
        </w:rPr>
        <w:t>Certain ERISA Matters</w:t>
      </w:r>
      <w:r>
        <w:rPr>
          <w:rFonts w:ascii="Arial" w:cs="Arial" w:eastAsia="Arial" w:hAnsi="Arial"/>
          <w:sz w:val="19"/>
          <w:szCs w:val="19"/>
          <w:color w:val="auto"/>
        </w:rPr>
        <w:t>. Each Lender (x) represents and warrants, as of the date such Person became a Lender party hereto, to, and (y) covenants, from the date such Person became a Lender party hereto to the date such Person ceases being a Lender party hereto, that at least one of the following is and will be true:</w:t>
      </w:r>
    </w:p>
    <w:p>
      <w:pPr>
        <w:spacing w:after="0" w:line="179" w:lineRule="exact"/>
        <w:rPr>
          <w:sz w:val="20"/>
          <w:szCs w:val="20"/>
          <w:color w:val="auto"/>
        </w:rPr>
      </w:pPr>
    </w:p>
    <w:p>
      <w:pPr>
        <w:jc w:val="both"/>
        <w:ind w:left="100" w:right="59" w:firstLine="741"/>
        <w:spacing w:after="0" w:line="249" w:lineRule="auto"/>
        <w:tabs>
          <w:tab w:leader="none" w:pos="1519" w:val="left"/>
        </w:tabs>
        <w:numPr>
          <w:ilvl w:val="1"/>
          <w:numId w:val="363"/>
        </w:numPr>
        <w:rPr>
          <w:rFonts w:ascii="Arial" w:cs="Arial" w:eastAsia="Arial" w:hAnsi="Arial"/>
          <w:sz w:val="19"/>
          <w:szCs w:val="19"/>
          <w:color w:val="auto"/>
        </w:rPr>
      </w:pPr>
      <w:r>
        <w:rPr>
          <w:rFonts w:ascii="Arial" w:cs="Arial" w:eastAsia="Arial" w:hAnsi="Arial"/>
          <w:sz w:val="19"/>
          <w:szCs w:val="19"/>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83" w:lineRule="exact"/>
        <w:rPr>
          <w:rFonts w:ascii="Arial" w:cs="Arial" w:eastAsia="Arial" w:hAnsi="Arial"/>
          <w:sz w:val="19"/>
          <w:szCs w:val="19"/>
          <w:color w:val="auto"/>
        </w:rPr>
      </w:pPr>
    </w:p>
    <w:p>
      <w:pPr>
        <w:jc w:val="both"/>
        <w:ind w:left="100" w:right="19" w:firstLine="741"/>
        <w:spacing w:after="0" w:line="243" w:lineRule="auto"/>
        <w:tabs>
          <w:tab w:leader="none" w:pos="1522" w:val="left"/>
        </w:tabs>
        <w:numPr>
          <w:ilvl w:val="1"/>
          <w:numId w:val="363"/>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92" w:lineRule="exact"/>
        <w:rPr>
          <w:rFonts w:ascii="Arial" w:cs="Arial" w:eastAsia="Arial" w:hAnsi="Arial"/>
          <w:sz w:val="19"/>
          <w:szCs w:val="19"/>
          <w:color w:val="auto"/>
        </w:rPr>
      </w:pPr>
    </w:p>
    <w:p>
      <w:pPr>
        <w:jc w:val="both"/>
        <w:ind w:left="100" w:right="39" w:firstLine="741"/>
        <w:spacing w:after="0" w:line="271" w:lineRule="auto"/>
        <w:tabs>
          <w:tab w:leader="none" w:pos="1521" w:val="left"/>
        </w:tabs>
        <w:numPr>
          <w:ilvl w:val="1"/>
          <w:numId w:val="363"/>
        </w:numPr>
        <w:rPr>
          <w:rFonts w:ascii="Arial" w:cs="Arial" w:eastAsia="Arial" w:hAnsi="Arial"/>
          <w:sz w:val="17"/>
          <w:szCs w:val="17"/>
          <w:color w:val="auto"/>
        </w:rPr>
      </w:pPr>
      <w:r>
        <w:rPr>
          <w:rFonts w:ascii="Arial" w:cs="Arial" w:eastAsia="Arial" w:hAnsi="Arial"/>
          <w:sz w:val="17"/>
          <w:szCs w:val="17"/>
          <w:color w:val="auto"/>
        </w:rPr>
        <w:t>(i) such Lender is an investment fund managed by a “Qualified Professional Asset Manager” (within the meaning of Part VI of PTE 84-14), (ii) such Qualified Professional Asset Manager made the investment decision on behalf of such Lender to enter into, participate in, administer and perform the Loans, the Letters of Credit, the Commitments and this Agreement,</w:t>
      </w:r>
    </w:p>
    <w:p>
      <w:pPr>
        <w:spacing w:after="0" w:line="1" w:lineRule="exact"/>
        <w:rPr>
          <w:rFonts w:ascii="Arial" w:cs="Arial" w:eastAsia="Arial" w:hAnsi="Arial"/>
          <w:sz w:val="17"/>
          <w:szCs w:val="17"/>
          <w:color w:val="auto"/>
        </w:rPr>
      </w:pPr>
    </w:p>
    <w:p>
      <w:pPr>
        <w:jc w:val="both"/>
        <w:ind w:left="100" w:right="39" w:hanging="7"/>
        <w:spacing w:after="0" w:line="277" w:lineRule="auto"/>
        <w:tabs>
          <w:tab w:leader="none" w:pos="434" w:val="left"/>
        </w:tabs>
        <w:numPr>
          <w:ilvl w:val="0"/>
          <w:numId w:val="364"/>
        </w:numPr>
        <w:rPr>
          <w:rFonts w:ascii="Arial" w:cs="Arial" w:eastAsia="Arial" w:hAnsi="Arial"/>
          <w:sz w:val="17"/>
          <w:szCs w:val="17"/>
          <w:color w:val="auto"/>
        </w:rPr>
      </w:pPr>
      <w:r>
        <w:rPr>
          <w:rFonts w:ascii="Arial" w:cs="Arial" w:eastAsia="Arial" w:hAnsi="Arial"/>
          <w:sz w:val="17"/>
          <w:szCs w:val="17"/>
          <w:color w:val="auto"/>
        </w:rPr>
        <w:t>the entrance into, participation in, administration of and performance of the Loans, the Letters of Credit, the Commitments and this Agreement satisfies the requirements of sub-sections (b) through (g) of Part I of PTE 84-14 and (iv)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61" w:lineRule="exact"/>
        <w:rPr>
          <w:rFonts w:ascii="Arial" w:cs="Arial" w:eastAsia="Arial" w:hAnsi="Arial"/>
          <w:sz w:val="17"/>
          <w:szCs w:val="17"/>
          <w:color w:val="auto"/>
        </w:rPr>
      </w:pPr>
    </w:p>
    <w:p>
      <w:pPr>
        <w:ind w:left="100" w:right="59" w:firstLine="741"/>
        <w:spacing w:after="0" w:line="276" w:lineRule="auto"/>
        <w:tabs>
          <w:tab w:leader="none" w:pos="1519" w:val="left"/>
        </w:tabs>
        <w:numPr>
          <w:ilvl w:val="1"/>
          <w:numId w:val="364"/>
        </w:numPr>
        <w:rPr>
          <w:rFonts w:ascii="Arial" w:cs="Arial" w:eastAsia="Arial" w:hAnsi="Arial"/>
          <w:sz w:val="19"/>
          <w:szCs w:val="19"/>
          <w:color w:val="auto"/>
        </w:rPr>
      </w:pPr>
      <w:r>
        <w:rPr>
          <w:rFonts w:ascii="Arial" w:cs="Arial" w:eastAsia="Arial" w:hAnsi="Arial"/>
          <w:sz w:val="19"/>
          <w:szCs w:val="19"/>
          <w:color w:val="auto"/>
        </w:rPr>
        <w:t>such other representation, warranty and covenant as may be agreed in writing between the Administrative Agent, in its sole discretion, and such Lender.</w:t>
      </w:r>
    </w:p>
    <w:p>
      <w:pPr>
        <w:spacing w:after="0" w:line="159" w:lineRule="exact"/>
        <w:rPr>
          <w:sz w:val="20"/>
          <w:szCs w:val="20"/>
          <w:color w:val="auto"/>
        </w:rPr>
      </w:pPr>
    </w:p>
    <w:p>
      <w:pPr>
        <w:jc w:val="both"/>
        <w:ind w:left="100" w:right="39"/>
        <w:spacing w:after="0" w:line="257" w:lineRule="auto"/>
        <w:rPr>
          <w:sz w:val="20"/>
          <w:szCs w:val="20"/>
          <w:color w:val="auto"/>
        </w:rPr>
      </w:pPr>
      <w:r>
        <w:rPr>
          <w:rFonts w:ascii="Arial" w:cs="Arial" w:eastAsia="Arial" w:hAnsi="Arial"/>
          <w:sz w:val="17"/>
          <w:szCs w:val="17"/>
          <w:color w:val="auto"/>
        </w:rPr>
        <w:t>In addition, unless either (1) sub-clause (i) in the immediately preceding paragraph is true with respect to a Lender or (2) a Lender has provided another representation, warranty and covenant in accordance with sub-clause (iv) in the immediately preceding paragraph,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 To the extent the Administrative Agent (or any sub-agent thereof), any Issuing Bank or any Related Party of any of the foregoing is not reimbursed and indemnified by the Borrower, the Lenders severally agree to reimburse and indemnify the Administrative Agent (or any such sub-agent), such Issuing Bank or such Related Party, as the case may be, in proportion to their respective “pro rata shares” (determined as set forth below) for and against any and all liabilities, obligations, losses, damages, penalties, claims,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205</w:t>
      </w:r>
      <w:r>
        <w:rPr>
          <w:rFonts w:ascii="Arial" w:cs="Arial" w:eastAsia="Arial" w:hAnsi="Arial"/>
          <w:sz w:val="18"/>
          <w:szCs w:val="18"/>
          <w:u w:val="single" w:color="auto"/>
          <w:color w:val="0000FF"/>
          <w:strike w:val="1"/>
        </w:rPr>
        <w:t>205</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73" w:name="page274"/>
    <w:bookmarkEnd w:id="273"/>
    <w:p>
      <w:pPr>
        <w:jc w:val="both"/>
        <w:ind w:left="100" w:right="59"/>
        <w:spacing w:after="0" w:line="245" w:lineRule="auto"/>
        <w:rPr>
          <w:sz w:val="20"/>
          <w:szCs w:val="20"/>
          <w:color w:val="auto"/>
        </w:rPr>
      </w:pPr>
      <w:r>
        <w:rPr>
          <w:rFonts w:ascii="Arial" w:cs="Arial" w:eastAsia="Arial" w:hAnsi="Arial"/>
          <w:sz w:val="18"/>
          <w:szCs w:val="18"/>
          <w:color w:val="auto"/>
        </w:rPr>
        <w:t>actions, judgments, costs, expenses or disbursements of whatsoever kind or nature which may be imposed on, asserted against or incurred by the Administrative Agent (or such sub-agent), such Issuing Bank or such Related Party in performing its duties hereunder or under any other Loan Document or in any way relating to or arising out of this Agreement or any other Loan Document; provided, that no Lender shall be liable for any portion of such liabilities, obligations, losses, damages, penalties, claims, actions, judgments, suits, costs, expenses or disbursements resulting from the Administrative Agent’s, such Issuing Bank’s or such Related Party’s, as applicable, gross negligence or willful misconduct (as determined by a court of competent jurisdiction in a final and non-appealable decision). For purposes of this paragraph, a Lender’s “pro rata share” shall be determined based upon its share of the sum of, without duplication, the total Revolving Credit Exposures, unused Commitments and outstanding Loans, in each case, at the time (or most recently outstanding and in effect).</w:t>
      </w:r>
    </w:p>
    <w:p>
      <w:pPr>
        <w:spacing w:after="0" w:line="177" w:lineRule="exact"/>
        <w:rPr>
          <w:sz w:val="20"/>
          <w:szCs w:val="20"/>
          <w:color w:val="auto"/>
        </w:rPr>
      </w:pPr>
    </w:p>
    <w:p>
      <w:pPr>
        <w:jc w:val="both"/>
        <w:ind w:left="100" w:right="59" w:firstLine="749"/>
        <w:spacing w:after="0" w:line="242" w:lineRule="auto"/>
        <w:rPr>
          <w:sz w:val="20"/>
          <w:szCs w:val="20"/>
          <w:color w:val="auto"/>
        </w:rPr>
      </w:pPr>
      <w:r>
        <w:rPr>
          <w:rFonts w:ascii="Arial" w:cs="Arial" w:eastAsia="Arial" w:hAnsi="Arial"/>
          <w:sz w:val="18"/>
          <w:szCs w:val="18"/>
          <w:color w:val="auto"/>
        </w:rPr>
        <w:t xml:space="preserve">Section 9.25. </w:t>
      </w:r>
      <w:r>
        <w:rPr>
          <w:rFonts w:ascii="Arial" w:cs="Arial" w:eastAsia="Arial" w:hAnsi="Arial"/>
          <w:sz w:val="18"/>
          <w:szCs w:val="18"/>
          <w:u w:val="single" w:color="auto"/>
          <w:color w:val="auto"/>
        </w:rPr>
        <w:t>Judgment Currency</w:t>
      </w:r>
      <w:r>
        <w:rPr>
          <w:rFonts w:ascii="Arial" w:cs="Arial" w:eastAsia="Arial" w:hAnsi="Arial"/>
          <w:sz w:val="18"/>
          <w:szCs w:val="18"/>
          <w:color w:val="auto"/>
        </w:rPr>
        <w:t>. If, for the purpose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the Lenders hereunder or under the other Loan Documents shall, notwithstanding any judgment in a currency (the “</w:t>
      </w:r>
      <w:r>
        <w:rPr>
          <w:rFonts w:ascii="Arial" w:cs="Arial" w:eastAsia="Arial" w:hAnsi="Arial"/>
          <w:sz w:val="18"/>
          <w:szCs w:val="18"/>
          <w:u w:val="single" w:color="auto"/>
          <w:color w:val="auto"/>
        </w:rPr>
        <w:t>Judgment Currency</w:t>
      </w:r>
      <w:r>
        <w:rPr>
          <w:rFonts w:ascii="Arial" w:cs="Arial" w:eastAsia="Arial" w:hAnsi="Arial"/>
          <w:sz w:val="18"/>
          <w:szCs w:val="18"/>
          <w:color w:val="auto"/>
        </w:rPr>
        <w:t>”) other than that in which such sum is denominated in accordance with the applicable provisions of this Agreement (the “</w:t>
      </w:r>
      <w:r>
        <w:rPr>
          <w:rFonts w:ascii="Arial" w:cs="Arial" w:eastAsia="Arial" w:hAnsi="Arial"/>
          <w:sz w:val="18"/>
          <w:szCs w:val="18"/>
          <w:u w:val="single" w:color="auto"/>
          <w:color w:val="auto"/>
        </w:rPr>
        <w:t>Agreement Currency</w:t>
      </w:r>
      <w:r>
        <w:rPr>
          <w:rFonts w:ascii="Arial" w:cs="Arial" w:eastAsia="Arial" w:hAnsi="Arial"/>
          <w:sz w:val="18"/>
          <w:szCs w:val="18"/>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Borrower in the Agreement Currency, the Borrower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the Borrower (or to any other Person who may be entitled thereto under applicable Requirements of Law).</w:t>
      </w:r>
    </w:p>
    <w:p>
      <w:pPr>
        <w:spacing w:after="0" w:line="190" w:lineRule="exact"/>
        <w:rPr>
          <w:sz w:val="20"/>
          <w:szCs w:val="20"/>
          <w:color w:val="auto"/>
        </w:rPr>
      </w:pPr>
    </w:p>
    <w:p>
      <w:pPr>
        <w:jc w:val="both"/>
        <w:ind w:left="100" w:right="39" w:firstLine="749"/>
        <w:spacing w:after="0" w:line="244" w:lineRule="auto"/>
        <w:rPr>
          <w:sz w:val="20"/>
          <w:szCs w:val="20"/>
          <w:color w:val="auto"/>
        </w:rPr>
      </w:pPr>
      <w:r>
        <w:rPr>
          <w:rFonts w:ascii="Arial" w:cs="Arial" w:eastAsia="Arial" w:hAnsi="Arial"/>
          <w:sz w:val="18"/>
          <w:szCs w:val="18"/>
          <w:color w:val="auto"/>
        </w:rPr>
        <w:t xml:space="preserve">Section 9.26. </w:t>
      </w:r>
      <w:r>
        <w:rPr>
          <w:rFonts w:ascii="Arial" w:cs="Arial" w:eastAsia="Arial" w:hAnsi="Arial"/>
          <w:sz w:val="18"/>
          <w:szCs w:val="18"/>
          <w:u w:val="single" w:color="auto"/>
          <w:color w:val="auto"/>
        </w:rPr>
        <w:t>Acknowledgement Regarding Any Supported QFCs.</w:t>
      </w:r>
      <w:r>
        <w:rPr>
          <w:rFonts w:ascii="Arial" w:cs="Arial" w:eastAsia="Arial" w:hAnsi="Arial"/>
          <w:sz w:val="18"/>
          <w:szCs w:val="18"/>
          <w:color w:val="auto"/>
        </w:rPr>
        <w:t xml:space="preserve"> To the extent that the Loan Documents provide support, through a guarantee or otherwise, for Derivative Transactions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w:t>
      </w:r>
      <w:r>
        <w:rPr>
          <w:rFonts w:ascii="Arial" w:cs="Arial" w:eastAsia="Arial" w:hAnsi="Arial"/>
          <w:sz w:val="18"/>
          <w:szCs w:val="18"/>
          <w:color w:val="auto"/>
        </w:rPr>
        <w:t xml:space="preserve"> </w:t>
      </w:r>
      <w:r>
        <w:rPr>
          <w:rFonts w:ascii="Arial" w:cs="Arial" w:eastAsia="Arial" w:hAnsi="Arial"/>
          <w:sz w:val="18"/>
          <w:szCs w:val="18"/>
          <w:u w:val="single" w:color="auto"/>
          <w:color w:val="auto"/>
        </w:rPr>
        <w:t>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US or any other state of the US):</w:t>
      </w:r>
    </w:p>
    <w:p>
      <w:pPr>
        <w:spacing w:after="0" w:line="180" w:lineRule="exact"/>
        <w:rPr>
          <w:sz w:val="20"/>
          <w:szCs w:val="20"/>
          <w:color w:val="auto"/>
        </w:rPr>
      </w:pPr>
    </w:p>
    <w:p>
      <w:pPr>
        <w:jc w:val="both"/>
        <w:ind w:left="100" w:right="19" w:firstLine="742"/>
        <w:spacing w:after="0" w:line="255" w:lineRule="auto"/>
        <w:tabs>
          <w:tab w:leader="none" w:pos="1522" w:val="left"/>
        </w:tabs>
        <w:numPr>
          <w:ilvl w:val="0"/>
          <w:numId w:val="365"/>
        </w:numPr>
        <w:rPr>
          <w:rFonts w:ascii="Arial" w:cs="Arial" w:eastAsia="Arial" w:hAnsi="Arial"/>
          <w:sz w:val="18"/>
          <w:szCs w:val="18"/>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US or a state of the US.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US or a state of the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206</w:t>
      </w:r>
      <w:r>
        <w:rPr>
          <w:rFonts w:ascii="Arial" w:cs="Arial" w:eastAsia="Arial" w:hAnsi="Arial"/>
          <w:sz w:val="18"/>
          <w:szCs w:val="18"/>
          <w:u w:val="single" w:color="auto"/>
          <w:color w:val="0000FF"/>
          <w:strike w:val="1"/>
        </w:rPr>
        <w:t>206</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74" w:name="page275"/>
    <w:bookmarkEnd w:id="274"/>
    <w:p>
      <w:pPr>
        <w:jc w:val="both"/>
        <w:ind w:left="100" w:right="79"/>
        <w:spacing w:after="0" w:line="241" w:lineRule="auto"/>
        <w:rPr>
          <w:sz w:val="20"/>
          <w:szCs w:val="20"/>
          <w:color w:val="auto"/>
        </w:rPr>
      </w:pPr>
      <w:r>
        <w:rPr>
          <w:rFonts w:ascii="Arial" w:cs="Arial" w:eastAsia="Arial" w:hAnsi="Arial"/>
          <w:sz w:val="19"/>
          <w:szCs w:val="19"/>
          <w:color w:val="auto"/>
        </w:rPr>
        <w:t>US.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9" w:lineRule="exact"/>
        <w:rPr>
          <w:sz w:val="20"/>
          <w:szCs w:val="20"/>
          <w:color w:val="auto"/>
        </w:rPr>
      </w:pPr>
    </w:p>
    <w:p>
      <w:pPr>
        <w:ind w:left="1600" w:hanging="758"/>
        <w:spacing w:after="0"/>
        <w:tabs>
          <w:tab w:leader="none" w:pos="1600" w:val="left"/>
        </w:tabs>
        <w:numPr>
          <w:ilvl w:val="0"/>
          <w:numId w:val="366"/>
        </w:numPr>
        <w:rPr>
          <w:rFonts w:ascii="Arial" w:cs="Arial" w:eastAsia="Arial" w:hAnsi="Arial"/>
          <w:sz w:val="19"/>
          <w:szCs w:val="19"/>
          <w:color w:val="auto"/>
        </w:rPr>
      </w:pPr>
      <w:r>
        <w:rPr>
          <w:rFonts w:ascii="Arial" w:cs="Arial" w:eastAsia="Arial" w:hAnsi="Arial"/>
          <w:sz w:val="19"/>
          <w:szCs w:val="19"/>
          <w:color w:val="auto"/>
        </w:rPr>
        <w:t xml:space="preserve">As used in this </w:t>
      </w:r>
      <w:r>
        <w:rPr>
          <w:rFonts w:ascii="Arial" w:cs="Arial" w:eastAsia="Arial" w:hAnsi="Arial"/>
          <w:sz w:val="19"/>
          <w:szCs w:val="19"/>
          <w:u w:val="single" w:color="auto"/>
          <w:color w:val="auto"/>
        </w:rPr>
        <w:t>Section 9.26</w:t>
      </w:r>
      <w:r>
        <w:rPr>
          <w:rFonts w:ascii="Arial" w:cs="Arial" w:eastAsia="Arial" w:hAnsi="Arial"/>
          <w:sz w:val="19"/>
          <w:szCs w:val="19"/>
          <w:color w:val="auto"/>
        </w:rPr>
        <w:t>, the following terms have the following meanings:</w:t>
      </w:r>
    </w:p>
    <w:p>
      <w:pPr>
        <w:spacing w:after="0" w:line="213" w:lineRule="exact"/>
        <w:rPr>
          <w:rFonts w:ascii="Arial" w:cs="Arial" w:eastAsia="Arial" w:hAnsi="Arial"/>
          <w:sz w:val="19"/>
          <w:szCs w:val="19"/>
          <w:color w:val="auto"/>
        </w:rPr>
      </w:pPr>
    </w:p>
    <w:p>
      <w:pPr>
        <w:ind w:left="1600" w:right="399"/>
        <w:spacing w:after="0" w:line="261" w:lineRule="auto"/>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BHC ACT Affiliate</w:t>
      </w:r>
      <w:r>
        <w:rPr>
          <w:rFonts w:ascii="Arial" w:cs="Arial" w:eastAsia="Arial" w:hAnsi="Arial"/>
          <w:sz w:val="19"/>
          <w:szCs w:val="19"/>
          <w:color w:val="auto"/>
        </w:rPr>
        <w:t>” means an “affiliate” (as defined under, and interpreted in accordance with, 12 U.S.C. 1841(k)).</w:t>
      </w:r>
    </w:p>
    <w:p>
      <w:pPr>
        <w:spacing w:after="0" w:line="159" w:lineRule="exact"/>
        <w:rPr>
          <w:rFonts w:ascii="Arial" w:cs="Arial" w:eastAsia="Arial" w:hAnsi="Arial"/>
          <w:sz w:val="19"/>
          <w:szCs w:val="19"/>
          <w:color w:val="auto"/>
        </w:rPr>
      </w:pPr>
    </w:p>
    <w:p>
      <w:pPr>
        <w:ind w:left="1600"/>
        <w:spacing w:after="0"/>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Entity</w:t>
      </w:r>
      <w:r>
        <w:rPr>
          <w:rFonts w:ascii="Arial" w:cs="Arial" w:eastAsia="Arial" w:hAnsi="Arial"/>
          <w:sz w:val="19"/>
          <w:szCs w:val="19"/>
          <w:color w:val="auto"/>
        </w:rPr>
        <w:t>” means any of the following:</w:t>
      </w:r>
    </w:p>
    <w:p>
      <w:pPr>
        <w:spacing w:after="0" w:line="200" w:lineRule="exact"/>
        <w:rPr>
          <w:sz w:val="20"/>
          <w:szCs w:val="20"/>
          <w:color w:val="auto"/>
        </w:rPr>
      </w:pPr>
    </w:p>
    <w:p>
      <w:pPr>
        <w:ind w:left="2340" w:hanging="748"/>
        <w:spacing w:after="0"/>
        <w:tabs>
          <w:tab w:leader="none" w:pos="2340" w:val="left"/>
        </w:tabs>
        <w:numPr>
          <w:ilvl w:val="0"/>
          <w:numId w:val="367"/>
        </w:numPr>
        <w:rPr>
          <w:rFonts w:ascii="Arial" w:cs="Arial" w:eastAsia="Arial" w:hAnsi="Arial"/>
          <w:sz w:val="19"/>
          <w:szCs w:val="19"/>
          <w:color w:val="auto"/>
        </w:rPr>
      </w:pPr>
      <w:r>
        <w:rPr>
          <w:rFonts w:ascii="Arial" w:cs="Arial" w:eastAsia="Arial" w:hAnsi="Arial"/>
          <w:sz w:val="19"/>
          <w:szCs w:val="19"/>
          <w:color w:val="auto"/>
        </w:rPr>
        <w:t>a “covered entity” as that term is defined in, and interpreted in accordance with, 12</w:t>
      </w:r>
    </w:p>
    <w:p>
      <w:pPr>
        <w:spacing w:after="0" w:line="13" w:lineRule="exact"/>
        <w:rPr>
          <w:rFonts w:ascii="Arial" w:cs="Arial" w:eastAsia="Arial" w:hAnsi="Arial"/>
          <w:sz w:val="19"/>
          <w:szCs w:val="19"/>
          <w:color w:val="auto"/>
        </w:rPr>
      </w:pPr>
    </w:p>
    <w:p>
      <w:pPr>
        <w:ind w:left="840"/>
        <w:spacing w:after="0"/>
        <w:rPr>
          <w:rFonts w:ascii="Arial" w:cs="Arial" w:eastAsia="Arial" w:hAnsi="Arial"/>
          <w:sz w:val="19"/>
          <w:szCs w:val="19"/>
          <w:color w:val="auto"/>
        </w:rPr>
      </w:pPr>
      <w:r>
        <w:rPr>
          <w:rFonts w:ascii="Arial" w:cs="Arial" w:eastAsia="Arial" w:hAnsi="Arial"/>
          <w:sz w:val="19"/>
          <w:szCs w:val="19"/>
          <w:color w:val="auto"/>
        </w:rPr>
        <w:t>C.F.R. § 252.82(b);</w:t>
      </w:r>
    </w:p>
    <w:p>
      <w:pPr>
        <w:spacing w:after="0" w:line="197" w:lineRule="exact"/>
        <w:rPr>
          <w:rFonts w:ascii="Arial" w:cs="Arial" w:eastAsia="Arial" w:hAnsi="Arial"/>
          <w:sz w:val="19"/>
          <w:szCs w:val="19"/>
          <w:color w:val="auto"/>
        </w:rPr>
      </w:pPr>
    </w:p>
    <w:p>
      <w:pPr>
        <w:ind w:left="2340" w:hanging="748"/>
        <w:spacing w:after="0"/>
        <w:tabs>
          <w:tab w:leader="none" w:pos="2340" w:val="left"/>
        </w:tabs>
        <w:numPr>
          <w:ilvl w:val="0"/>
          <w:numId w:val="367"/>
        </w:numPr>
        <w:rPr>
          <w:rFonts w:ascii="Arial" w:cs="Arial" w:eastAsia="Arial" w:hAnsi="Arial"/>
          <w:sz w:val="19"/>
          <w:szCs w:val="19"/>
          <w:color w:val="auto"/>
        </w:rPr>
      </w:pPr>
      <w:r>
        <w:rPr>
          <w:rFonts w:ascii="Arial" w:cs="Arial" w:eastAsia="Arial" w:hAnsi="Arial"/>
          <w:sz w:val="19"/>
          <w:szCs w:val="19"/>
          <w:color w:val="auto"/>
        </w:rPr>
        <w:t>a “covered bank” as that term is defined in, and interpreted in accordance with, 12</w:t>
      </w:r>
    </w:p>
    <w:p>
      <w:pPr>
        <w:spacing w:after="0" w:line="13" w:lineRule="exact"/>
        <w:rPr>
          <w:rFonts w:ascii="Arial" w:cs="Arial" w:eastAsia="Arial" w:hAnsi="Arial"/>
          <w:sz w:val="19"/>
          <w:szCs w:val="19"/>
          <w:color w:val="auto"/>
        </w:rPr>
      </w:pPr>
    </w:p>
    <w:p>
      <w:pPr>
        <w:ind w:left="840"/>
        <w:spacing w:after="0"/>
        <w:rPr>
          <w:rFonts w:ascii="Arial" w:cs="Arial" w:eastAsia="Arial" w:hAnsi="Arial"/>
          <w:sz w:val="19"/>
          <w:szCs w:val="19"/>
          <w:color w:val="auto"/>
        </w:rPr>
      </w:pPr>
      <w:r>
        <w:rPr>
          <w:rFonts w:ascii="Arial" w:cs="Arial" w:eastAsia="Arial" w:hAnsi="Arial"/>
          <w:sz w:val="19"/>
          <w:szCs w:val="19"/>
          <w:color w:val="auto"/>
        </w:rPr>
        <w:t>C.F.R. § 47.3(b); or</w:t>
      </w:r>
    </w:p>
    <w:p>
      <w:pPr>
        <w:spacing w:after="0" w:line="184" w:lineRule="exact"/>
        <w:rPr>
          <w:rFonts w:ascii="Arial" w:cs="Arial" w:eastAsia="Arial" w:hAnsi="Arial"/>
          <w:sz w:val="19"/>
          <w:szCs w:val="19"/>
          <w:color w:val="auto"/>
        </w:rPr>
      </w:pPr>
    </w:p>
    <w:p>
      <w:pPr>
        <w:ind w:left="2340" w:hanging="748"/>
        <w:spacing w:after="0"/>
        <w:tabs>
          <w:tab w:leader="none" w:pos="2340" w:val="left"/>
        </w:tabs>
        <w:numPr>
          <w:ilvl w:val="0"/>
          <w:numId w:val="367"/>
        </w:numPr>
        <w:rPr>
          <w:rFonts w:ascii="Arial" w:cs="Arial" w:eastAsia="Arial" w:hAnsi="Arial"/>
          <w:sz w:val="19"/>
          <w:szCs w:val="19"/>
          <w:color w:val="auto"/>
        </w:rPr>
      </w:pPr>
      <w:r>
        <w:rPr>
          <w:rFonts w:ascii="Arial" w:cs="Arial" w:eastAsia="Arial" w:hAnsi="Arial"/>
          <w:sz w:val="19"/>
          <w:szCs w:val="19"/>
          <w:color w:val="auto"/>
        </w:rPr>
        <w:t>a “covered FSI” as that term is defined in, and interpreted in accordance with, 12</w:t>
      </w:r>
    </w:p>
    <w:p>
      <w:pPr>
        <w:spacing w:after="0" w:line="13" w:lineRule="exact"/>
        <w:rPr>
          <w:rFonts w:ascii="Arial" w:cs="Arial" w:eastAsia="Arial" w:hAnsi="Arial"/>
          <w:sz w:val="19"/>
          <w:szCs w:val="19"/>
          <w:color w:val="auto"/>
        </w:rPr>
      </w:pPr>
    </w:p>
    <w:p>
      <w:pPr>
        <w:ind w:left="840"/>
        <w:spacing w:after="0"/>
        <w:rPr>
          <w:rFonts w:ascii="Arial" w:cs="Arial" w:eastAsia="Arial" w:hAnsi="Arial"/>
          <w:sz w:val="19"/>
          <w:szCs w:val="19"/>
          <w:color w:val="auto"/>
        </w:rPr>
      </w:pPr>
      <w:r>
        <w:rPr>
          <w:rFonts w:ascii="Arial" w:cs="Arial" w:eastAsia="Arial" w:hAnsi="Arial"/>
          <w:sz w:val="19"/>
          <w:szCs w:val="19"/>
          <w:color w:val="auto"/>
        </w:rPr>
        <w:t>C.F.R. § 382.2(b).</w:t>
      </w:r>
    </w:p>
    <w:p>
      <w:pPr>
        <w:spacing w:after="0" w:line="184"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Right</w:t>
      </w:r>
      <w:r>
        <w:rPr>
          <w:rFonts w:ascii="Arial" w:cs="Arial" w:eastAsia="Arial" w:hAnsi="Arial"/>
          <w:sz w:val="17"/>
          <w:szCs w:val="17"/>
          <w:color w:val="auto"/>
        </w:rPr>
        <w:t>” has the meaning assigned to that term in, and shall be interpreted in accordance with, 12 C.F.R.</w:t>
      </w:r>
    </w:p>
    <w:p>
      <w:pPr>
        <w:spacing w:after="0" w:line="37"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 252.81, 47.2 or 382.1, as applicable.</w:t>
      </w:r>
    </w:p>
    <w:p>
      <w:pPr>
        <w:spacing w:after="0" w:line="184" w:lineRule="exact"/>
        <w:rPr>
          <w:sz w:val="20"/>
          <w:szCs w:val="20"/>
          <w:color w:val="auto"/>
        </w:rPr>
      </w:pPr>
    </w:p>
    <w:p>
      <w:pPr>
        <w:ind w:left="100" w:right="11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QFC</w:t>
      </w:r>
      <w:r>
        <w:rPr>
          <w:rFonts w:ascii="Arial" w:cs="Arial" w:eastAsia="Arial" w:hAnsi="Arial"/>
          <w:sz w:val="19"/>
          <w:szCs w:val="19"/>
          <w:color w:val="auto"/>
        </w:rPr>
        <w:t>” has the meaning assigned to the term “qualified financial contract” in, and shall be interpreted in accordance with, 12 U.S.C. 5390(c)(8)(D).</w:t>
      </w:r>
    </w:p>
    <w:p>
      <w:pPr>
        <w:spacing w:after="0" w:line="187" w:lineRule="exact"/>
        <w:rPr>
          <w:sz w:val="20"/>
          <w:szCs w:val="20"/>
          <w:color w:val="auto"/>
        </w:rPr>
      </w:pPr>
    </w:p>
    <w:p>
      <w:pPr>
        <w:jc w:val="center"/>
        <w:ind w:right="-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Pages Follow</w:t>
      </w:r>
      <w:r>
        <w:rPr>
          <w:rFonts w:ascii="Arial" w:cs="Arial" w:eastAsia="Arial" w:hAnsi="Arial"/>
          <w:sz w:val="19"/>
          <w:szCs w:val="19"/>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207</w:t>
      </w:r>
      <w:r>
        <w:rPr>
          <w:rFonts w:ascii="Arial" w:cs="Arial" w:eastAsia="Arial" w:hAnsi="Arial"/>
          <w:sz w:val="18"/>
          <w:szCs w:val="18"/>
          <w:u w:val="single" w:color="auto"/>
          <w:color w:val="0000FF"/>
          <w:strike w:val="1"/>
        </w:rPr>
        <w:t>207</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WEIL:\98093729\19\40590.0004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5" w:right="1440" w:bottom="1440" w:gutter="0" w:footer="0" w:header="0"/>
        </w:sectPr>
      </w:pPr>
    </w:p>
    <w:bookmarkStart w:id="275" w:name="page276"/>
    <w:bookmarkEnd w:id="275"/>
    <w:p>
      <w:pPr>
        <w:jc w:val="center"/>
        <w:ind w:right="-100"/>
        <w:spacing w:after="0"/>
        <w:rPr>
          <w:sz w:val="20"/>
          <w:szCs w:val="20"/>
          <w:color w:val="auto"/>
        </w:rPr>
      </w:pPr>
      <w:r>
        <w:rPr>
          <w:rFonts w:ascii="Arial" w:cs="Arial" w:eastAsia="Arial" w:hAnsi="Arial"/>
          <w:sz w:val="19"/>
          <w:szCs w:val="19"/>
          <w:u w:val="single" w:color="auto"/>
          <w:color w:val="auto"/>
        </w:rPr>
        <w:t>Appendix B</w:t>
      </w: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Exhibits [see</w:t>
      </w:r>
    </w:p>
    <w:p>
      <w:pPr>
        <w:spacing w:after="0" w:line="48"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attached]</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76835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90" w:right="1440" w:bottom="1440" w:gutter="0" w:footer="0" w:header="0"/>
        </w:sectPr>
      </w:pPr>
    </w:p>
    <w:bookmarkStart w:id="276" w:name="page277"/>
    <w:bookmarkEnd w:id="276"/>
    <w:p>
      <w:pPr>
        <w:jc w:val="right"/>
        <w:spacing w:after="0"/>
        <w:rPr>
          <w:sz w:val="20"/>
          <w:szCs w:val="20"/>
          <w:color w:val="auto"/>
        </w:rPr>
      </w:pPr>
      <w:r>
        <w:rPr>
          <w:rFonts w:ascii="Arial" w:cs="Arial" w:eastAsia="Arial" w:hAnsi="Arial"/>
          <w:sz w:val="19"/>
          <w:szCs w:val="19"/>
          <w:color w:val="auto"/>
        </w:rPr>
        <w:t>Exhibit B</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[FORM OF] BORROWING</w:t>
      </w:r>
    </w:p>
    <w:p>
      <w:pPr>
        <w:jc w:val="center"/>
        <w:ind w:right="-99"/>
        <w:spacing w:after="0"/>
        <w:rPr>
          <w:sz w:val="20"/>
          <w:szCs w:val="20"/>
          <w:color w:val="auto"/>
        </w:rPr>
      </w:pPr>
      <w:r>
        <w:rPr>
          <w:rFonts w:ascii="Arial" w:cs="Arial" w:eastAsia="Arial" w:hAnsi="Arial"/>
          <w:sz w:val="19"/>
          <w:szCs w:val="19"/>
          <w:color w:val="auto"/>
        </w:rPr>
        <w:t>REQUEST</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9"/>
          <w:szCs w:val="19"/>
          <w:color w:val="auto"/>
        </w:rPr>
        <w:t>Bank of America, N.A.,</w:t>
      </w:r>
    </w:p>
    <w:p>
      <w:pPr>
        <w:spacing w:after="0" w:line="14" w:lineRule="exact"/>
        <w:rPr>
          <w:sz w:val="20"/>
          <w:szCs w:val="20"/>
          <w:color w:val="auto"/>
        </w:rPr>
      </w:pPr>
    </w:p>
    <w:p>
      <w:pPr>
        <w:ind w:left="100" w:right="2420"/>
        <w:spacing w:after="0" w:line="237" w:lineRule="auto"/>
        <w:rPr>
          <w:sz w:val="20"/>
          <w:szCs w:val="20"/>
          <w:color w:val="auto"/>
        </w:rPr>
      </w:pPr>
      <w:r>
        <w:rPr>
          <w:rFonts w:ascii="Arial" w:cs="Arial" w:eastAsia="Arial" w:hAnsi="Arial"/>
          <w:sz w:val="19"/>
          <w:szCs w:val="19"/>
          <w:color w:val="auto"/>
        </w:rPr>
        <w:t>as Administrative Agent for the Lenders referred to below [and as Swingline Lender]</w:t>
      </w:r>
      <w:r>
        <w:rPr>
          <w:rFonts w:ascii="Arial" w:cs="Arial" w:eastAsia="Arial" w:hAnsi="Arial"/>
          <w:sz w:val="12"/>
          <w:szCs w:val="12"/>
          <w:color w:val="auto"/>
        </w:rPr>
        <w:t>1</w:t>
      </w:r>
      <w:r>
        <w:rPr>
          <w:rFonts w:ascii="Arial" w:cs="Arial" w:eastAsia="Arial" w:hAnsi="Arial"/>
          <w:sz w:val="19"/>
          <w:szCs w:val="19"/>
          <w:color w:val="auto"/>
        </w:rPr>
        <w:t xml:space="preserve"> Attn: Smith Bagley</w:t>
      </w:r>
    </w:p>
    <w:p>
      <w:pPr>
        <w:ind w:left="100"/>
        <w:spacing w:after="0" w:line="222" w:lineRule="auto"/>
        <w:rPr>
          <w:sz w:val="20"/>
          <w:szCs w:val="20"/>
          <w:color w:val="auto"/>
        </w:rPr>
      </w:pPr>
      <w:r>
        <w:rPr>
          <w:rFonts w:ascii="Arial" w:cs="Arial" w:eastAsia="Arial" w:hAnsi="Arial"/>
          <w:sz w:val="19"/>
          <w:szCs w:val="19"/>
          <w:color w:val="auto"/>
        </w:rPr>
        <w:t>Gateway Village-900 Building 900 W</w:t>
      </w:r>
    </w:p>
    <w:p>
      <w:pPr>
        <w:ind w:left="100"/>
        <w:spacing w:after="0" w:line="223" w:lineRule="auto"/>
        <w:rPr>
          <w:sz w:val="20"/>
          <w:szCs w:val="20"/>
          <w:color w:val="auto"/>
        </w:rPr>
      </w:pPr>
      <w:r>
        <w:rPr>
          <w:rFonts w:ascii="Arial" w:cs="Arial" w:eastAsia="Arial" w:hAnsi="Arial"/>
          <w:sz w:val="19"/>
          <w:szCs w:val="19"/>
          <w:color w:val="auto"/>
        </w:rPr>
        <w:t>Trade Street</w:t>
      </w:r>
    </w:p>
    <w:p>
      <w:pPr>
        <w:ind w:left="100"/>
        <w:spacing w:after="0" w:line="237" w:lineRule="auto"/>
        <w:rPr>
          <w:sz w:val="20"/>
          <w:szCs w:val="20"/>
          <w:color w:val="auto"/>
        </w:rPr>
      </w:pPr>
      <w:r>
        <w:rPr>
          <w:rFonts w:ascii="Arial" w:cs="Arial" w:eastAsia="Arial" w:hAnsi="Arial"/>
          <w:sz w:val="19"/>
          <w:szCs w:val="19"/>
          <w:color w:val="auto"/>
        </w:rPr>
        <w:t>Mail Code: NC1-026-06-04</w:t>
      </w:r>
    </w:p>
    <w:p>
      <w:pPr>
        <w:ind w:left="100"/>
        <w:spacing w:after="0" w:line="223" w:lineRule="auto"/>
        <w:rPr>
          <w:sz w:val="20"/>
          <w:szCs w:val="20"/>
          <w:color w:val="auto"/>
        </w:rPr>
      </w:pPr>
      <w:r>
        <w:rPr>
          <w:rFonts w:ascii="Arial" w:cs="Arial" w:eastAsia="Arial" w:hAnsi="Arial"/>
          <w:sz w:val="19"/>
          <w:szCs w:val="19"/>
          <w:color w:val="auto"/>
        </w:rPr>
        <w:t>Charlotte, NC, 28255</w:t>
      </w:r>
    </w:p>
    <w:p>
      <w:pPr>
        <w:ind w:left="100"/>
        <w:spacing w:after="0" w:line="222" w:lineRule="auto"/>
        <w:rPr>
          <w:sz w:val="20"/>
          <w:szCs w:val="20"/>
          <w:color w:val="auto"/>
        </w:rPr>
      </w:pPr>
      <w:r>
        <w:rPr>
          <w:rFonts w:ascii="Arial" w:cs="Arial" w:eastAsia="Arial" w:hAnsi="Arial"/>
          <w:sz w:val="19"/>
          <w:szCs w:val="19"/>
          <w:color w:val="auto"/>
        </w:rPr>
        <w:t>Phone: 980.387.3614</w:t>
      </w:r>
    </w:p>
    <w:p>
      <w:pPr>
        <w:ind w:left="100"/>
        <w:spacing w:after="0" w:line="222" w:lineRule="auto"/>
        <w:rPr>
          <w:sz w:val="20"/>
          <w:szCs w:val="20"/>
          <w:color w:val="auto"/>
        </w:rPr>
      </w:pPr>
      <w:r>
        <w:rPr>
          <w:rFonts w:ascii="Arial" w:cs="Arial" w:eastAsia="Arial" w:hAnsi="Arial"/>
          <w:sz w:val="19"/>
          <w:szCs w:val="19"/>
          <w:color w:val="auto"/>
        </w:rPr>
        <w:t>Fax: 704.208.3045</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9"/>
          <w:szCs w:val="19"/>
          <w:color w:val="auto"/>
        </w:rPr>
        <w:t>Email: smith.bagley@bofa.com</w:t>
      </w:r>
    </w:p>
    <w:p>
      <w:pPr>
        <w:spacing w:after="0" w:line="279" w:lineRule="exact"/>
        <w:rPr>
          <w:sz w:val="20"/>
          <w:szCs w:val="20"/>
          <w:color w:val="auto"/>
        </w:rPr>
      </w:pPr>
    </w:p>
    <w:p>
      <w:pPr>
        <w:ind w:left="8860"/>
        <w:spacing w:after="0"/>
        <w:tabs>
          <w:tab w:leader="none" w:pos="922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 [ ], 20[ ]</w:t>
      </w: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5669280</wp:posOffset>
            </wp:positionH>
            <wp:positionV relativeFrom="paragraph">
              <wp:posOffset>-12700</wp:posOffset>
            </wp:positionV>
            <wp:extent cx="20002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7">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75" w:lineRule="exact"/>
        <w:rPr>
          <w:sz w:val="20"/>
          <w:szCs w:val="20"/>
          <w:color w:val="auto"/>
        </w:rPr>
      </w:pPr>
    </w:p>
    <w:p>
      <w:pPr>
        <w:ind w:left="100"/>
        <w:spacing w:after="0"/>
        <w:rPr>
          <w:sz w:val="20"/>
          <w:szCs w:val="20"/>
          <w:color w:val="auto"/>
        </w:rPr>
      </w:pPr>
      <w:r>
        <w:rPr>
          <w:rFonts w:ascii="Arial" w:cs="Arial" w:eastAsia="Arial" w:hAnsi="Arial"/>
          <w:sz w:val="19"/>
          <w:szCs w:val="19"/>
          <w:color w:val="auto"/>
        </w:rPr>
        <w:t>Ladies and Gentlemen:</w:t>
      </w:r>
    </w:p>
    <w:p>
      <w:pPr>
        <w:spacing w:after="0" w:line="200" w:lineRule="exact"/>
        <w:rPr>
          <w:sz w:val="20"/>
          <w:szCs w:val="20"/>
          <w:color w:val="auto"/>
        </w:rPr>
      </w:pPr>
    </w:p>
    <w:p>
      <w:pPr>
        <w:jc w:val="both"/>
        <w:ind w:left="100" w:firstLine="749"/>
        <w:spacing w:after="0" w:line="246" w:lineRule="auto"/>
        <w:rPr>
          <w:sz w:val="20"/>
          <w:szCs w:val="20"/>
          <w:color w:val="auto"/>
        </w:rPr>
      </w:pPr>
      <w:r>
        <w:rPr>
          <w:rFonts w:ascii="Arial" w:cs="Arial" w:eastAsia="Arial" w:hAnsi="Arial"/>
          <w:sz w:val="18"/>
          <w:szCs w:val="18"/>
          <w:color w:val="auto"/>
        </w:rPr>
        <w:t>Reference is hereby made to that certain Credit Agreement, dated as of September 17, 2021 (as amended, restated, amended and restated, supplemented or otherwise modified and in effect on the date hereof,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by and among, </w:t>
      </w:r>
      <w:r>
        <w:rPr>
          <w:rFonts w:ascii="Arial" w:cs="Arial" w:eastAsia="Arial" w:hAnsi="Arial"/>
          <w:sz w:val="18"/>
          <w:szCs w:val="18"/>
          <w:i w:val="1"/>
          <w:iCs w:val="1"/>
          <w:color w:val="auto"/>
        </w:rPr>
        <w:t>inter alios</w:t>
      </w:r>
      <w:r>
        <w:rPr>
          <w:rFonts w:ascii="Arial" w:cs="Arial" w:eastAsia="Arial" w:hAnsi="Arial"/>
          <w:sz w:val="18"/>
          <w:szCs w:val="18"/>
          <w:color w:val="auto"/>
        </w:rPr>
        <w:t>, AIDH Buyer, LLC, a Delaware limited liability company (“</w:t>
      </w:r>
      <w:r>
        <w:rPr>
          <w:rFonts w:ascii="Arial" w:cs="Arial" w:eastAsia="Arial" w:hAnsi="Arial"/>
          <w:sz w:val="18"/>
          <w:szCs w:val="18"/>
          <w:u w:val="single" w:color="auto"/>
          <w:color w:val="auto"/>
        </w:rPr>
        <w:t>Holdings</w:t>
      </w:r>
      <w:r>
        <w:rPr>
          <w:rFonts w:ascii="Arial" w:cs="Arial" w:eastAsia="Arial" w:hAnsi="Arial"/>
          <w:sz w:val="18"/>
          <w:szCs w:val="18"/>
          <w:color w:val="auto"/>
        </w:rPr>
        <w:t>”), Definitive Healthcare Holdings,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and Issuing Banks from time to time party thereto and Bank of America, N.A., in its capacities as administrative agent for the Lenders and collateral agent for the Secured Parties (in such capacities and together with its successors and assigns,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as the Swingline Lender. Terms defined in the Credit Agreement are used herein with the same meanings unless otherwise defined herein.</w:t>
      </w:r>
    </w:p>
    <w:p>
      <w:pPr>
        <w:spacing w:after="0" w:line="17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The undersigned hereby gives you notice pursuant to </w:t>
      </w:r>
      <w:r>
        <w:rPr>
          <w:rFonts w:ascii="Arial" w:cs="Arial" w:eastAsia="Arial" w:hAnsi="Arial"/>
          <w:sz w:val="18"/>
          <w:szCs w:val="18"/>
          <w:u w:val="single" w:color="auto"/>
          <w:color w:val="auto"/>
        </w:rPr>
        <w:t>Section [2.03][2.04]</w:t>
      </w:r>
      <w:r>
        <w:rPr>
          <w:rFonts w:ascii="Arial" w:cs="Arial" w:eastAsia="Arial" w:hAnsi="Arial"/>
          <w:sz w:val="18"/>
          <w:szCs w:val="18"/>
          <w:color w:val="auto"/>
        </w:rPr>
        <w:t xml:space="preserve"> of the Credit Agreement that it requests a</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9"/>
          <w:szCs w:val="19"/>
          <w:color w:val="auto"/>
        </w:rPr>
        <w:t>Borrowing and in that connection sets forth below the terms on which the Borrowings are requested to be made:</w:t>
      </w:r>
    </w:p>
    <w:p>
      <w:pPr>
        <w:spacing w:after="0" w:line="163" w:lineRule="exact"/>
        <w:rPr>
          <w:sz w:val="20"/>
          <w:szCs w:val="20"/>
          <w:color w:val="auto"/>
        </w:rPr>
      </w:pPr>
    </w:p>
    <w:tbl>
      <w:tblPr>
        <w:tblLayout w:type="fixed"/>
        <w:tblInd w:w="100" w:type="dxa"/>
        <w:tblCellMar>
          <w:top w:w="0" w:type="dxa"/>
          <w:left w:w="0" w:type="dxa"/>
          <w:bottom w:w="0" w:type="dxa"/>
          <w:right w:w="0" w:type="dxa"/>
        </w:tblCellMar>
      </w:tblPr>
      <w:tr>
        <w:trPr>
          <w:trHeight w:val="218"/>
        </w:trPr>
        <w:tc>
          <w:tcPr>
            <w:tcW w:w="4220" w:type="dxa"/>
            <w:vAlign w:val="bottom"/>
            <w:gridSpan w:val="4"/>
          </w:tcPr>
          <w:p>
            <w:pPr>
              <w:spacing w:after="0"/>
              <w:rPr>
                <w:sz w:val="20"/>
                <w:szCs w:val="20"/>
                <w:color w:val="auto"/>
              </w:rPr>
            </w:pPr>
            <w:r>
              <w:rPr>
                <w:rFonts w:ascii="Arial" w:cs="Arial" w:eastAsia="Arial" w:hAnsi="Arial"/>
                <w:sz w:val="19"/>
                <w:szCs w:val="19"/>
                <w:color w:val="auto"/>
                <w:w w:val="93"/>
              </w:rPr>
              <w:t>Date of Borrowing (which shall be a Business Day)   [</w:t>
            </w:r>
          </w:p>
        </w:tc>
        <w:tc>
          <w:tcPr>
            <w:tcW w:w="360" w:type="dxa"/>
            <w:vAlign w:val="bottom"/>
            <w:gridSpan w:val="2"/>
          </w:tcPr>
          <w:p>
            <w:pPr>
              <w:jc w:val="right"/>
              <w:spacing w:after="0"/>
              <w:rPr>
                <w:sz w:val="20"/>
                <w:szCs w:val="20"/>
                <w:color w:val="auto"/>
              </w:rPr>
            </w:pPr>
            <w:r>
              <w:rPr>
                <w:rFonts w:ascii="Arial" w:cs="Arial" w:eastAsia="Arial" w:hAnsi="Arial"/>
                <w:sz w:val="19"/>
                <w:szCs w:val="19"/>
                <w:color w:val="auto"/>
              </w:rPr>
              <w:t>]</w:t>
            </w:r>
          </w:p>
        </w:tc>
      </w:tr>
      <w:tr>
        <w:trPr>
          <w:trHeight w:val="399"/>
        </w:trPr>
        <w:tc>
          <w:tcPr>
            <w:tcW w:w="2680" w:type="dxa"/>
            <w:vAlign w:val="bottom"/>
          </w:tcPr>
          <w:p>
            <w:pPr>
              <w:spacing w:after="0"/>
              <w:rPr>
                <w:sz w:val="20"/>
                <w:szCs w:val="20"/>
                <w:color w:val="auto"/>
              </w:rPr>
            </w:pPr>
            <w:r>
              <w:rPr>
                <w:rFonts w:ascii="Arial" w:cs="Arial" w:eastAsia="Arial" w:hAnsi="Arial"/>
                <w:sz w:val="19"/>
                <w:szCs w:val="19"/>
                <w:color w:val="auto"/>
                <w:w w:val="96"/>
              </w:rPr>
              <w:t>Aggregate Amount of Borrowing</w:t>
            </w:r>
            <w:r>
              <w:rPr>
                <w:rFonts w:ascii="Arial" w:cs="Arial" w:eastAsia="Arial" w:hAnsi="Arial"/>
                <w:sz w:val="12"/>
                <w:szCs w:val="12"/>
                <w:color w:val="auto"/>
                <w:w w:val="96"/>
              </w:rPr>
              <w:t>3</w:t>
            </w:r>
          </w:p>
        </w:tc>
        <w:tc>
          <w:tcPr>
            <w:tcW w:w="1540" w:type="dxa"/>
            <w:vAlign w:val="bottom"/>
            <w:gridSpan w:val="3"/>
          </w:tcPr>
          <w:p>
            <w:pPr>
              <w:jc w:val="right"/>
              <w:ind w:right="1140"/>
              <w:spacing w:after="0"/>
              <w:rPr>
                <w:sz w:val="20"/>
                <w:szCs w:val="20"/>
                <w:color w:val="auto"/>
              </w:rPr>
            </w:pPr>
            <w:r>
              <w:rPr>
                <w:rFonts w:ascii="Arial" w:cs="Arial" w:eastAsia="Arial" w:hAnsi="Arial"/>
                <w:sz w:val="19"/>
                <w:szCs w:val="19"/>
                <w:color w:val="auto"/>
              </w:rPr>
              <w:t>$[ ]</w:t>
            </w:r>
          </w:p>
        </w:tc>
        <w:tc>
          <w:tcPr>
            <w:tcW w:w="3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2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100"/>
        <w:spacing w:after="0"/>
        <w:rPr>
          <w:sz w:val="20"/>
          <w:szCs w:val="20"/>
          <w:color w:val="auto"/>
        </w:rPr>
      </w:pPr>
      <w:r>
        <w:rPr>
          <w:rFonts w:ascii="Arial" w:cs="Arial" w:eastAsia="Arial" w:hAnsi="Arial"/>
          <w:sz w:val="12"/>
          <w:szCs w:val="12"/>
          <w:color w:val="auto"/>
        </w:rPr>
        <w:t xml:space="preserve">1 </w:t>
      </w:r>
      <w:r>
        <w:rPr>
          <w:rFonts w:ascii="Arial" w:cs="Arial" w:eastAsia="Arial" w:hAnsi="Arial"/>
          <w:sz w:val="17"/>
          <w:szCs w:val="17"/>
          <w:color w:val="auto"/>
        </w:rPr>
        <w:t>Include for Borrowing of Swingline Loans.</w:t>
      </w:r>
    </w:p>
    <w:p>
      <w:pPr>
        <w:spacing w:after="0" w:line="23" w:lineRule="exact"/>
        <w:rPr>
          <w:sz w:val="20"/>
          <w:szCs w:val="20"/>
          <w:color w:val="auto"/>
        </w:rPr>
      </w:pPr>
    </w:p>
    <w:p>
      <w:pPr>
        <w:ind w:left="100" w:right="120"/>
        <w:spacing w:after="0" w:line="256" w:lineRule="auto"/>
        <w:rPr>
          <w:sz w:val="20"/>
          <w:szCs w:val="20"/>
          <w:color w:val="auto"/>
        </w:rPr>
      </w:pPr>
      <w:r>
        <w:rPr>
          <w:rFonts w:ascii="Arial" w:cs="Arial" w:eastAsia="Arial" w:hAnsi="Arial"/>
          <w:sz w:val="12"/>
          <w:szCs w:val="12"/>
          <w:color w:val="auto"/>
        </w:rPr>
        <w:t xml:space="preserve">2 </w:t>
      </w:r>
      <w:r>
        <w:rPr>
          <w:rFonts w:ascii="Arial" w:cs="Arial" w:eastAsia="Arial" w:hAnsi="Arial"/>
          <w:sz w:val="17"/>
          <w:szCs w:val="17"/>
          <w:color w:val="auto"/>
        </w:rPr>
        <w:t>The Administrative Agent must be notified in writing by hand delivery, fax or other electronic transmission (including “.pdf” or “.tif”)</w:t>
      </w:r>
      <w:r>
        <w:rPr>
          <w:rFonts w:ascii="Arial" w:cs="Arial" w:eastAsia="Arial" w:hAnsi="Arial"/>
          <w:sz w:val="12"/>
          <w:szCs w:val="12"/>
          <w:color w:val="auto"/>
        </w:rPr>
        <w:t xml:space="preserve"> </w:t>
      </w:r>
      <w:r>
        <w:rPr>
          <w:rFonts w:ascii="Arial" w:cs="Arial" w:eastAsia="Arial" w:hAnsi="Arial"/>
          <w:sz w:val="17"/>
          <w:szCs w:val="17"/>
          <w:color w:val="auto"/>
        </w:rPr>
        <w:t xml:space="preserve">not later than (i) 12:00 p.m. three Business Days prior to the requested day of any Borrowing of Term SOFR Loans and (ii) 10:00 a.m. on the requested date of any Borrowing of ABR Loans (other than Swingline Loans) (or, in each case, such later time as is acceptable to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Borrower wishes to request Term SOFR Loans having an Interest Period of other than one, three or six months (or, to the extent available to all relevant affected Lenders, 12 months or any period shorter than 12 months) in duration as provided in the definition of “Interest Period,” (A) the applicable notice from the Borrower must be received by the Administrative Agent not later than 12:00 p.m. four Business Days prior to the requested date of such Borrowing (or such later time as is acceptable to the Administrative Agent), whereupon the Administrative Agent shall give prompt notice to the appropriate Lenders of such request and determine whether the requested Interest Period is acceptable to them and (B) not later than 12:00 p.m. three Business Days before the requested date of such Borrowing, the Administrative Agent shall notify the Borrower whether or not the requested Interest Period is available to the appropriate Lenders. With respect to Swingline Loans, the Swingline Lender and the Administrative Agent must be notified in writing by hand delivery, fax or other electronic transmission (including “.pdf” or “.tif”) not later than 1:00 p.m. on the day of the proposed Swingline Loan.</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40" w:top="185" w:right="1419" w:bottom="1440" w:gutter="0" w:footer="0" w:header="0"/>
        </w:sectPr>
      </w:pPr>
    </w:p>
    <w:bookmarkStart w:id="277" w:name="page278"/>
    <w:bookmarkEnd w:id="277"/>
    <w:p>
      <w:pPr>
        <w:ind w:left="100"/>
        <w:spacing w:after="0"/>
        <w:tabs>
          <w:tab w:leader="none" w:pos="2080" w:val="left"/>
          <w:tab w:leader="none" w:pos="2340" w:val="left"/>
        </w:tabs>
        <w:rPr>
          <w:sz w:val="20"/>
          <w:szCs w:val="20"/>
          <w:color w:val="auto"/>
        </w:rPr>
      </w:pPr>
      <w:r>
        <w:rPr>
          <w:rFonts w:ascii="Arial" w:cs="Arial" w:eastAsia="Arial" w:hAnsi="Arial"/>
          <w:sz w:val="19"/>
          <w:szCs w:val="19"/>
          <w:color w:val="auto"/>
        </w:rPr>
        <w:t>Currency of Borrowing</w:t>
      </w:r>
      <w:r>
        <w:rPr>
          <w:rFonts w:ascii="Arial" w:cs="Arial" w:eastAsia="Arial" w:hAnsi="Arial"/>
          <w:sz w:val="12"/>
          <w:szCs w:val="12"/>
          <w:color w:val="auto"/>
        </w:rPr>
        <w:t>4</w:t>
      </w:r>
      <w:r>
        <w:rPr>
          <w:rFonts w:ascii="Arial" w:cs="Arial" w:eastAsia="Arial" w:hAnsi="Arial"/>
          <w:sz w:val="19"/>
          <w:szCs w:val="19"/>
          <w:color w:val="auto"/>
        </w:rPr>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-12700</wp:posOffset>
            </wp:positionV>
            <wp:extent cx="12065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9">
                      <a:extLst>
                        <a:ext uri="{28A0092B-C50C-407E-A947-70E740481C1C}"/>
                      </a:extLst>
                    </a:blip>
                    <a:srcRect/>
                    <a:stretch>
                      <a:fillRect/>
                    </a:stretch>
                  </pic:blipFill>
                  <pic:spPr bwMode="auto">
                    <a:xfrm>
                      <a:off x="0" y="0"/>
                      <a:ext cx="120650" cy="8255"/>
                    </a:xfrm>
                    <a:prstGeom prst="rect">
                      <a:avLst/>
                    </a:prstGeom>
                    <a:noFill/>
                  </pic:spPr>
                </pic:pic>
              </a:graphicData>
            </a:graphic>
          </wp:anchor>
        </w:drawing>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218"/>
        </w:trPr>
        <w:tc>
          <w:tcPr>
            <w:tcW w:w="1560" w:type="dxa"/>
            <w:vAlign w:val="bottom"/>
          </w:tcPr>
          <w:p>
            <w:pPr>
              <w:spacing w:after="0"/>
              <w:rPr>
                <w:sz w:val="20"/>
                <w:szCs w:val="20"/>
                <w:color w:val="auto"/>
              </w:rPr>
            </w:pPr>
            <w:r>
              <w:rPr>
                <w:rFonts w:ascii="Arial" w:cs="Arial" w:eastAsia="Arial" w:hAnsi="Arial"/>
                <w:sz w:val="19"/>
                <w:szCs w:val="19"/>
                <w:color w:val="auto"/>
                <w:w w:val="95"/>
              </w:rPr>
              <w:t>Type of Borrowing</w:t>
            </w:r>
            <w:r>
              <w:rPr>
                <w:rFonts w:ascii="Arial" w:cs="Arial" w:eastAsia="Arial" w:hAnsi="Arial"/>
                <w:sz w:val="12"/>
                <w:szCs w:val="12"/>
                <w:color w:val="auto"/>
                <w:w w:val="95"/>
              </w:rPr>
              <w:t>5</w:t>
            </w:r>
          </w:p>
        </w:tc>
        <w:tc>
          <w:tcPr>
            <w:tcW w:w="760" w:type="dxa"/>
            <w:vAlign w:val="bottom"/>
            <w:gridSpan w:val="3"/>
          </w:tcPr>
          <w:p>
            <w:pPr>
              <w:jc w:val="right"/>
              <w:ind w:right="286"/>
              <w:spacing w:after="0"/>
              <w:rPr>
                <w:sz w:val="20"/>
                <w:szCs w:val="20"/>
                <w:color w:val="auto"/>
              </w:rPr>
            </w:pPr>
            <w:r>
              <w:rPr>
                <w:rFonts w:ascii="Arial" w:cs="Arial" w:eastAsia="Arial" w:hAnsi="Arial"/>
                <w:sz w:val="19"/>
                <w:szCs w:val="19"/>
                <w:color w:val="auto"/>
              </w:rPr>
              <w:t>[ ]</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12"/>
        </w:trPr>
        <w:tc>
          <w:tcPr>
            <w:tcW w:w="1560" w:type="dxa"/>
            <w:vAlign w:val="bottom"/>
          </w:tcPr>
          <w:p>
            <w:pPr>
              <w:spacing w:after="0"/>
              <w:rPr>
                <w:sz w:val="20"/>
                <w:szCs w:val="20"/>
                <w:color w:val="auto"/>
              </w:rPr>
            </w:pPr>
            <w:r>
              <w:rPr>
                <w:rFonts w:ascii="Arial" w:cs="Arial" w:eastAsia="Arial" w:hAnsi="Arial"/>
                <w:sz w:val="19"/>
                <w:szCs w:val="19"/>
                <w:color w:val="auto"/>
                <w:w w:val="90"/>
              </w:rPr>
              <w:t>Class of Borrowing [</w:t>
            </w:r>
          </w:p>
        </w:tc>
        <w:tc>
          <w:tcPr>
            <w:tcW w:w="260" w:type="dxa"/>
            <w:vAlign w:val="bottom"/>
            <w:tcBorders>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440" w:type="dxa"/>
            <w:vAlign w:val="bottom"/>
          </w:tcPr>
          <w:p>
            <w:pPr>
              <w:jc w:val="right"/>
              <w:ind w:right="286"/>
              <w:spacing w:after="0"/>
              <w:rPr>
                <w:sz w:val="20"/>
                <w:szCs w:val="20"/>
                <w:color w:val="auto"/>
              </w:rPr>
            </w:pPr>
            <w:r>
              <w:rPr>
                <w:rFonts w:ascii="Arial" w:cs="Arial" w:eastAsia="Arial" w:hAnsi="Arial"/>
                <w:sz w:val="19"/>
                <w:szCs w:val="19"/>
                <w:color w:val="auto"/>
                <w:w w:val="74"/>
              </w:rPr>
              <w:t>]</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2"/>
        </w:trPr>
        <w:tc>
          <w:tcPr>
            <w:tcW w:w="2320" w:type="dxa"/>
            <w:vAlign w:val="bottom"/>
            <w:gridSpan w:val="4"/>
          </w:tcPr>
          <w:p>
            <w:pPr>
              <w:spacing w:after="0"/>
              <w:rPr>
                <w:sz w:val="20"/>
                <w:szCs w:val="20"/>
                <w:color w:val="auto"/>
              </w:rPr>
            </w:pPr>
            <w:r>
              <w:rPr>
                <w:rFonts w:ascii="Arial" w:cs="Arial" w:eastAsia="Arial" w:hAnsi="Arial"/>
                <w:sz w:val="19"/>
                <w:szCs w:val="19"/>
                <w:color w:val="auto"/>
                <w:w w:val="92"/>
              </w:rPr>
              <w:t>Interest Period</w:t>
            </w:r>
            <w:r>
              <w:rPr>
                <w:rFonts w:ascii="Arial" w:cs="Arial" w:eastAsia="Arial" w:hAnsi="Arial"/>
                <w:sz w:val="12"/>
                <w:szCs w:val="12"/>
                <w:color w:val="auto"/>
                <w:w w:val="92"/>
              </w:rPr>
              <w:t>6</w:t>
            </w:r>
            <w:r>
              <w:rPr>
                <w:rFonts w:ascii="Arial" w:cs="Arial" w:eastAsia="Arial" w:hAnsi="Arial"/>
                <w:sz w:val="19"/>
                <w:szCs w:val="19"/>
                <w:color w:val="auto"/>
                <w:w w:val="92"/>
              </w:rPr>
              <w:t xml:space="preserve"> (in the case  [</w:t>
            </w: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r>
      <w:tr>
        <w:trPr>
          <w:trHeight w:val="20"/>
        </w:trPr>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9" w:lineRule="exact"/>
        <w:rPr>
          <w:sz w:val="20"/>
          <w:szCs w:val="20"/>
          <w:color w:val="auto"/>
        </w:rPr>
      </w:pPr>
    </w:p>
    <w:p>
      <w:pPr>
        <w:ind w:left="840"/>
        <w:spacing w:after="0"/>
        <w:rPr>
          <w:sz w:val="20"/>
          <w:szCs w:val="20"/>
          <w:color w:val="auto"/>
        </w:rPr>
      </w:pPr>
      <w:r>
        <w:rPr>
          <w:rFonts w:ascii="Arial" w:cs="Arial" w:eastAsia="Arial" w:hAnsi="Arial"/>
          <w:sz w:val="19"/>
          <w:szCs w:val="19"/>
          <w:color w:val="auto"/>
        </w:rPr>
        <w:t>of a Term SOFR Borrowing) Amount, Account</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9"/>
          <w:szCs w:val="19"/>
          <w:color w:val="auto"/>
        </w:rPr>
        <w:t>Number and Location</w:t>
      </w:r>
    </w:p>
    <w:p>
      <w:pPr>
        <w:spacing w:after="0" w:line="376" w:lineRule="exact"/>
        <w:rPr>
          <w:sz w:val="20"/>
          <w:szCs w:val="20"/>
          <w:color w:val="auto"/>
        </w:rPr>
      </w:pPr>
    </w:p>
    <w:p>
      <w:pPr>
        <w:ind w:left="4580"/>
        <w:spacing w:after="0"/>
        <w:rPr>
          <w:sz w:val="20"/>
          <w:szCs w:val="20"/>
          <w:color w:val="auto"/>
        </w:rPr>
      </w:pPr>
      <w:r>
        <w:rPr>
          <w:rFonts w:ascii="Arial" w:cs="Arial" w:eastAsia="Arial" w:hAnsi="Arial"/>
          <w:sz w:val="19"/>
          <w:szCs w:val="19"/>
          <w:i w:val="1"/>
          <w:iCs w:val="1"/>
          <w:color w:val="auto"/>
        </w:rPr>
        <w:t>Wire Transfer Instructions:</w:t>
      </w:r>
    </w:p>
    <w:p>
      <w:pPr>
        <w:spacing w:after="0" w:line="31" w:lineRule="exact"/>
        <w:rPr>
          <w:sz w:val="20"/>
          <w:szCs w:val="20"/>
          <w:color w:val="auto"/>
        </w:rPr>
      </w:pPr>
    </w:p>
    <w:tbl>
      <w:tblPr>
        <w:tblLayout w:type="fixed"/>
        <w:tblInd w:w="1600" w:type="dxa"/>
        <w:tblCellMar>
          <w:top w:w="0" w:type="dxa"/>
          <w:left w:w="0" w:type="dxa"/>
          <w:bottom w:w="0" w:type="dxa"/>
          <w:right w:w="0" w:type="dxa"/>
        </w:tblCellMar>
      </w:tblPr>
      <w:tr>
        <w:trPr>
          <w:trHeight w:val="218"/>
        </w:trPr>
        <w:tc>
          <w:tcPr>
            <w:tcW w:w="700" w:type="dxa"/>
            <w:vAlign w:val="bottom"/>
          </w:tcPr>
          <w:p>
            <w:pPr>
              <w:spacing w:after="0"/>
              <w:rPr>
                <w:sz w:val="20"/>
                <w:szCs w:val="20"/>
                <w:color w:val="auto"/>
              </w:rPr>
            </w:pPr>
            <w:r>
              <w:rPr>
                <w:rFonts w:ascii="Arial" w:cs="Arial" w:eastAsia="Arial" w:hAnsi="Arial"/>
                <w:sz w:val="19"/>
                <w:szCs w:val="19"/>
                <w:color w:val="auto"/>
              </w:rPr>
              <w:t>Amount</w:t>
            </w:r>
          </w:p>
        </w:tc>
        <w:tc>
          <w:tcPr>
            <w:tcW w:w="220" w:type="dxa"/>
            <w:vAlign w:val="bottom"/>
            <w:gridSpan w:val="2"/>
          </w:tcPr>
          <w:p>
            <w:pPr>
              <w:ind w:left="60"/>
              <w:spacing w:after="0"/>
              <w:rPr>
                <w:sz w:val="20"/>
                <w:szCs w:val="20"/>
                <w:color w:val="auto"/>
              </w:rPr>
            </w:pPr>
            <w:r>
              <w:rPr>
                <w:rFonts w:ascii="Arial" w:cs="Arial" w:eastAsia="Arial" w:hAnsi="Arial"/>
                <w:sz w:val="19"/>
                <w:szCs w:val="19"/>
                <w:color w:val="auto"/>
                <w:w w:val="88"/>
              </w:rPr>
              <w:t>$[</w:t>
            </w: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700" w:type="dxa"/>
            <w:vAlign w:val="bottom"/>
          </w:tcPr>
          <w:p>
            <w:pPr>
              <w:spacing w:after="0"/>
              <w:rPr>
                <w:sz w:val="20"/>
                <w:szCs w:val="20"/>
                <w:color w:val="auto"/>
              </w:rPr>
            </w:pPr>
            <w:r>
              <w:rPr>
                <w:rFonts w:ascii="Arial" w:cs="Arial" w:eastAsia="Arial" w:hAnsi="Arial"/>
                <w:sz w:val="19"/>
                <w:szCs w:val="19"/>
                <w:color w:val="auto"/>
              </w:rPr>
              <w:t>Bank:</w:t>
            </w:r>
          </w:p>
        </w:tc>
        <w:tc>
          <w:tcPr>
            <w:tcW w:w="220" w:type="dxa"/>
            <w:vAlign w:val="bottom"/>
            <w:gridSpan w:val="2"/>
          </w:tcPr>
          <w:p>
            <w:pPr>
              <w:ind w:left="60"/>
              <w:spacing w:after="0"/>
              <w:rPr>
                <w:sz w:val="20"/>
                <w:szCs w:val="20"/>
                <w:color w:val="auto"/>
              </w:rPr>
            </w:pPr>
            <w:r>
              <w:rPr>
                <w:rFonts w:ascii="Arial" w:cs="Arial" w:eastAsia="Arial" w:hAnsi="Arial"/>
                <w:sz w:val="19"/>
                <w:szCs w:val="19"/>
                <w:color w:val="auto"/>
              </w:rPr>
              <w:t>[</w:t>
            </w: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8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820" w:type="dxa"/>
            <w:vAlign w:val="bottom"/>
            <w:gridSpan w:val="2"/>
          </w:tcPr>
          <w:p>
            <w:pPr>
              <w:spacing w:after="0"/>
              <w:rPr>
                <w:sz w:val="20"/>
                <w:szCs w:val="20"/>
                <w:color w:val="auto"/>
              </w:rPr>
            </w:pPr>
            <w:r>
              <w:rPr>
                <w:rFonts w:ascii="Arial" w:cs="Arial" w:eastAsia="Arial" w:hAnsi="Arial"/>
                <w:sz w:val="19"/>
                <w:szCs w:val="19"/>
                <w:color w:val="auto"/>
              </w:rPr>
              <w:t>ABA No.:</w:t>
            </w:r>
          </w:p>
        </w:tc>
        <w:tc>
          <w:tcPr>
            <w:tcW w:w="1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1200" w:type="dxa"/>
            <w:vAlign w:val="bottom"/>
            <w:gridSpan w:val="5"/>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200" w:type="dxa"/>
            <w:vAlign w:val="bottom"/>
            <w:gridSpan w:val="5"/>
          </w:tcPr>
          <w:p>
            <w:pPr>
              <w:spacing w:after="0"/>
              <w:rPr>
                <w:sz w:val="20"/>
                <w:szCs w:val="20"/>
                <w:color w:val="auto"/>
              </w:rPr>
            </w:pPr>
            <w:r>
              <w:rPr>
                <w:rFonts w:ascii="Arial" w:cs="Arial" w:eastAsia="Arial" w:hAnsi="Arial"/>
                <w:sz w:val="19"/>
                <w:szCs w:val="19"/>
                <w:color w:val="auto"/>
                <w:w w:val="98"/>
              </w:rPr>
              <w:t>Account No.: [</w:t>
            </w: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1200" w:type="dxa"/>
            <w:vAlign w:val="bottom"/>
            <w:gridSpan w:val="5"/>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200" w:type="dxa"/>
            <w:vAlign w:val="bottom"/>
            <w:gridSpan w:val="5"/>
          </w:tcPr>
          <w:p>
            <w:pPr>
              <w:spacing w:after="0"/>
              <w:rPr>
                <w:sz w:val="20"/>
                <w:szCs w:val="20"/>
                <w:color w:val="auto"/>
              </w:rPr>
            </w:pPr>
            <w:r>
              <w:rPr>
                <w:rFonts w:ascii="Arial" w:cs="Arial" w:eastAsia="Arial" w:hAnsi="Arial"/>
                <w:sz w:val="19"/>
                <w:szCs w:val="19"/>
                <w:color w:val="auto"/>
                <w:w w:val="90"/>
              </w:rPr>
              <w:t>Account Name:</w:t>
            </w: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00" w:right="180"/>
        <w:spacing w:after="0" w:line="246" w:lineRule="auto"/>
        <w:rPr>
          <w:sz w:val="20"/>
          <w:szCs w:val="20"/>
          <w:color w:val="auto"/>
        </w:rPr>
      </w:pPr>
      <w:r>
        <w:rPr>
          <w:rFonts w:ascii="Arial" w:cs="Arial" w:eastAsia="Arial" w:hAnsi="Arial"/>
          <w:sz w:val="19"/>
          <w:szCs w:val="19"/>
          <w:color w:val="auto"/>
        </w:rPr>
        <w:t>The undersigned hereby certifies, as a Responsible Officer of the Borrower, in such capacity and not in an individual capacity, that the following statements will be true on the date of the Borrowing:</w:t>
      </w:r>
    </w:p>
    <w:p>
      <w:pPr>
        <w:spacing w:after="0" w:line="187" w:lineRule="exact"/>
        <w:rPr>
          <w:sz w:val="20"/>
          <w:szCs w:val="20"/>
          <w:color w:val="auto"/>
        </w:rPr>
      </w:pPr>
    </w:p>
    <w:p>
      <w:pPr>
        <w:jc w:val="both"/>
        <w:ind w:left="840" w:hanging="748"/>
        <w:spacing w:after="0" w:line="243" w:lineRule="auto"/>
        <w:rPr>
          <w:sz w:val="20"/>
          <w:szCs w:val="20"/>
          <w:color w:val="auto"/>
        </w:rPr>
      </w:pPr>
      <w:r>
        <w:rPr>
          <w:rFonts w:ascii="Arial" w:cs="Arial" w:eastAsia="Arial" w:hAnsi="Arial"/>
          <w:sz w:val="18"/>
          <w:szCs w:val="18"/>
          <w:color w:val="auto"/>
        </w:rPr>
        <w:t xml:space="preserve">[The representations and warranties of the Loan Parties set forth in the Credit Agreement and the other Loan Documents are true and correct in all material respects on and as of the date of the Borrowing with the same effect as though such representations and warranties had been made on and as of the date of such Borrowing;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any representation and warranty specifically refers to an earlier date or a given period, it is true and correct in all material respects as of such earlier date or for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representation and warranty that is qualified as to “materiality,” “Material Adverse Effect” or similar language shall be true and correct (after giving effect to any qualification therein) in all respects on such respective dates or for such periods.]</w:t>
      </w:r>
      <w:r>
        <w:rPr>
          <w:rFonts w:ascii="Arial" w:cs="Arial" w:eastAsia="Arial" w:hAnsi="Arial"/>
          <w:sz w:val="11"/>
          <w:szCs w:val="11"/>
          <w:color w:val="auto"/>
        </w:rPr>
        <w:t>7</w:t>
      </w:r>
    </w:p>
    <w:p>
      <w:pPr>
        <w:spacing w:after="0" w:line="193" w:lineRule="exact"/>
        <w:rPr>
          <w:sz w:val="20"/>
          <w:szCs w:val="20"/>
          <w:color w:val="auto"/>
        </w:rPr>
      </w:pPr>
    </w:p>
    <w:p>
      <w:pPr>
        <w:jc w:val="both"/>
        <w:ind w:left="840" w:hanging="748"/>
        <w:spacing w:after="0" w:line="261" w:lineRule="auto"/>
        <w:rPr>
          <w:sz w:val="20"/>
          <w:szCs w:val="20"/>
          <w:color w:val="auto"/>
        </w:rPr>
      </w:pPr>
      <w:r>
        <w:rPr>
          <w:rFonts w:ascii="Arial" w:cs="Arial" w:eastAsia="Arial" w:hAnsi="Arial"/>
          <w:sz w:val="19"/>
          <w:szCs w:val="19"/>
          <w:color w:val="auto"/>
        </w:rPr>
        <w:t>[At the time of and immediately after giving effect to the Borrowing, no Default or Event of Default has occurred and is continuing.]</w:t>
      </w:r>
      <w:r>
        <w:rPr>
          <w:rFonts w:ascii="Arial" w:cs="Arial" w:eastAsia="Arial" w:hAnsi="Arial"/>
          <w:sz w:val="12"/>
          <w:szCs w:val="12"/>
          <w:color w:val="auto"/>
        </w:rPr>
        <w:t>8</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0"/>
        <w:spacing w:after="0"/>
        <w:rPr>
          <w:sz w:val="20"/>
          <w:szCs w:val="20"/>
          <w:color w:val="auto"/>
        </w:rPr>
      </w:pPr>
      <w:r>
        <w:rPr>
          <w:rFonts w:ascii="Arial" w:cs="Arial" w:eastAsia="Arial" w:hAnsi="Arial"/>
          <w:sz w:val="12"/>
          <w:szCs w:val="12"/>
          <w:color w:val="auto"/>
        </w:rPr>
        <w:t xml:space="preserve">3 </w:t>
      </w:r>
      <w:r>
        <w:rPr>
          <w:rFonts w:ascii="Arial" w:cs="Arial" w:eastAsia="Arial" w:hAnsi="Arial"/>
          <w:sz w:val="17"/>
          <w:szCs w:val="17"/>
          <w:color w:val="auto"/>
        </w:rPr>
        <w:t>Subject to</w:t>
      </w:r>
      <w:r>
        <w:rPr>
          <w:rFonts w:ascii="Arial" w:cs="Arial" w:eastAsia="Arial" w:hAnsi="Arial"/>
          <w:sz w:val="12"/>
          <w:szCs w:val="12"/>
          <w:color w:val="auto"/>
        </w:rPr>
        <w:t xml:space="preserve"> </w:t>
      </w:r>
      <w:r>
        <w:rPr>
          <w:rFonts w:ascii="Arial" w:cs="Arial" w:eastAsia="Arial" w:hAnsi="Arial"/>
          <w:sz w:val="17"/>
          <w:szCs w:val="17"/>
          <w:u w:val="single" w:color="auto"/>
          <w:color w:val="auto"/>
        </w:rPr>
        <w:t>Sections 2.02(c)</w:t>
      </w:r>
      <w:r>
        <w:rPr>
          <w:rFonts w:ascii="Arial" w:cs="Arial" w:eastAsia="Arial" w:hAnsi="Arial"/>
          <w:sz w:val="12"/>
          <w:szCs w:val="12"/>
          <w:color w:val="auto"/>
        </w:rPr>
        <w:t xml:space="preserve"> </w:t>
      </w:r>
      <w:r>
        <w:rPr>
          <w:rFonts w:ascii="Arial" w:cs="Arial" w:eastAsia="Arial" w:hAnsi="Arial"/>
          <w:sz w:val="17"/>
          <w:szCs w:val="17"/>
          <w:color w:val="auto"/>
        </w:rPr>
        <w:t>and</w:t>
      </w:r>
      <w:r>
        <w:rPr>
          <w:rFonts w:ascii="Arial" w:cs="Arial" w:eastAsia="Arial" w:hAnsi="Arial"/>
          <w:sz w:val="12"/>
          <w:szCs w:val="12"/>
          <w:color w:val="auto"/>
        </w:rPr>
        <w:t xml:space="preserve"> </w:t>
      </w:r>
      <w:r>
        <w:rPr>
          <w:rFonts w:ascii="Arial" w:cs="Arial" w:eastAsia="Arial" w:hAnsi="Arial"/>
          <w:sz w:val="17"/>
          <w:szCs w:val="17"/>
          <w:u w:val="single" w:color="auto"/>
          <w:color w:val="auto"/>
        </w:rPr>
        <w:t>2.04(a)</w:t>
      </w:r>
      <w:r>
        <w:rPr>
          <w:rFonts w:ascii="Arial" w:cs="Arial" w:eastAsia="Arial" w:hAnsi="Arial"/>
          <w:sz w:val="12"/>
          <w:szCs w:val="12"/>
          <w:color w:val="auto"/>
        </w:rPr>
        <w:t xml:space="preserve"> </w:t>
      </w:r>
      <w:r>
        <w:rPr>
          <w:rFonts w:ascii="Arial" w:cs="Arial" w:eastAsia="Arial" w:hAnsi="Arial"/>
          <w:sz w:val="17"/>
          <w:szCs w:val="17"/>
          <w:color w:val="auto"/>
        </w:rPr>
        <w:t>of the Credit Agreement.</w:t>
      </w:r>
    </w:p>
    <w:p>
      <w:pPr>
        <w:spacing w:after="0" w:line="23" w:lineRule="exact"/>
        <w:rPr>
          <w:sz w:val="20"/>
          <w:szCs w:val="20"/>
          <w:color w:val="auto"/>
        </w:rPr>
      </w:pPr>
    </w:p>
    <w:p>
      <w:pPr>
        <w:ind w:left="100" w:right="180"/>
        <w:spacing w:after="0" w:line="256" w:lineRule="auto"/>
        <w:rPr>
          <w:sz w:val="20"/>
          <w:szCs w:val="20"/>
          <w:color w:val="auto"/>
        </w:rPr>
      </w:pPr>
      <w:r>
        <w:rPr>
          <w:rFonts w:ascii="Arial" w:cs="Arial" w:eastAsia="Arial" w:hAnsi="Arial"/>
          <w:sz w:val="12"/>
          <w:szCs w:val="12"/>
          <w:color w:val="auto"/>
        </w:rPr>
        <w:t xml:space="preserve">4 </w:t>
      </w:r>
      <w:r>
        <w:rPr>
          <w:rFonts w:ascii="Arial" w:cs="Arial" w:eastAsia="Arial" w:hAnsi="Arial"/>
          <w:sz w:val="17"/>
          <w:szCs w:val="17"/>
          <w:color w:val="auto"/>
        </w:rPr>
        <w:t>For Borrowing consisting of Swingline Loans, Dollars or, for any other Borrowing, Dollars or another Alternate Currency designated in</w:t>
      </w:r>
      <w:r>
        <w:rPr>
          <w:rFonts w:ascii="Arial" w:cs="Arial" w:eastAsia="Arial" w:hAnsi="Arial"/>
          <w:sz w:val="12"/>
          <w:szCs w:val="12"/>
          <w:color w:val="auto"/>
        </w:rPr>
        <w:t xml:space="preserve"> </w:t>
      </w:r>
      <w:r>
        <w:rPr>
          <w:rFonts w:ascii="Arial" w:cs="Arial" w:eastAsia="Arial" w:hAnsi="Arial"/>
          <w:sz w:val="17"/>
          <w:szCs w:val="17"/>
          <w:color w:val="auto"/>
        </w:rPr>
        <w:t>accordance with Section 1.10 of the Credit Agreement.</w:t>
      </w:r>
    </w:p>
    <w:p>
      <w:pPr>
        <w:spacing w:after="0" w:line="1" w:lineRule="exact"/>
        <w:rPr>
          <w:sz w:val="20"/>
          <w:szCs w:val="20"/>
          <w:color w:val="auto"/>
        </w:rPr>
      </w:pPr>
    </w:p>
    <w:p>
      <w:pPr>
        <w:ind w:left="100" w:right="140"/>
        <w:spacing w:after="0" w:line="255" w:lineRule="auto"/>
        <w:rPr>
          <w:sz w:val="20"/>
          <w:szCs w:val="20"/>
          <w:color w:val="auto"/>
        </w:rPr>
      </w:pPr>
      <w:r>
        <w:rPr>
          <w:rFonts w:ascii="Arial" w:cs="Arial" w:eastAsia="Arial" w:hAnsi="Arial"/>
          <w:sz w:val="12"/>
          <w:szCs w:val="12"/>
          <w:color w:val="auto"/>
        </w:rPr>
        <w:t xml:space="preserve">5 </w:t>
      </w:r>
      <w:r>
        <w:rPr>
          <w:rFonts w:ascii="Arial" w:cs="Arial" w:eastAsia="Arial" w:hAnsi="Arial"/>
          <w:sz w:val="17"/>
          <w:szCs w:val="17"/>
          <w:color w:val="auto"/>
        </w:rPr>
        <w:t>State whether a Term SOFR Borrowing or ABR Borrowing. If no Type of Borrowing is specified, then the requested Borrowing shall be</w:t>
      </w:r>
      <w:r>
        <w:rPr>
          <w:rFonts w:ascii="Arial" w:cs="Arial" w:eastAsia="Arial" w:hAnsi="Arial"/>
          <w:sz w:val="12"/>
          <w:szCs w:val="12"/>
          <w:color w:val="auto"/>
        </w:rPr>
        <w:t xml:space="preserve"> </w:t>
      </w:r>
      <w:r>
        <w:rPr>
          <w:rFonts w:ascii="Arial" w:cs="Arial" w:eastAsia="Arial" w:hAnsi="Arial"/>
          <w:sz w:val="17"/>
          <w:szCs w:val="17"/>
          <w:color w:val="auto"/>
        </w:rPr>
        <w:t>an ABR Borrowing. A Borrowing consisting of Swingline Loans shall be an ABR Borrowing.</w:t>
      </w:r>
    </w:p>
    <w:p>
      <w:pPr>
        <w:spacing w:after="0" w:line="1" w:lineRule="exact"/>
        <w:rPr>
          <w:sz w:val="20"/>
          <w:szCs w:val="20"/>
          <w:color w:val="auto"/>
        </w:rPr>
      </w:pPr>
    </w:p>
    <w:p>
      <w:pPr>
        <w:ind w:left="100" w:right="100"/>
        <w:spacing w:after="0" w:line="249" w:lineRule="auto"/>
        <w:rPr>
          <w:sz w:val="20"/>
          <w:szCs w:val="20"/>
          <w:color w:val="auto"/>
        </w:rPr>
      </w:pPr>
      <w:r>
        <w:rPr>
          <w:rFonts w:ascii="Arial" w:cs="Arial" w:eastAsia="Arial" w:hAnsi="Arial"/>
          <w:sz w:val="12"/>
          <w:szCs w:val="12"/>
          <w:color w:val="auto"/>
        </w:rPr>
        <w:t xml:space="preserve">6 </w:t>
      </w:r>
      <w:r>
        <w:rPr>
          <w:rFonts w:ascii="Arial" w:cs="Arial" w:eastAsia="Arial" w:hAnsi="Arial"/>
          <w:sz w:val="17"/>
          <w:szCs w:val="17"/>
          <w:color w:val="auto"/>
        </w:rPr>
        <w:t>Must be a period contemplated by the definition of “Interest Period”. If no Interest Period is specified, then the Interest Period shall be of</w:t>
      </w:r>
      <w:r>
        <w:rPr>
          <w:rFonts w:ascii="Arial" w:cs="Arial" w:eastAsia="Arial" w:hAnsi="Arial"/>
          <w:sz w:val="12"/>
          <w:szCs w:val="12"/>
          <w:color w:val="auto"/>
        </w:rPr>
        <w:t xml:space="preserve"> </w:t>
      </w:r>
      <w:r>
        <w:rPr>
          <w:rFonts w:ascii="Arial" w:cs="Arial" w:eastAsia="Arial" w:hAnsi="Arial"/>
          <w:sz w:val="17"/>
          <w:szCs w:val="17"/>
          <w:color w:val="auto"/>
        </w:rPr>
        <w:t>one-month’s duration.</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2"/>
          <w:szCs w:val="12"/>
          <w:color w:val="auto"/>
        </w:rPr>
        <w:t xml:space="preserve">7 </w:t>
      </w:r>
      <w:r>
        <w:rPr>
          <w:rFonts w:ascii="Arial" w:cs="Arial" w:eastAsia="Arial" w:hAnsi="Arial"/>
          <w:sz w:val="17"/>
          <w:szCs w:val="17"/>
          <w:color w:val="auto"/>
        </w:rPr>
        <w:t>Include bracketed language only for Borrowings after Closing Date (subject to applicable provisions of the Credit Agreement).</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2"/>
          <w:szCs w:val="12"/>
          <w:color w:val="auto"/>
        </w:rPr>
        <w:t xml:space="preserve">8 </w:t>
      </w:r>
      <w:r>
        <w:rPr>
          <w:rFonts w:ascii="Arial" w:cs="Arial" w:eastAsia="Arial" w:hAnsi="Arial"/>
          <w:sz w:val="17"/>
          <w:szCs w:val="17"/>
          <w:color w:val="auto"/>
        </w:rPr>
        <w:t>Include bracketed language only for Borrowings after Closing Date (subject to applicable provisions of the Credit Agreement).</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40" w:top="185" w:right="1419" w:bottom="1440" w:gutter="0" w:footer="0" w:header="0"/>
        </w:sectPr>
      </w:pPr>
    </w:p>
    <w:bookmarkStart w:id="278" w:name="page279"/>
    <w:bookmarkEnd w:id="278"/>
    <w:p>
      <w:pPr>
        <w:jc w:val="right"/>
        <w:ind w:right="1739"/>
        <w:spacing w:after="0"/>
        <w:rPr>
          <w:sz w:val="20"/>
          <w:szCs w:val="20"/>
          <w:color w:val="auto"/>
        </w:rPr>
      </w:pPr>
      <w:r>
        <w:rPr>
          <w:rFonts w:ascii="Arial" w:cs="Arial" w:eastAsia="Arial" w:hAnsi="Arial"/>
          <w:sz w:val="19"/>
          <w:szCs w:val="19"/>
          <w:color w:val="auto"/>
        </w:rPr>
        <w:t>DEFINITIVE HEALTHCARE HOLDINGS, LLC</w:t>
      </w:r>
    </w:p>
    <w:p>
      <w:pPr>
        <w:spacing w:after="0" w:line="200" w:lineRule="exact"/>
        <w:rPr>
          <w:sz w:val="20"/>
          <w:szCs w:val="20"/>
          <w:color w:val="auto"/>
        </w:rPr>
      </w:pPr>
    </w:p>
    <w:p>
      <w:pPr>
        <w:spacing w:after="0" w:line="203" w:lineRule="exact"/>
        <w:rPr>
          <w:sz w:val="20"/>
          <w:szCs w:val="20"/>
          <w:color w:val="auto"/>
        </w:rPr>
      </w:pPr>
    </w:p>
    <w:p>
      <w:pPr>
        <w:ind w:left="4580"/>
        <w:spacing w:after="0"/>
        <w:tabs>
          <w:tab w:leader="none" w:pos="53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-12700</wp:posOffset>
            </wp:positionV>
            <wp:extent cx="27686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1">
                      <a:extLst>
                        <a:ext uri="{28A0092B-C50C-407E-A947-70E740481C1C}"/>
                      </a:extLst>
                    </a:blip>
                    <a:srcRect/>
                    <a:stretch>
                      <a:fillRect/>
                    </a:stretch>
                  </pic:blipFill>
                  <pic:spPr bwMode="auto">
                    <a:xfrm>
                      <a:off x="0" y="0"/>
                      <a:ext cx="276860"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9"/>
          <w:szCs w:val="19"/>
          <w:color w:val="auto"/>
        </w:rPr>
        <w:t>Title:]</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414" w:right="1440" w:bottom="1440" w:gutter="0" w:footer="0" w:header="0"/>
        </w:sectPr>
      </w:pPr>
    </w:p>
    <w:bookmarkStart w:id="279" w:name="page280"/>
    <w:bookmarkEnd w:id="279"/>
    <w:p>
      <w:pPr>
        <w:ind w:left="9400"/>
        <w:spacing w:after="0"/>
        <w:rPr>
          <w:sz w:val="20"/>
          <w:szCs w:val="20"/>
          <w:color w:val="auto"/>
        </w:rPr>
      </w:pPr>
      <w:r>
        <w:rPr>
          <w:rFonts w:ascii="Arial" w:cs="Arial" w:eastAsia="Arial" w:hAnsi="Arial"/>
          <w:sz w:val="18"/>
          <w:szCs w:val="18"/>
          <w:color w:val="auto"/>
        </w:rPr>
        <w:t>Exhibit H</w:t>
      </w:r>
    </w:p>
    <w:p>
      <w:pPr>
        <w:spacing w:after="0" w:line="306"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[FORM OF] INTEREST</w:t>
      </w:r>
    </w:p>
    <w:p>
      <w:pPr>
        <w:ind w:left="3360"/>
        <w:spacing w:after="0"/>
        <w:rPr>
          <w:sz w:val="20"/>
          <w:szCs w:val="20"/>
          <w:color w:val="auto"/>
        </w:rPr>
      </w:pPr>
      <w:r>
        <w:rPr>
          <w:rFonts w:ascii="Arial" w:cs="Arial" w:eastAsia="Arial" w:hAnsi="Arial"/>
          <w:sz w:val="19"/>
          <w:szCs w:val="19"/>
          <w:color w:val="auto"/>
        </w:rPr>
        <w:t>ELECTION REQUEST</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9"/>
          <w:szCs w:val="19"/>
          <w:color w:val="auto"/>
        </w:rPr>
        <w:t>Bank of America, N.A.</w:t>
      </w:r>
    </w:p>
    <w:p>
      <w:pPr>
        <w:spacing w:after="0" w:line="14" w:lineRule="exact"/>
        <w:rPr>
          <w:sz w:val="20"/>
          <w:szCs w:val="20"/>
          <w:color w:val="auto"/>
        </w:rPr>
      </w:pPr>
    </w:p>
    <w:p>
      <w:pPr>
        <w:ind w:left="100" w:right="4680"/>
        <w:spacing w:after="0" w:line="222" w:lineRule="auto"/>
        <w:rPr>
          <w:sz w:val="20"/>
          <w:szCs w:val="20"/>
          <w:color w:val="auto"/>
        </w:rPr>
      </w:pPr>
      <w:r>
        <w:rPr>
          <w:rFonts w:ascii="Arial" w:cs="Arial" w:eastAsia="Arial" w:hAnsi="Arial"/>
          <w:sz w:val="19"/>
          <w:szCs w:val="19"/>
          <w:color w:val="auto"/>
        </w:rPr>
        <w:t>as Administrative Agent for the Lenders referred to below Attn: Smith Bagley</w:t>
      </w:r>
    </w:p>
    <w:p>
      <w:pPr>
        <w:ind w:left="100"/>
        <w:spacing w:after="0" w:line="238" w:lineRule="auto"/>
        <w:rPr>
          <w:sz w:val="20"/>
          <w:szCs w:val="20"/>
          <w:color w:val="auto"/>
        </w:rPr>
      </w:pPr>
      <w:r>
        <w:rPr>
          <w:rFonts w:ascii="Arial" w:cs="Arial" w:eastAsia="Arial" w:hAnsi="Arial"/>
          <w:sz w:val="19"/>
          <w:szCs w:val="19"/>
          <w:color w:val="auto"/>
        </w:rPr>
        <w:t>Gateway Village-900 Building 900 W</w:t>
      </w:r>
    </w:p>
    <w:p>
      <w:pPr>
        <w:ind w:left="100"/>
        <w:spacing w:after="0" w:line="222" w:lineRule="auto"/>
        <w:rPr>
          <w:sz w:val="20"/>
          <w:szCs w:val="20"/>
          <w:color w:val="auto"/>
        </w:rPr>
      </w:pPr>
      <w:r>
        <w:rPr>
          <w:rFonts w:ascii="Arial" w:cs="Arial" w:eastAsia="Arial" w:hAnsi="Arial"/>
          <w:sz w:val="19"/>
          <w:szCs w:val="19"/>
          <w:color w:val="auto"/>
        </w:rPr>
        <w:t>Trade Street</w:t>
      </w:r>
    </w:p>
    <w:p>
      <w:pPr>
        <w:ind w:left="100"/>
        <w:spacing w:after="0" w:line="223" w:lineRule="auto"/>
        <w:rPr>
          <w:sz w:val="20"/>
          <w:szCs w:val="20"/>
          <w:color w:val="auto"/>
        </w:rPr>
      </w:pPr>
      <w:r>
        <w:rPr>
          <w:rFonts w:ascii="Arial" w:cs="Arial" w:eastAsia="Arial" w:hAnsi="Arial"/>
          <w:sz w:val="19"/>
          <w:szCs w:val="19"/>
          <w:color w:val="auto"/>
        </w:rPr>
        <w:t>Mail Code: NC1-026-06-04</w:t>
      </w:r>
    </w:p>
    <w:p>
      <w:pPr>
        <w:ind w:left="100"/>
        <w:spacing w:after="0" w:line="237" w:lineRule="auto"/>
        <w:rPr>
          <w:sz w:val="20"/>
          <w:szCs w:val="20"/>
          <w:color w:val="auto"/>
        </w:rPr>
      </w:pPr>
      <w:r>
        <w:rPr>
          <w:rFonts w:ascii="Arial" w:cs="Arial" w:eastAsia="Arial" w:hAnsi="Arial"/>
          <w:sz w:val="19"/>
          <w:szCs w:val="19"/>
          <w:color w:val="auto"/>
        </w:rPr>
        <w:t>Charlotte, NC, 28255</w:t>
      </w:r>
    </w:p>
    <w:p>
      <w:pPr>
        <w:ind w:left="100"/>
        <w:spacing w:after="0" w:line="222" w:lineRule="auto"/>
        <w:rPr>
          <w:sz w:val="20"/>
          <w:szCs w:val="20"/>
          <w:color w:val="auto"/>
        </w:rPr>
      </w:pPr>
      <w:r>
        <w:rPr>
          <w:rFonts w:ascii="Arial" w:cs="Arial" w:eastAsia="Arial" w:hAnsi="Arial"/>
          <w:sz w:val="19"/>
          <w:szCs w:val="19"/>
          <w:color w:val="auto"/>
        </w:rPr>
        <w:t>Phone: 980.387.3614</w:t>
      </w:r>
    </w:p>
    <w:p>
      <w:pPr>
        <w:ind w:left="100"/>
        <w:spacing w:after="0" w:line="223" w:lineRule="auto"/>
        <w:rPr>
          <w:sz w:val="20"/>
          <w:szCs w:val="20"/>
          <w:color w:val="auto"/>
        </w:rPr>
      </w:pPr>
      <w:r>
        <w:rPr>
          <w:rFonts w:ascii="Arial" w:cs="Arial" w:eastAsia="Arial" w:hAnsi="Arial"/>
          <w:sz w:val="19"/>
          <w:szCs w:val="19"/>
          <w:color w:val="auto"/>
        </w:rPr>
        <w:t>Fax: 704.208.3045</w:t>
      </w:r>
    </w:p>
    <w:p>
      <w:pPr>
        <w:ind w:left="100"/>
        <w:spacing w:after="0"/>
        <w:rPr>
          <w:sz w:val="20"/>
          <w:szCs w:val="20"/>
          <w:color w:val="auto"/>
        </w:rPr>
      </w:pPr>
      <w:r>
        <w:rPr>
          <w:rFonts w:ascii="Arial" w:cs="Arial" w:eastAsia="Arial" w:hAnsi="Arial"/>
          <w:sz w:val="19"/>
          <w:szCs w:val="19"/>
          <w:color w:val="auto"/>
        </w:rPr>
        <w:t>Email: smith.bagley@bofa.com</w:t>
      </w:r>
    </w:p>
    <w:p>
      <w:pPr>
        <w:spacing w:after="0" w:line="400" w:lineRule="exact"/>
        <w:rPr>
          <w:sz w:val="20"/>
          <w:szCs w:val="20"/>
          <w:color w:val="auto"/>
        </w:rPr>
      </w:pPr>
    </w:p>
    <w:p>
      <w:pPr>
        <w:ind w:left="8860"/>
        <w:spacing w:after="0"/>
        <w:tabs>
          <w:tab w:leader="none" w:pos="922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 [ ], 20[ ]</w:t>
      </w: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5669280</wp:posOffset>
            </wp:positionH>
            <wp:positionV relativeFrom="paragraph">
              <wp:posOffset>-12700</wp:posOffset>
            </wp:positionV>
            <wp:extent cx="20002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3">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275" w:lineRule="exact"/>
        <w:rPr>
          <w:sz w:val="20"/>
          <w:szCs w:val="20"/>
          <w:color w:val="auto"/>
        </w:rPr>
      </w:pPr>
    </w:p>
    <w:p>
      <w:pPr>
        <w:ind w:left="100"/>
        <w:spacing w:after="0"/>
        <w:rPr>
          <w:sz w:val="20"/>
          <w:szCs w:val="20"/>
          <w:color w:val="auto"/>
        </w:rPr>
      </w:pPr>
      <w:r>
        <w:rPr>
          <w:rFonts w:ascii="Arial" w:cs="Arial" w:eastAsia="Arial" w:hAnsi="Arial"/>
          <w:sz w:val="19"/>
          <w:szCs w:val="19"/>
          <w:color w:val="auto"/>
        </w:rPr>
        <w:t>Ladies and Gentlemen:</w:t>
      </w:r>
    </w:p>
    <w:p>
      <w:pPr>
        <w:spacing w:after="0" w:line="200" w:lineRule="exact"/>
        <w:rPr>
          <w:sz w:val="20"/>
          <w:szCs w:val="20"/>
          <w:color w:val="auto"/>
        </w:rPr>
      </w:pPr>
    </w:p>
    <w:p>
      <w:pPr>
        <w:jc w:val="both"/>
        <w:ind w:left="100" w:firstLine="749"/>
        <w:spacing w:after="0" w:line="246" w:lineRule="auto"/>
        <w:rPr>
          <w:sz w:val="20"/>
          <w:szCs w:val="20"/>
          <w:color w:val="auto"/>
        </w:rPr>
      </w:pPr>
      <w:r>
        <w:rPr>
          <w:rFonts w:ascii="Arial" w:cs="Arial" w:eastAsia="Arial" w:hAnsi="Arial"/>
          <w:sz w:val="18"/>
          <w:szCs w:val="18"/>
          <w:color w:val="auto"/>
        </w:rPr>
        <w:t>Reference is hereby made to that certain Credit Agreement, dated as of September 17, 2021 (as amended, restated, amended and restated, supplemented or otherwise modified and in effect on the date hereof,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by and among, </w:t>
      </w:r>
      <w:r>
        <w:rPr>
          <w:rFonts w:ascii="Arial" w:cs="Arial" w:eastAsia="Arial" w:hAnsi="Arial"/>
          <w:sz w:val="18"/>
          <w:szCs w:val="18"/>
          <w:i w:val="1"/>
          <w:iCs w:val="1"/>
          <w:color w:val="auto"/>
        </w:rPr>
        <w:t>inter alios</w:t>
      </w:r>
      <w:r>
        <w:rPr>
          <w:rFonts w:ascii="Arial" w:cs="Arial" w:eastAsia="Arial" w:hAnsi="Arial"/>
          <w:sz w:val="18"/>
          <w:szCs w:val="18"/>
          <w:color w:val="auto"/>
        </w:rPr>
        <w:t>, AIDH Buyer, LLC, a Delaware limited liability company (“</w:t>
      </w:r>
      <w:r>
        <w:rPr>
          <w:rFonts w:ascii="Arial" w:cs="Arial" w:eastAsia="Arial" w:hAnsi="Arial"/>
          <w:sz w:val="18"/>
          <w:szCs w:val="18"/>
          <w:u w:val="single" w:color="auto"/>
          <w:color w:val="auto"/>
        </w:rPr>
        <w:t>Holdings</w:t>
      </w:r>
      <w:r>
        <w:rPr>
          <w:rFonts w:ascii="Arial" w:cs="Arial" w:eastAsia="Arial" w:hAnsi="Arial"/>
          <w:sz w:val="18"/>
          <w:szCs w:val="18"/>
          <w:color w:val="auto"/>
        </w:rPr>
        <w:t>”), Definitive Healthcare Holdings,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and Issuing Banks from time to time party thereto and Bank of America, N.A., in its capacities as administrative agent for the Lenders and collateral agent for the Secured Parties (in such capacities and together with its successors and assigns,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as the Swingline Lender. Terms defined in the Credit Agreement are used herein with the same meanings unless otherwise defined herein.</w:t>
      </w:r>
    </w:p>
    <w:p>
      <w:pPr>
        <w:spacing w:after="0" w:line="175" w:lineRule="exact"/>
        <w:rPr>
          <w:sz w:val="20"/>
          <w:szCs w:val="20"/>
          <w:color w:val="auto"/>
        </w:rPr>
      </w:pPr>
    </w:p>
    <w:p>
      <w:pPr>
        <w:jc w:val="both"/>
        <w:ind w:left="100" w:firstLine="749"/>
        <w:spacing w:after="0" w:line="261" w:lineRule="auto"/>
        <w:rPr>
          <w:sz w:val="20"/>
          <w:szCs w:val="20"/>
          <w:color w:val="auto"/>
        </w:rPr>
      </w:pPr>
      <w:r>
        <w:rPr>
          <w:rFonts w:ascii="Arial" w:cs="Arial" w:eastAsia="Arial" w:hAnsi="Arial"/>
          <w:sz w:val="19"/>
          <w:szCs w:val="19"/>
          <w:color w:val="auto"/>
        </w:rPr>
        <w:t xml:space="preserve">The undersigned hereby gives you notice pursuant to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of the Credit Agreement of an interest rate election, and in that connection sets forth below the terms thereof:</w:t>
      </w:r>
    </w:p>
    <w:p>
      <w:pPr>
        <w:spacing w:after="0" w:line="159" w:lineRule="exact"/>
        <w:rPr>
          <w:sz w:val="20"/>
          <w:szCs w:val="20"/>
          <w:color w:val="auto"/>
        </w:rPr>
      </w:pPr>
    </w:p>
    <w:p>
      <w:pPr>
        <w:jc w:val="both"/>
        <w:ind w:left="2100" w:firstLine="1060"/>
        <w:spacing w:after="0" w:line="320" w:lineRule="auto"/>
        <w:tabs>
          <w:tab w:leader="none" w:pos="3843" w:val="left"/>
        </w:tabs>
        <w:numPr>
          <w:ilvl w:val="0"/>
          <w:numId w:val="368"/>
        </w:numPr>
        <w:rPr>
          <w:rFonts w:ascii="Arial" w:cs="Arial" w:eastAsia="Arial" w:hAnsi="Arial"/>
          <w:sz w:val="16"/>
          <w:szCs w:val="16"/>
          <w:color w:val="auto"/>
        </w:rPr>
      </w:pPr>
      <w:r>
        <w:rPr>
          <w:rFonts w:ascii="Arial" w:cs="Arial" w:eastAsia="Arial" w:hAnsi="Arial"/>
          <w:sz w:val="17"/>
          <w:szCs w:val="17"/>
          <w:color w:val="auto"/>
        </w:rPr>
        <w:t>[on [insert applicable date] (which is a Business Day), the undersigned will convert $[ ]</w:t>
      </w:r>
      <w:r>
        <w:rPr>
          <w:rFonts w:ascii="Arial" w:cs="Arial" w:eastAsia="Arial" w:hAnsi="Arial"/>
          <w:sz w:val="11"/>
          <w:szCs w:val="11"/>
          <w:color w:val="auto"/>
        </w:rPr>
        <w:t>10</w:t>
      </w:r>
      <w:r>
        <w:rPr>
          <w:rFonts w:ascii="Arial" w:cs="Arial" w:eastAsia="Arial" w:hAnsi="Arial"/>
          <w:sz w:val="17"/>
          <w:szCs w:val="17"/>
          <w:color w:val="auto"/>
        </w:rPr>
        <w:t xml:space="preserve"> of the aggregate outstanding principal amount of the [Term] [Revolving] Loans, bearing interest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-67310</wp:posOffset>
            </wp:positionV>
            <wp:extent cx="13970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4">
                      <a:extLst>
                        <a:ext uri="{28A0092B-C50C-407E-A947-70E740481C1C}"/>
                      </a:extLst>
                    </a:blip>
                    <a:srcRect/>
                    <a:stretch>
                      <a:fillRect/>
                    </a:stretch>
                  </pic:blipFill>
                  <pic:spPr bwMode="auto">
                    <a:xfrm>
                      <a:off x="0" y="0"/>
                      <a:ext cx="139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 w:right="20"/>
        <w:spacing w:after="0" w:line="255" w:lineRule="auto"/>
        <w:rPr>
          <w:sz w:val="20"/>
          <w:szCs w:val="20"/>
          <w:color w:val="auto"/>
        </w:rPr>
      </w:pPr>
      <w:r>
        <w:rPr>
          <w:rFonts w:ascii="Arial" w:cs="Arial" w:eastAsia="Arial" w:hAnsi="Arial"/>
          <w:sz w:val="12"/>
          <w:szCs w:val="12"/>
          <w:color w:val="auto"/>
        </w:rPr>
        <w:t xml:space="preserve">9 </w:t>
      </w:r>
      <w:r>
        <w:rPr>
          <w:rFonts w:ascii="Arial" w:cs="Arial" w:eastAsia="Arial" w:hAnsi="Arial"/>
          <w:sz w:val="17"/>
          <w:szCs w:val="17"/>
          <w:color w:val="auto"/>
        </w:rPr>
        <w:t>The Administrative Agent must be notified in writing, which must be received by the Administrative Agent (by hand delivery, fax or</w:t>
      </w:r>
      <w:r>
        <w:rPr>
          <w:rFonts w:ascii="Arial" w:cs="Arial" w:eastAsia="Arial" w:hAnsi="Arial"/>
          <w:sz w:val="12"/>
          <w:szCs w:val="12"/>
          <w:color w:val="auto"/>
        </w:rPr>
        <w:t xml:space="preserve"> </w:t>
      </w:r>
      <w:r>
        <w:rPr>
          <w:rFonts w:ascii="Arial" w:cs="Arial" w:eastAsia="Arial" w:hAnsi="Arial"/>
          <w:sz w:val="17"/>
          <w:szCs w:val="17"/>
          <w:color w:val="auto"/>
        </w:rPr>
        <w:t xml:space="preserve">other electronic transmission (including “.pdf” or “.tif”) not later than (i) 12:00 p.m. three Business Days prior to the requested day of any conversion or continuation of Term SOFR Loans and (ii) 10:00 a.m. on the requested date of any conversion of any Borrowing to ABR Loans (or, in each case, such later time as is acceptable to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Borrower wishes to request a conversion or continuation of Term SOFR Loans denominated in an Alternate Currency with an Interest Period of other than one, three or six months (or, to the extent available to all relevant affected Lenders, 12 months or any period shorter than 12 months) in duration as provided in the definition of “Interest Period,” (A) the applicable notice from the Borrower must be received by the Administrative Agent not later than 12:00 p.m. four Business Days prior to the requested date of such conversion or continuation, whereupon the Administrative Agent shall give prompt notice to the appropriate Lenders of such request and determine whether the requested Interest Period is available to them and</w:t>
      </w:r>
    </w:p>
    <w:p>
      <w:pPr>
        <w:spacing w:after="0" w:line="5" w:lineRule="exact"/>
        <w:rPr>
          <w:sz w:val="20"/>
          <w:szCs w:val="20"/>
          <w:color w:val="auto"/>
        </w:rPr>
      </w:pPr>
    </w:p>
    <w:p>
      <w:pPr>
        <w:ind w:left="100" w:right="600" w:hanging="8"/>
        <w:spacing w:after="0" w:line="272" w:lineRule="auto"/>
        <w:tabs>
          <w:tab w:leader="none" w:pos="453" w:val="left"/>
        </w:tabs>
        <w:numPr>
          <w:ilvl w:val="0"/>
          <w:numId w:val="369"/>
        </w:numPr>
        <w:rPr>
          <w:rFonts w:ascii="Arial" w:cs="Arial" w:eastAsia="Arial" w:hAnsi="Arial"/>
          <w:sz w:val="16"/>
          <w:szCs w:val="16"/>
          <w:color w:val="auto"/>
        </w:rPr>
      </w:pPr>
      <w:r>
        <w:rPr>
          <w:rFonts w:ascii="Arial" w:cs="Arial" w:eastAsia="Arial" w:hAnsi="Arial"/>
          <w:sz w:val="16"/>
          <w:szCs w:val="16"/>
          <w:color w:val="auto"/>
        </w:rPr>
        <w:t>not later than 12:00 p.m. three Business Days before the requested date of such conversion or continuation, the Administrative Agent shall notify the Borrower whether or not the requested Interest Period is available to the appropriate Lenders.</w:t>
      </w:r>
    </w:p>
    <w:p>
      <w:pPr>
        <w:spacing w:after="0" w:line="1"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2"/>
          <w:szCs w:val="12"/>
          <w:color w:val="auto"/>
        </w:rPr>
        <w:t xml:space="preserve">10 </w:t>
      </w:r>
      <w:r>
        <w:rPr>
          <w:rFonts w:ascii="Arial" w:cs="Arial" w:eastAsia="Arial" w:hAnsi="Arial"/>
          <w:sz w:val="17"/>
          <w:szCs w:val="17"/>
          <w:color w:val="auto"/>
        </w:rPr>
        <w:t>Subject to</w:t>
      </w:r>
      <w:r>
        <w:rPr>
          <w:rFonts w:ascii="Arial" w:cs="Arial" w:eastAsia="Arial" w:hAnsi="Arial"/>
          <w:sz w:val="12"/>
          <w:szCs w:val="12"/>
          <w:color w:val="auto"/>
        </w:rPr>
        <w:t xml:space="preserve"> </w:t>
      </w:r>
      <w:r>
        <w:rPr>
          <w:rFonts w:ascii="Arial" w:cs="Arial" w:eastAsia="Arial" w:hAnsi="Arial"/>
          <w:sz w:val="17"/>
          <w:szCs w:val="17"/>
          <w:u w:val="single" w:color="auto"/>
          <w:color w:val="auto"/>
        </w:rPr>
        <w:t>Section 2.02(c)</w:t>
      </w:r>
      <w:r>
        <w:rPr>
          <w:rFonts w:ascii="Arial" w:cs="Arial" w:eastAsia="Arial" w:hAnsi="Arial"/>
          <w:sz w:val="12"/>
          <w:szCs w:val="12"/>
          <w:color w:val="auto"/>
        </w:rPr>
        <w:t xml:space="preserve"> </w:t>
      </w:r>
      <w:r>
        <w:rPr>
          <w:rFonts w:ascii="Arial" w:cs="Arial" w:eastAsia="Arial" w:hAnsi="Arial"/>
          <w:sz w:val="17"/>
          <w:szCs w:val="17"/>
          <w:color w:val="auto"/>
        </w:rPr>
        <w:t>of the Credit Agreement.</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76835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40" w:top="185" w:right="1419" w:bottom="1440" w:gutter="0" w:footer="0" w:header="0"/>
        </w:sectPr>
      </w:pPr>
    </w:p>
    <w:bookmarkStart w:id="280" w:name="page281"/>
    <w:bookmarkEnd w:id="280"/>
    <w:p>
      <w:pPr>
        <w:ind w:left="100" w:right="140"/>
        <w:spacing w:after="0" w:line="261" w:lineRule="auto"/>
        <w:rPr>
          <w:sz w:val="20"/>
          <w:szCs w:val="20"/>
          <w:color w:val="auto"/>
        </w:rPr>
      </w:pPr>
      <w:r>
        <w:rPr>
          <w:rFonts w:ascii="Arial" w:cs="Arial" w:eastAsia="Arial" w:hAnsi="Arial"/>
          <w:sz w:val="19"/>
          <w:szCs w:val="19"/>
          <w:color w:val="auto"/>
        </w:rPr>
        <w:t>the [ABR] [Term SOFR], into a [Term SOFR] [ABR] Loan [and, in the case of a Term SOFR Loan, having an Interest Period of [ ] month(s)]</w:t>
      </w:r>
      <w:r>
        <w:rPr>
          <w:rFonts w:ascii="Arial" w:cs="Arial" w:eastAsia="Arial" w:hAnsi="Arial"/>
          <w:sz w:val="12"/>
          <w:szCs w:val="12"/>
          <w:color w:val="auto"/>
        </w:rPr>
        <w:t>11</w:t>
      </w:r>
      <w:r>
        <w:rPr>
          <w:rFonts w:ascii="Arial" w:cs="Arial" w:eastAsia="Arial" w:hAnsi="Arial"/>
          <w:sz w:val="19"/>
          <w:szCs w:val="19"/>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6282055</wp:posOffset>
            </wp:positionH>
            <wp:positionV relativeFrom="paragraph">
              <wp:posOffset>-175260</wp:posOffset>
            </wp:positionV>
            <wp:extent cx="2984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6">
                      <a:extLst>
                        <a:ext uri="{28A0092B-C50C-407E-A947-70E740481C1C}"/>
                      </a:extLst>
                    </a:blip>
                    <a:srcRect/>
                    <a:stretch>
                      <a:fillRect/>
                    </a:stretch>
                  </pic:blipFill>
                  <pic:spPr bwMode="auto">
                    <a:xfrm>
                      <a:off x="0" y="0"/>
                      <a:ext cx="29845" cy="8255"/>
                    </a:xfrm>
                    <a:prstGeom prst="rect">
                      <a:avLst/>
                    </a:prstGeom>
                    <a:noFill/>
                  </pic:spPr>
                </pic:pic>
              </a:graphicData>
            </a:graphic>
          </wp:anchor>
        </w:drawing>
      </w:r>
    </w:p>
    <w:p>
      <w:pPr>
        <w:spacing w:after="0" w:line="153" w:lineRule="exact"/>
        <w:rPr>
          <w:sz w:val="20"/>
          <w:szCs w:val="20"/>
          <w:color w:val="auto"/>
        </w:rPr>
      </w:pPr>
    </w:p>
    <w:p>
      <w:pPr>
        <w:jc w:val="both"/>
        <w:ind w:left="100" w:firstLine="749"/>
        <w:spacing w:after="0" w:line="236" w:lineRule="auto"/>
        <w:rPr>
          <w:sz w:val="20"/>
          <w:szCs w:val="20"/>
          <w:color w:val="auto"/>
        </w:rPr>
      </w:pPr>
      <w:r>
        <w:rPr>
          <w:rFonts w:ascii="Arial" w:cs="Arial" w:eastAsia="Arial" w:hAnsi="Arial"/>
          <w:sz w:val="19"/>
          <w:szCs w:val="19"/>
          <w:color w:val="auto"/>
        </w:rPr>
        <w:t>(B) [on [insert applicable date] (which is a Business Day), the undersigned will continue $[ ] of the aggregate outstanding principal amount of the [Term] [Revolving] Loans bearing interest at the Term SOFR, as Term SOFR Loans having an Interest Period of [ ] month(s)</w:t>
      </w:r>
      <w:r>
        <w:rPr>
          <w:rFonts w:ascii="Arial" w:cs="Arial" w:eastAsia="Arial" w:hAnsi="Arial"/>
          <w:sz w:val="12"/>
          <w:szCs w:val="12"/>
          <w:color w:val="auto"/>
        </w:rPr>
        <w:t>12</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-283210</wp:posOffset>
            </wp:positionV>
            <wp:extent cx="15875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7">
                      <a:extLst>
                        <a:ext uri="{28A0092B-C50C-407E-A947-70E740481C1C}"/>
                      </a:extLst>
                    </a:blip>
                    <a:srcRect/>
                    <a:stretch>
                      <a:fillRect/>
                    </a:stretch>
                  </pic:blipFill>
                  <pic:spPr bwMode="auto">
                    <a:xfrm>
                      <a:off x="0" y="0"/>
                      <a:ext cx="158750" cy="8890"/>
                    </a:xfrm>
                    <a:prstGeom prst="rect">
                      <a:avLst/>
                    </a:prstGeom>
                    <a:noFill/>
                  </pic:spPr>
                </pic:pic>
              </a:graphicData>
            </a:graphic>
          </wp:anchor>
        </w:drawing>
        <w:drawing>
          <wp:anchor simplePos="0" relativeHeight="251657728" behindDoc="1" locked="0" layoutInCell="0" allowOverlap="1">
            <wp:simplePos x="0" y="0"/>
            <wp:positionH relativeFrom="column">
              <wp:posOffset>960755</wp:posOffset>
            </wp:positionH>
            <wp:positionV relativeFrom="paragraph">
              <wp:posOffset>-26035</wp:posOffset>
            </wp:positionV>
            <wp:extent cx="2984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8">
                      <a:extLst>
                        <a:ext uri="{28A0092B-C50C-407E-A947-70E740481C1C}"/>
                      </a:extLst>
                    </a:blip>
                    <a:srcRect/>
                    <a:stretch>
                      <a:fillRect/>
                    </a:stretch>
                  </pic:blipFill>
                  <pic:spPr bwMode="auto">
                    <a:xfrm>
                      <a:off x="0" y="0"/>
                      <a:ext cx="29845" cy="8890"/>
                    </a:xfrm>
                    <a:prstGeom prst="rect">
                      <a:avLst/>
                    </a:prstGeom>
                    <a:noFill/>
                  </pic:spPr>
                </pic:pic>
              </a:graphicData>
            </a:graphic>
          </wp:anchor>
        </w:drawing>
      </w:r>
    </w:p>
    <w:p>
      <w:pPr>
        <w:spacing w:after="0" w:line="172"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00"/>
        <w:spacing w:after="0"/>
        <w:rPr>
          <w:sz w:val="20"/>
          <w:szCs w:val="20"/>
          <w:color w:val="auto"/>
        </w:rPr>
      </w:pPr>
      <w:r>
        <w:rPr>
          <w:rFonts w:ascii="Arial" w:cs="Arial" w:eastAsia="Arial" w:hAnsi="Arial"/>
          <w:sz w:val="12"/>
          <w:szCs w:val="12"/>
          <w:color w:val="auto"/>
        </w:rPr>
        <w:t xml:space="preserve">11 </w:t>
      </w:r>
      <w:r>
        <w:rPr>
          <w:rFonts w:ascii="Arial" w:cs="Arial" w:eastAsia="Arial" w:hAnsi="Arial"/>
          <w:sz w:val="17"/>
          <w:szCs w:val="17"/>
          <w:color w:val="auto"/>
        </w:rPr>
        <w:t>Must be a period contemplated by the definition of “Interest Period.”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2"/>
          <w:szCs w:val="12"/>
          <w:color w:val="auto"/>
        </w:rPr>
        <w:t xml:space="preserve">12 </w:t>
      </w:r>
      <w:r>
        <w:rPr>
          <w:rFonts w:ascii="Arial" w:cs="Arial" w:eastAsia="Arial" w:hAnsi="Arial"/>
          <w:sz w:val="17"/>
          <w:szCs w:val="17"/>
          <w:color w:val="auto"/>
        </w:rPr>
        <w:t>Must be a period contemplated by the definition of “Interest Period.”</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40" w:top="185" w:right="1419" w:bottom="1440" w:gutter="0" w:footer="0" w:header="0"/>
        </w:sectPr>
      </w:pPr>
    </w:p>
    <w:bookmarkStart w:id="281" w:name="page282"/>
    <w:bookmarkEnd w:id="281"/>
    <w:p>
      <w:pPr>
        <w:jc w:val="right"/>
        <w:ind w:right="1739"/>
        <w:spacing w:after="0"/>
        <w:rPr>
          <w:sz w:val="20"/>
          <w:szCs w:val="20"/>
          <w:color w:val="auto"/>
        </w:rPr>
      </w:pPr>
      <w:r>
        <w:rPr>
          <w:rFonts w:ascii="Arial" w:cs="Arial" w:eastAsia="Arial" w:hAnsi="Arial"/>
          <w:sz w:val="19"/>
          <w:szCs w:val="19"/>
          <w:color w:val="auto"/>
        </w:rPr>
        <w:t>DEFINITIVE HEALTHCARE HOLDINGS, LLC</w:t>
      </w:r>
    </w:p>
    <w:p>
      <w:pPr>
        <w:spacing w:after="0" w:line="200" w:lineRule="exact"/>
        <w:rPr>
          <w:sz w:val="20"/>
          <w:szCs w:val="20"/>
          <w:color w:val="auto"/>
        </w:rPr>
      </w:pPr>
    </w:p>
    <w:p>
      <w:pPr>
        <w:spacing w:after="0" w:line="203" w:lineRule="exact"/>
        <w:rPr>
          <w:sz w:val="20"/>
          <w:szCs w:val="20"/>
          <w:color w:val="auto"/>
        </w:rPr>
      </w:pPr>
    </w:p>
    <w:p>
      <w:pPr>
        <w:ind w:left="4580"/>
        <w:spacing w:after="0"/>
        <w:tabs>
          <w:tab w:leader="none" w:pos="53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-12700</wp:posOffset>
            </wp:positionV>
            <wp:extent cx="27686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0">
                      <a:extLst>
                        <a:ext uri="{28A0092B-C50C-407E-A947-70E740481C1C}"/>
                      </a:extLst>
                    </a:blip>
                    <a:srcRect/>
                    <a:stretch>
                      <a:fillRect/>
                    </a:stretch>
                  </pic:blipFill>
                  <pic:spPr bwMode="auto">
                    <a:xfrm>
                      <a:off x="0" y="0"/>
                      <a:ext cx="276860" cy="8890"/>
                    </a:xfrm>
                    <a:prstGeom prst="rect">
                      <a:avLst/>
                    </a:prstGeom>
                    <a:noFill/>
                  </pic:spPr>
                </pic:pic>
              </a:graphicData>
            </a:graphic>
          </wp:anchor>
        </w:drawing>
      </w:r>
    </w:p>
    <w:p>
      <w:pPr>
        <w:jc w:val="center"/>
        <w:ind w:right="-340"/>
        <w:spacing w:after="0"/>
        <w:rPr>
          <w:sz w:val="20"/>
          <w:szCs w:val="20"/>
          <w:color w:val="auto"/>
        </w:rPr>
      </w:pPr>
      <w:r>
        <w:rPr>
          <w:rFonts w:ascii="Arial" w:cs="Arial" w:eastAsia="Arial" w:hAnsi="Arial"/>
          <w:sz w:val="19"/>
          <w:szCs w:val="19"/>
          <w:color w:val="auto"/>
        </w:rPr>
        <w:t>Title:</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279" w:right="1440" w:bottom="1440" w:gutter="0" w:footer="0" w:header="0"/>
        </w:sectPr>
      </w:pPr>
    </w:p>
    <w:bookmarkStart w:id="282" w:name="page283"/>
    <w:bookmarkEnd w:id="282"/>
    <w:p>
      <w:pPr>
        <w:ind w:left="9420"/>
        <w:spacing w:after="0"/>
        <w:rPr>
          <w:sz w:val="20"/>
          <w:szCs w:val="20"/>
          <w:color w:val="auto"/>
        </w:rPr>
      </w:pPr>
      <w:r>
        <w:rPr>
          <w:rFonts w:ascii="Arial" w:cs="Arial" w:eastAsia="Arial" w:hAnsi="Arial"/>
          <w:sz w:val="18"/>
          <w:szCs w:val="18"/>
          <w:color w:val="auto"/>
        </w:rPr>
        <w:t>Exhibit L</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[FORM OF] PROMISSORY</w:t>
      </w:r>
    </w:p>
    <w:p>
      <w:pPr>
        <w:jc w:val="center"/>
        <w:ind w:right="-79"/>
        <w:spacing w:after="0"/>
        <w:rPr>
          <w:sz w:val="20"/>
          <w:szCs w:val="20"/>
          <w:color w:val="auto"/>
        </w:rPr>
      </w:pPr>
      <w:r>
        <w:rPr>
          <w:rFonts w:ascii="Arial" w:cs="Arial" w:eastAsia="Arial" w:hAnsi="Arial"/>
          <w:sz w:val="19"/>
          <w:szCs w:val="19"/>
          <w:color w:val="auto"/>
        </w:rPr>
        <w:t>NOTE</w:t>
      </w:r>
    </w:p>
    <w:p>
      <w:pPr>
        <w:spacing w:after="0" w:line="184" w:lineRule="exact"/>
        <w:rPr>
          <w:sz w:val="20"/>
          <w:szCs w:val="20"/>
          <w:color w:val="auto"/>
        </w:rPr>
      </w:pPr>
    </w:p>
    <w:p>
      <w:pPr>
        <w:jc w:val="right"/>
        <w:spacing w:after="0"/>
        <w:tabs>
          <w:tab w:leader="none" w:pos="2000" w:val="left"/>
          <w:tab w:leader="none" w:pos="1620" w:val="left"/>
        </w:tabs>
        <w:rPr>
          <w:sz w:val="20"/>
          <w:szCs w:val="20"/>
          <w:color w:val="auto"/>
        </w:rPr>
      </w:pPr>
      <w:r>
        <w:rPr>
          <w:rFonts w:ascii="Arial" w:cs="Arial" w:eastAsia="Arial" w:hAnsi="Arial"/>
          <w:sz w:val="19"/>
          <w:szCs w:val="19"/>
          <w:color w:val="auto"/>
        </w:rPr>
        <w:t>$[</w:t>
        <w:tab/>
        <w:t>]</w:t>
      </w:r>
      <w:r>
        <w:rPr>
          <w:sz w:val="20"/>
          <w:szCs w:val="20"/>
          <w:color w:val="auto"/>
        </w:rPr>
        <w:tab/>
      </w:r>
      <w:r>
        <w:rPr>
          <w:rFonts w:ascii="Arial" w:cs="Arial" w:eastAsia="Arial" w:hAnsi="Arial"/>
          <w:sz w:val="17"/>
          <w:szCs w:val="17"/>
          <w:color w:val="auto"/>
        </w:rPr>
        <w:t>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5016500</wp:posOffset>
            </wp:positionH>
            <wp:positionV relativeFrom="paragraph">
              <wp:posOffset>-12700</wp:posOffset>
            </wp:positionV>
            <wp:extent cx="13970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2">
                      <a:extLst>
                        <a:ext uri="{28A0092B-C50C-407E-A947-70E740481C1C}"/>
                      </a:extLst>
                    </a:blip>
                    <a:srcRect/>
                    <a:stretch>
                      <a:fillRect/>
                    </a:stretch>
                  </pic:blipFill>
                  <pic:spPr bwMode="auto">
                    <a:xfrm>
                      <a:off x="0" y="0"/>
                      <a:ext cx="139700" cy="8255"/>
                    </a:xfrm>
                    <a:prstGeom prst="rect">
                      <a:avLst/>
                    </a:prstGeom>
                    <a:noFill/>
                  </pic:spPr>
                </pic:pic>
              </a:graphicData>
            </a:graphic>
          </wp:anchor>
        </w:drawing>
      </w:r>
    </w:p>
    <w:p>
      <w:pPr>
        <w:jc w:val="both"/>
        <w:ind w:left="8920"/>
        <w:spacing w:after="0"/>
        <w:tabs>
          <w:tab w:leader="none" w:pos="928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 [ ],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5709920</wp:posOffset>
            </wp:positionH>
            <wp:positionV relativeFrom="paragraph">
              <wp:posOffset>-22860</wp:posOffset>
            </wp:positionV>
            <wp:extent cx="20002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3">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64" w:lineRule="exact"/>
        <w:rPr>
          <w:sz w:val="20"/>
          <w:szCs w:val="20"/>
          <w:color w:val="auto"/>
        </w:rPr>
      </w:pPr>
    </w:p>
    <w:p>
      <w:pPr>
        <w:jc w:val="both"/>
        <w:ind w:left="100" w:firstLine="749"/>
        <w:spacing w:after="0" w:line="258" w:lineRule="auto"/>
        <w:rPr>
          <w:sz w:val="20"/>
          <w:szCs w:val="20"/>
          <w:color w:val="auto"/>
        </w:rPr>
      </w:pPr>
      <w:r>
        <w:rPr>
          <w:rFonts w:ascii="Arial" w:cs="Arial" w:eastAsia="Arial" w:hAnsi="Arial"/>
          <w:sz w:val="17"/>
          <w:szCs w:val="17"/>
          <w:color w:val="auto"/>
        </w:rPr>
        <w:t>FOR VALUE RECEIVED, the undersigned Definitive Healthcare Holdings, LLC, a Delaware limited liability company (the “</w:t>
      </w:r>
      <w:r>
        <w:rPr>
          <w:rFonts w:ascii="Arial" w:cs="Arial" w:eastAsia="Arial" w:hAnsi="Arial"/>
          <w:sz w:val="17"/>
          <w:szCs w:val="17"/>
          <w:u w:val="single" w:color="auto"/>
          <w:color w:val="auto"/>
        </w:rPr>
        <w:t>Borrower</w:t>
      </w:r>
      <w:r>
        <w:rPr>
          <w:rFonts w:ascii="Arial" w:cs="Arial" w:eastAsia="Arial" w:hAnsi="Arial"/>
          <w:sz w:val="17"/>
          <w:szCs w:val="17"/>
          <w:color w:val="auto"/>
        </w:rPr>
        <w:t>”), hereby promises to pay on demand to [ ] (the “</w:t>
      </w:r>
      <w:r>
        <w:rPr>
          <w:rFonts w:ascii="Arial" w:cs="Arial" w:eastAsia="Arial" w:hAnsi="Arial"/>
          <w:sz w:val="17"/>
          <w:szCs w:val="17"/>
          <w:u w:val="single" w:color="auto"/>
          <w:color w:val="auto"/>
        </w:rPr>
        <w:t>Lender</w:t>
      </w:r>
      <w:r>
        <w:rPr>
          <w:rFonts w:ascii="Arial" w:cs="Arial" w:eastAsia="Arial" w:hAnsi="Arial"/>
          <w:sz w:val="17"/>
          <w:szCs w:val="17"/>
          <w:color w:val="auto"/>
        </w:rPr>
        <w:t>”) or its registered permitted assign, at the office of Bank of America, N.A. (“</w:t>
      </w:r>
      <w:r>
        <w:rPr>
          <w:rFonts w:ascii="Arial" w:cs="Arial" w:eastAsia="Arial" w:hAnsi="Arial"/>
          <w:sz w:val="17"/>
          <w:szCs w:val="17"/>
          <w:u w:val="single" w:color="auto"/>
          <w:color w:val="auto"/>
        </w:rPr>
        <w:t>Bank of America</w:t>
      </w:r>
      <w:r>
        <w:rPr>
          <w:rFonts w:ascii="Arial" w:cs="Arial" w:eastAsia="Arial" w:hAnsi="Arial"/>
          <w:sz w:val="17"/>
          <w:szCs w:val="17"/>
          <w:color w:val="auto"/>
        </w:rPr>
        <w:t>”) at [_], [Term] [Revolving] Loans in the principal amount of $[ ] [(or applicable amounts in an Alternate Currency, as applicable, in the case of Revolving Loans)] or such lesser amount as is outstanding from time to time, on the dates and in the amounts set forth in that certain Credit Agreement, dated as of September 17, 2021 (as amended, restated, amended and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xml:space="preserve">”), by and among, </w:t>
      </w:r>
      <w:r>
        <w:rPr>
          <w:rFonts w:ascii="Arial" w:cs="Arial" w:eastAsia="Arial" w:hAnsi="Arial"/>
          <w:sz w:val="17"/>
          <w:szCs w:val="17"/>
          <w:i w:val="1"/>
          <w:iCs w:val="1"/>
          <w:color w:val="auto"/>
        </w:rPr>
        <w:t>inter alios</w:t>
      </w:r>
      <w:r>
        <w:rPr>
          <w:rFonts w:ascii="Arial" w:cs="Arial" w:eastAsia="Arial" w:hAnsi="Arial"/>
          <w:sz w:val="17"/>
          <w:szCs w:val="17"/>
          <w:color w:val="auto"/>
        </w:rPr>
        <w:t>, AIDH Buyer, LLC, a Delaware limited liability company (“</w:t>
      </w:r>
      <w:r>
        <w:rPr>
          <w:rFonts w:ascii="Arial" w:cs="Arial" w:eastAsia="Arial" w:hAnsi="Arial"/>
          <w:sz w:val="17"/>
          <w:szCs w:val="17"/>
          <w:u w:val="single" w:color="auto"/>
          <w:color w:val="auto"/>
        </w:rPr>
        <w:t>Holdings</w:t>
      </w:r>
      <w:r>
        <w:rPr>
          <w:rFonts w:ascii="Arial" w:cs="Arial" w:eastAsia="Arial" w:hAnsi="Arial"/>
          <w:sz w:val="17"/>
          <w:szCs w:val="17"/>
          <w:color w:val="auto"/>
        </w:rPr>
        <w:t>”), the Borrower, the Lenders and Issuing Banks from time to time party thereto and Bank of America, in its capacities as administrative agent for the Lenders and collateral agent for the Secured Parties (in such capacities and together with its successors and assigns,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as the Swingline Lender. The Borrower also promises to pay interest from the date of such Loans on the principal amount thereof from time to time outstanding, in like Dollars (or applicable amounts in an Alternate Currency, as applicable, in the case of Revolving Loans), at such office, in each case, in the manner and at the rate or rates per annum and payable on the dates provided in the Credit Agreement. Terms used but not defined herein shall have the meanings assigned to such terms in the Credit Agreement.</w:t>
      </w:r>
    </w:p>
    <w:p>
      <w:pPr>
        <w:spacing w:after="0" w:line="171" w:lineRule="exact"/>
        <w:rPr>
          <w:sz w:val="20"/>
          <w:szCs w:val="20"/>
          <w:color w:val="auto"/>
        </w:rPr>
      </w:pPr>
    </w:p>
    <w:p>
      <w:pPr>
        <w:jc w:val="both"/>
        <w:ind w:left="100" w:firstLine="749"/>
        <w:spacing w:after="0" w:line="241" w:lineRule="auto"/>
        <w:rPr>
          <w:sz w:val="20"/>
          <w:szCs w:val="20"/>
          <w:color w:val="auto"/>
        </w:rPr>
      </w:pPr>
      <w:r>
        <w:rPr>
          <w:rFonts w:ascii="Arial" w:cs="Arial" w:eastAsia="Arial" w:hAnsi="Arial"/>
          <w:sz w:val="19"/>
          <w:szCs w:val="19"/>
          <w:color w:val="auto"/>
        </w:rPr>
        <w:t>The Borrower promises to pay interest on any overdue principal and, to the extent permitted by applicable Requirements of Law, overdue interest from the relevant due dates, in each case, in the manner, at the rate or rates and under the circumstances provided in the Credit Agreement.</w:t>
      </w:r>
    </w:p>
    <w:p>
      <w:pPr>
        <w:spacing w:after="0" w:line="179" w:lineRule="exact"/>
        <w:rPr>
          <w:sz w:val="20"/>
          <w:szCs w:val="20"/>
          <w:color w:val="auto"/>
        </w:rPr>
      </w:pPr>
    </w:p>
    <w:p>
      <w:pPr>
        <w:jc w:val="both"/>
        <w:ind w:left="100" w:firstLine="749"/>
        <w:spacing w:after="0" w:line="236" w:lineRule="auto"/>
        <w:rPr>
          <w:sz w:val="20"/>
          <w:szCs w:val="20"/>
          <w:color w:val="auto"/>
        </w:rPr>
      </w:pPr>
      <w:r>
        <w:rPr>
          <w:rFonts w:ascii="Arial" w:cs="Arial" w:eastAsia="Arial" w:hAnsi="Arial"/>
          <w:sz w:val="19"/>
          <w:szCs w:val="19"/>
          <w:color w:val="auto"/>
        </w:rPr>
        <w:t>The Borrower hereby waives diligence, presentment, demand, protest and notice of any kind to the extent possible under any applicable Requirements of Law. The non-exercise by the holder hereof of any of its rights hereunder in any particular instance shall not constitute a waiver thereof in that or any subsequent instance.</w:t>
      </w:r>
    </w:p>
    <w:p>
      <w:pPr>
        <w:spacing w:after="0" w:line="192" w:lineRule="exact"/>
        <w:rPr>
          <w:sz w:val="20"/>
          <w:szCs w:val="20"/>
          <w:color w:val="auto"/>
        </w:rPr>
      </w:pPr>
    </w:p>
    <w:p>
      <w:pPr>
        <w:jc w:val="both"/>
        <w:ind w:left="100" w:firstLine="749"/>
        <w:spacing w:after="0" w:line="248" w:lineRule="auto"/>
        <w:rPr>
          <w:sz w:val="20"/>
          <w:szCs w:val="20"/>
          <w:color w:val="auto"/>
        </w:rPr>
      </w:pPr>
      <w:r>
        <w:rPr>
          <w:rFonts w:ascii="Arial" w:cs="Arial" w:eastAsia="Arial" w:hAnsi="Arial"/>
          <w:sz w:val="18"/>
          <w:szCs w:val="18"/>
          <w:color w:val="auto"/>
        </w:rPr>
        <w:t>All Borrowings evidenced by this promissory note and all payments and prepayments of the principal hereof and interest hereon and the respective dates thereof shall be endorsed by the holder hereof on the schedules attached hereto and made a part hereof or on a continuation thereof which shall be attached hereto and made a part hereof, or otherwise recorded by such holder in its internal records; provided, however, that the failure of the holder hereof to make such a notation or any error in such notation shall not affect the obligations of the Borrower under this promissory note.</w:t>
      </w:r>
    </w:p>
    <w:p>
      <w:pPr>
        <w:spacing w:after="0" w:line="173" w:lineRule="exact"/>
        <w:rPr>
          <w:sz w:val="20"/>
          <w:szCs w:val="20"/>
          <w:color w:val="auto"/>
        </w:rPr>
      </w:pPr>
    </w:p>
    <w:p>
      <w:pPr>
        <w:jc w:val="both"/>
        <w:ind w:left="100" w:firstLine="749"/>
        <w:spacing w:after="0" w:line="234" w:lineRule="auto"/>
        <w:rPr>
          <w:sz w:val="20"/>
          <w:szCs w:val="20"/>
          <w:color w:val="auto"/>
        </w:rPr>
      </w:pPr>
      <w:r>
        <w:rPr>
          <w:rFonts w:ascii="Arial" w:cs="Arial" w:eastAsia="Arial" w:hAnsi="Arial"/>
          <w:sz w:val="19"/>
          <w:szCs w:val="19"/>
          <w:color w:val="auto"/>
        </w:rPr>
        <w:t>This promissory note is one of the promissory notes referred to in the Credit Agreement that, among other things, contains provisions for the acceleration of the maturity hereof upon the happening of certain events, for optional and mandatory prepayment of the principal hereof prior to the maturity hereof and for the amendment or waiver of certain provisions of the Credit Agreement, all upon the terms and conditions therein specified. This promissory note is entitled to the benefit of the Credit Agreement, and the obligations hereunder are guaranteed and secured as provided therein and in the other Loan Documents referred to in the Credit Agreement.</w:t>
      </w:r>
    </w:p>
    <w:p>
      <w:pPr>
        <w:spacing w:after="0" w:line="180" w:lineRule="exact"/>
        <w:rPr>
          <w:sz w:val="20"/>
          <w:szCs w:val="20"/>
          <w:color w:val="auto"/>
        </w:rPr>
      </w:pPr>
    </w:p>
    <w:p>
      <w:pPr>
        <w:jc w:val="both"/>
        <w:ind w:left="100" w:firstLine="749"/>
        <w:spacing w:after="0" w:line="241" w:lineRule="auto"/>
        <w:rPr>
          <w:sz w:val="20"/>
          <w:szCs w:val="20"/>
          <w:color w:val="auto"/>
        </w:rPr>
      </w:pPr>
      <w:r>
        <w:rPr>
          <w:rFonts w:ascii="Arial" w:cs="Arial" w:eastAsia="Arial" w:hAnsi="Arial"/>
          <w:sz w:val="19"/>
          <w:szCs w:val="19"/>
          <w:color w:val="auto"/>
        </w:rPr>
        <w:t>If any assignment by the Lender holding this promissory note occurs after the date of the issuance hereof, the Lender agrees that it shall, upon the effectiveness of such assignment or as promptly thereafter as practicable, surrender this promissory note to the Administrative Agent for cancellation.</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40" w:top="185" w:right="1419" w:bottom="1440" w:gutter="0" w:footer="0" w:header="0"/>
        </w:sectPr>
      </w:pPr>
    </w:p>
    <w:bookmarkStart w:id="283" w:name="page284"/>
    <w:bookmarkEnd w:id="283"/>
    <w:p>
      <w:pPr>
        <w:jc w:val="both"/>
        <w:ind w:left="100" w:firstLine="749"/>
        <w:spacing w:after="0" w:line="241" w:lineRule="auto"/>
        <w:rPr>
          <w:sz w:val="20"/>
          <w:szCs w:val="20"/>
          <w:color w:val="auto"/>
        </w:rPr>
      </w:pPr>
      <w:r>
        <w:rPr>
          <w:rFonts w:ascii="Arial" w:cs="Arial" w:eastAsia="Arial" w:hAnsi="Arial"/>
          <w:sz w:val="19"/>
          <w:szCs w:val="19"/>
          <w:color w:val="auto"/>
        </w:rPr>
        <w:t>THE ASSIGNMENT OF THIS PROMISSORY NOTE AND ANY RIGHTS WITH RESPECT THERETO ARE SUBJECT TO THE PROVISIONS OF THE CREDIT AGREEMENT, INCLUDING THE PROVISIONS GOVERNING THE REGISTER AND THE PARTICIPANT REGISTER.</w:t>
      </w:r>
    </w:p>
    <w:p>
      <w:pPr>
        <w:spacing w:after="0" w:line="179" w:lineRule="exact"/>
        <w:rPr>
          <w:sz w:val="20"/>
          <w:szCs w:val="20"/>
          <w:color w:val="auto"/>
        </w:rPr>
      </w:pPr>
    </w:p>
    <w:p>
      <w:pPr>
        <w:jc w:val="both"/>
        <w:ind w:left="100" w:firstLine="749"/>
        <w:spacing w:after="0" w:line="261" w:lineRule="auto"/>
        <w:rPr>
          <w:sz w:val="20"/>
          <w:szCs w:val="20"/>
          <w:color w:val="auto"/>
        </w:rPr>
      </w:pPr>
      <w:r>
        <w:rPr>
          <w:rFonts w:ascii="Arial" w:cs="Arial" w:eastAsia="Arial" w:hAnsi="Arial"/>
          <w:sz w:val="19"/>
          <w:szCs w:val="19"/>
          <w:color w:val="auto"/>
        </w:rPr>
        <w:t>THIS PROMISSORY NOTE SHALL BE CONSTRUED IN ACCORDANCE WITH AND GOVERNED BY THE LAWS OF THE STATE OF NEW YORK.</w:t>
      </w:r>
    </w:p>
    <w:p>
      <w:pPr>
        <w:spacing w:after="0" w:line="159" w:lineRule="exact"/>
        <w:rPr>
          <w:sz w:val="20"/>
          <w:szCs w:val="20"/>
          <w:color w:val="auto"/>
        </w:rPr>
      </w:pPr>
    </w:p>
    <w:p>
      <w:pPr>
        <w:ind w:left="2960"/>
        <w:spacing w:after="0"/>
        <w:rPr>
          <w:sz w:val="20"/>
          <w:szCs w:val="20"/>
          <w:color w:val="auto"/>
        </w:rPr>
      </w:pPr>
      <w:r>
        <w:rPr>
          <w:rFonts w:ascii="Arial" w:cs="Arial" w:eastAsia="Arial" w:hAnsi="Arial"/>
          <w:sz w:val="19"/>
          <w:szCs w:val="19"/>
          <w:color w:val="auto"/>
        </w:rPr>
        <w:t>[Remainder of Page Intentionally Left Blank]</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40" w:top="185" w:right="1419" w:bottom="1440" w:gutter="0" w:footer="0" w:header="0"/>
        </w:sectPr>
      </w:pPr>
    </w:p>
    <w:bookmarkStart w:id="284" w:name="page285"/>
    <w:bookmarkEnd w:id="284"/>
    <w:p>
      <w:pPr>
        <w:jc w:val="right"/>
        <w:ind w:right="1739"/>
        <w:spacing w:after="0"/>
        <w:rPr>
          <w:sz w:val="20"/>
          <w:szCs w:val="20"/>
          <w:color w:val="auto"/>
        </w:rPr>
      </w:pPr>
      <w:r>
        <w:rPr>
          <w:rFonts w:ascii="Arial" w:cs="Arial" w:eastAsia="Arial" w:hAnsi="Arial"/>
          <w:sz w:val="19"/>
          <w:szCs w:val="19"/>
          <w:color w:val="auto"/>
        </w:rPr>
        <w:t>DEFINITIVE HEALTHCARE HOLDINGS,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580"/>
        <w:spacing w:after="0"/>
        <w:tabs>
          <w:tab w:leader="none" w:pos="53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-12700</wp:posOffset>
            </wp:positionV>
            <wp:extent cx="27686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6">
                      <a:extLst>
                        <a:ext uri="{28A0092B-C50C-407E-A947-70E740481C1C}"/>
                      </a:extLst>
                    </a:blip>
                    <a:srcRect/>
                    <a:stretch>
                      <a:fillRect/>
                    </a:stretch>
                  </pic:blipFill>
                  <pic:spPr bwMode="auto">
                    <a:xfrm>
                      <a:off x="0" y="0"/>
                      <a:ext cx="276860" cy="8255"/>
                    </a:xfrm>
                    <a:prstGeom prst="rect">
                      <a:avLst/>
                    </a:prstGeom>
                    <a:noFill/>
                  </pic:spPr>
                </pic:pic>
              </a:graphicData>
            </a:graphic>
          </wp:anchor>
        </w:drawing>
      </w:r>
    </w:p>
    <w:p>
      <w:pPr>
        <w:jc w:val="center"/>
        <w:ind w:right="-340"/>
        <w:spacing w:after="0"/>
        <w:rPr>
          <w:sz w:val="20"/>
          <w:szCs w:val="20"/>
          <w:color w:val="auto"/>
        </w:rPr>
      </w:pPr>
      <w:r>
        <w:rPr>
          <w:rFonts w:ascii="Arial" w:cs="Arial" w:eastAsia="Arial" w:hAnsi="Arial"/>
          <w:sz w:val="19"/>
          <w:szCs w:val="19"/>
          <w:color w:val="auto"/>
        </w:rPr>
        <w:t>Title:</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279" w:right="1440" w:bottom="1440" w:gutter="0" w:footer="0" w:header="0"/>
        </w:sectPr>
      </w:pPr>
    </w:p>
    <w:bookmarkStart w:id="285" w:name="page286"/>
    <w:bookmarkEnd w:id="285"/>
    <w:tbl>
      <w:tblPr>
        <w:tblLayout w:type="fixed"/>
        <w:tblInd w:w="110" w:type="dxa"/>
        <w:tblCellMar>
          <w:top w:w="0" w:type="dxa"/>
          <w:left w:w="0" w:type="dxa"/>
          <w:bottom w:w="0" w:type="dxa"/>
          <w:right w:w="0" w:type="dxa"/>
        </w:tblCellMar>
      </w:tblPr>
      <w:tr>
        <w:trPr>
          <w:trHeight w:val="240"/>
        </w:trPr>
        <w:tc>
          <w:tcPr>
            <w:tcW w:w="1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600" w:type="dxa"/>
            <w:vAlign w:val="bottom"/>
            <w:gridSpan w:val="4"/>
          </w:tcPr>
          <w:p>
            <w:pPr>
              <w:ind w:left="380"/>
              <w:spacing w:after="0"/>
              <w:rPr>
                <w:sz w:val="20"/>
                <w:szCs w:val="20"/>
                <w:color w:val="auto"/>
              </w:rPr>
            </w:pPr>
            <w:r>
              <w:rPr>
                <w:rFonts w:ascii="Arial" w:cs="Arial" w:eastAsia="Arial" w:hAnsi="Arial"/>
                <w:sz w:val="19"/>
                <w:szCs w:val="19"/>
                <w:color w:val="auto"/>
                <w:w w:val="95"/>
              </w:rPr>
              <w:t>LOANS, CONVERSIONS AND REPAYMENTS OF ABR LOANS</w:t>
            </w:r>
          </w:p>
        </w:tc>
        <w:tc>
          <w:tcPr>
            <w:tcW w:w="1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3"/>
        </w:trPr>
        <w:tc>
          <w:tcPr>
            <w:tcW w:w="1100" w:type="dxa"/>
            <w:vAlign w:val="bottom"/>
            <w:tcBorders>
              <w:top w:val="single" w:sz="8" w:color="auto"/>
              <w:left w:val="single" w:sz="8" w:color="auto"/>
              <w:right w:val="single" w:sz="8" w:color="auto"/>
            </w:tcBorders>
            <w:shd w:val="clear" w:color="auto" w:fill="D9D9D9"/>
          </w:tcPr>
          <w:p>
            <w:pPr>
              <w:spacing w:after="0"/>
              <w:rPr>
                <w:sz w:val="10"/>
                <w:szCs w:val="10"/>
                <w:color w:val="auto"/>
              </w:rPr>
            </w:pPr>
          </w:p>
        </w:tc>
        <w:tc>
          <w:tcPr>
            <w:tcW w:w="1440" w:type="dxa"/>
            <w:vAlign w:val="bottom"/>
            <w:tcBorders>
              <w:top w:val="single" w:sz="8" w:color="D9D9D9"/>
              <w:right w:val="single" w:sz="8" w:color="auto"/>
            </w:tcBorders>
            <w:vMerge w:val="restart"/>
            <w:shd w:val="clear" w:color="auto" w:fill="D9D9D9"/>
          </w:tcPr>
          <w:p>
            <w:pPr>
              <w:ind w:left="180"/>
              <w:spacing w:after="0"/>
              <w:rPr>
                <w:sz w:val="20"/>
                <w:szCs w:val="20"/>
                <w:color w:val="auto"/>
              </w:rPr>
            </w:pPr>
            <w:r>
              <w:rPr>
                <w:rFonts w:ascii="Arial" w:cs="Arial" w:eastAsia="Arial" w:hAnsi="Arial"/>
                <w:sz w:val="19"/>
                <w:szCs w:val="19"/>
                <w:color w:val="auto"/>
              </w:rPr>
              <w:t>Amount of</w:t>
            </w:r>
          </w:p>
        </w:tc>
        <w:tc>
          <w:tcPr>
            <w:tcW w:w="1560" w:type="dxa"/>
            <w:vAlign w:val="bottom"/>
            <w:tcBorders>
              <w:top w:val="single" w:sz="8" w:color="D9D9D9"/>
              <w:right w:val="single" w:sz="8" w:color="auto"/>
            </w:tcBorders>
            <w:vMerge w:val="restart"/>
            <w:shd w:val="clear" w:color="auto" w:fill="D9D9D9"/>
          </w:tcPr>
          <w:p>
            <w:pPr>
              <w:ind w:left="160"/>
              <w:spacing w:after="0"/>
              <w:rPr>
                <w:sz w:val="20"/>
                <w:szCs w:val="20"/>
                <w:color w:val="auto"/>
              </w:rPr>
            </w:pPr>
            <w:r>
              <w:rPr>
                <w:rFonts w:ascii="Arial" w:cs="Arial" w:eastAsia="Arial" w:hAnsi="Arial"/>
                <w:sz w:val="19"/>
                <w:szCs w:val="19"/>
                <w:color w:val="auto"/>
              </w:rPr>
              <w:t>Amount</w:t>
            </w:r>
          </w:p>
        </w:tc>
        <w:tc>
          <w:tcPr>
            <w:tcW w:w="1700" w:type="dxa"/>
            <w:vAlign w:val="bottom"/>
            <w:tcBorders>
              <w:top w:val="single" w:sz="8" w:color="D9D9D9"/>
              <w:right w:val="single" w:sz="8" w:color="auto"/>
            </w:tcBorders>
            <w:vMerge w:val="restart"/>
            <w:shd w:val="clear" w:color="auto" w:fill="D9D9D9"/>
          </w:tcPr>
          <w:p>
            <w:pPr>
              <w:ind w:left="200"/>
              <w:spacing w:after="0"/>
              <w:rPr>
                <w:sz w:val="20"/>
                <w:szCs w:val="20"/>
                <w:color w:val="auto"/>
              </w:rPr>
            </w:pPr>
            <w:r>
              <w:rPr>
                <w:rFonts w:ascii="Arial" w:cs="Arial" w:eastAsia="Arial" w:hAnsi="Arial"/>
                <w:sz w:val="19"/>
                <w:szCs w:val="19"/>
                <w:color w:val="auto"/>
              </w:rPr>
              <w:t>Amount of</w:t>
            </w:r>
          </w:p>
        </w:tc>
        <w:tc>
          <w:tcPr>
            <w:tcW w:w="2080" w:type="dxa"/>
            <w:vAlign w:val="bottom"/>
            <w:tcBorders>
              <w:top w:val="single" w:sz="8" w:color="D9D9D9"/>
              <w:right w:val="single" w:sz="8" w:color="auto"/>
            </w:tcBorders>
            <w:shd w:val="clear" w:color="auto" w:fill="D9D9D9"/>
          </w:tcPr>
          <w:p>
            <w:pPr>
              <w:jc w:val="center"/>
              <w:spacing w:after="0" w:line="123" w:lineRule="exact"/>
              <w:rPr>
                <w:sz w:val="20"/>
                <w:szCs w:val="20"/>
                <w:color w:val="auto"/>
              </w:rPr>
            </w:pPr>
            <w:r>
              <w:rPr>
                <w:rFonts w:ascii="Arial" w:cs="Arial" w:eastAsia="Arial" w:hAnsi="Arial"/>
                <w:sz w:val="14"/>
                <w:szCs w:val="14"/>
                <w:color w:val="auto"/>
              </w:rPr>
              <w:t>Amount of ABR</w:t>
            </w:r>
          </w:p>
        </w:tc>
        <w:tc>
          <w:tcPr>
            <w:tcW w:w="260" w:type="dxa"/>
            <w:vAlign w:val="bottom"/>
            <w:tcBorders>
              <w:top w:val="single" w:sz="8" w:color="D9D9D9"/>
            </w:tcBorders>
            <w:shd w:val="clear" w:color="auto" w:fill="D9D9D9"/>
          </w:tcPr>
          <w:p>
            <w:pPr>
              <w:spacing w:after="0"/>
              <w:rPr>
                <w:sz w:val="10"/>
                <w:szCs w:val="10"/>
                <w:color w:val="auto"/>
              </w:rPr>
            </w:pPr>
          </w:p>
        </w:tc>
        <w:tc>
          <w:tcPr>
            <w:tcW w:w="1300" w:type="dxa"/>
            <w:vAlign w:val="bottom"/>
            <w:tcBorders>
              <w:top w:val="single" w:sz="8" w:color="D9D9D9"/>
              <w:right w:val="single" w:sz="8" w:color="auto"/>
            </w:tcBorders>
            <w:shd w:val="clear" w:color="auto" w:fill="D9D9D9"/>
          </w:tcPr>
          <w:p>
            <w:pPr>
              <w:jc w:val="center"/>
              <w:ind w:right="252"/>
              <w:spacing w:after="0" w:line="123" w:lineRule="exact"/>
              <w:rPr>
                <w:sz w:val="20"/>
                <w:szCs w:val="20"/>
                <w:color w:val="auto"/>
              </w:rPr>
            </w:pPr>
            <w:r>
              <w:rPr>
                <w:rFonts w:ascii="Arial" w:cs="Arial" w:eastAsia="Arial" w:hAnsi="Arial"/>
                <w:sz w:val="14"/>
                <w:szCs w:val="14"/>
                <w:color w:val="auto"/>
              </w:rPr>
              <w:t>Unpaid</w:t>
            </w:r>
          </w:p>
        </w:tc>
        <w:tc>
          <w:tcPr>
            <w:tcW w:w="1560" w:type="dxa"/>
            <w:vAlign w:val="bottom"/>
            <w:tcBorders>
              <w:top w:val="single" w:sz="8" w:color="D9D9D9"/>
              <w:right w:val="single" w:sz="8" w:color="auto"/>
            </w:tcBorders>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100" w:type="dxa"/>
            <w:vAlign w:val="bottom"/>
            <w:tcBorders>
              <w:left w:val="single" w:sz="8" w:color="auto"/>
              <w:right w:val="single" w:sz="8" w:color="auto"/>
            </w:tcBorders>
            <w:shd w:val="clear" w:color="auto" w:fill="D9D9D9"/>
          </w:tcPr>
          <w:p>
            <w:pPr>
              <w:spacing w:after="0"/>
              <w:rPr>
                <w:sz w:val="17"/>
                <w:szCs w:val="17"/>
                <w:color w:val="auto"/>
              </w:rPr>
            </w:pPr>
          </w:p>
        </w:tc>
        <w:tc>
          <w:tcPr>
            <w:tcW w:w="1440" w:type="dxa"/>
            <w:vAlign w:val="bottom"/>
            <w:tcBorders>
              <w:right w:val="single" w:sz="8" w:color="auto"/>
            </w:tcBorders>
            <w:vMerge w:val="continue"/>
            <w:shd w:val="clear" w:color="auto" w:fill="D9D9D9"/>
          </w:tcPr>
          <w:p>
            <w:pPr>
              <w:spacing w:after="0"/>
              <w:rPr>
                <w:sz w:val="17"/>
                <w:szCs w:val="17"/>
                <w:color w:val="auto"/>
              </w:rPr>
            </w:pPr>
          </w:p>
        </w:tc>
        <w:tc>
          <w:tcPr>
            <w:tcW w:w="1560" w:type="dxa"/>
            <w:vAlign w:val="bottom"/>
            <w:tcBorders>
              <w:right w:val="single" w:sz="8" w:color="auto"/>
            </w:tcBorders>
            <w:vMerge w:val="continue"/>
            <w:shd w:val="clear" w:color="auto" w:fill="D9D9D9"/>
          </w:tcPr>
          <w:p>
            <w:pPr>
              <w:spacing w:after="0"/>
              <w:rPr>
                <w:sz w:val="17"/>
                <w:szCs w:val="17"/>
                <w:color w:val="auto"/>
              </w:rPr>
            </w:pPr>
          </w:p>
        </w:tc>
        <w:tc>
          <w:tcPr>
            <w:tcW w:w="1700" w:type="dxa"/>
            <w:vAlign w:val="bottom"/>
            <w:tcBorders>
              <w:right w:val="single" w:sz="8" w:color="auto"/>
            </w:tcBorders>
            <w:vMerge w:val="continue"/>
            <w:shd w:val="clear" w:color="auto" w:fill="D9D9D9"/>
          </w:tcPr>
          <w:p>
            <w:pPr>
              <w:spacing w:after="0"/>
              <w:rPr>
                <w:sz w:val="17"/>
                <w:szCs w:val="17"/>
                <w:color w:val="auto"/>
              </w:rPr>
            </w:pPr>
          </w:p>
        </w:tc>
        <w:tc>
          <w:tcPr>
            <w:tcW w:w="2080" w:type="dxa"/>
            <w:vAlign w:val="bottom"/>
            <w:tcBorders>
              <w:right w:val="single" w:sz="8" w:color="auto"/>
            </w:tcBorders>
            <w:shd w:val="clear" w:color="auto" w:fill="D9D9D9"/>
          </w:tcPr>
          <w:p>
            <w:pPr>
              <w:jc w:val="center"/>
              <w:spacing w:after="0" w:line="203" w:lineRule="exact"/>
              <w:rPr>
                <w:sz w:val="20"/>
                <w:szCs w:val="20"/>
                <w:color w:val="auto"/>
              </w:rPr>
            </w:pPr>
            <w:r>
              <w:rPr>
                <w:rFonts w:ascii="Arial" w:cs="Arial" w:eastAsia="Arial" w:hAnsi="Arial"/>
                <w:sz w:val="19"/>
                <w:szCs w:val="19"/>
                <w:color w:val="auto"/>
                <w:w w:val="90"/>
              </w:rPr>
              <w:t>Loans Converted to</w:t>
            </w:r>
          </w:p>
        </w:tc>
        <w:tc>
          <w:tcPr>
            <w:tcW w:w="260" w:type="dxa"/>
            <w:vAlign w:val="bottom"/>
            <w:shd w:val="clear" w:color="auto" w:fill="D9D9D9"/>
          </w:tcPr>
          <w:p>
            <w:pPr>
              <w:spacing w:after="0"/>
              <w:rPr>
                <w:sz w:val="17"/>
                <w:szCs w:val="17"/>
                <w:color w:val="auto"/>
              </w:rPr>
            </w:pPr>
          </w:p>
        </w:tc>
        <w:tc>
          <w:tcPr>
            <w:tcW w:w="1300" w:type="dxa"/>
            <w:vAlign w:val="bottom"/>
            <w:tcBorders>
              <w:right w:val="single" w:sz="8" w:color="auto"/>
            </w:tcBorders>
            <w:shd w:val="clear" w:color="auto" w:fill="D9D9D9"/>
          </w:tcPr>
          <w:p>
            <w:pPr>
              <w:jc w:val="center"/>
              <w:ind w:right="252"/>
              <w:spacing w:after="0" w:line="203" w:lineRule="exact"/>
              <w:rPr>
                <w:sz w:val="20"/>
                <w:szCs w:val="20"/>
                <w:color w:val="auto"/>
              </w:rPr>
            </w:pPr>
            <w:r>
              <w:rPr>
                <w:rFonts w:ascii="Arial" w:cs="Arial" w:eastAsia="Arial" w:hAnsi="Arial"/>
                <w:sz w:val="19"/>
                <w:szCs w:val="19"/>
                <w:color w:val="auto"/>
                <w:w w:val="93"/>
              </w:rPr>
              <w:t>Principal</w:t>
            </w:r>
          </w:p>
        </w:tc>
        <w:tc>
          <w:tcPr>
            <w:tcW w:w="156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Borders>
              <w:left w:val="single" w:sz="8" w:color="auto"/>
              <w:right w:val="single" w:sz="8" w:color="auto"/>
            </w:tcBorders>
            <w:shd w:val="clear" w:color="auto" w:fill="D9D9D9"/>
          </w:tcPr>
          <w:p>
            <w:pPr>
              <w:ind w:left="480"/>
              <w:spacing w:after="0" w:line="203" w:lineRule="exact"/>
              <w:rPr>
                <w:sz w:val="20"/>
                <w:szCs w:val="20"/>
                <w:color w:val="auto"/>
              </w:rPr>
            </w:pPr>
            <w:r>
              <w:rPr>
                <w:rFonts w:ascii="Arial" w:cs="Arial" w:eastAsia="Arial" w:hAnsi="Arial"/>
                <w:sz w:val="19"/>
                <w:szCs w:val="19"/>
                <w:color w:val="auto"/>
              </w:rPr>
              <w:t>D</w:t>
            </w:r>
          </w:p>
        </w:tc>
        <w:tc>
          <w:tcPr>
            <w:tcW w:w="1440" w:type="dxa"/>
            <w:vAlign w:val="bottom"/>
            <w:tcBorders>
              <w:right w:val="single" w:sz="8" w:color="auto"/>
            </w:tcBorders>
            <w:shd w:val="clear" w:color="auto" w:fill="D9D9D9"/>
          </w:tcPr>
          <w:p>
            <w:pPr>
              <w:ind w:left="580"/>
              <w:spacing w:after="0" w:line="203" w:lineRule="exact"/>
              <w:rPr>
                <w:sz w:val="20"/>
                <w:szCs w:val="20"/>
                <w:color w:val="auto"/>
              </w:rPr>
            </w:pPr>
            <w:r>
              <w:rPr>
                <w:rFonts w:ascii="Arial" w:cs="Arial" w:eastAsia="Arial" w:hAnsi="Arial"/>
                <w:sz w:val="19"/>
                <w:szCs w:val="19"/>
                <w:color w:val="auto"/>
              </w:rPr>
              <w:t>ABR</w:t>
            </w:r>
          </w:p>
        </w:tc>
        <w:tc>
          <w:tcPr>
            <w:tcW w:w="1560" w:type="dxa"/>
            <w:vAlign w:val="bottom"/>
            <w:tcBorders>
              <w:right w:val="single" w:sz="8" w:color="auto"/>
            </w:tcBorders>
            <w:shd w:val="clear" w:color="auto" w:fill="D9D9D9"/>
          </w:tcPr>
          <w:p>
            <w:pPr>
              <w:ind w:left="340"/>
              <w:spacing w:after="0" w:line="203" w:lineRule="exact"/>
              <w:rPr>
                <w:sz w:val="20"/>
                <w:szCs w:val="20"/>
                <w:color w:val="auto"/>
              </w:rPr>
            </w:pPr>
            <w:r>
              <w:rPr>
                <w:rFonts w:ascii="Arial" w:cs="Arial" w:eastAsia="Arial" w:hAnsi="Arial"/>
                <w:sz w:val="19"/>
                <w:szCs w:val="19"/>
                <w:color w:val="auto"/>
              </w:rPr>
              <w:t>Converted to</w:t>
            </w:r>
          </w:p>
        </w:tc>
        <w:tc>
          <w:tcPr>
            <w:tcW w:w="1700" w:type="dxa"/>
            <w:vAlign w:val="bottom"/>
            <w:tcBorders>
              <w:right w:val="single" w:sz="8" w:color="auto"/>
            </w:tcBorders>
            <w:shd w:val="clear" w:color="auto" w:fill="D9D9D9"/>
          </w:tcPr>
          <w:p>
            <w:pPr>
              <w:ind w:left="140"/>
              <w:spacing w:after="0" w:line="203" w:lineRule="exact"/>
              <w:rPr>
                <w:sz w:val="20"/>
                <w:szCs w:val="20"/>
                <w:color w:val="auto"/>
              </w:rPr>
            </w:pPr>
            <w:r>
              <w:rPr>
                <w:rFonts w:ascii="Arial" w:cs="Arial" w:eastAsia="Arial" w:hAnsi="Arial"/>
                <w:sz w:val="19"/>
                <w:szCs w:val="19"/>
                <w:color w:val="auto"/>
              </w:rPr>
              <w:t>Principal of ABR</w:t>
            </w:r>
          </w:p>
        </w:tc>
        <w:tc>
          <w:tcPr>
            <w:tcW w:w="2080" w:type="dxa"/>
            <w:vAlign w:val="bottom"/>
            <w:tcBorders>
              <w:right w:val="single" w:sz="8" w:color="auto"/>
            </w:tcBorders>
            <w:shd w:val="clear" w:color="auto" w:fill="D9D9D9"/>
          </w:tcPr>
          <w:p>
            <w:pPr>
              <w:jc w:val="center"/>
              <w:spacing w:after="0" w:line="203" w:lineRule="exact"/>
              <w:rPr>
                <w:sz w:val="20"/>
                <w:szCs w:val="20"/>
                <w:color w:val="auto"/>
              </w:rPr>
            </w:pPr>
            <w:r>
              <w:rPr>
                <w:rFonts w:ascii="Arial" w:cs="Arial" w:eastAsia="Arial" w:hAnsi="Arial"/>
                <w:sz w:val="19"/>
                <w:szCs w:val="19"/>
                <w:color w:val="auto"/>
                <w:w w:val="89"/>
              </w:rPr>
              <w:t>Term SOFR Loans</w:t>
            </w:r>
          </w:p>
        </w:tc>
        <w:tc>
          <w:tcPr>
            <w:tcW w:w="260" w:type="dxa"/>
            <w:vAlign w:val="bottom"/>
            <w:shd w:val="clear" w:color="auto" w:fill="D9D9D9"/>
          </w:tcPr>
          <w:p>
            <w:pPr>
              <w:spacing w:after="0"/>
              <w:rPr>
                <w:sz w:val="17"/>
                <w:szCs w:val="17"/>
                <w:color w:val="auto"/>
              </w:rPr>
            </w:pPr>
          </w:p>
        </w:tc>
        <w:tc>
          <w:tcPr>
            <w:tcW w:w="1300" w:type="dxa"/>
            <w:vAlign w:val="bottom"/>
            <w:tcBorders>
              <w:right w:val="single" w:sz="8" w:color="auto"/>
            </w:tcBorders>
            <w:shd w:val="clear" w:color="auto" w:fill="D9D9D9"/>
          </w:tcPr>
          <w:p>
            <w:pPr>
              <w:jc w:val="center"/>
              <w:ind w:right="252"/>
              <w:spacing w:after="0" w:line="203" w:lineRule="exact"/>
              <w:rPr>
                <w:sz w:val="20"/>
                <w:szCs w:val="20"/>
                <w:color w:val="auto"/>
              </w:rPr>
            </w:pPr>
            <w:r>
              <w:rPr>
                <w:rFonts w:ascii="Arial" w:cs="Arial" w:eastAsia="Arial" w:hAnsi="Arial"/>
                <w:sz w:val="19"/>
                <w:szCs w:val="19"/>
                <w:color w:val="auto"/>
                <w:w w:val="89"/>
              </w:rPr>
              <w:t>Balance of</w:t>
            </w:r>
          </w:p>
        </w:tc>
        <w:tc>
          <w:tcPr>
            <w:tcW w:w="1560" w:type="dxa"/>
            <w:vAlign w:val="bottom"/>
            <w:tcBorders>
              <w:right w:val="single" w:sz="8" w:color="auto"/>
            </w:tcBorders>
            <w:shd w:val="clear" w:color="auto" w:fill="D9D9D9"/>
          </w:tcPr>
          <w:p>
            <w:pPr>
              <w:ind w:left="200"/>
              <w:spacing w:after="0" w:line="203" w:lineRule="exact"/>
              <w:rPr>
                <w:sz w:val="20"/>
                <w:szCs w:val="20"/>
                <w:color w:val="auto"/>
              </w:rPr>
            </w:pPr>
            <w:r>
              <w:rPr>
                <w:rFonts w:ascii="Arial" w:cs="Arial" w:eastAsia="Arial" w:hAnsi="Arial"/>
                <w:sz w:val="19"/>
                <w:szCs w:val="19"/>
                <w:color w:val="auto"/>
              </w:rPr>
              <w:t>Notation Made</w:t>
            </w:r>
          </w:p>
        </w:tc>
        <w:tc>
          <w:tcPr>
            <w:tcW w:w="0" w:type="dxa"/>
            <w:vAlign w:val="bottom"/>
          </w:tcPr>
          <w:p>
            <w:pPr>
              <w:spacing w:after="0"/>
              <w:rPr>
                <w:sz w:val="1"/>
                <w:szCs w:val="1"/>
                <w:color w:val="auto"/>
              </w:rPr>
            </w:pPr>
          </w:p>
        </w:tc>
      </w:tr>
      <w:tr>
        <w:trPr>
          <w:trHeight w:val="203"/>
        </w:trPr>
        <w:tc>
          <w:tcPr>
            <w:tcW w:w="1100" w:type="dxa"/>
            <w:vAlign w:val="bottom"/>
            <w:tcBorders>
              <w:left w:val="single" w:sz="8" w:color="auto"/>
              <w:right w:val="single" w:sz="8" w:color="auto"/>
            </w:tcBorders>
            <w:shd w:val="clear" w:color="auto" w:fill="D9D9D9"/>
          </w:tcPr>
          <w:p>
            <w:pPr>
              <w:ind w:left="480"/>
              <w:spacing w:after="0" w:line="203" w:lineRule="exact"/>
              <w:rPr>
                <w:sz w:val="20"/>
                <w:szCs w:val="20"/>
                <w:color w:val="auto"/>
              </w:rPr>
            </w:pPr>
            <w:r>
              <w:rPr>
                <w:rFonts w:ascii="Arial" w:cs="Arial" w:eastAsia="Arial" w:hAnsi="Arial"/>
                <w:sz w:val="19"/>
                <w:szCs w:val="19"/>
                <w:color w:val="auto"/>
              </w:rPr>
              <w:t>at</w:t>
            </w:r>
          </w:p>
        </w:tc>
        <w:tc>
          <w:tcPr>
            <w:tcW w:w="1440" w:type="dxa"/>
            <w:vAlign w:val="bottom"/>
            <w:tcBorders>
              <w:right w:val="single" w:sz="8" w:color="auto"/>
            </w:tcBorders>
            <w:shd w:val="clear" w:color="auto" w:fill="D9D9D9"/>
          </w:tcPr>
          <w:p>
            <w:pPr>
              <w:ind w:left="580"/>
              <w:spacing w:after="0" w:line="203" w:lineRule="exact"/>
              <w:rPr>
                <w:sz w:val="20"/>
                <w:szCs w:val="20"/>
                <w:color w:val="auto"/>
              </w:rPr>
            </w:pPr>
            <w:r>
              <w:rPr>
                <w:rFonts w:ascii="Arial" w:cs="Arial" w:eastAsia="Arial" w:hAnsi="Arial"/>
                <w:sz w:val="19"/>
                <w:szCs w:val="19"/>
                <w:color w:val="auto"/>
              </w:rPr>
              <w:t>Loans</w:t>
            </w:r>
          </w:p>
        </w:tc>
        <w:tc>
          <w:tcPr>
            <w:tcW w:w="1560" w:type="dxa"/>
            <w:vAlign w:val="bottom"/>
            <w:tcBorders>
              <w:right w:val="single" w:sz="8" w:color="auto"/>
            </w:tcBorders>
            <w:shd w:val="clear" w:color="auto" w:fill="D9D9D9"/>
          </w:tcPr>
          <w:p>
            <w:pPr>
              <w:ind w:left="340"/>
              <w:spacing w:after="0" w:line="203" w:lineRule="exact"/>
              <w:rPr>
                <w:sz w:val="20"/>
                <w:szCs w:val="20"/>
                <w:color w:val="auto"/>
              </w:rPr>
            </w:pPr>
            <w:r>
              <w:rPr>
                <w:rFonts w:ascii="Arial" w:cs="Arial" w:eastAsia="Arial" w:hAnsi="Arial"/>
                <w:sz w:val="19"/>
                <w:szCs w:val="19"/>
                <w:color w:val="auto"/>
              </w:rPr>
              <w:t>ABR Loans</w:t>
            </w:r>
          </w:p>
        </w:tc>
        <w:tc>
          <w:tcPr>
            <w:tcW w:w="1700" w:type="dxa"/>
            <w:vAlign w:val="bottom"/>
            <w:tcBorders>
              <w:right w:val="single" w:sz="8" w:color="auto"/>
            </w:tcBorders>
            <w:shd w:val="clear" w:color="auto" w:fill="D9D9D9"/>
          </w:tcPr>
          <w:p>
            <w:pPr>
              <w:ind w:left="140"/>
              <w:spacing w:after="0" w:line="203" w:lineRule="exact"/>
              <w:rPr>
                <w:sz w:val="20"/>
                <w:szCs w:val="20"/>
                <w:color w:val="auto"/>
              </w:rPr>
            </w:pPr>
            <w:r>
              <w:rPr>
                <w:rFonts w:ascii="Arial" w:cs="Arial" w:eastAsia="Arial" w:hAnsi="Arial"/>
                <w:sz w:val="19"/>
                <w:szCs w:val="19"/>
                <w:color w:val="auto"/>
              </w:rPr>
              <w:t>Loans Repaid</w:t>
            </w:r>
          </w:p>
        </w:tc>
        <w:tc>
          <w:tcPr>
            <w:tcW w:w="2080" w:type="dxa"/>
            <w:vAlign w:val="bottom"/>
            <w:tcBorders>
              <w:right w:val="single" w:sz="8" w:color="auto"/>
            </w:tcBorders>
            <w:shd w:val="clear" w:color="auto" w:fill="D9D9D9"/>
          </w:tcPr>
          <w:p>
            <w:pPr>
              <w:spacing w:after="0"/>
              <w:rPr>
                <w:sz w:val="17"/>
                <w:szCs w:val="17"/>
                <w:color w:val="auto"/>
              </w:rPr>
            </w:pPr>
          </w:p>
        </w:tc>
        <w:tc>
          <w:tcPr>
            <w:tcW w:w="260" w:type="dxa"/>
            <w:vAlign w:val="bottom"/>
            <w:shd w:val="clear" w:color="auto" w:fill="D9D9D9"/>
          </w:tcPr>
          <w:p>
            <w:pPr>
              <w:spacing w:after="0"/>
              <w:rPr>
                <w:sz w:val="17"/>
                <w:szCs w:val="17"/>
                <w:color w:val="auto"/>
              </w:rPr>
            </w:pPr>
          </w:p>
        </w:tc>
        <w:tc>
          <w:tcPr>
            <w:tcW w:w="1300" w:type="dxa"/>
            <w:vAlign w:val="bottom"/>
            <w:tcBorders>
              <w:right w:val="single" w:sz="8" w:color="auto"/>
            </w:tcBorders>
            <w:shd w:val="clear" w:color="auto" w:fill="D9D9D9"/>
          </w:tcPr>
          <w:p>
            <w:pPr>
              <w:jc w:val="center"/>
              <w:ind w:right="192"/>
              <w:spacing w:after="0" w:line="203" w:lineRule="exact"/>
              <w:rPr>
                <w:sz w:val="20"/>
                <w:szCs w:val="20"/>
                <w:color w:val="auto"/>
              </w:rPr>
            </w:pPr>
            <w:r>
              <w:rPr>
                <w:rFonts w:ascii="Arial" w:cs="Arial" w:eastAsia="Arial" w:hAnsi="Arial"/>
                <w:sz w:val="19"/>
                <w:szCs w:val="19"/>
                <w:color w:val="auto"/>
                <w:w w:val="93"/>
              </w:rPr>
              <w:t>ABR Loans</w:t>
            </w:r>
          </w:p>
        </w:tc>
        <w:tc>
          <w:tcPr>
            <w:tcW w:w="1560" w:type="dxa"/>
            <w:vAlign w:val="bottom"/>
            <w:tcBorders>
              <w:right w:val="single" w:sz="8" w:color="auto"/>
            </w:tcBorders>
            <w:shd w:val="clear" w:color="auto" w:fill="D9D9D9"/>
          </w:tcPr>
          <w:p>
            <w:pPr>
              <w:ind w:left="200"/>
              <w:spacing w:after="0" w:line="203" w:lineRule="exact"/>
              <w:rPr>
                <w:sz w:val="20"/>
                <w:szCs w:val="20"/>
                <w:color w:val="auto"/>
              </w:rPr>
            </w:pPr>
            <w:r>
              <w:rPr>
                <w:rFonts w:ascii="Arial" w:cs="Arial" w:eastAsia="Arial" w:hAnsi="Arial"/>
                <w:sz w:val="19"/>
                <w:szCs w:val="19"/>
                <w:color w:val="auto"/>
              </w:rPr>
              <w:t>By</w:t>
            </w:r>
          </w:p>
        </w:tc>
        <w:tc>
          <w:tcPr>
            <w:tcW w:w="0" w:type="dxa"/>
            <w:vAlign w:val="bottom"/>
          </w:tcPr>
          <w:p>
            <w:pPr>
              <w:spacing w:after="0"/>
              <w:rPr>
                <w:sz w:val="1"/>
                <w:szCs w:val="1"/>
                <w:color w:val="auto"/>
              </w:rPr>
            </w:pPr>
          </w:p>
        </w:tc>
      </w:tr>
      <w:tr>
        <w:trPr>
          <w:trHeight w:val="235"/>
        </w:trPr>
        <w:tc>
          <w:tcPr>
            <w:tcW w:w="1100" w:type="dxa"/>
            <w:vAlign w:val="bottom"/>
            <w:tcBorders>
              <w:left w:val="single" w:sz="8" w:color="auto"/>
              <w:bottom w:val="single" w:sz="8" w:color="auto"/>
              <w:right w:val="single" w:sz="8" w:color="auto"/>
            </w:tcBorders>
            <w:shd w:val="clear" w:color="auto" w:fill="D9D9D9"/>
          </w:tcPr>
          <w:p>
            <w:pPr>
              <w:ind w:left="500"/>
              <w:spacing w:after="0"/>
              <w:rPr>
                <w:sz w:val="20"/>
                <w:szCs w:val="20"/>
                <w:color w:val="auto"/>
              </w:rPr>
            </w:pPr>
            <w:r>
              <w:rPr>
                <w:rFonts w:ascii="Arial" w:cs="Arial" w:eastAsia="Arial" w:hAnsi="Arial"/>
                <w:sz w:val="19"/>
                <w:szCs w:val="19"/>
                <w:color w:val="auto"/>
              </w:rPr>
              <w:t>e</w:t>
            </w:r>
          </w:p>
        </w:tc>
        <w:tc>
          <w:tcPr>
            <w:tcW w:w="1440" w:type="dxa"/>
            <w:vAlign w:val="bottom"/>
            <w:tcBorders>
              <w:bottom w:val="single" w:sz="8" w:color="auto"/>
              <w:right w:val="single" w:sz="8" w:color="auto"/>
            </w:tcBorders>
            <w:shd w:val="clear" w:color="auto" w:fill="D9D9D9"/>
          </w:tcPr>
          <w:p>
            <w:pPr>
              <w:spacing w:after="0"/>
              <w:rPr>
                <w:sz w:val="20"/>
                <w:szCs w:val="20"/>
                <w:color w:val="auto"/>
              </w:rPr>
            </w:pPr>
          </w:p>
        </w:tc>
        <w:tc>
          <w:tcPr>
            <w:tcW w:w="1560" w:type="dxa"/>
            <w:vAlign w:val="bottom"/>
            <w:tcBorders>
              <w:bottom w:val="single" w:sz="8" w:color="auto"/>
              <w:right w:val="single" w:sz="8" w:color="auto"/>
            </w:tcBorders>
            <w:shd w:val="clear" w:color="auto" w:fill="D9D9D9"/>
          </w:tcPr>
          <w:p>
            <w:pPr>
              <w:spacing w:after="0"/>
              <w:rPr>
                <w:sz w:val="20"/>
                <w:szCs w:val="20"/>
                <w:color w:val="auto"/>
              </w:rPr>
            </w:pPr>
          </w:p>
        </w:tc>
        <w:tc>
          <w:tcPr>
            <w:tcW w:w="1700" w:type="dxa"/>
            <w:vAlign w:val="bottom"/>
            <w:tcBorders>
              <w:bottom w:val="single" w:sz="8" w:color="auto"/>
              <w:right w:val="single" w:sz="8" w:color="auto"/>
            </w:tcBorders>
            <w:shd w:val="clear" w:color="auto" w:fill="D9D9D9"/>
          </w:tcPr>
          <w:p>
            <w:pPr>
              <w:spacing w:after="0"/>
              <w:rPr>
                <w:sz w:val="20"/>
                <w:szCs w:val="20"/>
                <w:color w:val="auto"/>
              </w:rPr>
            </w:pPr>
          </w:p>
        </w:tc>
        <w:tc>
          <w:tcPr>
            <w:tcW w:w="2080" w:type="dxa"/>
            <w:vAlign w:val="bottom"/>
            <w:tcBorders>
              <w:bottom w:val="single" w:sz="8" w:color="auto"/>
              <w:right w:val="single" w:sz="8" w:color="auto"/>
            </w:tcBorders>
            <w:shd w:val="clear" w:color="auto" w:fill="D9D9D9"/>
          </w:tcPr>
          <w:p>
            <w:pPr>
              <w:spacing w:after="0"/>
              <w:rPr>
                <w:sz w:val="20"/>
                <w:szCs w:val="20"/>
                <w:color w:val="auto"/>
              </w:rPr>
            </w:pPr>
          </w:p>
        </w:tc>
        <w:tc>
          <w:tcPr>
            <w:tcW w:w="260" w:type="dxa"/>
            <w:vAlign w:val="bottom"/>
            <w:tcBorders>
              <w:bottom w:val="single" w:sz="8" w:color="auto"/>
            </w:tcBorders>
            <w:shd w:val="clear" w:color="auto" w:fill="D9D9D9"/>
          </w:tcPr>
          <w:p>
            <w:pPr>
              <w:spacing w:after="0"/>
              <w:rPr>
                <w:sz w:val="20"/>
                <w:szCs w:val="20"/>
                <w:color w:val="auto"/>
              </w:rPr>
            </w:pPr>
          </w:p>
        </w:tc>
        <w:tc>
          <w:tcPr>
            <w:tcW w:w="1300" w:type="dxa"/>
            <w:vAlign w:val="bottom"/>
            <w:tcBorders>
              <w:bottom w:val="single" w:sz="8" w:color="auto"/>
              <w:right w:val="single" w:sz="8" w:color="auto"/>
            </w:tcBorders>
            <w:shd w:val="clear" w:color="auto" w:fill="D9D9D9"/>
          </w:tcPr>
          <w:p>
            <w:pPr>
              <w:spacing w:after="0"/>
              <w:rPr>
                <w:sz w:val="20"/>
                <w:szCs w:val="20"/>
                <w:color w:val="auto"/>
              </w:rPr>
            </w:pPr>
          </w:p>
        </w:tc>
        <w:tc>
          <w:tcPr>
            <w:tcW w:w="1560" w:type="dxa"/>
            <w:vAlign w:val="bottom"/>
            <w:tcBorders>
              <w:bottom w:val="single" w:sz="8" w:color="auto"/>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307"/>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LOANS, CONTINUATIONS, CONVERSIONS AND</w:t>
      </w:r>
    </w:p>
    <w:p>
      <w:pPr>
        <w:ind w:left="3960"/>
        <w:spacing w:after="0"/>
        <w:rPr>
          <w:sz w:val="20"/>
          <w:szCs w:val="20"/>
          <w:color w:val="auto"/>
        </w:rPr>
      </w:pPr>
      <w:r>
        <w:rPr>
          <w:rFonts w:ascii="Arial" w:cs="Arial" w:eastAsia="Arial" w:hAnsi="Arial"/>
          <w:sz w:val="19"/>
          <w:szCs w:val="19"/>
          <w:color w:val="auto"/>
        </w:rPr>
        <w:t>REPAYMENTS OF TERM SOFR LOANS</w:t>
      </w:r>
    </w:p>
    <w:p>
      <w:pPr>
        <w:spacing w:after="0" w:line="183" w:lineRule="exact"/>
        <w:rPr>
          <w:sz w:val="20"/>
          <w:szCs w:val="20"/>
          <w:color w:val="auto"/>
        </w:rPr>
      </w:pPr>
    </w:p>
    <w:tbl>
      <w:tblPr>
        <w:tblLayout w:type="fixed"/>
        <w:tblInd w:w="110" w:type="dxa"/>
        <w:tblCellMar>
          <w:top w:w="0" w:type="dxa"/>
          <w:left w:w="0" w:type="dxa"/>
          <w:bottom w:w="0" w:type="dxa"/>
          <w:right w:w="0" w:type="dxa"/>
        </w:tblCellMar>
      </w:tblPr>
      <w:tr>
        <w:trPr>
          <w:trHeight w:val="197"/>
        </w:trPr>
        <w:tc>
          <w:tcPr>
            <w:tcW w:w="1100" w:type="dxa"/>
            <w:vAlign w:val="bottom"/>
            <w:tcBorders>
              <w:top w:val="single" w:sz="8" w:color="auto"/>
              <w:left w:val="single" w:sz="8" w:color="auto"/>
              <w:right w:val="single" w:sz="8" w:color="auto"/>
            </w:tcBorders>
            <w:shd w:val="clear" w:color="auto" w:fill="D9D9D9"/>
          </w:tcPr>
          <w:p>
            <w:pPr>
              <w:spacing w:after="0"/>
              <w:rPr>
                <w:sz w:val="17"/>
                <w:szCs w:val="17"/>
                <w:color w:val="auto"/>
              </w:rPr>
            </w:pPr>
          </w:p>
        </w:tc>
        <w:tc>
          <w:tcPr>
            <w:tcW w:w="1380" w:type="dxa"/>
            <w:vAlign w:val="bottom"/>
            <w:tcBorders>
              <w:top w:val="single" w:sz="8" w:color="auto"/>
              <w:right w:val="single" w:sz="8" w:color="auto"/>
            </w:tcBorders>
            <w:shd w:val="clear" w:color="auto" w:fill="D9D9D9"/>
          </w:tcPr>
          <w:p>
            <w:pPr>
              <w:spacing w:after="0"/>
              <w:rPr>
                <w:sz w:val="17"/>
                <w:szCs w:val="17"/>
                <w:color w:val="auto"/>
              </w:rPr>
            </w:pPr>
          </w:p>
        </w:tc>
        <w:tc>
          <w:tcPr>
            <w:tcW w:w="1500" w:type="dxa"/>
            <w:vAlign w:val="bottom"/>
            <w:tcBorders>
              <w:top w:val="single" w:sz="8" w:color="auto"/>
              <w:right w:val="single" w:sz="8" w:color="auto"/>
            </w:tcBorders>
            <w:shd w:val="clear" w:color="auto" w:fill="D9D9D9"/>
          </w:tcPr>
          <w:p>
            <w:pPr>
              <w:spacing w:after="0"/>
              <w:rPr>
                <w:sz w:val="17"/>
                <w:szCs w:val="17"/>
                <w:color w:val="auto"/>
              </w:rPr>
            </w:pPr>
          </w:p>
        </w:tc>
        <w:tc>
          <w:tcPr>
            <w:tcW w:w="1340" w:type="dxa"/>
            <w:vAlign w:val="bottom"/>
            <w:tcBorders>
              <w:top w:val="single" w:sz="8" w:color="auto"/>
              <w:right w:val="single" w:sz="8" w:color="auto"/>
            </w:tcBorders>
            <w:shd w:val="clear" w:color="auto" w:fill="D9D9D9"/>
          </w:tcPr>
          <w:p>
            <w:pPr>
              <w:jc w:val="center"/>
              <w:spacing w:after="0" w:line="197" w:lineRule="exact"/>
              <w:rPr>
                <w:sz w:val="20"/>
                <w:szCs w:val="20"/>
                <w:color w:val="auto"/>
              </w:rPr>
            </w:pPr>
            <w:r>
              <w:rPr>
                <w:rFonts w:ascii="Arial" w:cs="Arial" w:eastAsia="Arial" w:hAnsi="Arial"/>
                <w:sz w:val="19"/>
                <w:szCs w:val="19"/>
                <w:color w:val="auto"/>
                <w:w w:val="91"/>
              </w:rPr>
              <w:t>Interest</w:t>
            </w:r>
          </w:p>
        </w:tc>
        <w:tc>
          <w:tcPr>
            <w:tcW w:w="1300" w:type="dxa"/>
            <w:vAlign w:val="bottom"/>
            <w:tcBorders>
              <w:top w:val="single" w:sz="8" w:color="auto"/>
              <w:right w:val="single" w:sz="8" w:color="auto"/>
            </w:tcBorders>
            <w:shd w:val="clear" w:color="auto" w:fill="D9D9D9"/>
          </w:tcPr>
          <w:p>
            <w:pPr>
              <w:jc w:val="center"/>
              <w:spacing w:after="0" w:line="197" w:lineRule="exact"/>
              <w:rPr>
                <w:sz w:val="20"/>
                <w:szCs w:val="20"/>
                <w:color w:val="auto"/>
              </w:rPr>
            </w:pPr>
            <w:r>
              <w:rPr>
                <w:rFonts w:ascii="Arial" w:cs="Arial" w:eastAsia="Arial" w:hAnsi="Arial"/>
                <w:sz w:val="19"/>
                <w:szCs w:val="19"/>
                <w:color w:val="auto"/>
                <w:w w:val="94"/>
              </w:rPr>
              <w:t>Amount of</w:t>
            </w:r>
          </w:p>
        </w:tc>
        <w:tc>
          <w:tcPr>
            <w:tcW w:w="1300" w:type="dxa"/>
            <w:vAlign w:val="bottom"/>
            <w:tcBorders>
              <w:top w:val="single" w:sz="8" w:color="auto"/>
              <w:right w:val="single" w:sz="8" w:color="auto"/>
            </w:tcBorders>
            <w:shd w:val="clear" w:color="auto" w:fill="D9D9D9"/>
          </w:tcPr>
          <w:p>
            <w:pPr>
              <w:jc w:val="center"/>
              <w:spacing w:after="0" w:line="197" w:lineRule="exact"/>
              <w:rPr>
                <w:sz w:val="20"/>
                <w:szCs w:val="20"/>
                <w:color w:val="auto"/>
              </w:rPr>
            </w:pPr>
            <w:r>
              <w:rPr>
                <w:rFonts w:ascii="Arial" w:cs="Arial" w:eastAsia="Arial" w:hAnsi="Arial"/>
                <w:sz w:val="19"/>
                <w:szCs w:val="19"/>
                <w:color w:val="auto"/>
                <w:w w:val="94"/>
              </w:rPr>
              <w:t>Amount of</w:t>
            </w:r>
          </w:p>
        </w:tc>
        <w:tc>
          <w:tcPr>
            <w:tcW w:w="1300" w:type="dxa"/>
            <w:vAlign w:val="bottom"/>
            <w:tcBorders>
              <w:top w:val="single" w:sz="8" w:color="auto"/>
              <w:right w:val="single" w:sz="8" w:color="auto"/>
            </w:tcBorders>
            <w:shd w:val="clear" w:color="auto" w:fill="D9D9D9"/>
          </w:tcPr>
          <w:p>
            <w:pPr>
              <w:spacing w:after="0"/>
              <w:rPr>
                <w:sz w:val="17"/>
                <w:szCs w:val="17"/>
                <w:color w:val="auto"/>
              </w:rPr>
            </w:pPr>
          </w:p>
        </w:tc>
        <w:tc>
          <w:tcPr>
            <w:tcW w:w="1780" w:type="dxa"/>
            <w:vAlign w:val="bottom"/>
            <w:tcBorders>
              <w:top w:val="single" w:sz="8" w:color="auto"/>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Borders>
              <w:left w:val="single" w:sz="8" w:color="auto"/>
              <w:right w:val="single" w:sz="8" w:color="auto"/>
            </w:tcBorders>
            <w:shd w:val="clear" w:color="auto" w:fill="D9D9D9"/>
          </w:tcPr>
          <w:p>
            <w:pPr>
              <w:spacing w:after="0"/>
              <w:rPr>
                <w:sz w:val="17"/>
                <w:szCs w:val="17"/>
                <w:color w:val="auto"/>
              </w:rPr>
            </w:pPr>
          </w:p>
        </w:tc>
        <w:tc>
          <w:tcPr>
            <w:tcW w:w="1380" w:type="dxa"/>
            <w:vAlign w:val="bottom"/>
            <w:tcBorders>
              <w:right w:val="single" w:sz="8" w:color="auto"/>
            </w:tcBorders>
            <w:shd w:val="clear" w:color="auto" w:fill="D9D9D9"/>
          </w:tcPr>
          <w:p>
            <w:pPr>
              <w:spacing w:after="0"/>
              <w:rPr>
                <w:sz w:val="17"/>
                <w:szCs w:val="17"/>
                <w:color w:val="auto"/>
              </w:rPr>
            </w:pPr>
          </w:p>
        </w:tc>
        <w:tc>
          <w:tcPr>
            <w:tcW w:w="1500" w:type="dxa"/>
            <w:vAlign w:val="bottom"/>
            <w:tcBorders>
              <w:right w:val="single" w:sz="8" w:color="auto"/>
            </w:tcBorders>
            <w:shd w:val="clear" w:color="auto" w:fill="D9D9D9"/>
          </w:tcPr>
          <w:p>
            <w:pPr>
              <w:jc w:val="center"/>
              <w:spacing w:after="0" w:line="203" w:lineRule="exact"/>
              <w:rPr>
                <w:sz w:val="20"/>
                <w:szCs w:val="20"/>
                <w:color w:val="auto"/>
              </w:rPr>
            </w:pPr>
            <w:r>
              <w:rPr>
                <w:rFonts w:ascii="Arial" w:cs="Arial" w:eastAsia="Arial" w:hAnsi="Arial"/>
                <w:sz w:val="19"/>
                <w:szCs w:val="19"/>
                <w:color w:val="auto"/>
                <w:w w:val="94"/>
              </w:rPr>
              <w:t>Amount</w:t>
            </w:r>
          </w:p>
        </w:tc>
        <w:tc>
          <w:tcPr>
            <w:tcW w:w="1340" w:type="dxa"/>
            <w:vAlign w:val="bottom"/>
            <w:tcBorders>
              <w:right w:val="single" w:sz="8" w:color="auto"/>
            </w:tcBorders>
            <w:shd w:val="clear" w:color="auto" w:fill="D9D9D9"/>
          </w:tcPr>
          <w:p>
            <w:pPr>
              <w:jc w:val="center"/>
              <w:spacing w:after="0" w:line="203" w:lineRule="exact"/>
              <w:rPr>
                <w:sz w:val="20"/>
                <w:szCs w:val="20"/>
                <w:color w:val="auto"/>
              </w:rPr>
            </w:pPr>
            <w:r>
              <w:rPr>
                <w:rFonts w:ascii="Arial" w:cs="Arial" w:eastAsia="Arial" w:hAnsi="Arial"/>
                <w:sz w:val="19"/>
                <w:szCs w:val="19"/>
                <w:color w:val="auto"/>
                <w:w w:val="89"/>
              </w:rPr>
              <w:t>Period and</w:t>
            </w:r>
          </w:p>
        </w:tc>
        <w:tc>
          <w:tcPr>
            <w:tcW w:w="1300" w:type="dxa"/>
            <w:vAlign w:val="bottom"/>
            <w:tcBorders>
              <w:right w:val="single" w:sz="8" w:color="auto"/>
            </w:tcBorders>
            <w:shd w:val="clear" w:color="auto" w:fill="D9D9D9"/>
          </w:tcPr>
          <w:p>
            <w:pPr>
              <w:jc w:val="center"/>
              <w:spacing w:after="0" w:line="203" w:lineRule="exact"/>
              <w:rPr>
                <w:sz w:val="20"/>
                <w:szCs w:val="20"/>
                <w:color w:val="auto"/>
              </w:rPr>
            </w:pPr>
            <w:r>
              <w:rPr>
                <w:rFonts w:ascii="Arial" w:cs="Arial" w:eastAsia="Arial" w:hAnsi="Arial"/>
                <w:sz w:val="19"/>
                <w:szCs w:val="19"/>
                <w:color w:val="auto"/>
                <w:w w:val="93"/>
              </w:rPr>
              <w:t>Principal of</w:t>
            </w:r>
          </w:p>
        </w:tc>
        <w:tc>
          <w:tcPr>
            <w:tcW w:w="1300" w:type="dxa"/>
            <w:vAlign w:val="bottom"/>
            <w:tcBorders>
              <w:right w:val="single" w:sz="8" w:color="auto"/>
            </w:tcBorders>
            <w:shd w:val="clear" w:color="auto" w:fill="D9D9D9"/>
          </w:tcPr>
          <w:p>
            <w:pPr>
              <w:jc w:val="center"/>
              <w:spacing w:after="0" w:line="203" w:lineRule="exact"/>
              <w:rPr>
                <w:sz w:val="20"/>
                <w:szCs w:val="20"/>
                <w:color w:val="auto"/>
              </w:rPr>
            </w:pPr>
            <w:r>
              <w:rPr>
                <w:rFonts w:ascii="Arial" w:cs="Arial" w:eastAsia="Arial" w:hAnsi="Arial"/>
                <w:sz w:val="19"/>
                <w:szCs w:val="19"/>
                <w:color w:val="auto"/>
                <w:w w:val="89"/>
              </w:rPr>
              <w:t>Term SOFR</w:t>
            </w:r>
          </w:p>
        </w:tc>
        <w:tc>
          <w:tcPr>
            <w:tcW w:w="1300" w:type="dxa"/>
            <w:vAlign w:val="bottom"/>
            <w:tcBorders>
              <w:right w:val="single" w:sz="8" w:color="auto"/>
            </w:tcBorders>
            <w:shd w:val="clear" w:color="auto" w:fill="D9D9D9"/>
          </w:tcPr>
          <w:p>
            <w:pPr>
              <w:jc w:val="center"/>
              <w:spacing w:after="0" w:line="203" w:lineRule="exact"/>
              <w:rPr>
                <w:sz w:val="20"/>
                <w:szCs w:val="20"/>
                <w:color w:val="auto"/>
              </w:rPr>
            </w:pPr>
            <w:r>
              <w:rPr>
                <w:rFonts w:ascii="Arial" w:cs="Arial" w:eastAsia="Arial" w:hAnsi="Arial"/>
                <w:sz w:val="19"/>
                <w:szCs w:val="19"/>
                <w:color w:val="auto"/>
                <w:w w:val="92"/>
              </w:rPr>
              <w:t>Unpaid</w:t>
            </w:r>
          </w:p>
        </w:tc>
        <w:tc>
          <w:tcPr>
            <w:tcW w:w="178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00" w:type="dxa"/>
            <w:vAlign w:val="bottom"/>
            <w:tcBorders>
              <w:left w:val="single" w:sz="8" w:color="auto"/>
              <w:right w:val="single" w:sz="8" w:color="auto"/>
            </w:tcBorders>
            <w:vMerge w:val="restart"/>
            <w:shd w:val="clear" w:color="auto" w:fill="D9D9D9"/>
          </w:tcPr>
          <w:p>
            <w:pPr>
              <w:ind w:left="480"/>
              <w:spacing w:after="0"/>
              <w:rPr>
                <w:sz w:val="20"/>
                <w:szCs w:val="20"/>
                <w:color w:val="auto"/>
              </w:rPr>
            </w:pPr>
            <w:r>
              <w:rPr>
                <w:rFonts w:ascii="Arial" w:cs="Arial" w:eastAsia="Arial" w:hAnsi="Arial"/>
                <w:sz w:val="19"/>
                <w:szCs w:val="19"/>
                <w:color w:val="auto"/>
              </w:rPr>
              <w:t>D</w:t>
            </w:r>
          </w:p>
        </w:tc>
        <w:tc>
          <w:tcPr>
            <w:tcW w:w="1380" w:type="dxa"/>
            <w:vAlign w:val="bottom"/>
            <w:tcBorders>
              <w:right w:val="single" w:sz="8" w:color="auto"/>
            </w:tcBorders>
            <w:shd w:val="clear" w:color="auto" w:fill="D9D9D9"/>
          </w:tcPr>
          <w:p>
            <w:pPr>
              <w:ind w:left="160"/>
              <w:spacing w:after="0" w:line="189" w:lineRule="exact"/>
              <w:rPr>
                <w:sz w:val="20"/>
                <w:szCs w:val="20"/>
                <w:color w:val="auto"/>
              </w:rPr>
            </w:pPr>
            <w:r>
              <w:rPr>
                <w:rFonts w:ascii="Arial" w:cs="Arial" w:eastAsia="Arial" w:hAnsi="Arial"/>
                <w:sz w:val="19"/>
                <w:szCs w:val="19"/>
                <w:color w:val="auto"/>
              </w:rPr>
              <w:t>Amount of</w:t>
            </w:r>
          </w:p>
        </w:tc>
        <w:tc>
          <w:tcPr>
            <w:tcW w:w="1500" w:type="dxa"/>
            <w:vAlign w:val="bottom"/>
            <w:tcBorders>
              <w:right w:val="single" w:sz="8" w:color="auto"/>
            </w:tcBorders>
            <w:shd w:val="clear" w:color="auto" w:fill="D9D9D9"/>
          </w:tcPr>
          <w:p>
            <w:pPr>
              <w:jc w:val="center"/>
              <w:spacing w:after="0" w:line="189" w:lineRule="exact"/>
              <w:rPr>
                <w:sz w:val="20"/>
                <w:szCs w:val="20"/>
                <w:color w:val="auto"/>
              </w:rPr>
            </w:pPr>
            <w:r>
              <w:rPr>
                <w:rFonts w:ascii="Arial" w:cs="Arial" w:eastAsia="Arial" w:hAnsi="Arial"/>
                <w:sz w:val="19"/>
                <w:szCs w:val="19"/>
                <w:color w:val="auto"/>
                <w:w w:val="90"/>
              </w:rPr>
              <w:t>Converted to</w:t>
            </w:r>
          </w:p>
        </w:tc>
        <w:tc>
          <w:tcPr>
            <w:tcW w:w="1340" w:type="dxa"/>
            <w:vAlign w:val="bottom"/>
            <w:tcBorders>
              <w:right w:val="single" w:sz="8" w:color="auto"/>
            </w:tcBorders>
            <w:shd w:val="clear" w:color="auto" w:fill="D9D9D9"/>
          </w:tcPr>
          <w:p>
            <w:pPr>
              <w:jc w:val="center"/>
              <w:spacing w:after="0" w:line="189" w:lineRule="exact"/>
              <w:rPr>
                <w:sz w:val="20"/>
                <w:szCs w:val="20"/>
                <w:color w:val="auto"/>
              </w:rPr>
            </w:pPr>
            <w:r>
              <w:rPr>
                <w:rFonts w:ascii="Arial" w:cs="Arial" w:eastAsia="Arial" w:hAnsi="Arial"/>
                <w:sz w:val="19"/>
                <w:szCs w:val="19"/>
                <w:color w:val="auto"/>
                <w:w w:val="89"/>
              </w:rPr>
              <w:t>Term SOFR</w:t>
            </w:r>
          </w:p>
        </w:tc>
        <w:tc>
          <w:tcPr>
            <w:tcW w:w="1300" w:type="dxa"/>
            <w:vAlign w:val="bottom"/>
            <w:tcBorders>
              <w:right w:val="single" w:sz="8" w:color="auto"/>
            </w:tcBorders>
            <w:shd w:val="clear" w:color="auto" w:fill="D9D9D9"/>
          </w:tcPr>
          <w:p>
            <w:pPr>
              <w:jc w:val="center"/>
              <w:spacing w:after="0" w:line="189" w:lineRule="exact"/>
              <w:rPr>
                <w:sz w:val="20"/>
                <w:szCs w:val="20"/>
                <w:color w:val="auto"/>
              </w:rPr>
            </w:pPr>
            <w:r>
              <w:rPr>
                <w:rFonts w:ascii="Arial" w:cs="Arial" w:eastAsia="Arial" w:hAnsi="Arial"/>
                <w:sz w:val="19"/>
                <w:szCs w:val="19"/>
                <w:color w:val="auto"/>
                <w:w w:val="89"/>
              </w:rPr>
              <w:t>Term SOFR</w:t>
            </w:r>
          </w:p>
        </w:tc>
        <w:tc>
          <w:tcPr>
            <w:tcW w:w="1300" w:type="dxa"/>
            <w:vAlign w:val="bottom"/>
            <w:tcBorders>
              <w:right w:val="single" w:sz="8" w:color="auto"/>
            </w:tcBorders>
            <w:shd w:val="clear" w:color="auto" w:fill="D9D9D9"/>
          </w:tcPr>
          <w:p>
            <w:pPr>
              <w:jc w:val="center"/>
              <w:spacing w:after="0" w:line="189" w:lineRule="exact"/>
              <w:rPr>
                <w:sz w:val="20"/>
                <w:szCs w:val="20"/>
                <w:color w:val="auto"/>
              </w:rPr>
            </w:pPr>
            <w:r>
              <w:rPr>
                <w:rFonts w:ascii="Arial" w:cs="Arial" w:eastAsia="Arial" w:hAnsi="Arial"/>
                <w:sz w:val="19"/>
                <w:szCs w:val="19"/>
                <w:color w:val="auto"/>
                <w:w w:val="88"/>
              </w:rPr>
              <w:t>Loans</w:t>
            </w:r>
          </w:p>
        </w:tc>
        <w:tc>
          <w:tcPr>
            <w:tcW w:w="1300" w:type="dxa"/>
            <w:vAlign w:val="bottom"/>
            <w:tcBorders>
              <w:right w:val="single" w:sz="8" w:color="auto"/>
            </w:tcBorders>
            <w:shd w:val="clear" w:color="auto" w:fill="D9D9D9"/>
          </w:tcPr>
          <w:p>
            <w:pPr>
              <w:jc w:val="center"/>
              <w:spacing w:after="0" w:line="189" w:lineRule="exact"/>
              <w:rPr>
                <w:sz w:val="20"/>
                <w:szCs w:val="20"/>
                <w:color w:val="auto"/>
              </w:rPr>
            </w:pPr>
            <w:r>
              <w:rPr>
                <w:rFonts w:ascii="Arial" w:cs="Arial" w:eastAsia="Arial" w:hAnsi="Arial"/>
                <w:sz w:val="19"/>
                <w:szCs w:val="19"/>
                <w:color w:val="auto"/>
                <w:w w:val="93"/>
              </w:rPr>
              <w:t>Principal</w:t>
            </w:r>
          </w:p>
        </w:tc>
        <w:tc>
          <w:tcPr>
            <w:tcW w:w="1780" w:type="dxa"/>
            <w:vAlign w:val="bottom"/>
            <w:tcBorders>
              <w:right w:val="single" w:sz="8" w:color="auto"/>
            </w:tcBorders>
            <w:shd w:val="clear" w:color="auto" w:fill="D9D9D9"/>
          </w:tcPr>
          <w:p>
            <w:pPr>
              <w:jc w:val="center"/>
              <w:ind w:right="106"/>
              <w:spacing w:after="0" w:line="189" w:lineRule="exact"/>
              <w:rPr>
                <w:sz w:val="20"/>
                <w:szCs w:val="20"/>
                <w:color w:val="auto"/>
              </w:rPr>
            </w:pPr>
            <w:r>
              <w:rPr>
                <w:rFonts w:ascii="Arial" w:cs="Arial" w:eastAsia="Arial" w:hAnsi="Arial"/>
                <w:sz w:val="19"/>
                <w:szCs w:val="19"/>
                <w:color w:val="auto"/>
                <w:w w:val="92"/>
              </w:rPr>
              <w:t>Notation Made</w:t>
            </w:r>
          </w:p>
        </w:tc>
        <w:tc>
          <w:tcPr>
            <w:tcW w:w="0" w:type="dxa"/>
            <w:vAlign w:val="bottom"/>
          </w:tcPr>
          <w:p>
            <w:pPr>
              <w:spacing w:after="0"/>
              <w:rPr>
                <w:sz w:val="1"/>
                <w:szCs w:val="1"/>
                <w:color w:val="auto"/>
              </w:rPr>
            </w:pPr>
          </w:p>
        </w:tc>
      </w:tr>
      <w:tr>
        <w:trPr>
          <w:trHeight w:val="203"/>
        </w:trPr>
        <w:tc>
          <w:tcPr>
            <w:tcW w:w="1100" w:type="dxa"/>
            <w:vAlign w:val="bottom"/>
            <w:tcBorders>
              <w:left w:val="single" w:sz="8" w:color="auto"/>
              <w:right w:val="single" w:sz="8" w:color="auto"/>
            </w:tcBorders>
            <w:vMerge w:val="continue"/>
            <w:shd w:val="clear" w:color="auto" w:fill="D9D9D9"/>
          </w:tcPr>
          <w:p>
            <w:pPr>
              <w:spacing w:after="0"/>
              <w:rPr>
                <w:sz w:val="17"/>
                <w:szCs w:val="17"/>
                <w:color w:val="auto"/>
              </w:rPr>
            </w:pPr>
          </w:p>
        </w:tc>
        <w:tc>
          <w:tcPr>
            <w:tcW w:w="1380" w:type="dxa"/>
            <w:vAlign w:val="bottom"/>
            <w:tcBorders>
              <w:right w:val="single" w:sz="8" w:color="auto"/>
            </w:tcBorders>
            <w:shd w:val="clear" w:color="auto" w:fill="D9D9D9"/>
          </w:tcPr>
          <w:p>
            <w:pPr>
              <w:ind w:left="320"/>
              <w:spacing w:after="0" w:line="203" w:lineRule="exact"/>
              <w:rPr>
                <w:sz w:val="20"/>
                <w:szCs w:val="20"/>
                <w:color w:val="auto"/>
              </w:rPr>
            </w:pPr>
            <w:r>
              <w:rPr>
                <w:rFonts w:ascii="Arial" w:cs="Arial" w:eastAsia="Arial" w:hAnsi="Arial"/>
                <w:sz w:val="19"/>
                <w:szCs w:val="19"/>
                <w:color w:val="auto"/>
                <w:w w:val="99"/>
              </w:rPr>
              <w:t>Term SOFR</w:t>
            </w:r>
          </w:p>
        </w:tc>
        <w:tc>
          <w:tcPr>
            <w:tcW w:w="1500" w:type="dxa"/>
            <w:vAlign w:val="bottom"/>
            <w:tcBorders>
              <w:right w:val="single" w:sz="8" w:color="auto"/>
            </w:tcBorders>
            <w:shd w:val="clear" w:color="auto" w:fill="D9D9D9"/>
          </w:tcPr>
          <w:p>
            <w:pPr>
              <w:jc w:val="center"/>
              <w:ind w:right="6"/>
              <w:spacing w:after="0" w:line="203" w:lineRule="exact"/>
              <w:rPr>
                <w:sz w:val="20"/>
                <w:szCs w:val="20"/>
                <w:color w:val="auto"/>
              </w:rPr>
            </w:pPr>
            <w:r>
              <w:rPr>
                <w:rFonts w:ascii="Arial" w:cs="Arial" w:eastAsia="Arial" w:hAnsi="Arial"/>
                <w:sz w:val="19"/>
                <w:szCs w:val="19"/>
                <w:color w:val="auto"/>
                <w:w w:val="89"/>
              </w:rPr>
              <w:t>Term SOFR</w:t>
            </w:r>
          </w:p>
        </w:tc>
        <w:tc>
          <w:tcPr>
            <w:tcW w:w="1340" w:type="dxa"/>
            <w:vAlign w:val="bottom"/>
            <w:tcBorders>
              <w:right w:val="single" w:sz="8" w:color="auto"/>
            </w:tcBorders>
            <w:shd w:val="clear" w:color="auto" w:fill="D9D9D9"/>
          </w:tcPr>
          <w:p>
            <w:pPr>
              <w:jc w:val="center"/>
              <w:spacing w:after="0" w:line="203" w:lineRule="exact"/>
              <w:rPr>
                <w:sz w:val="20"/>
                <w:szCs w:val="20"/>
                <w:color w:val="auto"/>
              </w:rPr>
            </w:pPr>
            <w:r>
              <w:rPr>
                <w:rFonts w:ascii="Arial" w:cs="Arial" w:eastAsia="Arial" w:hAnsi="Arial"/>
                <w:sz w:val="19"/>
                <w:szCs w:val="19"/>
                <w:color w:val="auto"/>
              </w:rPr>
              <w:t>with</w:t>
            </w:r>
          </w:p>
        </w:tc>
        <w:tc>
          <w:tcPr>
            <w:tcW w:w="1300" w:type="dxa"/>
            <w:vAlign w:val="bottom"/>
            <w:tcBorders>
              <w:right w:val="single" w:sz="8" w:color="auto"/>
            </w:tcBorders>
            <w:shd w:val="clear" w:color="auto" w:fill="D9D9D9"/>
          </w:tcPr>
          <w:p>
            <w:pPr>
              <w:jc w:val="center"/>
              <w:spacing w:after="0" w:line="203" w:lineRule="exact"/>
              <w:rPr>
                <w:sz w:val="20"/>
                <w:szCs w:val="20"/>
                <w:color w:val="auto"/>
              </w:rPr>
            </w:pPr>
            <w:r>
              <w:rPr>
                <w:rFonts w:ascii="Arial" w:cs="Arial" w:eastAsia="Arial" w:hAnsi="Arial"/>
                <w:sz w:val="19"/>
                <w:szCs w:val="19"/>
                <w:color w:val="auto"/>
                <w:w w:val="88"/>
              </w:rPr>
              <w:t>Loans Repaid</w:t>
            </w:r>
          </w:p>
        </w:tc>
        <w:tc>
          <w:tcPr>
            <w:tcW w:w="1300" w:type="dxa"/>
            <w:vAlign w:val="bottom"/>
            <w:tcBorders>
              <w:right w:val="single" w:sz="8" w:color="auto"/>
            </w:tcBorders>
            <w:shd w:val="clear" w:color="auto" w:fill="D9D9D9"/>
          </w:tcPr>
          <w:p>
            <w:pPr>
              <w:jc w:val="center"/>
              <w:spacing w:after="0" w:line="203" w:lineRule="exact"/>
              <w:rPr>
                <w:sz w:val="20"/>
                <w:szCs w:val="20"/>
                <w:color w:val="auto"/>
              </w:rPr>
            </w:pPr>
            <w:r>
              <w:rPr>
                <w:rFonts w:ascii="Arial" w:cs="Arial" w:eastAsia="Arial" w:hAnsi="Arial"/>
                <w:sz w:val="19"/>
                <w:szCs w:val="19"/>
                <w:color w:val="auto"/>
                <w:w w:val="90"/>
              </w:rPr>
              <w:t>Converted to</w:t>
            </w:r>
          </w:p>
        </w:tc>
        <w:tc>
          <w:tcPr>
            <w:tcW w:w="1300" w:type="dxa"/>
            <w:vAlign w:val="bottom"/>
            <w:tcBorders>
              <w:right w:val="single" w:sz="8" w:color="auto"/>
            </w:tcBorders>
            <w:shd w:val="clear" w:color="auto" w:fill="D9D9D9"/>
          </w:tcPr>
          <w:p>
            <w:pPr>
              <w:jc w:val="center"/>
              <w:spacing w:after="0" w:line="203" w:lineRule="exact"/>
              <w:rPr>
                <w:sz w:val="20"/>
                <w:szCs w:val="20"/>
                <w:color w:val="auto"/>
              </w:rPr>
            </w:pPr>
            <w:r>
              <w:rPr>
                <w:rFonts w:ascii="Arial" w:cs="Arial" w:eastAsia="Arial" w:hAnsi="Arial"/>
                <w:sz w:val="19"/>
                <w:szCs w:val="19"/>
                <w:color w:val="auto"/>
                <w:w w:val="89"/>
              </w:rPr>
              <w:t>Balance of</w:t>
            </w:r>
          </w:p>
        </w:tc>
        <w:tc>
          <w:tcPr>
            <w:tcW w:w="1780" w:type="dxa"/>
            <w:vAlign w:val="bottom"/>
            <w:tcBorders>
              <w:right w:val="single" w:sz="8" w:color="auto"/>
            </w:tcBorders>
            <w:shd w:val="clear" w:color="auto" w:fill="D9D9D9"/>
          </w:tcPr>
          <w:p>
            <w:pPr>
              <w:jc w:val="center"/>
              <w:ind w:right="106"/>
              <w:spacing w:after="0" w:line="203" w:lineRule="exact"/>
              <w:rPr>
                <w:sz w:val="20"/>
                <w:szCs w:val="20"/>
                <w:color w:val="auto"/>
              </w:rPr>
            </w:pPr>
            <w:r>
              <w:rPr>
                <w:rFonts w:ascii="Arial" w:cs="Arial" w:eastAsia="Arial" w:hAnsi="Arial"/>
                <w:sz w:val="19"/>
                <w:szCs w:val="19"/>
                <w:color w:val="auto"/>
                <w:w w:val="98"/>
              </w:rPr>
              <w:t>By</w:t>
            </w:r>
          </w:p>
        </w:tc>
        <w:tc>
          <w:tcPr>
            <w:tcW w:w="0" w:type="dxa"/>
            <w:vAlign w:val="bottom"/>
          </w:tcPr>
          <w:p>
            <w:pPr>
              <w:spacing w:after="0"/>
              <w:rPr>
                <w:sz w:val="1"/>
                <w:szCs w:val="1"/>
                <w:color w:val="auto"/>
              </w:rPr>
            </w:pPr>
          </w:p>
        </w:tc>
      </w:tr>
      <w:tr>
        <w:trPr>
          <w:trHeight w:val="203"/>
        </w:trPr>
        <w:tc>
          <w:tcPr>
            <w:tcW w:w="1100" w:type="dxa"/>
            <w:vAlign w:val="bottom"/>
            <w:tcBorders>
              <w:left w:val="single" w:sz="8" w:color="auto"/>
              <w:right w:val="single" w:sz="8" w:color="auto"/>
            </w:tcBorders>
            <w:shd w:val="clear" w:color="auto" w:fill="D9D9D9"/>
          </w:tcPr>
          <w:p>
            <w:pPr>
              <w:ind w:left="480"/>
              <w:spacing w:after="0" w:line="203" w:lineRule="exact"/>
              <w:rPr>
                <w:sz w:val="20"/>
                <w:szCs w:val="20"/>
                <w:color w:val="auto"/>
              </w:rPr>
            </w:pPr>
            <w:r>
              <w:rPr>
                <w:rFonts w:ascii="Arial" w:cs="Arial" w:eastAsia="Arial" w:hAnsi="Arial"/>
                <w:sz w:val="19"/>
                <w:szCs w:val="19"/>
                <w:color w:val="auto"/>
              </w:rPr>
              <w:t>at</w:t>
            </w:r>
          </w:p>
        </w:tc>
        <w:tc>
          <w:tcPr>
            <w:tcW w:w="1380" w:type="dxa"/>
            <w:vAlign w:val="bottom"/>
            <w:tcBorders>
              <w:right w:val="single" w:sz="8" w:color="auto"/>
            </w:tcBorders>
            <w:shd w:val="clear" w:color="auto" w:fill="D9D9D9"/>
          </w:tcPr>
          <w:p>
            <w:pPr>
              <w:ind w:left="320"/>
              <w:spacing w:after="0" w:line="203" w:lineRule="exact"/>
              <w:rPr>
                <w:sz w:val="20"/>
                <w:szCs w:val="20"/>
                <w:color w:val="auto"/>
              </w:rPr>
            </w:pPr>
            <w:r>
              <w:rPr>
                <w:rFonts w:ascii="Arial" w:cs="Arial" w:eastAsia="Arial" w:hAnsi="Arial"/>
                <w:sz w:val="19"/>
                <w:szCs w:val="19"/>
                <w:color w:val="auto"/>
              </w:rPr>
              <w:t>Loans</w:t>
            </w:r>
          </w:p>
        </w:tc>
        <w:tc>
          <w:tcPr>
            <w:tcW w:w="1500" w:type="dxa"/>
            <w:vAlign w:val="bottom"/>
            <w:tcBorders>
              <w:right w:val="single" w:sz="8" w:color="auto"/>
            </w:tcBorders>
            <w:shd w:val="clear" w:color="auto" w:fill="D9D9D9"/>
          </w:tcPr>
          <w:p>
            <w:pPr>
              <w:jc w:val="center"/>
              <w:spacing w:after="0" w:line="203" w:lineRule="exact"/>
              <w:rPr>
                <w:sz w:val="20"/>
                <w:szCs w:val="20"/>
                <w:color w:val="auto"/>
              </w:rPr>
            </w:pPr>
            <w:r>
              <w:rPr>
                <w:rFonts w:ascii="Arial" w:cs="Arial" w:eastAsia="Arial" w:hAnsi="Arial"/>
                <w:sz w:val="19"/>
                <w:szCs w:val="19"/>
                <w:color w:val="auto"/>
                <w:w w:val="88"/>
              </w:rPr>
              <w:t>Loans</w:t>
            </w:r>
          </w:p>
        </w:tc>
        <w:tc>
          <w:tcPr>
            <w:tcW w:w="1340" w:type="dxa"/>
            <w:vAlign w:val="bottom"/>
            <w:tcBorders>
              <w:right w:val="single" w:sz="8" w:color="auto"/>
            </w:tcBorders>
            <w:shd w:val="clear" w:color="auto" w:fill="D9D9D9"/>
          </w:tcPr>
          <w:p>
            <w:pPr>
              <w:jc w:val="center"/>
              <w:spacing w:after="0" w:line="203" w:lineRule="exact"/>
              <w:rPr>
                <w:sz w:val="20"/>
                <w:szCs w:val="20"/>
                <w:color w:val="auto"/>
              </w:rPr>
            </w:pPr>
            <w:r>
              <w:rPr>
                <w:rFonts w:ascii="Arial" w:cs="Arial" w:eastAsia="Arial" w:hAnsi="Arial"/>
                <w:sz w:val="19"/>
                <w:szCs w:val="19"/>
                <w:color w:val="auto"/>
                <w:w w:val="86"/>
              </w:rPr>
              <w:t>Respect</w:t>
            </w:r>
          </w:p>
        </w:tc>
        <w:tc>
          <w:tcPr>
            <w:tcW w:w="1300" w:type="dxa"/>
            <w:vAlign w:val="bottom"/>
            <w:tcBorders>
              <w:right w:val="single" w:sz="8" w:color="auto"/>
            </w:tcBorders>
            <w:shd w:val="clear" w:color="auto" w:fill="D9D9D9"/>
          </w:tcPr>
          <w:p>
            <w:pPr>
              <w:spacing w:after="0"/>
              <w:rPr>
                <w:sz w:val="17"/>
                <w:szCs w:val="17"/>
                <w:color w:val="auto"/>
              </w:rPr>
            </w:pPr>
          </w:p>
        </w:tc>
        <w:tc>
          <w:tcPr>
            <w:tcW w:w="1300" w:type="dxa"/>
            <w:vAlign w:val="bottom"/>
            <w:tcBorders>
              <w:right w:val="single" w:sz="8" w:color="auto"/>
            </w:tcBorders>
            <w:shd w:val="clear" w:color="auto" w:fill="D9D9D9"/>
          </w:tcPr>
          <w:p>
            <w:pPr>
              <w:jc w:val="center"/>
              <w:spacing w:after="0" w:line="203" w:lineRule="exact"/>
              <w:rPr>
                <w:sz w:val="20"/>
                <w:szCs w:val="20"/>
                <w:color w:val="auto"/>
              </w:rPr>
            </w:pPr>
            <w:r>
              <w:rPr>
                <w:rFonts w:ascii="Arial" w:cs="Arial" w:eastAsia="Arial" w:hAnsi="Arial"/>
                <w:sz w:val="19"/>
                <w:szCs w:val="19"/>
                <w:color w:val="auto"/>
                <w:w w:val="91"/>
              </w:rPr>
              <w:t>ABR Loans</w:t>
            </w:r>
          </w:p>
        </w:tc>
        <w:tc>
          <w:tcPr>
            <w:tcW w:w="1300" w:type="dxa"/>
            <w:vAlign w:val="bottom"/>
            <w:tcBorders>
              <w:right w:val="single" w:sz="8" w:color="auto"/>
            </w:tcBorders>
            <w:shd w:val="clear" w:color="auto" w:fill="D9D9D9"/>
          </w:tcPr>
          <w:p>
            <w:pPr>
              <w:jc w:val="center"/>
              <w:spacing w:after="0" w:line="203" w:lineRule="exact"/>
              <w:rPr>
                <w:sz w:val="20"/>
                <w:szCs w:val="20"/>
                <w:color w:val="auto"/>
              </w:rPr>
            </w:pPr>
            <w:r>
              <w:rPr>
                <w:rFonts w:ascii="Arial" w:cs="Arial" w:eastAsia="Arial" w:hAnsi="Arial"/>
                <w:sz w:val="19"/>
                <w:szCs w:val="19"/>
                <w:color w:val="auto"/>
                <w:w w:val="89"/>
              </w:rPr>
              <w:t>Term SOFR</w:t>
            </w:r>
          </w:p>
        </w:tc>
        <w:tc>
          <w:tcPr>
            <w:tcW w:w="178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100" w:type="dxa"/>
            <w:vAlign w:val="bottom"/>
            <w:tcBorders>
              <w:left w:val="single" w:sz="8" w:color="auto"/>
              <w:bottom w:val="single" w:sz="8" w:color="auto"/>
              <w:right w:val="single" w:sz="8" w:color="auto"/>
            </w:tcBorders>
            <w:shd w:val="clear" w:color="auto" w:fill="D9D9D9"/>
          </w:tcPr>
          <w:p>
            <w:pPr>
              <w:ind w:left="500"/>
              <w:spacing w:after="0"/>
              <w:rPr>
                <w:sz w:val="20"/>
                <w:szCs w:val="20"/>
                <w:color w:val="auto"/>
              </w:rPr>
            </w:pPr>
            <w:r>
              <w:rPr>
                <w:rFonts w:ascii="Arial" w:cs="Arial" w:eastAsia="Arial" w:hAnsi="Arial"/>
                <w:sz w:val="19"/>
                <w:szCs w:val="19"/>
                <w:color w:val="auto"/>
              </w:rPr>
              <w:t>e</w:t>
            </w:r>
          </w:p>
        </w:tc>
        <w:tc>
          <w:tcPr>
            <w:tcW w:w="1380" w:type="dxa"/>
            <w:vAlign w:val="bottom"/>
            <w:tcBorders>
              <w:bottom w:val="single" w:sz="8" w:color="auto"/>
              <w:right w:val="single" w:sz="8" w:color="auto"/>
            </w:tcBorders>
            <w:shd w:val="clear" w:color="auto" w:fill="D9D9D9"/>
          </w:tcPr>
          <w:p>
            <w:pPr>
              <w:spacing w:after="0"/>
              <w:rPr>
                <w:sz w:val="20"/>
                <w:szCs w:val="20"/>
                <w:color w:val="auto"/>
              </w:rPr>
            </w:pPr>
          </w:p>
        </w:tc>
        <w:tc>
          <w:tcPr>
            <w:tcW w:w="1500" w:type="dxa"/>
            <w:vAlign w:val="bottom"/>
            <w:tcBorders>
              <w:bottom w:val="single" w:sz="8" w:color="auto"/>
              <w:right w:val="single" w:sz="8" w:color="auto"/>
            </w:tcBorders>
            <w:shd w:val="clear" w:color="auto" w:fill="D9D9D9"/>
          </w:tcPr>
          <w:p>
            <w:pPr>
              <w:spacing w:after="0"/>
              <w:rPr>
                <w:sz w:val="20"/>
                <w:szCs w:val="20"/>
                <w:color w:val="auto"/>
              </w:rPr>
            </w:pP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9"/>
                <w:szCs w:val="19"/>
                <w:color w:val="auto"/>
                <w:w w:val="88"/>
              </w:rPr>
              <w:t>Thereto</w:t>
            </w:r>
          </w:p>
        </w:tc>
        <w:tc>
          <w:tcPr>
            <w:tcW w:w="1300" w:type="dxa"/>
            <w:vAlign w:val="bottom"/>
            <w:tcBorders>
              <w:bottom w:val="single" w:sz="8" w:color="auto"/>
              <w:right w:val="single" w:sz="8" w:color="auto"/>
            </w:tcBorders>
            <w:shd w:val="clear" w:color="auto" w:fill="D9D9D9"/>
          </w:tcPr>
          <w:p>
            <w:pPr>
              <w:spacing w:after="0"/>
              <w:rPr>
                <w:sz w:val="20"/>
                <w:szCs w:val="20"/>
                <w:color w:val="auto"/>
              </w:rPr>
            </w:pPr>
          </w:p>
        </w:tc>
        <w:tc>
          <w:tcPr>
            <w:tcW w:w="1300" w:type="dxa"/>
            <w:vAlign w:val="bottom"/>
            <w:tcBorders>
              <w:bottom w:val="single" w:sz="8" w:color="auto"/>
              <w:right w:val="single" w:sz="8" w:color="auto"/>
            </w:tcBorders>
            <w:shd w:val="clear" w:color="auto" w:fill="D9D9D9"/>
          </w:tcPr>
          <w:p>
            <w:pPr>
              <w:spacing w:after="0"/>
              <w:rPr>
                <w:sz w:val="20"/>
                <w:szCs w:val="20"/>
                <w:color w:val="auto"/>
              </w:rPr>
            </w:pPr>
          </w:p>
        </w:tc>
        <w:tc>
          <w:tcPr>
            <w:tcW w:w="13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9"/>
                <w:szCs w:val="19"/>
                <w:color w:val="auto"/>
                <w:w w:val="88"/>
              </w:rPr>
              <w:t>Loans</w:t>
            </w:r>
          </w:p>
        </w:tc>
        <w:tc>
          <w:tcPr>
            <w:tcW w:w="1780" w:type="dxa"/>
            <w:vAlign w:val="bottom"/>
            <w:tcBorders>
              <w:bottom w:val="single" w:sz="8" w:color="auto"/>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307"/>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76835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414" w:right="459" w:bottom="1440" w:gutter="0" w:footer="0" w:header="0"/>
        </w:sectPr>
      </w:pPr>
    </w:p>
    <w:bookmarkStart w:id="286" w:name="page287"/>
    <w:bookmarkEnd w:id="286"/>
    <w:tbl>
      <w:tblPr>
        <w:tblLayout w:type="fixed"/>
        <w:tblInd w:w="110" w:type="dxa"/>
        <w:tblCellMar>
          <w:top w:w="0" w:type="dxa"/>
          <w:left w:w="0" w:type="dxa"/>
          <w:bottom w:w="0" w:type="dxa"/>
          <w:right w:w="0" w:type="dxa"/>
        </w:tblCellMar>
      </w:tblPr>
      <w:tr>
        <w:trPr>
          <w:trHeight w:val="197"/>
        </w:trPr>
        <w:tc>
          <w:tcPr>
            <w:tcW w:w="1100" w:type="dxa"/>
            <w:vAlign w:val="bottom"/>
            <w:tcBorders>
              <w:top w:val="single" w:sz="8" w:color="auto"/>
              <w:left w:val="single" w:sz="8" w:color="auto"/>
              <w:right w:val="single" w:sz="8" w:color="auto"/>
            </w:tcBorders>
            <w:shd w:val="clear" w:color="auto" w:fill="D9D9D9"/>
          </w:tcPr>
          <w:p>
            <w:pPr>
              <w:spacing w:after="0"/>
              <w:rPr>
                <w:sz w:val="17"/>
                <w:szCs w:val="17"/>
                <w:color w:val="auto"/>
              </w:rPr>
            </w:pPr>
          </w:p>
        </w:tc>
        <w:tc>
          <w:tcPr>
            <w:tcW w:w="1380" w:type="dxa"/>
            <w:vAlign w:val="bottom"/>
            <w:tcBorders>
              <w:top w:val="single" w:sz="8" w:color="auto"/>
              <w:right w:val="single" w:sz="8" w:color="auto"/>
            </w:tcBorders>
            <w:shd w:val="clear" w:color="auto" w:fill="D9D9D9"/>
          </w:tcPr>
          <w:p>
            <w:pPr>
              <w:spacing w:after="0"/>
              <w:rPr>
                <w:sz w:val="17"/>
                <w:szCs w:val="17"/>
                <w:color w:val="auto"/>
              </w:rPr>
            </w:pPr>
          </w:p>
        </w:tc>
        <w:tc>
          <w:tcPr>
            <w:tcW w:w="1500" w:type="dxa"/>
            <w:vAlign w:val="bottom"/>
            <w:tcBorders>
              <w:top w:val="single" w:sz="8" w:color="auto"/>
              <w:right w:val="single" w:sz="8" w:color="auto"/>
            </w:tcBorders>
            <w:shd w:val="clear" w:color="auto" w:fill="D9D9D9"/>
          </w:tcPr>
          <w:p>
            <w:pPr>
              <w:spacing w:after="0"/>
              <w:rPr>
                <w:sz w:val="17"/>
                <w:szCs w:val="17"/>
                <w:color w:val="auto"/>
              </w:rPr>
            </w:pPr>
          </w:p>
        </w:tc>
        <w:tc>
          <w:tcPr>
            <w:tcW w:w="1340" w:type="dxa"/>
            <w:vAlign w:val="bottom"/>
            <w:tcBorders>
              <w:top w:val="single" w:sz="8" w:color="auto"/>
              <w:right w:val="single" w:sz="8" w:color="auto"/>
            </w:tcBorders>
            <w:shd w:val="clear" w:color="auto" w:fill="D9D9D9"/>
          </w:tcPr>
          <w:p>
            <w:pPr>
              <w:jc w:val="center"/>
              <w:spacing w:after="0" w:line="197" w:lineRule="exact"/>
              <w:rPr>
                <w:sz w:val="20"/>
                <w:szCs w:val="20"/>
                <w:color w:val="auto"/>
              </w:rPr>
            </w:pPr>
            <w:r>
              <w:rPr>
                <w:rFonts w:ascii="Arial" w:cs="Arial" w:eastAsia="Arial" w:hAnsi="Arial"/>
                <w:sz w:val="19"/>
                <w:szCs w:val="19"/>
                <w:color w:val="auto"/>
                <w:w w:val="91"/>
              </w:rPr>
              <w:t>Interest</w:t>
            </w:r>
          </w:p>
        </w:tc>
        <w:tc>
          <w:tcPr>
            <w:tcW w:w="1300" w:type="dxa"/>
            <w:vAlign w:val="bottom"/>
            <w:tcBorders>
              <w:top w:val="single" w:sz="8" w:color="auto"/>
              <w:right w:val="single" w:sz="8" w:color="auto"/>
            </w:tcBorders>
            <w:shd w:val="clear" w:color="auto" w:fill="D9D9D9"/>
          </w:tcPr>
          <w:p>
            <w:pPr>
              <w:jc w:val="center"/>
              <w:spacing w:after="0" w:line="197" w:lineRule="exact"/>
              <w:rPr>
                <w:sz w:val="20"/>
                <w:szCs w:val="20"/>
                <w:color w:val="auto"/>
              </w:rPr>
            </w:pPr>
            <w:r>
              <w:rPr>
                <w:rFonts w:ascii="Arial" w:cs="Arial" w:eastAsia="Arial" w:hAnsi="Arial"/>
                <w:sz w:val="19"/>
                <w:szCs w:val="19"/>
                <w:color w:val="auto"/>
                <w:w w:val="94"/>
              </w:rPr>
              <w:t>Amount of</w:t>
            </w:r>
          </w:p>
        </w:tc>
        <w:tc>
          <w:tcPr>
            <w:tcW w:w="1300" w:type="dxa"/>
            <w:vAlign w:val="bottom"/>
            <w:tcBorders>
              <w:top w:val="single" w:sz="8" w:color="auto"/>
              <w:right w:val="single" w:sz="8" w:color="auto"/>
            </w:tcBorders>
            <w:shd w:val="clear" w:color="auto" w:fill="D9D9D9"/>
          </w:tcPr>
          <w:p>
            <w:pPr>
              <w:jc w:val="center"/>
              <w:spacing w:after="0" w:line="197" w:lineRule="exact"/>
              <w:rPr>
                <w:sz w:val="20"/>
                <w:szCs w:val="20"/>
                <w:color w:val="auto"/>
              </w:rPr>
            </w:pPr>
            <w:r>
              <w:rPr>
                <w:rFonts w:ascii="Arial" w:cs="Arial" w:eastAsia="Arial" w:hAnsi="Arial"/>
                <w:sz w:val="19"/>
                <w:szCs w:val="19"/>
                <w:color w:val="auto"/>
                <w:w w:val="94"/>
              </w:rPr>
              <w:t>Amount of</w:t>
            </w:r>
          </w:p>
        </w:tc>
        <w:tc>
          <w:tcPr>
            <w:tcW w:w="1300" w:type="dxa"/>
            <w:vAlign w:val="bottom"/>
            <w:tcBorders>
              <w:top w:val="single" w:sz="8" w:color="auto"/>
              <w:right w:val="single" w:sz="8" w:color="auto"/>
            </w:tcBorders>
            <w:shd w:val="clear" w:color="auto" w:fill="D9D9D9"/>
          </w:tcPr>
          <w:p>
            <w:pPr>
              <w:spacing w:after="0"/>
              <w:rPr>
                <w:sz w:val="17"/>
                <w:szCs w:val="17"/>
                <w:color w:val="auto"/>
              </w:rPr>
            </w:pPr>
          </w:p>
        </w:tc>
        <w:tc>
          <w:tcPr>
            <w:tcW w:w="1780" w:type="dxa"/>
            <w:vAlign w:val="bottom"/>
            <w:tcBorders>
              <w:top w:val="single" w:sz="8" w:color="auto"/>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Borders>
              <w:left w:val="single" w:sz="8" w:color="auto"/>
              <w:right w:val="single" w:sz="8" w:color="auto"/>
            </w:tcBorders>
            <w:shd w:val="clear" w:color="auto" w:fill="D9D9D9"/>
          </w:tcPr>
          <w:p>
            <w:pPr>
              <w:spacing w:after="0"/>
              <w:rPr>
                <w:sz w:val="17"/>
                <w:szCs w:val="17"/>
                <w:color w:val="auto"/>
              </w:rPr>
            </w:pPr>
          </w:p>
        </w:tc>
        <w:tc>
          <w:tcPr>
            <w:tcW w:w="1380" w:type="dxa"/>
            <w:vAlign w:val="bottom"/>
            <w:tcBorders>
              <w:right w:val="single" w:sz="8" w:color="auto"/>
            </w:tcBorders>
            <w:shd w:val="clear" w:color="auto" w:fill="D9D9D9"/>
          </w:tcPr>
          <w:p>
            <w:pPr>
              <w:spacing w:after="0"/>
              <w:rPr>
                <w:sz w:val="17"/>
                <w:szCs w:val="17"/>
                <w:color w:val="auto"/>
              </w:rPr>
            </w:pPr>
          </w:p>
        </w:tc>
        <w:tc>
          <w:tcPr>
            <w:tcW w:w="1500" w:type="dxa"/>
            <w:vAlign w:val="bottom"/>
            <w:tcBorders>
              <w:right w:val="single" w:sz="8" w:color="auto"/>
            </w:tcBorders>
            <w:shd w:val="clear" w:color="auto" w:fill="D9D9D9"/>
          </w:tcPr>
          <w:p>
            <w:pPr>
              <w:jc w:val="center"/>
              <w:spacing w:after="0" w:line="203" w:lineRule="exact"/>
              <w:rPr>
                <w:sz w:val="20"/>
                <w:szCs w:val="20"/>
                <w:color w:val="auto"/>
              </w:rPr>
            </w:pPr>
            <w:r>
              <w:rPr>
                <w:rFonts w:ascii="Arial" w:cs="Arial" w:eastAsia="Arial" w:hAnsi="Arial"/>
                <w:sz w:val="19"/>
                <w:szCs w:val="19"/>
                <w:color w:val="auto"/>
                <w:w w:val="94"/>
              </w:rPr>
              <w:t>Amount</w:t>
            </w:r>
          </w:p>
        </w:tc>
        <w:tc>
          <w:tcPr>
            <w:tcW w:w="1340" w:type="dxa"/>
            <w:vAlign w:val="bottom"/>
            <w:tcBorders>
              <w:right w:val="single" w:sz="8" w:color="auto"/>
            </w:tcBorders>
            <w:shd w:val="clear" w:color="auto" w:fill="D9D9D9"/>
          </w:tcPr>
          <w:p>
            <w:pPr>
              <w:jc w:val="center"/>
              <w:spacing w:after="0" w:line="203" w:lineRule="exact"/>
              <w:rPr>
                <w:sz w:val="20"/>
                <w:szCs w:val="20"/>
                <w:color w:val="auto"/>
              </w:rPr>
            </w:pPr>
            <w:r>
              <w:rPr>
                <w:rFonts w:ascii="Arial" w:cs="Arial" w:eastAsia="Arial" w:hAnsi="Arial"/>
                <w:sz w:val="19"/>
                <w:szCs w:val="19"/>
                <w:color w:val="auto"/>
                <w:w w:val="89"/>
              </w:rPr>
              <w:t>Period and</w:t>
            </w:r>
          </w:p>
        </w:tc>
        <w:tc>
          <w:tcPr>
            <w:tcW w:w="1300" w:type="dxa"/>
            <w:vAlign w:val="bottom"/>
            <w:tcBorders>
              <w:right w:val="single" w:sz="8" w:color="auto"/>
            </w:tcBorders>
            <w:shd w:val="clear" w:color="auto" w:fill="D9D9D9"/>
          </w:tcPr>
          <w:p>
            <w:pPr>
              <w:jc w:val="center"/>
              <w:spacing w:after="0" w:line="203" w:lineRule="exact"/>
              <w:rPr>
                <w:sz w:val="20"/>
                <w:szCs w:val="20"/>
                <w:color w:val="auto"/>
              </w:rPr>
            </w:pPr>
            <w:r>
              <w:rPr>
                <w:rFonts w:ascii="Arial" w:cs="Arial" w:eastAsia="Arial" w:hAnsi="Arial"/>
                <w:sz w:val="19"/>
                <w:szCs w:val="19"/>
                <w:color w:val="auto"/>
                <w:w w:val="93"/>
              </w:rPr>
              <w:t>Principal of</w:t>
            </w:r>
          </w:p>
        </w:tc>
        <w:tc>
          <w:tcPr>
            <w:tcW w:w="1300" w:type="dxa"/>
            <w:vAlign w:val="bottom"/>
            <w:tcBorders>
              <w:right w:val="single" w:sz="8" w:color="auto"/>
            </w:tcBorders>
            <w:shd w:val="clear" w:color="auto" w:fill="D9D9D9"/>
          </w:tcPr>
          <w:p>
            <w:pPr>
              <w:jc w:val="center"/>
              <w:spacing w:after="0" w:line="203" w:lineRule="exact"/>
              <w:rPr>
                <w:sz w:val="20"/>
                <w:szCs w:val="20"/>
                <w:color w:val="auto"/>
              </w:rPr>
            </w:pPr>
            <w:r>
              <w:rPr>
                <w:rFonts w:ascii="Arial" w:cs="Arial" w:eastAsia="Arial" w:hAnsi="Arial"/>
                <w:sz w:val="19"/>
                <w:szCs w:val="19"/>
                <w:color w:val="auto"/>
                <w:w w:val="89"/>
              </w:rPr>
              <w:t>Term SOFR</w:t>
            </w:r>
          </w:p>
        </w:tc>
        <w:tc>
          <w:tcPr>
            <w:tcW w:w="1300" w:type="dxa"/>
            <w:vAlign w:val="bottom"/>
            <w:tcBorders>
              <w:right w:val="single" w:sz="8" w:color="auto"/>
            </w:tcBorders>
            <w:shd w:val="clear" w:color="auto" w:fill="D9D9D9"/>
          </w:tcPr>
          <w:p>
            <w:pPr>
              <w:jc w:val="center"/>
              <w:spacing w:after="0" w:line="203" w:lineRule="exact"/>
              <w:rPr>
                <w:sz w:val="20"/>
                <w:szCs w:val="20"/>
                <w:color w:val="auto"/>
              </w:rPr>
            </w:pPr>
            <w:r>
              <w:rPr>
                <w:rFonts w:ascii="Arial" w:cs="Arial" w:eastAsia="Arial" w:hAnsi="Arial"/>
                <w:sz w:val="19"/>
                <w:szCs w:val="19"/>
                <w:color w:val="auto"/>
                <w:w w:val="92"/>
              </w:rPr>
              <w:t>Unpaid</w:t>
            </w:r>
          </w:p>
        </w:tc>
        <w:tc>
          <w:tcPr>
            <w:tcW w:w="178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00" w:type="dxa"/>
            <w:vAlign w:val="bottom"/>
            <w:tcBorders>
              <w:left w:val="single" w:sz="8" w:color="auto"/>
              <w:right w:val="single" w:sz="8" w:color="auto"/>
            </w:tcBorders>
            <w:vMerge w:val="restart"/>
            <w:shd w:val="clear" w:color="auto" w:fill="D9D9D9"/>
          </w:tcPr>
          <w:p>
            <w:pPr>
              <w:ind w:left="480"/>
              <w:spacing w:after="0"/>
              <w:rPr>
                <w:sz w:val="20"/>
                <w:szCs w:val="20"/>
                <w:color w:val="auto"/>
              </w:rPr>
            </w:pPr>
            <w:r>
              <w:rPr>
                <w:rFonts w:ascii="Arial" w:cs="Arial" w:eastAsia="Arial" w:hAnsi="Arial"/>
                <w:sz w:val="19"/>
                <w:szCs w:val="19"/>
                <w:color w:val="auto"/>
              </w:rPr>
              <w:t>D</w:t>
            </w:r>
          </w:p>
        </w:tc>
        <w:tc>
          <w:tcPr>
            <w:tcW w:w="1380" w:type="dxa"/>
            <w:vAlign w:val="bottom"/>
            <w:tcBorders>
              <w:right w:val="single" w:sz="8" w:color="auto"/>
            </w:tcBorders>
            <w:shd w:val="clear" w:color="auto" w:fill="D9D9D9"/>
          </w:tcPr>
          <w:p>
            <w:pPr>
              <w:ind w:left="160"/>
              <w:spacing w:after="0" w:line="189" w:lineRule="exact"/>
              <w:rPr>
                <w:sz w:val="20"/>
                <w:szCs w:val="20"/>
                <w:color w:val="auto"/>
              </w:rPr>
            </w:pPr>
            <w:r>
              <w:rPr>
                <w:rFonts w:ascii="Arial" w:cs="Arial" w:eastAsia="Arial" w:hAnsi="Arial"/>
                <w:sz w:val="19"/>
                <w:szCs w:val="19"/>
                <w:color w:val="auto"/>
              </w:rPr>
              <w:t>Amount of</w:t>
            </w:r>
          </w:p>
        </w:tc>
        <w:tc>
          <w:tcPr>
            <w:tcW w:w="1500" w:type="dxa"/>
            <w:vAlign w:val="bottom"/>
            <w:tcBorders>
              <w:right w:val="single" w:sz="8" w:color="auto"/>
            </w:tcBorders>
            <w:shd w:val="clear" w:color="auto" w:fill="D9D9D9"/>
          </w:tcPr>
          <w:p>
            <w:pPr>
              <w:jc w:val="center"/>
              <w:spacing w:after="0" w:line="189" w:lineRule="exact"/>
              <w:rPr>
                <w:sz w:val="20"/>
                <w:szCs w:val="20"/>
                <w:color w:val="auto"/>
              </w:rPr>
            </w:pPr>
            <w:r>
              <w:rPr>
                <w:rFonts w:ascii="Arial" w:cs="Arial" w:eastAsia="Arial" w:hAnsi="Arial"/>
                <w:sz w:val="19"/>
                <w:szCs w:val="19"/>
                <w:color w:val="auto"/>
                <w:w w:val="90"/>
              </w:rPr>
              <w:t>Converted to</w:t>
            </w:r>
          </w:p>
        </w:tc>
        <w:tc>
          <w:tcPr>
            <w:tcW w:w="1340" w:type="dxa"/>
            <w:vAlign w:val="bottom"/>
            <w:tcBorders>
              <w:right w:val="single" w:sz="8" w:color="auto"/>
            </w:tcBorders>
            <w:shd w:val="clear" w:color="auto" w:fill="D9D9D9"/>
          </w:tcPr>
          <w:p>
            <w:pPr>
              <w:jc w:val="center"/>
              <w:spacing w:after="0" w:line="189" w:lineRule="exact"/>
              <w:rPr>
                <w:sz w:val="20"/>
                <w:szCs w:val="20"/>
                <w:color w:val="auto"/>
              </w:rPr>
            </w:pPr>
            <w:r>
              <w:rPr>
                <w:rFonts w:ascii="Arial" w:cs="Arial" w:eastAsia="Arial" w:hAnsi="Arial"/>
                <w:sz w:val="19"/>
                <w:szCs w:val="19"/>
                <w:color w:val="auto"/>
                <w:w w:val="89"/>
              </w:rPr>
              <w:t>Term SOFR</w:t>
            </w:r>
          </w:p>
        </w:tc>
        <w:tc>
          <w:tcPr>
            <w:tcW w:w="1300" w:type="dxa"/>
            <w:vAlign w:val="bottom"/>
            <w:tcBorders>
              <w:right w:val="single" w:sz="8" w:color="auto"/>
            </w:tcBorders>
            <w:shd w:val="clear" w:color="auto" w:fill="D9D9D9"/>
          </w:tcPr>
          <w:p>
            <w:pPr>
              <w:jc w:val="center"/>
              <w:spacing w:after="0" w:line="189" w:lineRule="exact"/>
              <w:rPr>
                <w:sz w:val="20"/>
                <w:szCs w:val="20"/>
                <w:color w:val="auto"/>
              </w:rPr>
            </w:pPr>
            <w:r>
              <w:rPr>
                <w:rFonts w:ascii="Arial" w:cs="Arial" w:eastAsia="Arial" w:hAnsi="Arial"/>
                <w:sz w:val="19"/>
                <w:szCs w:val="19"/>
                <w:color w:val="auto"/>
                <w:w w:val="89"/>
              </w:rPr>
              <w:t>Term SOFR</w:t>
            </w:r>
          </w:p>
        </w:tc>
        <w:tc>
          <w:tcPr>
            <w:tcW w:w="1300" w:type="dxa"/>
            <w:vAlign w:val="bottom"/>
            <w:tcBorders>
              <w:right w:val="single" w:sz="8" w:color="auto"/>
            </w:tcBorders>
            <w:shd w:val="clear" w:color="auto" w:fill="D9D9D9"/>
          </w:tcPr>
          <w:p>
            <w:pPr>
              <w:jc w:val="center"/>
              <w:spacing w:after="0" w:line="189" w:lineRule="exact"/>
              <w:rPr>
                <w:sz w:val="20"/>
                <w:szCs w:val="20"/>
                <w:color w:val="auto"/>
              </w:rPr>
            </w:pPr>
            <w:r>
              <w:rPr>
                <w:rFonts w:ascii="Arial" w:cs="Arial" w:eastAsia="Arial" w:hAnsi="Arial"/>
                <w:sz w:val="19"/>
                <w:szCs w:val="19"/>
                <w:color w:val="auto"/>
                <w:w w:val="88"/>
              </w:rPr>
              <w:t>Loans</w:t>
            </w:r>
          </w:p>
        </w:tc>
        <w:tc>
          <w:tcPr>
            <w:tcW w:w="1300" w:type="dxa"/>
            <w:vAlign w:val="bottom"/>
            <w:tcBorders>
              <w:right w:val="single" w:sz="8" w:color="auto"/>
            </w:tcBorders>
            <w:shd w:val="clear" w:color="auto" w:fill="D9D9D9"/>
          </w:tcPr>
          <w:p>
            <w:pPr>
              <w:jc w:val="center"/>
              <w:spacing w:after="0" w:line="189" w:lineRule="exact"/>
              <w:rPr>
                <w:sz w:val="20"/>
                <w:szCs w:val="20"/>
                <w:color w:val="auto"/>
              </w:rPr>
            </w:pPr>
            <w:r>
              <w:rPr>
                <w:rFonts w:ascii="Arial" w:cs="Arial" w:eastAsia="Arial" w:hAnsi="Arial"/>
                <w:sz w:val="19"/>
                <w:szCs w:val="19"/>
                <w:color w:val="auto"/>
                <w:w w:val="93"/>
              </w:rPr>
              <w:t>Principal</w:t>
            </w:r>
          </w:p>
        </w:tc>
        <w:tc>
          <w:tcPr>
            <w:tcW w:w="1780" w:type="dxa"/>
            <w:vAlign w:val="bottom"/>
            <w:tcBorders>
              <w:right w:val="single" w:sz="8" w:color="auto"/>
            </w:tcBorders>
            <w:shd w:val="clear" w:color="auto" w:fill="D9D9D9"/>
          </w:tcPr>
          <w:p>
            <w:pPr>
              <w:jc w:val="center"/>
              <w:ind w:right="106"/>
              <w:spacing w:after="0" w:line="189" w:lineRule="exact"/>
              <w:rPr>
                <w:sz w:val="20"/>
                <w:szCs w:val="20"/>
                <w:color w:val="auto"/>
              </w:rPr>
            </w:pPr>
            <w:r>
              <w:rPr>
                <w:rFonts w:ascii="Arial" w:cs="Arial" w:eastAsia="Arial" w:hAnsi="Arial"/>
                <w:sz w:val="19"/>
                <w:szCs w:val="19"/>
                <w:color w:val="auto"/>
                <w:w w:val="92"/>
              </w:rPr>
              <w:t>Notation Made</w:t>
            </w:r>
          </w:p>
        </w:tc>
        <w:tc>
          <w:tcPr>
            <w:tcW w:w="0" w:type="dxa"/>
            <w:vAlign w:val="bottom"/>
          </w:tcPr>
          <w:p>
            <w:pPr>
              <w:spacing w:after="0"/>
              <w:rPr>
                <w:sz w:val="1"/>
                <w:szCs w:val="1"/>
                <w:color w:val="auto"/>
              </w:rPr>
            </w:pPr>
          </w:p>
        </w:tc>
      </w:tr>
      <w:tr>
        <w:trPr>
          <w:trHeight w:val="203"/>
        </w:trPr>
        <w:tc>
          <w:tcPr>
            <w:tcW w:w="1100" w:type="dxa"/>
            <w:vAlign w:val="bottom"/>
            <w:tcBorders>
              <w:left w:val="single" w:sz="8" w:color="auto"/>
              <w:right w:val="single" w:sz="8" w:color="auto"/>
            </w:tcBorders>
            <w:vMerge w:val="continue"/>
            <w:shd w:val="clear" w:color="auto" w:fill="D9D9D9"/>
          </w:tcPr>
          <w:p>
            <w:pPr>
              <w:spacing w:after="0"/>
              <w:rPr>
                <w:sz w:val="17"/>
                <w:szCs w:val="17"/>
                <w:color w:val="auto"/>
              </w:rPr>
            </w:pPr>
          </w:p>
        </w:tc>
        <w:tc>
          <w:tcPr>
            <w:tcW w:w="1380" w:type="dxa"/>
            <w:vAlign w:val="bottom"/>
            <w:tcBorders>
              <w:right w:val="single" w:sz="8" w:color="auto"/>
            </w:tcBorders>
            <w:shd w:val="clear" w:color="auto" w:fill="D9D9D9"/>
          </w:tcPr>
          <w:p>
            <w:pPr>
              <w:ind w:left="320"/>
              <w:spacing w:after="0" w:line="203" w:lineRule="exact"/>
              <w:rPr>
                <w:sz w:val="20"/>
                <w:szCs w:val="20"/>
                <w:color w:val="auto"/>
              </w:rPr>
            </w:pPr>
            <w:r>
              <w:rPr>
                <w:rFonts w:ascii="Arial" w:cs="Arial" w:eastAsia="Arial" w:hAnsi="Arial"/>
                <w:sz w:val="19"/>
                <w:szCs w:val="19"/>
                <w:color w:val="auto"/>
                <w:w w:val="99"/>
              </w:rPr>
              <w:t>Term SOFR</w:t>
            </w:r>
          </w:p>
        </w:tc>
        <w:tc>
          <w:tcPr>
            <w:tcW w:w="1500" w:type="dxa"/>
            <w:vAlign w:val="bottom"/>
            <w:tcBorders>
              <w:right w:val="single" w:sz="8" w:color="auto"/>
            </w:tcBorders>
            <w:shd w:val="clear" w:color="auto" w:fill="D9D9D9"/>
          </w:tcPr>
          <w:p>
            <w:pPr>
              <w:jc w:val="center"/>
              <w:ind w:right="6"/>
              <w:spacing w:after="0" w:line="203" w:lineRule="exact"/>
              <w:rPr>
                <w:sz w:val="20"/>
                <w:szCs w:val="20"/>
                <w:color w:val="auto"/>
              </w:rPr>
            </w:pPr>
            <w:r>
              <w:rPr>
                <w:rFonts w:ascii="Arial" w:cs="Arial" w:eastAsia="Arial" w:hAnsi="Arial"/>
                <w:sz w:val="19"/>
                <w:szCs w:val="19"/>
                <w:color w:val="auto"/>
                <w:w w:val="89"/>
              </w:rPr>
              <w:t>Term SOFR</w:t>
            </w:r>
          </w:p>
        </w:tc>
        <w:tc>
          <w:tcPr>
            <w:tcW w:w="1340" w:type="dxa"/>
            <w:vAlign w:val="bottom"/>
            <w:tcBorders>
              <w:right w:val="single" w:sz="8" w:color="auto"/>
            </w:tcBorders>
            <w:shd w:val="clear" w:color="auto" w:fill="D9D9D9"/>
          </w:tcPr>
          <w:p>
            <w:pPr>
              <w:jc w:val="center"/>
              <w:spacing w:after="0" w:line="203" w:lineRule="exact"/>
              <w:rPr>
                <w:sz w:val="20"/>
                <w:szCs w:val="20"/>
                <w:color w:val="auto"/>
              </w:rPr>
            </w:pPr>
            <w:r>
              <w:rPr>
                <w:rFonts w:ascii="Arial" w:cs="Arial" w:eastAsia="Arial" w:hAnsi="Arial"/>
                <w:sz w:val="19"/>
                <w:szCs w:val="19"/>
                <w:color w:val="auto"/>
              </w:rPr>
              <w:t>with</w:t>
            </w:r>
          </w:p>
        </w:tc>
        <w:tc>
          <w:tcPr>
            <w:tcW w:w="1300" w:type="dxa"/>
            <w:vAlign w:val="bottom"/>
            <w:tcBorders>
              <w:right w:val="single" w:sz="8" w:color="auto"/>
            </w:tcBorders>
            <w:shd w:val="clear" w:color="auto" w:fill="D9D9D9"/>
          </w:tcPr>
          <w:p>
            <w:pPr>
              <w:jc w:val="center"/>
              <w:spacing w:after="0" w:line="203" w:lineRule="exact"/>
              <w:rPr>
                <w:sz w:val="20"/>
                <w:szCs w:val="20"/>
                <w:color w:val="auto"/>
              </w:rPr>
            </w:pPr>
            <w:r>
              <w:rPr>
                <w:rFonts w:ascii="Arial" w:cs="Arial" w:eastAsia="Arial" w:hAnsi="Arial"/>
                <w:sz w:val="19"/>
                <w:szCs w:val="19"/>
                <w:color w:val="auto"/>
                <w:w w:val="88"/>
              </w:rPr>
              <w:t>Loans Repaid</w:t>
            </w:r>
          </w:p>
        </w:tc>
        <w:tc>
          <w:tcPr>
            <w:tcW w:w="1300" w:type="dxa"/>
            <w:vAlign w:val="bottom"/>
            <w:tcBorders>
              <w:right w:val="single" w:sz="8" w:color="auto"/>
            </w:tcBorders>
            <w:shd w:val="clear" w:color="auto" w:fill="D9D9D9"/>
          </w:tcPr>
          <w:p>
            <w:pPr>
              <w:jc w:val="center"/>
              <w:spacing w:after="0" w:line="203" w:lineRule="exact"/>
              <w:rPr>
                <w:sz w:val="20"/>
                <w:szCs w:val="20"/>
                <w:color w:val="auto"/>
              </w:rPr>
            </w:pPr>
            <w:r>
              <w:rPr>
                <w:rFonts w:ascii="Arial" w:cs="Arial" w:eastAsia="Arial" w:hAnsi="Arial"/>
                <w:sz w:val="19"/>
                <w:szCs w:val="19"/>
                <w:color w:val="auto"/>
                <w:w w:val="90"/>
              </w:rPr>
              <w:t>Converted to</w:t>
            </w:r>
          </w:p>
        </w:tc>
        <w:tc>
          <w:tcPr>
            <w:tcW w:w="1300" w:type="dxa"/>
            <w:vAlign w:val="bottom"/>
            <w:tcBorders>
              <w:right w:val="single" w:sz="8" w:color="auto"/>
            </w:tcBorders>
            <w:shd w:val="clear" w:color="auto" w:fill="D9D9D9"/>
          </w:tcPr>
          <w:p>
            <w:pPr>
              <w:jc w:val="center"/>
              <w:spacing w:after="0" w:line="203" w:lineRule="exact"/>
              <w:rPr>
                <w:sz w:val="20"/>
                <w:szCs w:val="20"/>
                <w:color w:val="auto"/>
              </w:rPr>
            </w:pPr>
            <w:r>
              <w:rPr>
                <w:rFonts w:ascii="Arial" w:cs="Arial" w:eastAsia="Arial" w:hAnsi="Arial"/>
                <w:sz w:val="19"/>
                <w:szCs w:val="19"/>
                <w:color w:val="auto"/>
                <w:w w:val="89"/>
              </w:rPr>
              <w:t>Balance of</w:t>
            </w:r>
          </w:p>
        </w:tc>
        <w:tc>
          <w:tcPr>
            <w:tcW w:w="1780" w:type="dxa"/>
            <w:vAlign w:val="bottom"/>
            <w:tcBorders>
              <w:right w:val="single" w:sz="8" w:color="auto"/>
            </w:tcBorders>
            <w:shd w:val="clear" w:color="auto" w:fill="D9D9D9"/>
          </w:tcPr>
          <w:p>
            <w:pPr>
              <w:jc w:val="center"/>
              <w:ind w:right="106"/>
              <w:spacing w:after="0" w:line="203" w:lineRule="exact"/>
              <w:rPr>
                <w:sz w:val="20"/>
                <w:szCs w:val="20"/>
                <w:color w:val="auto"/>
              </w:rPr>
            </w:pPr>
            <w:r>
              <w:rPr>
                <w:rFonts w:ascii="Arial" w:cs="Arial" w:eastAsia="Arial" w:hAnsi="Arial"/>
                <w:sz w:val="19"/>
                <w:szCs w:val="19"/>
                <w:color w:val="auto"/>
                <w:w w:val="98"/>
              </w:rPr>
              <w:t>By</w:t>
            </w:r>
          </w:p>
        </w:tc>
        <w:tc>
          <w:tcPr>
            <w:tcW w:w="0" w:type="dxa"/>
            <w:vAlign w:val="bottom"/>
          </w:tcPr>
          <w:p>
            <w:pPr>
              <w:spacing w:after="0"/>
              <w:rPr>
                <w:sz w:val="1"/>
                <w:szCs w:val="1"/>
                <w:color w:val="auto"/>
              </w:rPr>
            </w:pPr>
          </w:p>
        </w:tc>
      </w:tr>
      <w:tr>
        <w:trPr>
          <w:trHeight w:val="203"/>
        </w:trPr>
        <w:tc>
          <w:tcPr>
            <w:tcW w:w="1100" w:type="dxa"/>
            <w:vAlign w:val="bottom"/>
            <w:tcBorders>
              <w:left w:val="single" w:sz="8" w:color="auto"/>
              <w:right w:val="single" w:sz="8" w:color="auto"/>
            </w:tcBorders>
            <w:shd w:val="clear" w:color="auto" w:fill="D9D9D9"/>
          </w:tcPr>
          <w:p>
            <w:pPr>
              <w:ind w:left="480"/>
              <w:spacing w:after="0" w:line="203" w:lineRule="exact"/>
              <w:rPr>
                <w:sz w:val="20"/>
                <w:szCs w:val="20"/>
                <w:color w:val="auto"/>
              </w:rPr>
            </w:pPr>
            <w:r>
              <w:rPr>
                <w:rFonts w:ascii="Arial" w:cs="Arial" w:eastAsia="Arial" w:hAnsi="Arial"/>
                <w:sz w:val="19"/>
                <w:szCs w:val="19"/>
                <w:color w:val="auto"/>
              </w:rPr>
              <w:t>at</w:t>
            </w:r>
          </w:p>
        </w:tc>
        <w:tc>
          <w:tcPr>
            <w:tcW w:w="1380" w:type="dxa"/>
            <w:vAlign w:val="bottom"/>
            <w:tcBorders>
              <w:right w:val="single" w:sz="8" w:color="auto"/>
            </w:tcBorders>
            <w:shd w:val="clear" w:color="auto" w:fill="D9D9D9"/>
          </w:tcPr>
          <w:p>
            <w:pPr>
              <w:ind w:left="320"/>
              <w:spacing w:after="0" w:line="203" w:lineRule="exact"/>
              <w:rPr>
                <w:sz w:val="20"/>
                <w:szCs w:val="20"/>
                <w:color w:val="auto"/>
              </w:rPr>
            </w:pPr>
            <w:r>
              <w:rPr>
                <w:rFonts w:ascii="Arial" w:cs="Arial" w:eastAsia="Arial" w:hAnsi="Arial"/>
                <w:sz w:val="19"/>
                <w:szCs w:val="19"/>
                <w:color w:val="auto"/>
              </w:rPr>
              <w:t>Loans</w:t>
            </w:r>
          </w:p>
        </w:tc>
        <w:tc>
          <w:tcPr>
            <w:tcW w:w="1500" w:type="dxa"/>
            <w:vAlign w:val="bottom"/>
            <w:tcBorders>
              <w:right w:val="single" w:sz="8" w:color="auto"/>
            </w:tcBorders>
            <w:shd w:val="clear" w:color="auto" w:fill="D9D9D9"/>
          </w:tcPr>
          <w:p>
            <w:pPr>
              <w:jc w:val="center"/>
              <w:spacing w:after="0" w:line="203" w:lineRule="exact"/>
              <w:rPr>
                <w:sz w:val="20"/>
                <w:szCs w:val="20"/>
                <w:color w:val="auto"/>
              </w:rPr>
            </w:pPr>
            <w:r>
              <w:rPr>
                <w:rFonts w:ascii="Arial" w:cs="Arial" w:eastAsia="Arial" w:hAnsi="Arial"/>
                <w:sz w:val="19"/>
                <w:szCs w:val="19"/>
                <w:color w:val="auto"/>
                <w:w w:val="88"/>
              </w:rPr>
              <w:t>Loans</w:t>
            </w:r>
          </w:p>
        </w:tc>
        <w:tc>
          <w:tcPr>
            <w:tcW w:w="1340" w:type="dxa"/>
            <w:vAlign w:val="bottom"/>
            <w:tcBorders>
              <w:right w:val="single" w:sz="8" w:color="auto"/>
            </w:tcBorders>
            <w:shd w:val="clear" w:color="auto" w:fill="D9D9D9"/>
          </w:tcPr>
          <w:p>
            <w:pPr>
              <w:jc w:val="center"/>
              <w:spacing w:after="0" w:line="203" w:lineRule="exact"/>
              <w:rPr>
                <w:sz w:val="20"/>
                <w:szCs w:val="20"/>
                <w:color w:val="auto"/>
              </w:rPr>
            </w:pPr>
            <w:r>
              <w:rPr>
                <w:rFonts w:ascii="Arial" w:cs="Arial" w:eastAsia="Arial" w:hAnsi="Arial"/>
                <w:sz w:val="19"/>
                <w:szCs w:val="19"/>
                <w:color w:val="auto"/>
                <w:w w:val="86"/>
              </w:rPr>
              <w:t>Respect</w:t>
            </w:r>
          </w:p>
        </w:tc>
        <w:tc>
          <w:tcPr>
            <w:tcW w:w="1300" w:type="dxa"/>
            <w:vAlign w:val="bottom"/>
            <w:tcBorders>
              <w:right w:val="single" w:sz="8" w:color="auto"/>
            </w:tcBorders>
            <w:shd w:val="clear" w:color="auto" w:fill="D9D9D9"/>
          </w:tcPr>
          <w:p>
            <w:pPr>
              <w:spacing w:after="0"/>
              <w:rPr>
                <w:sz w:val="17"/>
                <w:szCs w:val="17"/>
                <w:color w:val="auto"/>
              </w:rPr>
            </w:pPr>
          </w:p>
        </w:tc>
        <w:tc>
          <w:tcPr>
            <w:tcW w:w="1300" w:type="dxa"/>
            <w:vAlign w:val="bottom"/>
            <w:tcBorders>
              <w:right w:val="single" w:sz="8" w:color="auto"/>
            </w:tcBorders>
            <w:shd w:val="clear" w:color="auto" w:fill="D9D9D9"/>
          </w:tcPr>
          <w:p>
            <w:pPr>
              <w:jc w:val="center"/>
              <w:spacing w:after="0" w:line="203" w:lineRule="exact"/>
              <w:rPr>
                <w:sz w:val="20"/>
                <w:szCs w:val="20"/>
                <w:color w:val="auto"/>
              </w:rPr>
            </w:pPr>
            <w:r>
              <w:rPr>
                <w:rFonts w:ascii="Arial" w:cs="Arial" w:eastAsia="Arial" w:hAnsi="Arial"/>
                <w:sz w:val="19"/>
                <w:szCs w:val="19"/>
                <w:color w:val="auto"/>
                <w:w w:val="91"/>
              </w:rPr>
              <w:t>ABR Loans</w:t>
            </w:r>
          </w:p>
        </w:tc>
        <w:tc>
          <w:tcPr>
            <w:tcW w:w="1300" w:type="dxa"/>
            <w:vAlign w:val="bottom"/>
            <w:tcBorders>
              <w:right w:val="single" w:sz="8" w:color="auto"/>
            </w:tcBorders>
            <w:shd w:val="clear" w:color="auto" w:fill="D9D9D9"/>
          </w:tcPr>
          <w:p>
            <w:pPr>
              <w:jc w:val="center"/>
              <w:spacing w:after="0" w:line="203" w:lineRule="exact"/>
              <w:rPr>
                <w:sz w:val="20"/>
                <w:szCs w:val="20"/>
                <w:color w:val="auto"/>
              </w:rPr>
            </w:pPr>
            <w:r>
              <w:rPr>
                <w:rFonts w:ascii="Arial" w:cs="Arial" w:eastAsia="Arial" w:hAnsi="Arial"/>
                <w:sz w:val="19"/>
                <w:szCs w:val="19"/>
                <w:color w:val="auto"/>
                <w:w w:val="89"/>
              </w:rPr>
              <w:t>Term SOFR</w:t>
            </w:r>
          </w:p>
        </w:tc>
        <w:tc>
          <w:tcPr>
            <w:tcW w:w="178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100" w:type="dxa"/>
            <w:vAlign w:val="bottom"/>
            <w:tcBorders>
              <w:left w:val="single" w:sz="8" w:color="auto"/>
              <w:bottom w:val="single" w:sz="8" w:color="auto"/>
              <w:right w:val="single" w:sz="8" w:color="auto"/>
            </w:tcBorders>
            <w:shd w:val="clear" w:color="auto" w:fill="D9D9D9"/>
          </w:tcPr>
          <w:p>
            <w:pPr>
              <w:ind w:left="500"/>
              <w:spacing w:after="0"/>
              <w:rPr>
                <w:sz w:val="20"/>
                <w:szCs w:val="20"/>
                <w:color w:val="auto"/>
              </w:rPr>
            </w:pPr>
            <w:r>
              <w:rPr>
                <w:rFonts w:ascii="Arial" w:cs="Arial" w:eastAsia="Arial" w:hAnsi="Arial"/>
                <w:sz w:val="19"/>
                <w:szCs w:val="19"/>
                <w:color w:val="auto"/>
              </w:rPr>
              <w:t>e</w:t>
            </w:r>
          </w:p>
        </w:tc>
        <w:tc>
          <w:tcPr>
            <w:tcW w:w="1380" w:type="dxa"/>
            <w:vAlign w:val="bottom"/>
            <w:tcBorders>
              <w:bottom w:val="single" w:sz="8" w:color="auto"/>
              <w:right w:val="single" w:sz="8" w:color="auto"/>
            </w:tcBorders>
            <w:shd w:val="clear" w:color="auto" w:fill="D9D9D9"/>
          </w:tcPr>
          <w:p>
            <w:pPr>
              <w:spacing w:after="0"/>
              <w:rPr>
                <w:sz w:val="20"/>
                <w:szCs w:val="20"/>
                <w:color w:val="auto"/>
              </w:rPr>
            </w:pPr>
          </w:p>
        </w:tc>
        <w:tc>
          <w:tcPr>
            <w:tcW w:w="1500" w:type="dxa"/>
            <w:vAlign w:val="bottom"/>
            <w:tcBorders>
              <w:bottom w:val="single" w:sz="8" w:color="auto"/>
              <w:right w:val="single" w:sz="8" w:color="auto"/>
            </w:tcBorders>
            <w:shd w:val="clear" w:color="auto" w:fill="D9D9D9"/>
          </w:tcPr>
          <w:p>
            <w:pPr>
              <w:spacing w:after="0"/>
              <w:rPr>
                <w:sz w:val="20"/>
                <w:szCs w:val="20"/>
                <w:color w:val="auto"/>
              </w:rPr>
            </w:pP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9"/>
                <w:szCs w:val="19"/>
                <w:color w:val="auto"/>
                <w:w w:val="88"/>
              </w:rPr>
              <w:t>Thereto</w:t>
            </w:r>
          </w:p>
        </w:tc>
        <w:tc>
          <w:tcPr>
            <w:tcW w:w="1300" w:type="dxa"/>
            <w:vAlign w:val="bottom"/>
            <w:tcBorders>
              <w:bottom w:val="single" w:sz="8" w:color="auto"/>
              <w:right w:val="single" w:sz="8" w:color="auto"/>
            </w:tcBorders>
            <w:shd w:val="clear" w:color="auto" w:fill="D9D9D9"/>
          </w:tcPr>
          <w:p>
            <w:pPr>
              <w:spacing w:after="0"/>
              <w:rPr>
                <w:sz w:val="20"/>
                <w:szCs w:val="20"/>
                <w:color w:val="auto"/>
              </w:rPr>
            </w:pPr>
          </w:p>
        </w:tc>
        <w:tc>
          <w:tcPr>
            <w:tcW w:w="1300" w:type="dxa"/>
            <w:vAlign w:val="bottom"/>
            <w:tcBorders>
              <w:bottom w:val="single" w:sz="8" w:color="auto"/>
              <w:right w:val="single" w:sz="8" w:color="auto"/>
            </w:tcBorders>
            <w:shd w:val="clear" w:color="auto" w:fill="D9D9D9"/>
          </w:tcPr>
          <w:p>
            <w:pPr>
              <w:spacing w:after="0"/>
              <w:rPr>
                <w:sz w:val="20"/>
                <w:szCs w:val="20"/>
                <w:color w:val="auto"/>
              </w:rPr>
            </w:pPr>
          </w:p>
        </w:tc>
        <w:tc>
          <w:tcPr>
            <w:tcW w:w="13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9"/>
                <w:szCs w:val="19"/>
                <w:color w:val="auto"/>
                <w:w w:val="88"/>
              </w:rPr>
              <w:t>Loans</w:t>
            </w:r>
          </w:p>
        </w:tc>
        <w:tc>
          <w:tcPr>
            <w:tcW w:w="1780" w:type="dxa"/>
            <w:vAlign w:val="bottom"/>
            <w:tcBorders>
              <w:bottom w:val="single" w:sz="8" w:color="auto"/>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307"/>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76835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19" w:right="459" w:bottom="1440" w:gutter="0" w:footer="0" w:header="0"/>
        </w:sectPr>
      </w:pPr>
    </w:p>
    <w:bookmarkStart w:id="287" w:name="page288"/>
    <w:bookmarkEnd w:id="287"/>
    <w:p>
      <w:pPr>
        <w:jc w:val="right"/>
        <w:spacing w:after="0"/>
        <w:rPr>
          <w:sz w:val="20"/>
          <w:szCs w:val="20"/>
          <w:color w:val="auto"/>
        </w:rPr>
      </w:pPr>
      <w:r>
        <w:rPr>
          <w:rFonts w:ascii="Arial" w:cs="Arial" w:eastAsia="Arial" w:hAnsi="Arial"/>
          <w:sz w:val="19"/>
          <w:szCs w:val="19"/>
          <w:color w:val="auto"/>
        </w:rPr>
        <w:t>Exhibit Q</w:t>
      </w: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[FORM OF]</w:t>
      </w:r>
    </w:p>
    <w:p>
      <w:pPr>
        <w:jc w:val="center"/>
        <w:ind w:right="-99"/>
        <w:spacing w:after="0"/>
        <w:rPr>
          <w:sz w:val="20"/>
          <w:szCs w:val="20"/>
          <w:color w:val="auto"/>
        </w:rPr>
      </w:pPr>
      <w:r>
        <w:rPr>
          <w:rFonts w:ascii="Arial" w:cs="Arial" w:eastAsia="Arial" w:hAnsi="Arial"/>
          <w:sz w:val="19"/>
          <w:szCs w:val="19"/>
          <w:color w:val="auto"/>
        </w:rPr>
        <w:t>NOTICE OF LOAN PREPAYMENT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300"/>
        <w:spacing w:after="0"/>
        <w:tabs>
          <w:tab w:leader="none" w:pos="8040" w:val="left"/>
        </w:tabs>
        <w:rPr>
          <w:sz w:val="20"/>
          <w:szCs w:val="20"/>
          <w:color w:val="auto"/>
        </w:rPr>
      </w:pPr>
      <w:r>
        <w:rPr>
          <w:rFonts w:ascii="Arial" w:cs="Arial" w:eastAsia="Arial" w:hAnsi="Arial"/>
          <w:sz w:val="19"/>
          <w:szCs w:val="19"/>
          <w:color w:val="auto"/>
        </w:rPr>
        <w:t>Date: [</w:t>
        <w:tab/>
        <w:t>] [ ], 20[ ]</w:t>
      </w: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4963795</wp:posOffset>
            </wp:positionH>
            <wp:positionV relativeFrom="paragraph">
              <wp:posOffset>-12700</wp:posOffset>
            </wp:positionV>
            <wp:extent cx="14986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0">
                      <a:extLst>
                        <a:ext uri="{28A0092B-C50C-407E-A947-70E740481C1C}"/>
                      </a:extLst>
                    </a:blip>
                    <a:srcRect/>
                    <a:stretch>
                      <a:fillRect/>
                    </a:stretch>
                  </pic:blipFill>
                  <pic:spPr bwMode="auto">
                    <a:xfrm>
                      <a:off x="0" y="0"/>
                      <a:ext cx="149860" cy="8255"/>
                    </a:xfrm>
                    <a:prstGeom prst="rect">
                      <a:avLst/>
                    </a:prstGeom>
                    <a:noFill/>
                  </pic:spPr>
                </pic:pic>
              </a:graphicData>
            </a:graphic>
          </wp:anchor>
        </w:drawing>
      </w:r>
    </w:p>
    <w:p>
      <w:pPr>
        <w:spacing w:after="0" w:line="72" w:lineRule="exact"/>
        <w:rPr>
          <w:sz w:val="20"/>
          <w:szCs w:val="20"/>
          <w:color w:val="auto"/>
        </w:rPr>
      </w:pPr>
    </w:p>
    <w:p>
      <w:pPr>
        <w:ind w:left="100"/>
        <w:spacing w:after="0"/>
        <w:rPr>
          <w:sz w:val="20"/>
          <w:szCs w:val="20"/>
          <w:color w:val="auto"/>
        </w:rPr>
      </w:pPr>
      <w:r>
        <w:rPr>
          <w:rFonts w:ascii="Arial" w:cs="Arial" w:eastAsia="Arial" w:hAnsi="Arial"/>
          <w:sz w:val="19"/>
          <w:szCs w:val="19"/>
          <w:color w:val="auto"/>
        </w:rPr>
        <w:t>To:  Bank of America, N.A., as Administrative Agent Ladies and Gentlemen:</w:t>
      </w:r>
    </w:p>
    <w:p>
      <w:pPr>
        <w:spacing w:after="0" w:line="106" w:lineRule="exact"/>
        <w:rPr>
          <w:sz w:val="20"/>
          <w:szCs w:val="20"/>
          <w:color w:val="auto"/>
        </w:rPr>
      </w:pPr>
    </w:p>
    <w:p>
      <w:pPr>
        <w:jc w:val="both"/>
        <w:ind w:left="100" w:firstLine="749"/>
        <w:spacing w:after="0" w:line="246" w:lineRule="auto"/>
        <w:rPr>
          <w:sz w:val="20"/>
          <w:szCs w:val="20"/>
          <w:color w:val="auto"/>
        </w:rPr>
      </w:pPr>
      <w:r>
        <w:rPr>
          <w:rFonts w:ascii="Arial" w:cs="Arial" w:eastAsia="Arial" w:hAnsi="Arial"/>
          <w:sz w:val="18"/>
          <w:szCs w:val="18"/>
          <w:color w:val="auto"/>
        </w:rPr>
        <w:t>Reference is hereby made to that certain Credit Agreement, dated as of September 17, 2021 (as amended, restated, amended and restated, supplemented or otherwise modified and in effect on the date hereof,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by and among, </w:t>
      </w:r>
      <w:r>
        <w:rPr>
          <w:rFonts w:ascii="Arial" w:cs="Arial" w:eastAsia="Arial" w:hAnsi="Arial"/>
          <w:sz w:val="18"/>
          <w:szCs w:val="18"/>
          <w:i w:val="1"/>
          <w:iCs w:val="1"/>
          <w:color w:val="auto"/>
        </w:rPr>
        <w:t>inter alios</w:t>
      </w:r>
      <w:r>
        <w:rPr>
          <w:rFonts w:ascii="Arial" w:cs="Arial" w:eastAsia="Arial" w:hAnsi="Arial"/>
          <w:sz w:val="18"/>
          <w:szCs w:val="18"/>
          <w:color w:val="auto"/>
        </w:rPr>
        <w:t>, AIDH Buyer, LLC, a Delaware limited liability company (“</w:t>
      </w:r>
      <w:r>
        <w:rPr>
          <w:rFonts w:ascii="Arial" w:cs="Arial" w:eastAsia="Arial" w:hAnsi="Arial"/>
          <w:sz w:val="18"/>
          <w:szCs w:val="18"/>
          <w:u w:val="single" w:color="auto"/>
          <w:color w:val="auto"/>
        </w:rPr>
        <w:t>Holdings</w:t>
      </w:r>
      <w:r>
        <w:rPr>
          <w:rFonts w:ascii="Arial" w:cs="Arial" w:eastAsia="Arial" w:hAnsi="Arial"/>
          <w:sz w:val="18"/>
          <w:szCs w:val="18"/>
          <w:color w:val="auto"/>
        </w:rPr>
        <w:t>”), Definitive Healthcare Holdings,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and Issuing Banks from time to time party thereto and Bank of America, N.A., in its capacities as administrative agent for the Lenders and collateral agent for the Secured Parties (in such capacities and together with its successors and assigns, the “</w:t>
      </w:r>
      <w:r>
        <w:rPr>
          <w:rFonts w:ascii="Arial" w:cs="Arial" w:eastAsia="Arial" w:hAnsi="Arial"/>
          <w:sz w:val="18"/>
          <w:szCs w:val="18"/>
          <w:u w:val="single" w:color="auto"/>
          <w:color w:val="auto"/>
        </w:rPr>
        <w:t>Administrative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and as the Swingline Lender. Unless otherwise defined herein, terms defined in the Credit Agreement and used herein shall have the meanings given to them in the Credit Agreement.</w:t>
      </w:r>
    </w:p>
    <w:p>
      <w:pPr>
        <w:spacing w:after="0" w:line="189" w:lineRule="exact"/>
        <w:rPr>
          <w:sz w:val="20"/>
          <w:szCs w:val="20"/>
          <w:color w:val="auto"/>
        </w:rPr>
      </w:pPr>
    </w:p>
    <w:p>
      <w:pPr>
        <w:jc w:val="both"/>
        <w:ind w:left="100" w:firstLine="749"/>
        <w:spacing w:after="0" w:line="236" w:lineRule="auto"/>
        <w:rPr>
          <w:sz w:val="20"/>
          <w:szCs w:val="20"/>
          <w:color w:val="auto"/>
        </w:rPr>
      </w:pPr>
      <w:r>
        <w:rPr>
          <w:rFonts w:ascii="Arial" w:cs="Arial" w:eastAsia="Arial" w:hAnsi="Arial"/>
          <w:sz w:val="19"/>
          <w:szCs w:val="19"/>
          <w:color w:val="auto"/>
        </w:rPr>
        <w:t>The Borrower hereby notifies the Administrative Agent that on the date(s) referenced below, pursuant to the terms of Section 2.11 of the Credit Agreement, the Borrower intends to voluntarily prepay/repay the following Loans on [insert date of prepayment] (the “</w:t>
      </w:r>
      <w:r>
        <w:rPr>
          <w:rFonts w:ascii="Arial" w:cs="Arial" w:eastAsia="Arial" w:hAnsi="Arial"/>
          <w:sz w:val="19"/>
          <w:szCs w:val="19"/>
          <w:u w:val="single" w:color="auto"/>
          <w:color w:val="auto"/>
        </w:rPr>
        <w:t>Prepayment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w:t>
      </w:r>
      <w:r>
        <w:rPr>
          <w:rFonts w:ascii="Arial" w:cs="Arial" w:eastAsia="Arial" w:hAnsi="Arial"/>
          <w:sz w:val="12"/>
          <w:szCs w:val="12"/>
          <w:color w:val="auto"/>
        </w:rPr>
        <w:t>14</w:t>
      </w:r>
      <w:r>
        <w:rPr>
          <w:rFonts w:ascii="Arial" w:cs="Arial" w:eastAsia="Arial" w:hAnsi="Arial"/>
          <w:sz w:val="19"/>
          <w:szCs w:val="19"/>
          <w:color w:val="auto"/>
        </w:rPr>
        <w:t xml:space="preserve"> as more specifically set forth below:</w:t>
      </w:r>
      <w:r>
        <w:rPr>
          <w:rFonts w:ascii="Arial" w:cs="Arial" w:eastAsia="Arial" w:hAnsi="Arial"/>
          <w:sz w:val="12"/>
          <w:szCs w:val="12"/>
          <w:color w:val="auto"/>
        </w:rPr>
        <w:t>15</w:t>
      </w:r>
    </w:p>
    <w:p>
      <w:pPr>
        <w:spacing w:after="0" w:line="185" w:lineRule="exact"/>
        <w:rPr>
          <w:sz w:val="20"/>
          <w:szCs w:val="20"/>
          <w:color w:val="auto"/>
        </w:rPr>
      </w:pPr>
    </w:p>
    <w:tbl>
      <w:tblPr>
        <w:tblLayout w:type="fixed"/>
        <w:tblInd w:w="100" w:type="dxa"/>
        <w:tblCellMar>
          <w:top w:w="0" w:type="dxa"/>
          <w:left w:w="0" w:type="dxa"/>
          <w:bottom w:w="0" w:type="dxa"/>
          <w:right w:w="0" w:type="dxa"/>
        </w:tblCellMar>
      </w:tblPr>
      <w:tr>
        <w:trPr>
          <w:trHeight w:val="218"/>
        </w:trPr>
        <w:tc>
          <w:tcPr>
            <w:tcW w:w="3540" w:type="dxa"/>
            <w:vAlign w:val="bottom"/>
            <w:gridSpan w:val="3"/>
          </w:tcPr>
          <w:p>
            <w:pPr>
              <w:spacing w:after="0"/>
              <w:rPr>
                <w:sz w:val="20"/>
                <w:szCs w:val="20"/>
                <w:color w:val="auto"/>
              </w:rPr>
            </w:pPr>
            <w:r>
              <w:rPr>
                <w:rFonts w:ascii="Arial" w:cs="Arial" w:eastAsia="Arial" w:hAnsi="Arial"/>
                <w:sz w:val="19"/>
                <w:szCs w:val="19"/>
                <w:b w:val="1"/>
                <w:bCs w:val="1"/>
                <w:color w:val="auto"/>
              </w:rPr>
              <w:t>Revolving Credit Facility</w:t>
            </w:r>
          </w:p>
        </w:tc>
        <w:tc>
          <w:tcPr>
            <w:tcW w:w="5440" w:type="dxa"/>
            <w:vAlign w:val="bottom"/>
          </w:tcPr>
          <w:p>
            <w:pPr>
              <w:spacing w:after="0"/>
              <w:rPr>
                <w:sz w:val="18"/>
                <w:szCs w:val="18"/>
                <w:color w:val="auto"/>
              </w:rPr>
            </w:pPr>
          </w:p>
        </w:tc>
      </w:tr>
      <w:tr>
        <w:trPr>
          <w:trHeight w:val="246"/>
        </w:trPr>
        <w:tc>
          <w:tcPr>
            <w:tcW w:w="680" w:type="dxa"/>
            <w:vAlign w:val="bottom"/>
            <w:tcBorders>
              <w:top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5440" w:type="dxa"/>
            <w:vAlign w:val="bottom"/>
            <w:tcBorders>
              <w:bottom w:val="single" w:sz="8" w:color="auto"/>
            </w:tcBorders>
          </w:tcPr>
          <w:p>
            <w:pPr>
              <w:spacing w:after="0"/>
              <w:rPr>
                <w:sz w:val="21"/>
                <w:szCs w:val="21"/>
                <w:color w:val="auto"/>
              </w:rPr>
            </w:pPr>
          </w:p>
        </w:tc>
      </w:tr>
      <w:tr>
        <w:trPr>
          <w:trHeight w:val="140"/>
        </w:trPr>
        <w:tc>
          <w:tcPr>
            <w:tcW w:w="680" w:type="dxa"/>
            <w:vAlign w:val="bottom"/>
            <w:tcBorders>
              <w:right w:val="single" w:sz="8" w:color="auto"/>
            </w:tcBorders>
          </w:tcPr>
          <w:p>
            <w:pPr>
              <w:spacing w:after="0"/>
              <w:rPr>
                <w:sz w:val="12"/>
                <w:szCs w:val="12"/>
                <w:color w:val="auto"/>
              </w:rPr>
            </w:pPr>
          </w:p>
        </w:tc>
        <w:tc>
          <w:tcPr>
            <w:tcW w:w="2860" w:type="dxa"/>
            <w:vAlign w:val="bottom"/>
            <w:tcBorders>
              <w:right w:val="single" w:sz="8" w:color="auto"/>
            </w:tcBorders>
            <w:gridSpan w:val="2"/>
          </w:tcPr>
          <w:p>
            <w:pPr>
              <w:ind w:left="780"/>
              <w:spacing w:after="0" w:line="140" w:lineRule="exact"/>
              <w:rPr>
                <w:sz w:val="20"/>
                <w:szCs w:val="20"/>
                <w:color w:val="auto"/>
              </w:rPr>
            </w:pPr>
            <w:r>
              <w:rPr>
                <w:rFonts w:ascii="Arial" w:cs="Arial" w:eastAsia="Arial" w:hAnsi="Arial"/>
                <w:sz w:val="16"/>
                <w:szCs w:val="16"/>
                <w:b w:val="1"/>
                <w:bCs w:val="1"/>
                <w:color w:val="auto"/>
              </w:rPr>
              <w:t>Requested Amount</w:t>
            </w:r>
          </w:p>
        </w:tc>
        <w:tc>
          <w:tcPr>
            <w:tcW w:w="5440" w:type="dxa"/>
            <w:vAlign w:val="bottom"/>
          </w:tcPr>
          <w:p>
            <w:pPr>
              <w:jc w:val="center"/>
              <w:spacing w:after="0" w:line="140" w:lineRule="exact"/>
              <w:rPr>
                <w:sz w:val="20"/>
                <w:szCs w:val="20"/>
                <w:color w:val="auto"/>
              </w:rPr>
            </w:pPr>
            <w:r>
              <w:rPr>
                <w:rFonts w:ascii="Arial" w:cs="Arial" w:eastAsia="Arial" w:hAnsi="Arial"/>
                <w:sz w:val="16"/>
                <w:szCs w:val="16"/>
                <w:b w:val="1"/>
                <w:bCs w:val="1"/>
                <w:color w:val="auto"/>
              </w:rPr>
              <w:t>Term SOFR Borrowing or</w:t>
            </w:r>
          </w:p>
        </w:tc>
      </w:tr>
      <w:tr>
        <w:trPr>
          <w:trHeight w:val="251"/>
        </w:trPr>
        <w:tc>
          <w:tcPr>
            <w:tcW w:w="680" w:type="dxa"/>
            <w:vAlign w:val="bottom"/>
            <w:tcBorders>
              <w:right w:val="single" w:sz="8" w:color="auto"/>
            </w:tcBorders>
          </w:tcPr>
          <w:p>
            <w:pPr>
              <w:spacing w:after="0"/>
              <w:rPr>
                <w:sz w:val="21"/>
                <w:szCs w:val="21"/>
                <w:color w:val="auto"/>
              </w:rPr>
            </w:pPr>
          </w:p>
        </w:tc>
        <w:tc>
          <w:tcPr>
            <w:tcW w:w="1340" w:type="dxa"/>
            <w:vAlign w:val="bottom"/>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c>
          <w:tcPr>
            <w:tcW w:w="5440" w:type="dxa"/>
            <w:vAlign w:val="bottom"/>
          </w:tcPr>
          <w:p>
            <w:pPr>
              <w:jc w:val="center"/>
              <w:spacing w:after="0"/>
              <w:rPr>
                <w:sz w:val="20"/>
                <w:szCs w:val="20"/>
                <w:color w:val="auto"/>
              </w:rPr>
            </w:pPr>
            <w:r>
              <w:rPr>
                <w:rFonts w:ascii="Arial" w:cs="Arial" w:eastAsia="Arial" w:hAnsi="Arial"/>
                <w:sz w:val="19"/>
                <w:szCs w:val="19"/>
                <w:b w:val="1"/>
                <w:bCs w:val="1"/>
                <w:color w:val="auto"/>
                <w:w w:val="98"/>
              </w:rPr>
              <w:t>ABR Borrowing</w:t>
            </w:r>
          </w:p>
        </w:tc>
      </w:tr>
      <w:tr>
        <w:trPr>
          <w:trHeight w:val="724"/>
        </w:trPr>
        <w:tc>
          <w:tcPr>
            <w:tcW w:w="680" w:type="dxa"/>
            <w:vAlign w:val="bottom"/>
            <w:tcBorders>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-755650</wp:posOffset>
            </wp:positionV>
            <wp:extent cx="5271770" cy="126873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1">
                      <a:extLst>
                        <a:ext uri="{28A0092B-C50C-407E-A947-70E740481C1C}"/>
                      </a:extLst>
                    </a:blip>
                    <a:srcRect/>
                    <a:stretch>
                      <a:fillRect/>
                    </a:stretch>
                  </pic:blipFill>
                  <pic:spPr bwMode="auto">
                    <a:xfrm>
                      <a:off x="0" y="0"/>
                      <a:ext cx="5271770" cy="1268730"/>
                    </a:xfrm>
                    <a:prstGeom prst="rect">
                      <a:avLst/>
                    </a:prstGeom>
                    <a:noFill/>
                  </pic:spPr>
                </pic:pic>
              </a:graphicData>
            </a:graphic>
          </wp:anchor>
        </w:drawing>
      </w:r>
    </w:p>
    <w:p>
      <w:pPr>
        <w:ind w:left="3160"/>
        <w:spacing w:after="0"/>
        <w:rPr>
          <w:sz w:val="20"/>
          <w:szCs w:val="20"/>
          <w:color w:val="auto"/>
        </w:rPr>
      </w:pPr>
      <w:r>
        <w:rPr>
          <w:rFonts w:ascii="Arial" w:cs="Arial" w:eastAsia="Arial" w:hAnsi="Arial"/>
          <w:sz w:val="19"/>
          <w:szCs w:val="19"/>
          <w:color w:val="auto"/>
        </w:rPr>
        <w:t xml:space="preserve"> </w:t>
      </w:r>
    </w:p>
    <w:p>
      <w:pPr>
        <w:spacing w:after="0" w:line="39"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 xml:space="preserve"> </w:t>
      </w:r>
    </w:p>
    <w:p>
      <w:pPr>
        <w:spacing w:after="0" w:line="52"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 xml:space="preserve"> </w:t>
      </w:r>
    </w:p>
    <w:p>
      <w:pPr>
        <w:spacing w:after="0" w:line="248" w:lineRule="exact"/>
        <w:rPr>
          <w:sz w:val="20"/>
          <w:szCs w:val="20"/>
          <w:color w:val="auto"/>
        </w:rPr>
      </w:pPr>
    </w:p>
    <w:p>
      <w:pPr>
        <w:ind w:left="100"/>
        <w:spacing w:after="0"/>
        <w:rPr>
          <w:sz w:val="20"/>
          <w:szCs w:val="20"/>
          <w:color w:val="auto"/>
        </w:rPr>
      </w:pPr>
      <w:r>
        <w:rPr>
          <w:rFonts w:ascii="Arial" w:cs="Arial" w:eastAsia="Arial" w:hAnsi="Arial"/>
          <w:sz w:val="19"/>
          <w:szCs w:val="19"/>
          <w:b w:val="1"/>
          <w:bCs w:val="1"/>
          <w:u w:val="single" w:color="auto"/>
          <w:color w:val="auto"/>
        </w:rPr>
        <w:t>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0" w:right="440"/>
        <w:spacing w:after="0" w:line="258" w:lineRule="auto"/>
        <w:rPr>
          <w:sz w:val="20"/>
          <w:szCs w:val="20"/>
          <w:color w:val="auto"/>
        </w:rPr>
      </w:pPr>
      <w:r>
        <w:rPr>
          <w:rFonts w:ascii="Arial" w:cs="Arial" w:eastAsia="Arial" w:hAnsi="Arial"/>
          <w:sz w:val="12"/>
          <w:szCs w:val="12"/>
          <w:color w:val="auto"/>
        </w:rPr>
        <w:t xml:space="preserve">13 </w:t>
      </w:r>
      <w:r>
        <w:rPr>
          <w:rFonts w:ascii="Arial" w:cs="Arial" w:eastAsia="Arial" w:hAnsi="Arial"/>
          <w:sz w:val="17"/>
          <w:szCs w:val="17"/>
          <w:color w:val="auto"/>
        </w:rPr>
        <w:t>All prepayments submitted under a single Notice of Loan Prepayment must be effective on the same date. If multiple effective dates are needed,</w:t>
      </w:r>
      <w:r>
        <w:rPr>
          <w:rFonts w:ascii="Arial" w:cs="Arial" w:eastAsia="Arial" w:hAnsi="Arial"/>
          <w:sz w:val="12"/>
          <w:szCs w:val="12"/>
          <w:color w:val="auto"/>
        </w:rPr>
        <w:t xml:space="preserve"> </w:t>
      </w:r>
      <w:r>
        <w:rPr>
          <w:rFonts w:ascii="Arial" w:cs="Arial" w:eastAsia="Arial" w:hAnsi="Arial"/>
          <w:sz w:val="17"/>
          <w:szCs w:val="17"/>
          <w:color w:val="auto"/>
        </w:rPr>
        <w:t>multiple Notice of Loan Prepayment will need to be prepared and signed.</w:t>
      </w:r>
    </w:p>
    <w:p>
      <w:pPr>
        <w:spacing w:after="0" w:line="1" w:lineRule="exact"/>
        <w:rPr>
          <w:sz w:val="20"/>
          <w:szCs w:val="20"/>
          <w:color w:val="auto"/>
        </w:rPr>
      </w:pPr>
    </w:p>
    <w:p>
      <w:pPr>
        <w:ind w:left="100" w:right="400"/>
        <w:spacing w:after="0" w:line="254" w:lineRule="auto"/>
        <w:rPr>
          <w:sz w:val="20"/>
          <w:szCs w:val="20"/>
          <w:color w:val="auto"/>
        </w:rPr>
      </w:pPr>
      <w:r>
        <w:rPr>
          <w:rFonts w:ascii="Arial" w:cs="Arial" w:eastAsia="Arial" w:hAnsi="Arial"/>
          <w:sz w:val="12"/>
          <w:szCs w:val="12"/>
          <w:color w:val="auto"/>
        </w:rPr>
        <w:t xml:space="preserve">14 </w:t>
      </w:r>
      <w:r>
        <w:rPr>
          <w:rFonts w:ascii="Arial" w:cs="Arial" w:eastAsia="Arial" w:hAnsi="Arial"/>
          <w:sz w:val="17"/>
          <w:szCs w:val="17"/>
          <w:color w:val="auto"/>
        </w:rPr>
        <w:t>The Administrative Agent must be notified in writing, which must be received by the Administrative Agent (by hand delivery, fax or other</w:t>
      </w:r>
      <w:r>
        <w:rPr>
          <w:rFonts w:ascii="Arial" w:cs="Arial" w:eastAsia="Arial" w:hAnsi="Arial"/>
          <w:sz w:val="12"/>
          <w:szCs w:val="12"/>
          <w:color w:val="auto"/>
        </w:rPr>
        <w:t xml:space="preserve"> </w:t>
      </w:r>
      <w:r>
        <w:rPr>
          <w:rFonts w:ascii="Arial" w:cs="Arial" w:eastAsia="Arial" w:hAnsi="Arial"/>
          <w:sz w:val="17"/>
          <w:szCs w:val="17"/>
          <w:color w:val="auto"/>
        </w:rPr>
        <w:t>electronic transmission (including “.pdf” or “.tif”) not later than (i) 12:00 p.m. three Business Days prior to the Prepayment Date in the case of any prepayment of a Term SOFR Borrowing, (ii) 11:00</w:t>
      </w:r>
    </w:p>
    <w:p>
      <w:pPr>
        <w:ind w:left="100" w:right="600"/>
        <w:spacing w:after="0" w:line="255" w:lineRule="auto"/>
        <w:rPr>
          <w:sz w:val="20"/>
          <w:szCs w:val="20"/>
          <w:color w:val="auto"/>
        </w:rPr>
      </w:pPr>
      <w:r>
        <w:rPr>
          <w:rFonts w:ascii="Arial" w:cs="Arial" w:eastAsia="Arial" w:hAnsi="Arial"/>
          <w:sz w:val="17"/>
          <w:szCs w:val="17"/>
          <w:color w:val="auto"/>
        </w:rPr>
        <w:t>a.m. on the Prepayment Date in the case of any prepayment of an ABR Borrowing and (iii) 1:00 p.m. on the Prepayment Date in the case of any prepayment of any Swingline Loans (or, in each case, such later time as to which the Administrative Agent may reasonably agree).</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2"/>
          <w:szCs w:val="12"/>
          <w:color w:val="auto"/>
        </w:rPr>
        <w:t xml:space="preserve">15 </w:t>
      </w:r>
      <w:r>
        <w:rPr>
          <w:rFonts w:ascii="Arial" w:cs="Arial" w:eastAsia="Arial" w:hAnsi="Arial"/>
          <w:sz w:val="17"/>
          <w:szCs w:val="17"/>
          <w:color w:val="auto"/>
        </w:rPr>
        <w:t>Complete a new row for each Borrowing being prepaid.</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85" w:right="499" w:bottom="1440" w:gutter="0" w:footer="0" w:header="0"/>
        </w:sectPr>
      </w:pPr>
    </w:p>
    <w:bookmarkStart w:id="288" w:name="page289"/>
    <w:bookmarkEnd w:id="288"/>
    <w:tbl>
      <w:tblPr>
        <w:tblLayout w:type="fixed"/>
        <w:tblInd w:w="770" w:type="dxa"/>
        <w:tblCellMar>
          <w:top w:w="0" w:type="dxa"/>
          <w:left w:w="0" w:type="dxa"/>
          <w:bottom w:w="0" w:type="dxa"/>
          <w:right w:w="0" w:type="dxa"/>
        </w:tblCellMar>
      </w:tblPr>
      <w:tr>
        <w:trPr>
          <w:trHeight w:val="196"/>
        </w:trPr>
        <w:tc>
          <w:tcPr>
            <w:tcW w:w="2880" w:type="dxa"/>
            <w:vAlign w:val="bottom"/>
            <w:tcBorders>
              <w:top w:val="single" w:sz="8" w:color="auto"/>
              <w:left w:val="single" w:sz="8" w:color="auto"/>
              <w:right w:val="single" w:sz="8" w:color="auto"/>
            </w:tcBorders>
          </w:tcPr>
          <w:p>
            <w:pPr>
              <w:ind w:left="800"/>
              <w:spacing w:after="0" w:line="196" w:lineRule="exact"/>
              <w:rPr>
                <w:sz w:val="20"/>
                <w:szCs w:val="20"/>
                <w:color w:val="auto"/>
              </w:rPr>
            </w:pPr>
            <w:r>
              <w:rPr>
                <w:rFonts w:ascii="Arial" w:cs="Arial" w:eastAsia="Arial" w:hAnsi="Arial"/>
                <w:sz w:val="19"/>
                <w:szCs w:val="19"/>
                <w:b w:val="1"/>
                <w:bCs w:val="1"/>
                <w:color w:val="auto"/>
              </w:rPr>
              <w:t>Requested Amount</w:t>
            </w:r>
          </w:p>
        </w:tc>
        <w:tc>
          <w:tcPr>
            <w:tcW w:w="544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9"/>
                <w:szCs w:val="19"/>
                <w:b w:val="1"/>
                <w:bCs w:val="1"/>
                <w:color w:val="auto"/>
                <w:w w:val="98"/>
              </w:rPr>
              <w:t>Term SOFR Borrowing or</w:t>
            </w:r>
          </w:p>
        </w:tc>
      </w:tr>
      <w:tr>
        <w:trPr>
          <w:trHeight w:val="251"/>
        </w:trPr>
        <w:tc>
          <w:tcPr>
            <w:tcW w:w="2880" w:type="dxa"/>
            <w:vAlign w:val="bottom"/>
            <w:tcBorders>
              <w:left w:val="single" w:sz="8" w:color="auto"/>
              <w:right w:val="single" w:sz="8" w:color="auto"/>
            </w:tcBorders>
          </w:tcPr>
          <w:p>
            <w:pPr>
              <w:spacing w:after="0"/>
              <w:rPr>
                <w:sz w:val="21"/>
                <w:szCs w:val="21"/>
                <w:color w:val="auto"/>
              </w:rPr>
            </w:pPr>
          </w:p>
        </w:tc>
        <w:tc>
          <w:tcPr>
            <w:tcW w:w="5440" w:type="dxa"/>
            <w:vAlign w:val="bottom"/>
          </w:tcPr>
          <w:p>
            <w:pPr>
              <w:jc w:val="center"/>
              <w:spacing w:after="0"/>
              <w:rPr>
                <w:sz w:val="20"/>
                <w:szCs w:val="20"/>
                <w:color w:val="auto"/>
              </w:rPr>
            </w:pPr>
            <w:r>
              <w:rPr>
                <w:rFonts w:ascii="Arial" w:cs="Arial" w:eastAsia="Arial" w:hAnsi="Arial"/>
                <w:sz w:val="19"/>
                <w:szCs w:val="19"/>
                <w:b w:val="1"/>
                <w:bCs w:val="1"/>
                <w:color w:val="auto"/>
                <w:w w:val="98"/>
              </w:rPr>
              <w:t>ABR Borrowing</w:t>
            </w:r>
          </w:p>
        </w:tc>
      </w:tr>
      <w:tr>
        <w:trPr>
          <w:trHeight w:val="724"/>
        </w:trPr>
        <w:tc>
          <w:tcPr>
            <w:tcW w:w="2880" w:type="dxa"/>
            <w:vAlign w:val="bottom"/>
            <w:tcBorders>
              <w:left w:val="single" w:sz="8" w:color="auto"/>
              <w:bottom w:val="single" w:sz="8" w:color="auto"/>
              <w:right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r>
    </w:tbl>
    <w:p>
      <w:pPr>
        <w:ind w:left="316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705485</wp:posOffset>
            </wp:positionH>
            <wp:positionV relativeFrom="page">
              <wp:posOffset>88900</wp:posOffset>
            </wp:positionV>
            <wp:extent cx="5271770" cy="126873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3">
                      <a:extLst>
                        <a:ext uri="{28A0092B-C50C-407E-A947-70E740481C1C}"/>
                      </a:extLst>
                    </a:blip>
                    <a:srcRect/>
                    <a:stretch>
                      <a:fillRect/>
                    </a:stretch>
                  </pic:blipFill>
                  <pic:spPr bwMode="auto">
                    <a:xfrm>
                      <a:off x="0" y="0"/>
                      <a:ext cx="5271770" cy="1268730"/>
                    </a:xfrm>
                    <a:prstGeom prst="rect">
                      <a:avLst/>
                    </a:prstGeom>
                    <a:noFill/>
                  </pic:spPr>
                </pic:pic>
              </a:graphicData>
            </a:graphic>
          </wp:anchor>
        </w:drawing>
        <w:t xml:space="preserve"> </w:t>
      </w:r>
    </w:p>
    <w:p>
      <w:pPr>
        <w:spacing w:after="0" w:line="39"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 xml:space="preserve"> </w:t>
      </w:r>
    </w:p>
    <w:p>
      <w:pPr>
        <w:spacing w:after="0" w:line="52"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 xml:space="preserve"> </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9"/>
          <w:szCs w:val="19"/>
          <w:b w:val="1"/>
          <w:bCs w:val="1"/>
          <w:u w:val="single" w:color="auto"/>
          <w:color w:val="auto"/>
        </w:rPr>
        <w:t>Swingline Loans</w:t>
      </w:r>
    </w:p>
    <w:p>
      <w:pPr>
        <w:spacing w:after="0" w:line="268"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Requested Amount:</w:t>
      </w:r>
    </w:p>
    <w:p>
      <w:pPr>
        <w:spacing w:after="0" w:line="206" w:lineRule="exact"/>
        <w:rPr>
          <w:sz w:val="20"/>
          <w:szCs w:val="20"/>
          <w:color w:val="auto"/>
        </w:rPr>
      </w:pPr>
    </w:p>
    <w:p>
      <w:pPr>
        <w:jc w:val="both"/>
        <w:ind w:left="100" w:firstLine="749"/>
        <w:spacing w:after="0" w:line="272" w:lineRule="auto"/>
        <w:rPr>
          <w:sz w:val="20"/>
          <w:szCs w:val="20"/>
          <w:color w:val="auto"/>
        </w:rPr>
      </w:pPr>
      <w:r>
        <w:rPr>
          <w:rFonts w:ascii="Arial" w:cs="Arial" w:eastAsia="Arial" w:hAnsi="Arial"/>
          <w:sz w:val="17"/>
          <w:szCs w:val="17"/>
          <w:color w:val="auto"/>
        </w:rPr>
        <w:t>Pursuant to Section 2.11(a)(iii) of the Credit Agreement, each prepayment of Term Loans shall be applied to the Class or Classes of Term Loans specified in this notice, and each prepayment of Term Loans of such Class or Classes shall be applied against the remaining scheduled installments of principal due in respect of the Term Loans of such Class or Classes in the manner specified by the Borrower as follows (provided that, in the absence of any such specification on or prior to the date of the relevant optional prepayment, in direct order of maturity):</w:t>
      </w:r>
    </w:p>
    <w:p>
      <w:pPr>
        <w:spacing w:after="0" w:line="140" w:lineRule="exact"/>
        <w:rPr>
          <w:sz w:val="20"/>
          <w:szCs w:val="20"/>
          <w:color w:val="auto"/>
        </w:rPr>
      </w:pPr>
    </w:p>
    <w:p>
      <w:pPr>
        <w:ind w:left="840"/>
        <w:spacing w:after="0"/>
        <w:rPr>
          <w:sz w:val="20"/>
          <w:szCs w:val="20"/>
          <w:color w:val="auto"/>
        </w:rPr>
      </w:pPr>
      <w:r>
        <w:rPr>
          <w:rFonts w:ascii="Arial" w:cs="Arial" w:eastAsia="Arial" w:hAnsi="Arial"/>
          <w:sz w:val="19"/>
          <w:szCs w:val="19"/>
          <w:color w:val="auto"/>
        </w:rPr>
        <w:t>[insert as applicable].</w:t>
      </w:r>
      <w:r>
        <w:rPr>
          <w:rFonts w:ascii="Arial" w:cs="Arial" w:eastAsia="Arial" w:hAnsi="Arial"/>
          <w:sz w:val="12"/>
          <w:szCs w:val="12"/>
          <w:color w:val="auto"/>
        </w:rPr>
        <w:t>16</w:t>
      </w:r>
    </w:p>
    <w:p>
      <w:pPr>
        <w:spacing w:after="0" w:line="214" w:lineRule="exact"/>
        <w:rPr>
          <w:sz w:val="20"/>
          <w:szCs w:val="20"/>
          <w:color w:val="auto"/>
        </w:rPr>
      </w:pPr>
    </w:p>
    <w:p>
      <w:pPr>
        <w:ind w:left="840"/>
        <w:spacing w:after="0"/>
        <w:rPr>
          <w:sz w:val="20"/>
          <w:szCs w:val="20"/>
          <w:color w:val="auto"/>
        </w:rPr>
      </w:pPr>
      <w:r>
        <w:rPr>
          <w:rFonts w:ascii="Arial" w:cs="Arial" w:eastAsia="Arial" w:hAnsi="Arial"/>
          <w:sz w:val="19"/>
          <w:szCs w:val="19"/>
          <w:color w:val="auto"/>
        </w:rPr>
        <w:t>[insert any applicable conditions].</w:t>
      </w:r>
      <w:r>
        <w:rPr>
          <w:rFonts w:ascii="Arial" w:cs="Arial" w:eastAsia="Arial" w:hAnsi="Arial"/>
          <w:sz w:val="12"/>
          <w:szCs w:val="12"/>
          <w:color w:val="auto"/>
        </w:rPr>
        <w:t>17</w:t>
      </w:r>
    </w:p>
    <w:p>
      <w:pPr>
        <w:spacing w:after="0" w:line="200" w:lineRule="exact"/>
        <w:rPr>
          <w:sz w:val="20"/>
          <w:szCs w:val="20"/>
          <w:color w:val="auto"/>
        </w:rPr>
      </w:pPr>
    </w:p>
    <w:p>
      <w:pPr>
        <w:spacing w:after="0" w:line="203"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
        <w:spacing w:after="0"/>
        <w:rPr>
          <w:sz w:val="20"/>
          <w:szCs w:val="20"/>
          <w:color w:val="auto"/>
        </w:rPr>
      </w:pPr>
      <w:r>
        <w:rPr>
          <w:rFonts w:ascii="Arial" w:cs="Arial" w:eastAsia="Arial" w:hAnsi="Arial"/>
          <w:sz w:val="12"/>
          <w:szCs w:val="12"/>
          <w:color w:val="auto"/>
        </w:rPr>
        <w:t xml:space="preserve">16 </w:t>
      </w:r>
      <w:r>
        <w:rPr>
          <w:rFonts w:ascii="Arial" w:cs="Arial" w:eastAsia="Arial" w:hAnsi="Arial"/>
          <w:sz w:val="17"/>
          <w:szCs w:val="17"/>
          <w:color w:val="auto"/>
        </w:rPr>
        <w:t>Scheduled payments and advances should only be processed by auto debit, wire or to BAC’s ACH account (</w:t>
      </w:r>
      <w:r>
        <w:rPr>
          <w:rFonts w:ascii="Arial" w:cs="Arial" w:eastAsia="Arial" w:hAnsi="Arial"/>
          <w:sz w:val="17"/>
          <w:szCs w:val="17"/>
          <w:b w:val="1"/>
          <w:bCs w:val="1"/>
          <w:u w:val="single" w:color="auto"/>
          <w:color w:val="auto"/>
        </w:rPr>
        <w:t>not</w:t>
      </w:r>
      <w:r>
        <w:rPr>
          <w:rFonts w:ascii="Arial" w:cs="Arial" w:eastAsia="Arial" w:hAnsi="Arial"/>
          <w:sz w:val="12"/>
          <w:szCs w:val="12"/>
          <w:color w:val="auto"/>
        </w:rPr>
        <w:t xml:space="preserve"> </w:t>
      </w:r>
      <w:r>
        <w:rPr>
          <w:rFonts w:ascii="Arial" w:cs="Arial" w:eastAsia="Arial" w:hAnsi="Arial"/>
          <w:sz w:val="17"/>
          <w:szCs w:val="17"/>
          <w:color w:val="auto"/>
        </w:rPr>
        <w:t>check or cashier’s check).</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Unscheduled payments should only be received by wire or DDA transfers (</w:t>
      </w:r>
      <w:r>
        <w:rPr>
          <w:rFonts w:ascii="Arial" w:cs="Arial" w:eastAsia="Arial" w:hAnsi="Arial"/>
          <w:sz w:val="18"/>
          <w:szCs w:val="18"/>
          <w:b w:val="1"/>
          <w:bCs w:val="1"/>
          <w:u w:val="single" w:color="auto"/>
          <w:color w:val="auto"/>
        </w:rPr>
        <w:t>not</w:t>
      </w:r>
      <w:r>
        <w:rPr>
          <w:rFonts w:ascii="Arial" w:cs="Arial" w:eastAsia="Arial" w:hAnsi="Arial"/>
          <w:sz w:val="18"/>
          <w:szCs w:val="18"/>
          <w:color w:val="auto"/>
        </w:rPr>
        <w:t xml:space="preserve"> ACH or check or cashier’s check).</w:t>
      </w:r>
    </w:p>
    <w:p>
      <w:pPr>
        <w:ind w:left="100" w:right="220"/>
        <w:spacing w:after="0" w:line="268" w:lineRule="auto"/>
        <w:rPr>
          <w:sz w:val="20"/>
          <w:szCs w:val="20"/>
          <w:color w:val="auto"/>
        </w:rPr>
      </w:pPr>
      <w:r>
        <w:rPr>
          <w:rFonts w:ascii="Arial" w:cs="Arial" w:eastAsia="Arial" w:hAnsi="Arial"/>
          <w:sz w:val="12"/>
          <w:szCs w:val="12"/>
          <w:color w:val="auto"/>
        </w:rPr>
        <w:t xml:space="preserve">17 </w:t>
      </w:r>
      <w:r>
        <w:rPr>
          <w:rFonts w:ascii="Arial" w:cs="Arial" w:eastAsia="Arial" w:hAnsi="Arial"/>
          <w:sz w:val="17"/>
          <w:szCs w:val="17"/>
          <w:color w:val="auto"/>
        </w:rPr>
        <w:t>The effectiveness of this Notice of Loan Prepayment may be conditioned upon the effectiveness of other transactions or other events, in which case</w:t>
      </w:r>
      <w:r>
        <w:rPr>
          <w:rFonts w:ascii="Arial" w:cs="Arial" w:eastAsia="Arial" w:hAnsi="Arial"/>
          <w:sz w:val="12"/>
          <w:szCs w:val="12"/>
          <w:color w:val="auto"/>
        </w:rPr>
        <w:t xml:space="preserve"> </w:t>
      </w:r>
      <w:r>
        <w:rPr>
          <w:rFonts w:ascii="Arial" w:cs="Arial" w:eastAsia="Arial" w:hAnsi="Arial"/>
          <w:sz w:val="17"/>
          <w:szCs w:val="17"/>
          <w:color w:val="auto"/>
        </w:rPr>
        <w:t>such notice may be revoked by the Borrower (by notice to the Administrative Agent on or prior to the Prepayment Date) if such condition is not satisfied.</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76835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20" w:right="499" w:bottom="1440" w:gutter="0" w:footer="0" w:header="0"/>
        </w:sectPr>
      </w:pPr>
    </w:p>
    <w:bookmarkStart w:id="289" w:name="page290"/>
    <w:bookmarkEnd w:id="289"/>
    <w:p>
      <w:pPr>
        <w:jc w:val="right"/>
        <w:ind w:right="1739"/>
        <w:spacing w:after="0"/>
        <w:rPr>
          <w:sz w:val="20"/>
          <w:szCs w:val="20"/>
          <w:color w:val="auto"/>
        </w:rPr>
      </w:pPr>
      <w:r>
        <w:rPr>
          <w:rFonts w:ascii="Arial" w:cs="Arial" w:eastAsia="Arial" w:hAnsi="Arial"/>
          <w:sz w:val="19"/>
          <w:szCs w:val="19"/>
          <w:color w:val="auto"/>
        </w:rPr>
        <w:t>DEFINITIVE HEALTHCARE HOLDINGS, LLC</w:t>
      </w:r>
    </w:p>
    <w:p>
      <w:pPr>
        <w:spacing w:after="0" w:line="200" w:lineRule="exact"/>
        <w:rPr>
          <w:sz w:val="20"/>
          <w:szCs w:val="20"/>
          <w:color w:val="auto"/>
        </w:rPr>
      </w:pPr>
    </w:p>
    <w:p>
      <w:pPr>
        <w:spacing w:after="0" w:line="216" w:lineRule="exact"/>
        <w:rPr>
          <w:sz w:val="20"/>
          <w:szCs w:val="20"/>
          <w:color w:val="auto"/>
        </w:rPr>
      </w:pPr>
    </w:p>
    <w:p>
      <w:pPr>
        <w:ind w:left="4580"/>
        <w:spacing w:after="0"/>
        <w:tabs>
          <w:tab w:leader="none" w:pos="53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3115310</wp:posOffset>
            </wp:positionH>
            <wp:positionV relativeFrom="paragraph">
              <wp:posOffset>-12700</wp:posOffset>
            </wp:positionV>
            <wp:extent cx="27686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5">
                      <a:extLst>
                        <a:ext uri="{28A0092B-C50C-407E-A947-70E740481C1C}"/>
                      </a:extLst>
                    </a:blip>
                    <a:srcRect/>
                    <a:stretch>
                      <a:fillRect/>
                    </a:stretch>
                  </pic:blipFill>
                  <pic:spPr bwMode="auto">
                    <a:xfrm>
                      <a:off x="0" y="0"/>
                      <a:ext cx="276860" cy="8255"/>
                    </a:xfrm>
                    <a:prstGeom prst="rect">
                      <a:avLst/>
                    </a:prstGeom>
                    <a:noFill/>
                  </pic:spPr>
                </pic:pic>
              </a:graphicData>
            </a:graphic>
          </wp:anchor>
        </w:drawing>
      </w:r>
    </w:p>
    <w:p>
      <w:pPr>
        <w:jc w:val="center"/>
        <w:ind w:right="-380"/>
        <w:spacing w:after="0"/>
        <w:rPr>
          <w:sz w:val="20"/>
          <w:szCs w:val="20"/>
          <w:color w:val="auto"/>
        </w:rPr>
      </w:pPr>
      <w:r>
        <w:rPr>
          <w:rFonts w:ascii="Arial" w:cs="Arial" w:eastAsia="Arial" w:hAnsi="Arial"/>
          <w:sz w:val="19"/>
          <w:szCs w:val="19"/>
          <w:color w:val="auto"/>
        </w:rPr>
        <w:t>Title:</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US-DOCS\135399344.8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414" w:right="1440"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 Certification Pursuant to</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Robert Musslewhite, certify that:</w:t>
      </w:r>
    </w:p>
    <w:p>
      <w:pPr>
        <w:spacing w:after="0" w:line="212" w:lineRule="exact"/>
        <w:rPr>
          <w:sz w:val="20"/>
          <w:szCs w:val="20"/>
          <w:color w:val="auto"/>
        </w:rPr>
      </w:pPr>
    </w:p>
    <w:p>
      <w:pPr>
        <w:ind w:left="520" w:hanging="512"/>
        <w:spacing w:after="0"/>
        <w:tabs>
          <w:tab w:leader="none" w:pos="52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Definitive Healthcare Corp.;</w:t>
      </w:r>
    </w:p>
    <w:p>
      <w:pPr>
        <w:spacing w:after="0" w:line="211" w:lineRule="exact"/>
        <w:rPr>
          <w:rFonts w:ascii="Arial" w:cs="Arial" w:eastAsia="Arial" w:hAnsi="Arial"/>
          <w:sz w:val="18"/>
          <w:szCs w:val="18"/>
          <w:color w:val="auto"/>
        </w:rPr>
      </w:pPr>
    </w:p>
    <w:p>
      <w:pPr>
        <w:jc w:val="both"/>
        <w:ind w:left="520" w:right="260" w:hanging="512"/>
        <w:spacing w:after="0" w:line="256" w:lineRule="auto"/>
        <w:tabs>
          <w:tab w:leader="none" w:pos="52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3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7"/>
          <w:szCs w:val="17"/>
          <w:color w:val="auto"/>
        </w:rPr>
      </w:pPr>
    </w:p>
    <w:p>
      <w:pPr>
        <w:ind w:left="520" w:right="440" w:hanging="512"/>
        <w:spacing w:after="0" w:line="261" w:lineRule="auto"/>
        <w:tabs>
          <w:tab w:leader="none" w:pos="52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20" w:hanging="503"/>
        <w:spacing w:after="0" w:line="256" w:lineRule="auto"/>
        <w:tabs>
          <w:tab w:leader="none" w:pos="10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20" w:hanging="503"/>
        <w:spacing w:after="0"/>
        <w:tabs>
          <w:tab w:leader="none" w:pos="10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25"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3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hanging="503"/>
        <w:spacing w:after="0" w:line="256" w:lineRule="auto"/>
        <w:tabs>
          <w:tab w:leader="none" w:pos="10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3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3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640" w:val="left"/>
          <w:tab w:leader="none" w:pos="6640" w:val="left"/>
        </w:tabs>
        <w:rPr>
          <w:sz w:val="20"/>
          <w:szCs w:val="20"/>
          <w:color w:val="auto"/>
        </w:rPr>
      </w:pPr>
      <w:r>
        <w:rPr>
          <w:rFonts w:ascii="Arial" w:cs="Arial" w:eastAsia="Arial" w:hAnsi="Arial"/>
          <w:sz w:val="18"/>
          <w:szCs w:val="18"/>
          <w:color w:val="auto"/>
        </w:rPr>
        <w:t>Date:</w:t>
        <w:tab/>
        <w:t>November 3, 2022</w:t>
      </w:r>
      <w:r>
        <w:rPr>
          <w:sz w:val="20"/>
          <w:szCs w:val="20"/>
          <w:color w:val="auto"/>
        </w:rPr>
        <w:tab/>
      </w:r>
      <w:r>
        <w:rPr>
          <w:rFonts w:ascii="Arial" w:cs="Arial" w:eastAsia="Arial" w:hAnsi="Arial"/>
          <w:sz w:val="16"/>
          <w:szCs w:val="16"/>
          <w:color w:val="auto"/>
        </w:rPr>
        <w:t>/s/ Robert Musslewhite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23495</wp:posOffset>
            </wp:positionV>
            <wp:extent cx="304292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7">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Robert Musslewhite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-130175</wp:posOffset>
            </wp:positionV>
            <wp:extent cx="292290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8">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91" w:name="page292"/>
    <w:bookmarkEnd w:id="291"/>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 Certification Pursuant to</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Richard Booth, certify that:</w:t>
      </w:r>
    </w:p>
    <w:p>
      <w:pPr>
        <w:spacing w:after="0" w:line="212" w:lineRule="exact"/>
        <w:rPr>
          <w:sz w:val="20"/>
          <w:szCs w:val="20"/>
          <w:color w:val="auto"/>
        </w:rPr>
      </w:pPr>
    </w:p>
    <w:p>
      <w:pPr>
        <w:ind w:left="520" w:hanging="512"/>
        <w:spacing w:after="0"/>
        <w:tabs>
          <w:tab w:leader="none" w:pos="5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Definitive Hethirdalthcare Corp.;</w:t>
      </w:r>
    </w:p>
    <w:p>
      <w:pPr>
        <w:spacing w:after="0" w:line="211" w:lineRule="exact"/>
        <w:rPr>
          <w:rFonts w:ascii="Arial" w:cs="Arial" w:eastAsia="Arial" w:hAnsi="Arial"/>
          <w:sz w:val="18"/>
          <w:szCs w:val="18"/>
          <w:color w:val="auto"/>
        </w:rPr>
      </w:pPr>
    </w:p>
    <w:p>
      <w:pPr>
        <w:ind w:left="520" w:right="40" w:hanging="512"/>
        <w:spacing w:after="0" w:line="256" w:lineRule="auto"/>
        <w:tabs>
          <w:tab w:leader="none" w:pos="5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uSeptemberntruJunee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3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7"/>
          <w:szCs w:val="17"/>
          <w:color w:val="auto"/>
        </w:rPr>
      </w:pPr>
    </w:p>
    <w:p>
      <w:pPr>
        <w:ind w:left="520" w:right="440" w:hanging="512"/>
        <w:spacing w:after="0" w:line="261" w:lineRule="auto"/>
        <w:tabs>
          <w:tab w:leader="none" w:pos="5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20" w:hanging="503"/>
        <w:spacing w:after="0" w:line="256" w:lineRule="auto"/>
        <w:tabs>
          <w:tab w:leader="none" w:pos="102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20" w:hanging="503"/>
        <w:spacing w:after="0"/>
        <w:tabs>
          <w:tab w:leader="none" w:pos="102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25"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3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hanging="503"/>
        <w:spacing w:after="0" w:line="256" w:lineRule="auto"/>
        <w:tabs>
          <w:tab w:leader="none" w:pos="102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3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3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680" w:val="left"/>
          <w:tab w:leader="none" w:pos="6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3, 2022</w:t>
      </w:r>
      <w:r>
        <w:rPr>
          <w:sz w:val="20"/>
          <w:szCs w:val="20"/>
          <w:color w:val="auto"/>
        </w:rPr>
        <w:tab/>
      </w:r>
      <w:r>
        <w:rPr>
          <w:rFonts w:ascii="Arial" w:cs="Arial" w:eastAsia="Arial" w:hAnsi="Arial"/>
          <w:sz w:val="16"/>
          <w:szCs w:val="16"/>
          <w:color w:val="auto"/>
        </w:rPr>
        <w:t>/s/Richard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23495</wp:posOffset>
            </wp:positionV>
            <wp:extent cx="31203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0">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-130175</wp:posOffset>
            </wp:positionV>
            <wp:extent cx="292290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6"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Adopted Pursuant to</w:t>
      </w: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In connection with the Quarterly Report on Form 10-Q of Definitive Healthcare Corp. (the “Company”) for the quarterly period ended September 30, 2022 as filed with the Securities and Exchange Commission on the date hereof (the “Report”), Robert Musslewhite, as Chief Executive Officer of the Company, and Richard Booth, as Chief Financial Officer of the Company, each hereby certifies, pursuant to 18 U.S.C. § 1350, as adopted pursuant to § 906 of the Sarbanes-Oxley Act of 2002, that, to the best of his knowledge:</w:t>
      </w:r>
    </w:p>
    <w:p>
      <w:pPr>
        <w:spacing w:after="0" w:line="181" w:lineRule="exact"/>
        <w:rPr>
          <w:sz w:val="20"/>
          <w:szCs w:val="20"/>
          <w:color w:val="auto"/>
        </w:rPr>
      </w:pPr>
    </w:p>
    <w:p>
      <w:pPr>
        <w:ind w:left="1020" w:hanging="503"/>
        <w:spacing w:after="0"/>
        <w:tabs>
          <w:tab w:leader="none" w:pos="102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2022</w:t>
      </w:r>
    </w:p>
    <w:p>
      <w:pPr>
        <w:spacing w:after="0" w:line="25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Robert Musslewhite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2892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Robert Musslewhite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9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282892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Richard Booth</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(Principal Financial Officer)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93" w:name="page294"/>
    <w:bookmarkEnd w:id="29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3494B2FB"/>
    <w:multiLevelType w:val="hybridMultilevel"/>
    <w:lvl w:ilvl="0">
      <w:lvlJc w:val="left"/>
      <w:lvlText w:val="☒"/>
      <w:numFmt w:val="bullet"/>
      <w:start w:val="1"/>
    </w:lvl>
  </w:abstractNum>
  <w:abstractNum w:abstractNumId="1">
    <w:nsid w:val="B13A31"/>
    <w:multiLevelType w:val="hybridMultilevel"/>
    <w:lvl w:ilvl="0">
      <w:lvlJc w:val="left"/>
      <w:lvlText w:val="☐"/>
      <w:numFmt w:val="bullet"/>
      <w:start w:val="1"/>
    </w:lvl>
  </w:abstractNum>
  <w:abstractNum w:abstractNumId="2">
    <w:nsid w:val="64429599"/>
    <w:multiLevelType w:val="hybridMultilevel"/>
    <w:lvl w:ilvl="0">
      <w:lvlJc w:val="left"/>
      <w:lvlText w:val="(%1)"/>
      <w:numFmt w:val="decimal"/>
      <w:start w:val="1"/>
    </w:lvl>
    <w:lvl w:ilvl="1">
      <w:lvlJc w:val="left"/>
      <w:lvlText w:val="•"/>
      <w:numFmt w:val="bullet"/>
      <w:start w:val="1"/>
    </w:lvl>
  </w:abstractNum>
  <w:abstractNum w:abstractNumId="3">
    <w:nsid w:val="631F1690"/>
    <w:multiLevelType w:val="hybridMultilevel"/>
    <w:lvl w:ilvl="0">
      <w:lvlJc w:val="left"/>
      <w:lvlText w:val="(%1)"/>
      <w:numFmt w:val="decimal"/>
      <w:start w:val="1"/>
    </w:lvl>
  </w:abstractNum>
  <w:abstractNum w:abstractNumId="4">
    <w:nsid w:val="25973E32"/>
    <w:multiLevelType w:val="hybridMultilevel"/>
    <w:lvl w:ilvl="0">
      <w:lvlJc w:val="left"/>
      <w:lvlText w:val="(%1)"/>
      <w:numFmt w:val="lowerRoman"/>
      <w:start w:val="2"/>
    </w:lvl>
  </w:abstractNum>
  <w:abstractNum w:abstractNumId="5">
    <w:nsid w:val="EAD6F57"/>
    <w:multiLevelType w:val="hybridMultilevel"/>
    <w:lvl w:ilvl="0">
      <w:lvlJc w:val="left"/>
      <w:lvlText w:val="(%1)"/>
      <w:numFmt w:val="lowerLetter"/>
      <w:start w:val="1"/>
    </w:lvl>
  </w:abstractNum>
  <w:abstractNum w:abstractNumId="6">
    <w:nsid w:val="6EC9D844"/>
    <w:multiLevelType w:val="hybridMultilevel"/>
    <w:lvl w:ilvl="0">
      <w:lvlJc w:val="left"/>
      <w:lvlText w:val="(%1)"/>
      <w:numFmt w:val="lowerLetter"/>
      <w:start w:val="1"/>
    </w:lvl>
  </w:abstractNum>
  <w:abstractNum w:abstractNumId="7">
    <w:nsid w:val="5C49EAEE"/>
    <w:multiLevelType w:val="hybridMultilevel"/>
    <w:lvl w:ilvl="0">
      <w:lvlJc w:val="left"/>
      <w:lvlText w:val="•"/>
      <w:numFmt w:val="bullet"/>
      <w:start w:val="1"/>
    </w:lvl>
  </w:abstractNum>
  <w:abstractNum w:abstractNumId="8">
    <w:nsid w:val="64AF49B"/>
    <w:multiLevelType w:val="hybridMultilevel"/>
    <w:lvl w:ilvl="0">
      <w:lvlJc w:val="left"/>
      <w:lvlText w:val="•"/>
      <w:numFmt w:val="bullet"/>
      <w:start w:val="1"/>
    </w:lvl>
  </w:abstractNum>
  <w:abstractNum w:abstractNumId="9">
    <w:nsid w:val="397C46BC"/>
    <w:multiLevelType w:val="hybridMultilevel"/>
    <w:lvl w:ilvl="0">
      <w:lvlJc w:val="left"/>
      <w:lvlText w:val="•"/>
      <w:numFmt w:val="bullet"/>
      <w:start w:val="1"/>
    </w:lvl>
  </w:abstractNum>
  <w:abstractNum w:abstractNumId="10">
    <w:nsid w:val="7E448DE9"/>
    <w:multiLevelType w:val="hybridMultilevel"/>
    <w:lvl w:ilvl="0">
      <w:lvlJc w:val="left"/>
      <w:lvlText w:val="*"/>
      <w:numFmt w:val="bullet"/>
      <w:start w:val="1"/>
    </w:lvl>
  </w:abstractNum>
  <w:abstractNum w:abstractNumId="11">
    <w:nsid w:val="5A9CC3E5"/>
    <w:multiLevelType w:val="hybridMultilevel"/>
    <w:lvl w:ilvl="0">
      <w:lvlJc w:val="left"/>
      <w:lvlText w:val="%1."/>
      <w:numFmt w:val="upperLetter"/>
      <w:start w:val="1"/>
    </w:lvl>
  </w:abstractNum>
  <w:abstractNum w:abstractNumId="12">
    <w:nsid w:val="1AFE362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3">
    <w:nsid w:val="3CA88ECF"/>
    <w:multiLevelType w:val="hybridMultilevel"/>
    <w:lvl w:ilvl="0">
      <w:lvlJc w:val="left"/>
      <w:lvlText w:val="(%1)"/>
      <w:numFmt w:val="lowerLetter"/>
      <w:start w:val="4"/>
    </w:lvl>
    <w:lvl w:ilvl="1">
      <w:lvlJc w:val="left"/>
      <w:lvlText w:val="%2."/>
      <w:numFmt w:val="decimal"/>
      <w:start w:val="2"/>
    </w:lvl>
    <w:lvl w:ilvl="2">
      <w:lvlJc w:val="left"/>
      <w:lvlText w:val="(%3)"/>
      <w:numFmt w:val="lowerLetter"/>
      <w:start w:val="4"/>
    </w:lvl>
  </w:abstractNum>
  <w:abstractNum w:abstractNumId="14">
    <w:nsid w:val="6EBE4208"/>
    <w:multiLevelType w:val="hybridMultilevel"/>
    <w:lvl w:ilvl="0">
      <w:lvlJc w:val="left"/>
      <w:lvlText w:val="%1."/>
      <w:numFmt w:val="decimal"/>
      <w:start w:val="4"/>
    </w:lvl>
  </w:abstractNum>
  <w:abstractNum w:abstractNumId="15">
    <w:nsid w:val="C058DF5"/>
    <w:multiLevelType w:val="hybridMultilevel"/>
    <w:lvl w:ilvl="0">
      <w:lvlJc w:val="left"/>
      <w:lvlText w:val="%1."/>
      <w:numFmt w:val="decimal"/>
      <w:start w:val="5"/>
    </w:lvl>
    <w:lvl w:ilvl="1">
      <w:lvlJc w:val="left"/>
      <w:lvlText w:val="(%2)"/>
      <w:numFmt w:val="lowerLetter"/>
      <w:start w:val="10"/>
    </w:lvl>
  </w:abstractNum>
  <w:abstractNum w:abstractNumId="16">
    <w:nsid w:val="CBE5BE9"/>
    <w:multiLevelType w:val="hybridMultilevel"/>
    <w:lvl w:ilvl="0">
      <w:lvlJc w:val="left"/>
      <w:lvlText w:val="%1."/>
      <w:numFmt w:val="upperLetter"/>
      <w:start w:val="1"/>
    </w:lvl>
  </w:abstractNum>
  <w:abstractNum w:abstractNumId="17">
    <w:nsid w:val="3102BBE2"/>
    <w:multiLevelType w:val="hybridMultilevel"/>
    <w:lvl w:ilvl="0">
      <w:lvlJc w:val="left"/>
      <w:lvlText w:val="%1."/>
      <w:numFmt w:val="upperLetter"/>
      <w:start w:val="1"/>
    </w:lvl>
  </w:abstractNum>
  <w:abstractNum w:abstractNumId="18">
    <w:nsid w:val="26A02C5E"/>
    <w:multiLevelType w:val="hybridMultilevel"/>
    <w:lvl w:ilvl="0">
      <w:lvlJc w:val="left"/>
      <w:lvlText w:val="%1."/>
      <w:numFmt w:val="upperLetter"/>
      <w:start w:val="2"/>
    </w:lvl>
  </w:abstractNum>
  <w:abstractNum w:abstractNumId="19">
    <w:nsid w:val="541C815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0">
    <w:nsid w:val="67906F60"/>
    <w:multiLevelType w:val="hybridMultilevel"/>
    <w:lvl w:ilvl="0">
      <w:lvlJc w:val="left"/>
      <w:lvlText w:val="%1."/>
      <w:numFmt w:val="upperLetter"/>
      <w:start w:val="6"/>
    </w:lvl>
    <w:lvl w:ilvl="1">
      <w:lvlJc w:val="left"/>
      <w:lvlText w:val="%2"/>
      <w:numFmt w:val="lowerLetter"/>
      <w:start w:val="1"/>
    </w:lvl>
    <w:lvl w:ilvl="2">
      <w:lvlJc w:val="left"/>
      <w:lvlText w:val="%3"/>
      <w:numFmt w:val="lowerRoman"/>
      <w:start w:val="1"/>
    </w:lvl>
  </w:abstractNum>
  <w:abstractNum w:abstractNumId="21">
    <w:nsid w:val="10DB9DAA"/>
    <w:multiLevelType w:val="hybridMultilevel"/>
    <w:lvl w:ilvl="0">
      <w:lvlJc w:val="left"/>
      <w:lvlText w:val="%1"/>
      <w:numFmt w:val="lowerLetter"/>
      <w:start w:val="1"/>
    </w:lvl>
    <w:lvl w:ilvl="1">
      <w:lvlJc w:val="left"/>
      <w:lvlText w:val="(%2)"/>
      <w:numFmt w:val="lowerLetter"/>
      <w:start w:val="1"/>
    </w:lvl>
  </w:abstractNum>
  <w:abstractNum w:abstractNumId="22">
    <w:nsid w:val="697D2D2"/>
    <w:multiLevelType w:val="hybridMultilevel"/>
    <w:lvl w:ilvl="0">
      <w:lvlJc w:val="left"/>
      <w:lvlText w:val="(%1)"/>
      <w:numFmt w:val="lowerLetter"/>
      <w:start w:val="1"/>
    </w:lvl>
    <w:lvl w:ilvl="1">
      <w:lvlJc w:val="left"/>
      <w:lvlText w:val="%2"/>
      <w:numFmt w:val="lowerLetter"/>
      <w:start w:val="1"/>
    </w:lvl>
  </w:abstractNum>
  <w:abstractNum w:abstractNumId="23">
    <w:nsid w:val="6D68AB2"/>
    <w:multiLevelType w:val="hybridMultilevel"/>
    <w:lvl w:ilvl="0">
      <w:lvlJc w:val="left"/>
      <w:lvlText w:val="%1."/>
      <w:numFmt w:val="upperLetter"/>
      <w:start w:val="1"/>
    </w:lvl>
  </w:abstractNum>
  <w:abstractNum w:abstractNumId="24">
    <w:nsid w:val="3A966CD0"/>
    <w:multiLevelType w:val="hybridMultilevel"/>
    <w:lvl w:ilvl="0">
      <w:lvlJc w:val="left"/>
      <w:lvlText w:val="(%1)"/>
      <w:numFmt w:val="lowerRoman"/>
      <w:start w:val="1"/>
    </w:lvl>
  </w:abstractNum>
  <w:abstractNum w:abstractNumId="25">
    <w:nsid w:val="63F37E85"/>
    <w:multiLevelType w:val="hybridMultilevel"/>
    <w:lvl w:ilvl="0">
      <w:lvlJc w:val="left"/>
      <w:lvlText w:val="(%1)"/>
      <w:numFmt w:val="lowerRoman"/>
      <w:start w:val="2"/>
    </w:lvl>
  </w:abstractNum>
  <w:abstractNum w:abstractNumId="26">
    <w:nsid w:val="5895F5FA"/>
    <w:multiLevelType w:val="hybridMultilevel"/>
    <w:lvl w:ilvl="0">
      <w:lvlJc w:val="left"/>
      <w:lvlText w:val="%1."/>
      <w:numFmt w:val="upperLetter"/>
      <w:start w:val="2"/>
    </w:lvl>
  </w:abstractNum>
  <w:abstractNum w:abstractNumId="27">
    <w:nsid w:val="38A5D054"/>
    <w:multiLevelType w:val="hybridMultilevel"/>
    <w:lvl w:ilvl="0">
      <w:lvlJc w:val="left"/>
      <w:lvlText w:val="%1."/>
      <w:numFmt w:val="upperLetter"/>
      <w:start w:val="7"/>
    </w:lvl>
  </w:abstractNum>
  <w:abstractNum w:abstractNumId="28">
    <w:nsid w:val="F3F09D8"/>
    <w:multiLevelType w:val="hybridMultilevel"/>
    <w:lvl w:ilvl="0">
      <w:lvlJc w:val="left"/>
      <w:lvlText w:val="%1."/>
      <w:numFmt w:val="upperLetter"/>
      <w:start w:val="1"/>
    </w:lvl>
  </w:abstractNum>
  <w:abstractNum w:abstractNumId="29">
    <w:nsid w:val="4B793735"/>
    <w:multiLevelType w:val="hybridMultilevel"/>
    <w:lvl w:ilvl="0">
      <w:lvlJc w:val="left"/>
      <w:lvlText w:val="(%1)"/>
      <w:numFmt w:val="lowerLetter"/>
      <w:start w:val="1"/>
    </w:lvl>
  </w:abstractNum>
  <w:abstractNum w:abstractNumId="30">
    <w:nsid w:val="4A10B4E8"/>
    <w:multiLevelType w:val="hybridMultilevel"/>
    <w:lvl w:ilvl="0">
      <w:lvlJc w:val="left"/>
      <w:lvlText w:val="(%1)"/>
      <w:numFmt w:val="lowerRoman"/>
      <w:start w:val="1"/>
    </w:lvl>
  </w:abstractNum>
  <w:abstractNum w:abstractNumId="31">
    <w:nsid w:val="43D3BCD4"/>
    <w:multiLevelType w:val="hybridMultilevel"/>
    <w:lvl w:ilvl="0">
      <w:lvlJc w:val="left"/>
      <w:lvlText w:val="(%1)"/>
      <w:numFmt w:val="lowerLetter"/>
      <w:start w:val="1"/>
    </w:lvl>
    <w:lvl w:ilvl="1">
      <w:lvlJc w:val="left"/>
      <w:lvlText w:val="(%2)"/>
      <w:numFmt w:val="lowerRoman"/>
      <w:start w:val="1"/>
    </w:lvl>
  </w:abstractNum>
  <w:abstractNum w:abstractNumId="32">
    <w:nsid w:val="4C2A7166"/>
    <w:multiLevelType w:val="hybridMultilevel"/>
    <w:lvl w:ilvl="0">
      <w:lvlJc w:val="left"/>
      <w:lvlText w:val="%1"/>
      <w:numFmt w:val="upperLetter"/>
      <w:start w:val="1"/>
    </w:lvl>
    <w:lvl w:ilvl="1">
      <w:lvlJc w:val="left"/>
      <w:lvlText w:val="(%2)"/>
      <w:numFmt w:val="lowerRoman"/>
      <w:start w:val="4"/>
    </w:lvl>
  </w:abstractNum>
  <w:abstractNum w:abstractNumId="33">
    <w:nsid w:val="2E534A82"/>
    <w:multiLevelType w:val="hybridMultilevel"/>
    <w:lvl w:ilvl="0">
      <w:lvlJc w:val="left"/>
      <w:lvlText w:val="(%1)"/>
      <w:numFmt w:val="upperLetter"/>
      <w:start w:val="1"/>
    </w:lvl>
    <w:lvl w:ilvl="1">
      <w:lvlJc w:val="left"/>
      <w:lvlText w:val="(%2)"/>
      <w:numFmt w:val="lowerRoman"/>
      <w:start w:val="8"/>
    </w:lvl>
  </w:abstractNum>
  <w:abstractNum w:abstractNumId="34">
    <w:nsid w:val="26F2D364"/>
    <w:multiLevelType w:val="hybridMultilevel"/>
    <w:lvl w:ilvl="0">
      <w:lvlJc w:val="left"/>
      <w:lvlText w:val="(%1)"/>
      <w:numFmt w:val="lowerRoman"/>
      <w:start w:val="9"/>
    </w:lvl>
  </w:abstractNum>
  <w:abstractNum w:abstractNumId="35">
    <w:nsid w:val="71C1AF98"/>
    <w:multiLevelType w:val="hybridMultilevel"/>
    <w:lvl w:ilvl="0">
      <w:lvlJc w:val="left"/>
      <w:lvlText w:val="%1"/>
      <w:numFmt w:val="lowerLetter"/>
      <w:start w:val="1"/>
    </w:lvl>
    <w:lvl w:ilvl="1">
      <w:lvlJc w:val="left"/>
      <w:lvlText w:val="(%2)"/>
      <w:numFmt w:val="lowerLetter"/>
      <w:start w:val="2"/>
    </w:lvl>
  </w:abstractNum>
  <w:abstractNum w:abstractNumId="36">
    <w:nsid w:val="3D00B9D9"/>
    <w:multiLevelType w:val="hybridMultilevel"/>
    <w:lvl w:ilvl="0">
      <w:lvlJc w:val="left"/>
      <w:lvlText w:val="(%1)"/>
      <w:numFmt w:val="lowerLetter"/>
      <w:start w:val="35"/>
    </w:lvl>
    <w:lvl w:ilvl="1">
      <w:lvlJc w:val="left"/>
      <w:lvlText w:val="%2"/>
      <w:numFmt w:val="lowerLetter"/>
      <w:start w:val="1"/>
    </w:lvl>
  </w:abstractNum>
  <w:abstractNum w:abstractNumId="37">
    <w:nsid w:val="15BCABA8"/>
    <w:multiLevelType w:val="hybridMultilevel"/>
    <w:lvl w:ilvl="0">
      <w:lvlJc w:val="left"/>
      <w:lvlText w:val="(%1)"/>
      <w:numFmt w:val="lowerLetter"/>
      <w:start w:val="1"/>
    </w:lvl>
  </w:abstractNum>
  <w:abstractNum w:abstractNumId="38">
    <w:nsid w:val="4E0B9A87"/>
    <w:multiLevelType w:val="hybridMultilevel"/>
    <w:lvl w:ilvl="0">
      <w:lvlJc w:val="left"/>
      <w:lvlText w:val="(%1)"/>
      <w:numFmt w:val="lowerRoman"/>
      <w:start w:val="2"/>
    </w:lvl>
  </w:abstractNum>
  <w:abstractNum w:abstractNumId="39">
    <w:nsid w:val="434BAE75"/>
    <w:multiLevelType w:val="hybridMultilevel"/>
    <w:lvl w:ilvl="0">
      <w:lvlJc w:val="left"/>
      <w:lvlText w:val="(%1)"/>
      <w:numFmt w:val="lowerLetter"/>
      <w:start w:val="2"/>
    </w:lvl>
  </w:abstractNum>
  <w:abstractNum w:abstractNumId="40">
    <w:nsid w:val="4F38F265"/>
    <w:multiLevelType w:val="hybridMultilevel"/>
    <w:lvl w:ilvl="0">
      <w:lvlJc w:val="left"/>
      <w:lvlText w:val="(%1)"/>
      <w:numFmt w:val="lowerLetter"/>
      <w:start w:val="1"/>
    </w:lvl>
  </w:abstractNum>
  <w:abstractNum w:abstractNumId="41">
    <w:nsid w:val="4C502870"/>
    <w:multiLevelType w:val="hybridMultilevel"/>
    <w:lvl w:ilvl="0">
      <w:lvlJc w:val="left"/>
      <w:lvlText w:val="(%1)"/>
      <w:numFmt w:val="lowerLetter"/>
      <w:start w:val="2"/>
    </w:lvl>
  </w:abstractNum>
  <w:abstractNum w:abstractNumId="42">
    <w:nsid w:val="1DE8725A"/>
    <w:multiLevelType w:val="hybridMultilevel"/>
    <w:lvl w:ilvl="0">
      <w:lvlJc w:val="left"/>
      <w:lvlText w:val="(%1)"/>
      <w:numFmt w:val="lowerLetter"/>
      <w:start w:val="1"/>
    </w:lvl>
    <w:lvl w:ilvl="1">
      <w:lvlJc w:val="left"/>
      <w:lvlText w:val="(%2)"/>
      <w:numFmt w:val="upperLetter"/>
      <w:start w:val="4"/>
    </w:lvl>
    <w:lvl w:ilvl="2">
      <w:lvlJc w:val="left"/>
      <w:lvlText w:val="(%3)"/>
      <w:numFmt w:val="lowerRoman"/>
      <w:start w:val="1"/>
    </w:lvl>
  </w:abstractNum>
  <w:abstractNum w:abstractNumId="43">
    <w:nsid w:val="6A37288A"/>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44">
    <w:nsid w:val="8F8B73F"/>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1"/>
    </w:lvl>
  </w:abstractNum>
  <w:abstractNum w:abstractNumId="45">
    <w:nsid w:val="CA6B462"/>
    <w:multiLevelType w:val="hybridMultilevel"/>
    <w:lvl w:ilvl="0">
      <w:lvlJc w:val="left"/>
      <w:lvlText w:val="(%1)"/>
      <w:numFmt w:val="lowerLetter"/>
      <w:start w:val="1"/>
    </w:lvl>
    <w:lvl w:ilvl="1">
      <w:lvlJc w:val="left"/>
      <w:lvlText w:val="(%2)"/>
      <w:numFmt w:val="lowerRoman"/>
      <w:start w:val="1"/>
    </w:lvl>
  </w:abstractNum>
  <w:abstractNum w:abstractNumId="46">
    <w:nsid w:val="763CB680"/>
    <w:multiLevelType w:val="hybridMultilevel"/>
    <w:lvl w:ilvl="0">
      <w:lvlJc w:val="left"/>
      <w:lvlText w:val="(%1)"/>
      <w:numFmt w:val="decimal"/>
      <w:start w:val="2"/>
    </w:lvl>
    <w:lvl w:ilvl="1">
      <w:lvlJc w:val="left"/>
      <w:lvlText w:val="(%2)"/>
      <w:numFmt w:val="lowerRoman"/>
      <w:start w:val="5"/>
    </w:lvl>
  </w:abstractNum>
  <w:abstractNum w:abstractNumId="47">
    <w:nsid w:val="15B71329"/>
    <w:multiLevelType w:val="hybridMultilevel"/>
    <w:lvl w:ilvl="0">
      <w:lvlJc w:val="left"/>
      <w:lvlText w:val="(%1)"/>
      <w:numFmt w:val="lowerRoman"/>
      <w:start w:val="11"/>
    </w:lvl>
  </w:abstractNum>
  <w:abstractNum w:abstractNumId="48">
    <w:nsid w:val="3DA9704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4"/>
    </w:lvl>
  </w:abstractNum>
  <w:abstractNum w:abstractNumId="49">
    <w:nsid w:val="1CDCE2DE"/>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50">
    <w:nsid w:val="69D3947C"/>
    <w:multiLevelType w:val="hybridMultilevel"/>
    <w:lvl w:ilvl="0">
      <w:lvlJc w:val="left"/>
      <w:lvlText w:val="(%1)"/>
      <w:numFmt w:val="lowerLetter"/>
      <w:start w:val="25"/>
    </w:lvl>
    <w:lvl w:ilvl="1">
      <w:lvlJc w:val="left"/>
      <w:lvlText w:val="(%2)"/>
      <w:numFmt w:val="lowerLetter"/>
      <w:start w:val="6"/>
    </w:lvl>
    <w:lvl w:ilvl="2">
      <w:lvlJc w:val="left"/>
      <w:lvlText w:val="%3"/>
      <w:numFmt w:val="lowerRoman"/>
      <w:start w:val="1"/>
    </w:lvl>
  </w:abstractNum>
  <w:abstractNum w:abstractNumId="51">
    <w:nsid w:val="2539DFA5"/>
    <w:multiLevelType w:val="hybridMultilevel"/>
    <w:lvl w:ilvl="0">
      <w:lvlJc w:val="left"/>
      <w:lvlText w:val="(%1)"/>
      <w:numFmt w:val="lowerLetter"/>
      <w:start w:val="11"/>
    </w:lvl>
  </w:abstractNum>
  <w:abstractNum w:abstractNumId="52">
    <w:nsid w:val="2DB88089"/>
    <w:multiLevelType w:val="hybridMultilevel"/>
    <w:lvl w:ilvl="0">
      <w:lvlJc w:val="left"/>
      <w:lvlText w:val="(%1)"/>
      <w:numFmt w:val="lowerLetter"/>
      <w:start w:val="1"/>
    </w:lvl>
  </w:abstractNum>
  <w:abstractNum w:abstractNumId="53">
    <w:nsid w:val="706B674E"/>
    <w:multiLevelType w:val="hybridMultilevel"/>
    <w:lvl w:ilvl="0">
      <w:lvlJc w:val="left"/>
      <w:lvlText w:val="%1"/>
      <w:numFmt w:val="upperLetter"/>
      <w:start w:val="1"/>
    </w:lvl>
    <w:lvl w:ilvl="1">
      <w:lvlJc w:val="left"/>
      <w:lvlText w:val="(%2)"/>
      <w:numFmt w:val="lowerLetter"/>
      <w:start w:val="1"/>
    </w:lvl>
  </w:abstractNum>
  <w:abstractNum w:abstractNumId="54">
    <w:nsid w:val="2C106A57"/>
    <w:multiLevelType w:val="hybridMultilevel"/>
    <w:lvl w:ilvl="0">
      <w:lvlJc w:val="left"/>
      <w:lvlText w:val="(%1)"/>
      <w:numFmt w:val="upperLetter"/>
      <w:start w:val="2"/>
    </w:lvl>
    <w:lvl w:ilvl="1">
      <w:lvlJc w:val="left"/>
      <w:lvlText w:val="(%2)"/>
      <w:numFmt w:val="lowerLetter"/>
      <w:start w:val="4"/>
    </w:lvl>
  </w:abstractNum>
  <w:abstractNum w:abstractNumId="55">
    <w:nsid w:val="684EED59"/>
    <w:multiLevelType w:val="hybridMultilevel"/>
    <w:lvl w:ilvl="0">
      <w:lvlJc w:val="left"/>
      <w:lvlText w:val="%1"/>
      <w:numFmt w:val="lowerLetter"/>
      <w:start w:val="1"/>
    </w:lvl>
    <w:lvl w:ilvl="1">
      <w:lvlJc w:val="left"/>
      <w:lvlText w:val="(%2)"/>
      <w:numFmt w:val="lowerLetter"/>
      <w:start w:val="7"/>
    </w:lvl>
  </w:abstractNum>
  <w:abstractNum w:abstractNumId="56">
    <w:nsid w:val="545EE5D3"/>
    <w:multiLevelType w:val="hybridMultilevel"/>
    <w:lvl w:ilvl="0">
      <w:lvlJc w:val="left"/>
      <w:lvlText w:val="(%1)"/>
      <w:numFmt w:val="lowerLetter"/>
      <w:start w:val="61"/>
    </w:lvl>
    <w:lvl w:ilvl="1">
      <w:lvlJc w:val="left"/>
      <w:lvlText w:val="(%2)"/>
      <w:numFmt w:val="lowerLetter"/>
      <w:start w:val="8"/>
    </w:lvl>
  </w:abstractNum>
  <w:abstractNum w:abstractNumId="57">
    <w:nsid w:val="4A66051"/>
    <w:multiLevelType w:val="hybridMultilevel"/>
    <w:lvl w:ilvl="0">
      <w:lvlJc w:val="left"/>
      <w:lvlText w:val="(%1)"/>
      <w:numFmt w:val="lowerRoman"/>
      <w:start w:val="1"/>
    </w:lvl>
  </w:abstractNum>
  <w:abstractNum w:abstractNumId="58">
    <w:nsid w:val="20F4BDAD"/>
    <w:multiLevelType w:val="hybridMultilevel"/>
    <w:lvl w:ilvl="0">
      <w:lvlJc w:val="left"/>
      <w:lvlText w:val="(%1)"/>
      <w:numFmt w:val="lowerLetter"/>
      <w:start w:val="2"/>
    </w:lvl>
  </w:abstractNum>
  <w:abstractNum w:abstractNumId="59">
    <w:nsid w:val="639DEFAC"/>
    <w:multiLevelType w:val="hybridMultilevel"/>
    <w:lvl w:ilvl="0">
      <w:lvlJc w:val="left"/>
      <w:lvlText w:val="(%1)"/>
      <w:numFmt w:val="lowerLetter"/>
      <w:start w:val="2"/>
    </w:lvl>
  </w:abstractNum>
  <w:abstractNum w:abstractNumId="60">
    <w:nsid w:val="501F9786"/>
    <w:multiLevelType w:val="hybridMultilevel"/>
    <w:lvl w:ilvl="0">
      <w:lvlJc w:val="left"/>
      <w:lvlText w:val="(%1)"/>
      <w:numFmt w:val="lowerRoman"/>
      <w:start w:val="1"/>
    </w:lvl>
    <w:lvl w:ilvl="1">
      <w:lvlJc w:val="left"/>
      <w:lvlText w:val="(%2)"/>
      <w:numFmt w:val="decimal"/>
      <w:start w:val="2"/>
    </w:lvl>
  </w:abstractNum>
  <w:abstractNum w:abstractNumId="61">
    <w:nsid w:val="6B057295"/>
    <w:multiLevelType w:val="hybridMultilevel"/>
    <w:lvl w:ilvl="0">
      <w:lvlJc w:val="left"/>
      <w:lvlText w:val="(%1)"/>
      <w:numFmt w:val="lowerLetter"/>
      <w:start w:val="1"/>
    </w:lvl>
  </w:abstractNum>
  <w:abstractNum w:abstractNumId="62">
    <w:nsid w:val="2771AC80"/>
    <w:multiLevelType w:val="hybridMultilevel"/>
    <w:lvl w:ilvl="0">
      <w:lvlJc w:val="left"/>
      <w:lvlText w:val="(%1)"/>
      <w:numFmt w:val="lowerLetter"/>
      <w:start w:val="3"/>
    </w:lvl>
  </w:abstractNum>
  <w:abstractNum w:abstractNumId="63">
    <w:nsid w:val="1C4A08EC"/>
    <w:multiLevelType w:val="hybridMultilevel"/>
    <w:lvl w:ilvl="0">
      <w:lvlJc w:val="left"/>
      <w:lvlText w:val="(%1)"/>
      <w:numFmt w:val="lowerLetter"/>
      <w:start w:val="1"/>
    </w:lvl>
  </w:abstractNum>
  <w:abstractNum w:abstractNumId="64">
    <w:nsid w:val="1958BD17"/>
    <w:multiLevelType w:val="hybridMultilevel"/>
    <w:lvl w:ilvl="0">
      <w:lvlJc w:val="left"/>
      <w:lvlText w:val="(%1)"/>
      <w:numFmt w:val="lowerLetter"/>
      <w:start w:val="1"/>
    </w:lvl>
  </w:abstractNum>
  <w:abstractNum w:abstractNumId="65">
    <w:nsid w:val="4E647FE4"/>
    <w:multiLevelType w:val="hybridMultilevel"/>
    <w:lvl w:ilvl="0">
      <w:lvlJc w:val="left"/>
      <w:lvlText w:val="%1"/>
      <w:numFmt w:val="upperLetter"/>
      <w:start w:val="1"/>
    </w:lvl>
    <w:lvl w:ilvl="1">
      <w:lvlJc w:val="left"/>
      <w:lvlText w:val="(%2)"/>
      <w:numFmt w:val="lowerLetter"/>
      <w:start w:val="2"/>
    </w:lvl>
  </w:abstractNum>
  <w:abstractNum w:abstractNumId="66">
    <w:nsid w:val="E0BB885"/>
    <w:multiLevelType w:val="hybridMultilevel"/>
    <w:lvl w:ilvl="0">
      <w:lvlJc w:val="left"/>
      <w:lvlText w:val="(%1)"/>
      <w:numFmt w:val="upperLetter"/>
      <w:start w:val="1"/>
    </w:lvl>
    <w:lvl w:ilvl="1">
      <w:lvlJc w:val="left"/>
      <w:lvlText w:val="(%2)"/>
      <w:numFmt w:val="lowerLetter"/>
      <w:start w:val="9"/>
    </w:lvl>
  </w:abstractNum>
  <w:abstractNum w:abstractNumId="67">
    <w:nsid w:val="565976F1"/>
    <w:multiLevelType w:val="hybridMultilevel"/>
    <w:lvl w:ilvl="0">
      <w:lvlJc w:val="left"/>
      <w:lvlText w:val="(%1)"/>
      <w:numFmt w:val="lowerLetter"/>
      <w:start w:val="11"/>
    </w:lvl>
  </w:abstractNum>
  <w:abstractNum w:abstractNumId="68">
    <w:nsid w:val="64212B8C"/>
    <w:multiLevelType w:val="hybridMultilevel"/>
    <w:lvl w:ilvl="0">
      <w:lvlJc w:val="left"/>
      <w:lvlText w:val="%1"/>
      <w:numFmt w:val="decimal"/>
      <w:start w:val="1"/>
    </w:lvl>
    <w:lvl w:ilvl="1">
      <w:lvlJc w:val="left"/>
      <w:lvlText w:val="(%2)"/>
      <w:numFmt w:val="lowerLetter"/>
      <w:start w:val="1"/>
    </w:lvl>
  </w:abstractNum>
  <w:abstractNum w:abstractNumId="69">
    <w:nsid w:val="5C17530C"/>
    <w:multiLevelType w:val="hybridMultilevel"/>
    <w:lvl w:ilvl="0">
      <w:lvlJc w:val="left"/>
      <w:lvlText w:val="(%1)"/>
      <w:numFmt w:val="decimal"/>
      <w:start w:val="47"/>
    </w:lvl>
    <w:lvl w:ilvl="1">
      <w:lvlJc w:val="left"/>
      <w:lvlText w:val="%2"/>
      <w:numFmt w:val="lowerLetter"/>
      <w:start w:val="1"/>
    </w:lvl>
  </w:abstractNum>
  <w:abstractNum w:abstractNumId="70">
    <w:nsid w:val="19A52566"/>
    <w:multiLevelType w:val="hybridMultilevel"/>
    <w:lvl w:ilvl="0">
      <w:lvlJc w:val="left"/>
      <w:lvlText w:val="(%1)"/>
      <w:numFmt w:val="lowerLetter"/>
      <w:start w:val="13"/>
    </w:lvl>
  </w:abstractNum>
  <w:abstractNum w:abstractNumId="71">
    <w:nsid w:val="335A1DF1"/>
    <w:multiLevelType w:val="hybridMultilevel"/>
    <w:lvl w:ilvl="0">
      <w:lvlJc w:val="left"/>
      <w:lvlText w:val="(%1)"/>
      <w:numFmt w:val="lowerRoman"/>
      <w:start w:val="2"/>
    </w:lvl>
  </w:abstractNum>
  <w:abstractNum w:abstractNumId="72">
    <w:nsid w:val="28677B7C"/>
    <w:multiLevelType w:val="hybridMultilevel"/>
    <w:lvl w:ilvl="0">
      <w:lvlJc w:val="left"/>
      <w:lvlText w:val="(%1)"/>
      <w:numFmt w:val="lowerLetter"/>
      <w:start w:val="1"/>
    </w:lvl>
    <w:lvl w:ilvl="1">
      <w:lvlJc w:val="left"/>
      <w:lvlText w:val="(%2)"/>
      <w:numFmt w:val="lowerLetter"/>
      <w:start w:val="9"/>
    </w:lvl>
  </w:abstractNum>
  <w:abstractNum w:abstractNumId="73">
    <w:nsid w:val="378D97C0"/>
    <w:multiLevelType w:val="hybridMultilevel"/>
    <w:lvl w:ilvl="0">
      <w:lvlJc w:val="left"/>
      <w:lvlText w:val="(%1)"/>
      <w:numFmt w:val="lowerRoman"/>
      <w:start w:val="2"/>
    </w:lvl>
  </w:abstractNum>
  <w:abstractNum w:abstractNumId="74">
    <w:nsid w:val="1D91467C"/>
    <w:multiLevelType w:val="hybridMultilevel"/>
    <w:lvl w:ilvl="0">
      <w:lvlJc w:val="left"/>
      <w:lvlText w:val="(%1)"/>
      <w:numFmt w:val="lowerLetter"/>
      <w:start w:val="1"/>
    </w:lvl>
  </w:abstractNum>
  <w:abstractNum w:abstractNumId="75">
    <w:nsid w:val="316032BB"/>
    <w:multiLevelType w:val="hybridMultilevel"/>
    <w:lvl w:ilvl="0">
      <w:lvlJc w:val="left"/>
      <w:lvlText w:val="(%1)"/>
      <w:numFmt w:val="lowerLetter"/>
      <w:start w:val="1"/>
    </w:lvl>
  </w:abstractNum>
  <w:abstractNum w:abstractNumId="76">
    <w:nsid w:val="44344C22"/>
    <w:multiLevelType w:val="hybridMultilevel"/>
    <w:lvl w:ilvl="0">
      <w:lvlJc w:val="left"/>
      <w:lvlText w:val="(%1)"/>
      <w:numFmt w:val="lowerLetter"/>
      <w:start w:val="6"/>
    </w:lvl>
  </w:abstractNum>
  <w:abstractNum w:abstractNumId="77">
    <w:nsid w:val="13CDFCFC"/>
    <w:multiLevelType w:val="hybridMultilevel"/>
    <w:lvl w:ilvl="0">
      <w:lvlJc w:val="left"/>
      <w:lvlText w:val="%1"/>
      <w:numFmt w:val="upperLetter"/>
      <w:start w:val="1"/>
    </w:lvl>
    <w:lvl w:ilvl="1">
      <w:lvlJc w:val="left"/>
      <w:lvlText w:val="(%2)"/>
      <w:numFmt w:val="lowerLetter"/>
      <w:start w:val="1"/>
    </w:lvl>
  </w:abstractNum>
  <w:abstractNum w:abstractNumId="78">
    <w:nsid w:val="471745E4"/>
    <w:multiLevelType w:val="hybridMultilevel"/>
    <w:lvl w:ilvl="0">
      <w:lvlJc w:val="left"/>
      <w:lvlText w:val="(%1)"/>
      <w:numFmt w:val="upperLetter"/>
      <w:start w:val="2"/>
    </w:lvl>
    <w:lvl w:ilvl="1">
      <w:lvlJc w:val="left"/>
      <w:lvlText w:val="%2"/>
      <w:numFmt w:val="lowerLetter"/>
      <w:start w:val="1"/>
    </w:lvl>
  </w:abstractNum>
  <w:abstractNum w:abstractNumId="79">
    <w:nsid w:val="1DDBC66"/>
    <w:multiLevelType w:val="hybridMultilevel"/>
    <w:lvl w:ilvl="0">
      <w:lvlJc w:val="left"/>
      <w:lvlText w:val="(%1)"/>
      <w:numFmt w:val="lowerRoman"/>
      <w:start w:val="4"/>
    </w:lvl>
    <w:lvl w:ilvl="1">
      <w:lvlJc w:val="left"/>
      <w:lvlText w:val="(%2)"/>
      <w:numFmt w:val="lowerLetter"/>
      <w:start w:val="5"/>
    </w:lvl>
  </w:abstractNum>
  <w:abstractNum w:abstractNumId="80">
    <w:nsid w:val="30AADFDA"/>
    <w:multiLevelType w:val="hybridMultilevel"/>
    <w:lvl w:ilvl="0">
      <w:lvlJc w:val="left"/>
      <w:lvlText w:val="(%1)"/>
      <w:numFmt w:val="lowerLetter"/>
      <w:start w:val="1"/>
    </w:lvl>
  </w:abstractNum>
  <w:abstractNum w:abstractNumId="81">
    <w:nsid w:val="30EADA61"/>
    <w:multiLevelType w:val="hybridMultilevel"/>
    <w:lvl w:ilvl="0">
      <w:lvlJc w:val="left"/>
      <w:lvlText w:val="(%1)"/>
      <w:numFmt w:val="lowerLetter"/>
      <w:start w:val="1"/>
    </w:lvl>
    <w:lvl w:ilvl="1">
      <w:lvlJc w:val="left"/>
      <w:lvlText w:val="(%2)"/>
      <w:numFmt w:val="lowerRoman"/>
      <w:start w:val="1"/>
    </w:lvl>
  </w:abstractNum>
  <w:abstractNum w:abstractNumId="82">
    <w:nsid w:val="27179C0B"/>
    <w:multiLevelType w:val="hybridMultilevel"/>
    <w:lvl w:ilvl="0">
      <w:lvlJc w:val="left"/>
      <w:lvlText w:val="(%1)"/>
      <w:numFmt w:val="lowerLetter"/>
      <w:start w:val="1"/>
    </w:lvl>
  </w:abstractNum>
  <w:abstractNum w:abstractNumId="83">
    <w:nsid w:val="5E636063"/>
    <w:multiLevelType w:val="hybridMultilevel"/>
    <w:lvl w:ilvl="0">
      <w:lvlJc w:val="left"/>
      <w:lvlText w:val="%1"/>
      <w:numFmt w:val="lowerLetter"/>
      <w:start w:val="1"/>
    </w:lvl>
    <w:lvl w:ilvl="1">
      <w:lvlJc w:val="left"/>
      <w:lvlText w:val="(%2)"/>
      <w:numFmt w:val="lowerRoman"/>
      <w:start w:val="1"/>
    </w:lvl>
  </w:abstractNum>
  <w:abstractNum w:abstractNumId="84">
    <w:nsid w:val="215641AF"/>
    <w:multiLevelType w:val="hybridMultilevel"/>
    <w:lvl w:ilvl="0">
      <w:lvlJc w:val="left"/>
      <w:lvlText w:val="(%1)"/>
      <w:numFmt w:val="lowerLetter"/>
      <w:start w:val="2"/>
    </w:lvl>
    <w:lvl w:ilvl="1">
      <w:lvlJc w:val="left"/>
      <w:lvlText w:val="%2"/>
      <w:numFmt w:val="lowerRoman"/>
      <w:start w:val="1"/>
    </w:lvl>
  </w:abstractNum>
  <w:abstractNum w:abstractNumId="85">
    <w:nsid w:val="53280662"/>
    <w:multiLevelType w:val="hybridMultilevel"/>
    <w:lvl w:ilvl="0">
      <w:lvlJc w:val="left"/>
      <w:lvlText w:val="(%1)"/>
      <w:numFmt w:val="lowerLetter"/>
      <w:start w:val="1"/>
    </w:lvl>
  </w:abstractNum>
  <w:abstractNum w:abstractNumId="86">
    <w:nsid w:val="46B24DBC"/>
    <w:multiLevelType w:val="hybridMultilevel"/>
    <w:lvl w:ilvl="0">
      <w:lvlJc w:val="left"/>
      <w:lvlText w:val="(%1)"/>
      <w:numFmt w:val="lowerLetter"/>
      <w:start w:val="35"/>
    </w:lvl>
    <w:lvl w:ilvl="1">
      <w:lvlJc w:val="left"/>
      <w:lvlText w:val="(%2)"/>
      <w:numFmt w:val="lowerLetter"/>
      <w:start w:val="6"/>
    </w:lvl>
  </w:abstractNum>
  <w:abstractNum w:abstractNumId="87">
    <w:nsid w:val="75B52783"/>
    <w:multiLevelType w:val="hybridMultilevel"/>
    <w:lvl w:ilvl="0">
      <w:lvlJc w:val="left"/>
      <w:lvlText w:val="(%1)"/>
      <w:numFmt w:val="lowerLetter"/>
      <w:start w:val="3"/>
    </w:lvl>
  </w:abstractNum>
  <w:abstractNum w:abstractNumId="88">
    <w:nsid w:val="57CE66B4"/>
    <w:multiLevelType w:val="hybridMultilevel"/>
    <w:lvl w:ilvl="0">
      <w:lvlJc w:val="left"/>
      <w:lvlText w:val="(%1)"/>
      <w:numFmt w:val="lowerRoman"/>
      <w:start w:val="2"/>
    </w:lvl>
  </w:abstractNum>
  <w:abstractNum w:abstractNumId="89">
    <w:nsid w:val="67A70B69"/>
    <w:multiLevelType w:val="hybridMultilevel"/>
    <w:lvl w:ilvl="0">
      <w:lvlJc w:val="left"/>
      <w:lvlText w:val="(%1)"/>
      <w:numFmt w:val="lowerLetter"/>
      <w:start w:val="4"/>
    </w:lvl>
  </w:abstractNum>
  <w:abstractNum w:abstractNumId="90">
    <w:nsid w:val="5953172F"/>
    <w:multiLevelType w:val="hybridMultilevel"/>
    <w:lvl w:ilvl="0">
      <w:lvlJc w:val="left"/>
      <w:lvlText w:val="(%1)"/>
      <w:numFmt w:val="lowerLetter"/>
      <w:start w:val="1"/>
    </w:lvl>
  </w:abstractNum>
  <w:abstractNum w:abstractNumId="91">
    <w:nsid w:val="27EDFE3A"/>
    <w:multiLevelType w:val="hybridMultilevel"/>
    <w:lvl w:ilvl="0">
      <w:lvlJc w:val="left"/>
      <w:lvlText w:val="(%1)"/>
      <w:numFmt w:val="lowerLetter"/>
      <w:start w:val="1"/>
    </w:lvl>
  </w:abstractNum>
  <w:abstractNum w:abstractNumId="92">
    <w:nsid w:val="52AC7DFF"/>
    <w:multiLevelType w:val="hybridMultilevel"/>
    <w:lvl w:ilvl="0">
      <w:lvlJc w:val="left"/>
      <w:lvlText w:val="(%1)"/>
      <w:numFmt w:val="lowerLetter"/>
      <w:start w:val="1"/>
    </w:lvl>
  </w:abstractNum>
  <w:abstractNum w:abstractNumId="93">
    <w:nsid w:val="C4C3AF"/>
    <w:multiLevelType w:val="hybridMultilevel"/>
    <w:lvl w:ilvl="0">
      <w:lvlJc w:val="left"/>
      <w:lvlText w:val="(%1)"/>
      <w:numFmt w:val="lowerLetter"/>
      <w:start w:val="1"/>
    </w:lvl>
  </w:abstractNum>
  <w:abstractNum w:abstractNumId="94">
    <w:nsid w:val="44380727"/>
    <w:multiLevelType w:val="hybridMultilevel"/>
    <w:lvl w:ilvl="0">
      <w:lvlJc w:val="left"/>
      <w:lvlText w:val="(%1)"/>
      <w:numFmt w:val="lowerLetter"/>
      <w:start w:val="3"/>
    </w:lvl>
  </w:abstractNum>
  <w:abstractNum w:abstractNumId="95">
    <w:nsid w:val="6C053B16"/>
    <w:multiLevelType w:val="hybridMultilevel"/>
    <w:lvl w:ilvl="0">
      <w:lvlJc w:val="left"/>
      <w:lvlText w:val="(%1)"/>
      <w:numFmt w:val="lowerLetter"/>
      <w:start w:val="12"/>
    </w:lvl>
    <w:lvl w:ilvl="1">
      <w:lvlJc w:val="left"/>
      <w:lvlText w:val="(%2)"/>
      <w:numFmt w:val="lowerRoman"/>
      <w:start w:val="1"/>
    </w:lvl>
  </w:abstractNum>
  <w:abstractNum w:abstractNumId="96">
    <w:nsid w:val="4F294393"/>
    <w:multiLevelType w:val="hybridMultilevel"/>
    <w:lvl w:ilvl="0">
      <w:lvlJc w:val="left"/>
      <w:lvlText w:val="(%1)"/>
      <w:numFmt w:val="lowerLetter"/>
      <w:start w:val="13"/>
    </w:lvl>
  </w:abstractNum>
  <w:abstractNum w:abstractNumId="97">
    <w:nsid w:val="5243BFAC"/>
    <w:multiLevelType w:val="hybridMultilevel"/>
    <w:lvl w:ilvl="0">
      <w:lvlJc w:val="left"/>
      <w:lvlText w:val="(%1)"/>
      <w:numFmt w:val="lowerLetter"/>
      <w:start w:val="14"/>
    </w:lvl>
  </w:abstractNum>
  <w:abstractNum w:abstractNumId="98">
    <w:nsid w:val="425EB207"/>
    <w:multiLevelType w:val="hybridMultilevel"/>
    <w:lvl w:ilvl="0">
      <w:lvlJc w:val="left"/>
      <w:lvlText w:val="(%1)"/>
      <w:numFmt w:val="lowerLetter"/>
      <w:start w:val="1"/>
    </w:lvl>
  </w:abstractNum>
  <w:abstractNum w:abstractNumId="99">
    <w:nsid w:val="334A6F1F"/>
    <w:multiLevelType w:val="hybridMultilevel"/>
    <w:lvl w:ilvl="0">
      <w:lvlJc w:val="left"/>
      <w:lvlText w:val="(%1)"/>
      <w:numFmt w:val="lowerLetter"/>
      <w:start w:val="3"/>
    </w:lvl>
  </w:abstractNum>
  <w:abstractNum w:abstractNumId="100">
    <w:nsid w:val="2E5B12B8"/>
    <w:multiLevelType w:val="hybridMultilevel"/>
    <w:lvl w:ilvl="0">
      <w:lvlJc w:val="left"/>
      <w:lvlText w:val="&amp;"/>
      <w:numFmt w:val="bullet"/>
      <w:start w:val="1"/>
    </w:lvl>
    <w:lvl w:ilvl="1">
      <w:lvlJc w:val="left"/>
      <w:lvlText w:val="(%2)"/>
      <w:numFmt w:val="lowerLetter"/>
      <w:start w:val="1"/>
    </w:lvl>
  </w:abstractNum>
  <w:abstractNum w:abstractNumId="101">
    <w:nsid w:val="5C03D76D"/>
    <w:multiLevelType w:val="hybridMultilevel"/>
    <w:lvl w:ilvl="0">
      <w:lvlJc w:val="left"/>
      <w:lvlText w:val="(%1)"/>
      <w:numFmt w:val="lowerLetter"/>
      <w:start w:val="3"/>
    </w:lvl>
  </w:abstractNum>
  <w:abstractNum w:abstractNumId="102">
    <w:nsid w:val="66A48D11"/>
    <w:multiLevelType w:val="hybridMultilevel"/>
    <w:lvl w:ilvl="0">
      <w:lvlJc w:val="left"/>
      <w:lvlText w:val="(%1)"/>
      <w:numFmt w:val="lowerLetter"/>
      <w:start w:val="1"/>
    </w:lvl>
  </w:abstractNum>
  <w:abstractNum w:abstractNumId="103">
    <w:nsid w:val="56C28E34"/>
    <w:multiLevelType w:val="hybridMultilevel"/>
    <w:lvl w:ilvl="0">
      <w:lvlJc w:val="left"/>
      <w:lvlText w:val="(%1)"/>
      <w:numFmt w:val="lowerLetter"/>
      <w:start w:val="1"/>
    </w:lvl>
  </w:abstractNum>
  <w:abstractNum w:abstractNumId="104">
    <w:nsid w:val="13916F2D"/>
    <w:multiLevelType w:val="hybridMultilevel"/>
    <w:lvl w:ilvl="0">
      <w:lvlJc w:val="left"/>
      <w:lvlText w:val="(%1)"/>
      <w:numFmt w:val="decimal"/>
      <w:start w:val="2"/>
    </w:lvl>
    <w:lvl w:ilvl="1">
      <w:lvlJc w:val="left"/>
      <w:lvlText w:val="(%2)"/>
      <w:numFmt w:val="lowerLetter"/>
      <w:start w:val="2"/>
    </w:lvl>
  </w:abstractNum>
  <w:abstractNum w:abstractNumId="105">
    <w:nsid w:val="435D38D"/>
    <w:multiLevelType w:val="hybridMultilevel"/>
    <w:lvl w:ilvl="0">
      <w:lvlJc w:val="left"/>
      <w:lvlText w:val="(%1)"/>
      <w:numFmt w:val="lowerLetter"/>
      <w:start w:val="4"/>
    </w:lvl>
  </w:abstractNum>
  <w:abstractNum w:abstractNumId="106">
    <w:nsid w:val="822C0EF"/>
    <w:multiLevelType w:val="hybridMultilevel"/>
    <w:lvl w:ilvl="0">
      <w:lvlJc w:val="left"/>
      <w:lvlText w:val="(%1)"/>
      <w:numFmt w:val="lowerLetter"/>
      <w:start w:val="1"/>
    </w:lvl>
    <w:lvl w:ilvl="1">
      <w:lvlJc w:val="left"/>
      <w:lvlText w:val="(%2)"/>
      <w:numFmt w:val="lowerRoman"/>
      <w:start w:val="1"/>
    </w:lvl>
  </w:abstractNum>
  <w:abstractNum w:abstractNumId="107">
    <w:nsid w:val="57C5BB4F"/>
    <w:multiLevelType w:val="hybridMultilevel"/>
    <w:lvl w:ilvl="0">
      <w:lvlJc w:val="left"/>
      <w:lvlText w:val="(%1)"/>
      <w:numFmt w:val="lowerLetter"/>
      <w:start w:val="2"/>
    </w:lvl>
    <w:lvl w:ilvl="1">
      <w:lvlJc w:val="left"/>
      <w:lvlText w:val="(%2)"/>
      <w:numFmt w:val="lowerRoman"/>
      <w:start w:val="3"/>
    </w:lvl>
  </w:abstractNum>
  <w:abstractNum w:abstractNumId="108">
    <w:nsid w:val="1803D089"/>
    <w:multiLevelType w:val="hybridMultilevel"/>
    <w:lvl w:ilvl="0">
      <w:lvlJc w:val="left"/>
      <w:lvlText w:val="(%1)"/>
      <w:numFmt w:val="lowerLetter"/>
      <w:start w:val="4"/>
    </w:lvl>
    <w:lvl w:ilvl="1">
      <w:lvlJc w:val="left"/>
      <w:lvlText w:val="%2"/>
      <w:numFmt w:val="lowerLetter"/>
      <w:start w:val="1"/>
    </w:lvl>
  </w:abstractNum>
  <w:abstractNum w:abstractNumId="109">
    <w:nsid w:val="4F3A06D4"/>
    <w:multiLevelType w:val="hybridMultilevel"/>
    <w:lvl w:ilvl="0">
      <w:lvlJc w:val="left"/>
      <w:lvlText w:val="(%1)"/>
      <w:numFmt w:val="lowerLetter"/>
      <w:start w:val="2"/>
    </w:lvl>
    <w:lvl w:ilvl="1">
      <w:lvlJc w:val="left"/>
      <w:lvlText w:val="%2"/>
      <w:numFmt w:val="lowerLetter"/>
      <w:start w:val="1"/>
    </w:lvl>
  </w:abstractNum>
  <w:abstractNum w:abstractNumId="110">
    <w:nsid w:val="59A377B6"/>
    <w:multiLevelType w:val="hybridMultilevel"/>
    <w:lvl w:ilvl="0">
      <w:lvlJc w:val="left"/>
      <w:lvlText w:val="(%1)"/>
      <w:numFmt w:val="lowerLetter"/>
      <w:start w:val="8"/>
    </w:lvl>
  </w:abstractNum>
  <w:abstractNum w:abstractNumId="111">
    <w:nsid w:val="48AEB063"/>
    <w:multiLevelType w:val="hybridMultilevel"/>
    <w:lvl w:ilvl="0">
      <w:lvlJc w:val="left"/>
      <w:lvlText w:val="(%1)"/>
      <w:numFmt w:val="lowerLetter"/>
      <w:start w:val="1"/>
    </w:lvl>
  </w:abstractNum>
  <w:abstractNum w:abstractNumId="112">
    <w:nsid w:val="24E135"/>
    <w:multiLevelType w:val="hybridMultilevel"/>
    <w:lvl w:ilvl="0">
      <w:lvlJc w:val="left"/>
      <w:lvlText w:val="(%1)"/>
      <w:numFmt w:val="lowerLetter"/>
      <w:start w:val="5"/>
    </w:lvl>
  </w:abstractNum>
  <w:abstractNum w:abstractNumId="113">
    <w:nsid w:val="BB13C1"/>
    <w:multiLevelType w:val="hybridMultilevel"/>
    <w:lvl w:ilvl="0">
      <w:lvlJc w:val="left"/>
      <w:lvlText w:val="(%1)"/>
      <w:numFmt w:val="lowerLetter"/>
      <w:start w:val="1"/>
    </w:lvl>
  </w:abstractNum>
  <w:abstractNum w:abstractNumId="114">
    <w:nsid w:val="271210C7"/>
    <w:multiLevelType w:val="hybridMultilevel"/>
    <w:lvl w:ilvl="0">
      <w:lvlJc w:val="left"/>
      <w:lvlText w:val="(%1)"/>
      <w:numFmt w:val="lowerLetter"/>
      <w:start w:val="2"/>
    </w:lvl>
  </w:abstractNum>
  <w:abstractNum w:abstractNumId="115">
    <w:nsid w:val="217B22E4"/>
    <w:multiLevelType w:val="hybridMultilevel"/>
    <w:lvl w:ilvl="0">
      <w:lvlJc w:val="left"/>
      <w:lvlText w:val="(%1)"/>
      <w:numFmt w:val="lowerLetter"/>
      <w:start w:val="1"/>
    </w:lvl>
  </w:abstractNum>
  <w:abstractNum w:abstractNumId="116">
    <w:nsid w:val="53E31A24"/>
    <w:multiLevelType w:val="hybridMultilevel"/>
    <w:lvl w:ilvl="0">
      <w:lvlJc w:val="left"/>
      <w:lvlText w:val="(%1)"/>
      <w:numFmt w:val="lowerLetter"/>
      <w:start w:val="4"/>
    </w:lvl>
  </w:abstractNum>
  <w:abstractNum w:abstractNumId="117">
    <w:nsid w:val="6DC45E83"/>
    <w:multiLevelType w:val="hybridMultilevel"/>
    <w:lvl w:ilvl="0">
      <w:lvlJc w:val="left"/>
      <w:lvlText w:val="(%1)"/>
      <w:numFmt w:val="lowerLetter"/>
      <w:start w:val="1"/>
    </w:lvl>
  </w:abstractNum>
  <w:abstractNum w:abstractNumId="118">
    <w:nsid w:val="17304A67"/>
    <w:multiLevelType w:val="hybridMultilevel"/>
    <w:lvl w:ilvl="0">
      <w:lvlJc w:val="left"/>
      <w:lvlText w:val="(%1)"/>
      <w:numFmt w:val="lowerLetter"/>
      <w:start w:val="2"/>
    </w:lvl>
  </w:abstractNum>
  <w:abstractNum w:abstractNumId="119">
    <w:nsid w:val="2BB180D8"/>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9"/>
    </w:lvl>
  </w:abstractNum>
  <w:abstractNum w:abstractNumId="120">
    <w:nsid w:val="556B69ED"/>
    <w:multiLevelType w:val="hybridMultilevel"/>
    <w:lvl w:ilvl="0">
      <w:lvlJc w:val="left"/>
      <w:lvlText w:val="(%1)"/>
      <w:numFmt w:val="lowerLetter"/>
      <w:start w:val="2"/>
    </w:lvl>
  </w:abstractNum>
  <w:abstractNum w:abstractNumId="121">
    <w:nsid w:val="70836196"/>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9"/>
    </w:lvl>
    <w:lvl w:ilvl="3">
      <w:lvlJc w:val="left"/>
      <w:lvlText w:val="%4"/>
      <w:numFmt w:val="lowerLetter"/>
      <w:start w:val="1"/>
    </w:lvl>
  </w:abstractNum>
  <w:abstractNum w:abstractNumId="122">
    <w:nsid w:val="539F7F12"/>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35"/>
    </w:lvl>
    <w:lvl w:ilvl="3">
      <w:lvlJc w:val="left"/>
      <w:lvlText w:val="%4"/>
      <w:numFmt w:val="lowerLetter"/>
      <w:start w:val="1"/>
    </w:lvl>
  </w:abstractNum>
  <w:abstractNum w:abstractNumId="123">
    <w:nsid w:val="2817E7EC"/>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lvl w:ilvl="3">
      <w:lvlJc w:val="left"/>
      <w:lvlText w:val="%4"/>
      <w:numFmt w:val="lowerLetter"/>
      <w:start w:val="1"/>
    </w:lvl>
  </w:abstractNum>
  <w:abstractNum w:abstractNumId="124">
    <w:nsid w:val="71482545"/>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25">
    <w:nsid w:val="17D78639"/>
    <w:multiLevelType w:val="hybridMultilevel"/>
    <w:lvl w:ilvl="0">
      <w:lvlJc w:val="left"/>
      <w:lvlText w:val="%1"/>
      <w:numFmt w:val="lowerLetter"/>
      <w:start w:val="1"/>
    </w:lvl>
    <w:lvl w:ilvl="1">
      <w:lvlJc w:val="left"/>
      <w:lvlText w:val="(%2)"/>
      <w:numFmt w:val="lowerLetter"/>
      <w:start w:val="6"/>
    </w:lvl>
  </w:abstractNum>
  <w:abstractNum w:abstractNumId="126">
    <w:nsid w:val="141D2302"/>
    <w:multiLevelType w:val="hybridMultilevel"/>
    <w:lvl w:ilvl="0">
      <w:lvlJc w:val="left"/>
      <w:lvlText w:val="(%1)"/>
      <w:numFmt w:val="lowerLetter"/>
      <w:start w:val="24"/>
    </w:lvl>
    <w:lvl w:ilvl="1">
      <w:lvlJc w:val="left"/>
      <w:lvlText w:val="%2"/>
      <w:numFmt w:val="lowerLetter"/>
      <w:start w:val="1"/>
    </w:lvl>
  </w:abstractNum>
  <w:abstractNum w:abstractNumId="127">
    <w:nsid w:val="407168D8"/>
    <w:multiLevelType w:val="hybridMultilevel"/>
    <w:lvl w:ilvl="0">
      <w:lvlJc w:val="left"/>
      <w:lvlText w:val="(%1)"/>
      <w:numFmt w:val="lowerLetter"/>
      <w:start w:val="8"/>
    </w:lvl>
  </w:abstractNum>
  <w:abstractNum w:abstractNumId="128">
    <w:nsid w:val="6A1B45E5"/>
    <w:multiLevelType w:val="hybridMultilevel"/>
    <w:lvl w:ilvl="0">
      <w:lvlJc w:val="left"/>
      <w:lvlText w:val="%1"/>
      <w:numFmt w:val="lowerRoman"/>
      <w:start w:val="1"/>
    </w:lvl>
    <w:lvl w:ilvl="1">
      <w:lvlJc w:val="left"/>
      <w:lvlText w:val="(%2)"/>
      <w:numFmt w:val="lowerRoman"/>
      <w:start w:val="1"/>
    </w:lvl>
  </w:abstractNum>
  <w:abstractNum w:abstractNumId="129">
    <w:nsid w:val="567BD50A"/>
    <w:multiLevelType w:val="hybridMultilevel"/>
    <w:lvl w:ilvl="0">
      <w:lvlJc w:val="left"/>
      <w:lvlText w:val="(%1)"/>
      <w:numFmt w:val="lowerRoman"/>
      <w:start w:val="1"/>
    </w:lvl>
    <w:lvl w:ilvl="1">
      <w:lvlJc w:val="left"/>
      <w:lvlText w:val="(%2)"/>
      <w:numFmt w:val="lowerRoman"/>
      <w:start w:val="1"/>
    </w:lvl>
  </w:abstractNum>
  <w:abstractNum w:abstractNumId="130">
    <w:nsid w:val="73BBD7F8"/>
    <w:multiLevelType w:val="hybridMultilevel"/>
    <w:lvl w:ilvl="0">
      <w:lvlJc w:val="left"/>
      <w:lvlText w:val="%1"/>
      <w:numFmt w:val="lowerLetter"/>
      <w:start w:val="1"/>
    </w:lvl>
    <w:lvl w:ilvl="1">
      <w:lvlJc w:val="left"/>
      <w:lvlText w:val="(%2)"/>
      <w:numFmt w:val="lowerLetter"/>
      <w:start w:val="35"/>
    </w:lvl>
  </w:abstractNum>
  <w:abstractNum w:abstractNumId="131">
    <w:nsid w:val="1876589D"/>
    <w:multiLevelType w:val="hybridMultilevel"/>
    <w:lvl w:ilvl="0">
      <w:lvlJc w:val="left"/>
      <w:lvlText w:val="(%1)"/>
      <w:numFmt w:val="lowerLetter"/>
      <w:start w:val="10"/>
    </w:lvl>
    <w:lvl w:ilvl="1">
      <w:lvlJc w:val="left"/>
      <w:lvlText w:val="%2"/>
      <w:numFmt w:val="lowerLetter"/>
      <w:start w:val="1"/>
    </w:lvl>
  </w:abstractNum>
  <w:abstractNum w:abstractNumId="132">
    <w:nsid w:val="327FAC77"/>
    <w:multiLevelType w:val="hybridMultilevel"/>
    <w:lvl w:ilvl="0">
      <w:lvlJc w:val="left"/>
      <w:lvlText w:val="(%1)"/>
      <w:numFmt w:val="lowerLetter"/>
      <w:start w:val="1"/>
    </w:lvl>
  </w:abstractNum>
  <w:abstractNum w:abstractNumId="133">
    <w:nsid w:val="5A606509"/>
    <w:multiLevelType w:val="hybridMultilevel"/>
    <w:lvl w:ilvl="0">
      <w:lvlJc w:val="left"/>
      <w:lvlText w:val="(%1)"/>
      <w:numFmt w:val="lowerLetter"/>
      <w:start w:val="2"/>
    </w:lvl>
  </w:abstractNum>
  <w:abstractNum w:abstractNumId="134">
    <w:nsid w:val="6F38E6D1"/>
    <w:multiLevelType w:val="hybridMultilevel"/>
    <w:lvl w:ilvl="0">
      <w:lvlJc w:val="left"/>
      <w:lvlText w:val="(%1)"/>
      <w:numFmt w:val="lowerLetter"/>
      <w:start w:val="1"/>
    </w:lvl>
  </w:abstractNum>
  <w:abstractNum w:abstractNumId="135">
    <w:nsid w:val="46111BA5"/>
    <w:multiLevelType w:val="hybridMultilevel"/>
    <w:lvl w:ilvl="0">
      <w:lvlJc w:val="left"/>
      <w:lvlText w:val="(%1)"/>
      <w:numFmt w:val="lowerLetter"/>
      <w:start w:val="3"/>
    </w:lvl>
  </w:abstractNum>
  <w:abstractNum w:abstractNumId="136">
    <w:nsid w:val="5E963896"/>
    <w:multiLevelType w:val="hybridMultilevel"/>
    <w:lvl w:ilvl="0">
      <w:lvlJc w:val="left"/>
      <w:lvlText w:val="%1"/>
      <w:numFmt w:val="lowerLetter"/>
      <w:start w:val="1"/>
    </w:lvl>
    <w:lvl w:ilvl="1">
      <w:lvlJc w:val="left"/>
      <w:lvlText w:val="(%2)"/>
      <w:numFmt w:val="lowerLetter"/>
      <w:start w:val="1"/>
    </w:lvl>
  </w:abstractNum>
  <w:abstractNum w:abstractNumId="137">
    <w:nsid w:val="775BA7C1"/>
    <w:multiLevelType w:val="hybridMultilevel"/>
    <w:lvl w:ilvl="0">
      <w:lvlJc w:val="left"/>
      <w:lvlText w:val="(%1)"/>
      <w:numFmt w:val="lowerLetter"/>
      <w:start w:val="61"/>
    </w:lvl>
    <w:lvl w:ilvl="1">
      <w:lvlJc w:val="left"/>
      <w:lvlText w:val="(%2)"/>
      <w:numFmt w:val="lowerLetter"/>
      <w:start w:val="2"/>
    </w:lvl>
  </w:abstractNum>
  <w:abstractNum w:abstractNumId="138">
    <w:nsid w:val="1DD6D6F4"/>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1"/>
    </w:lvl>
    <w:lvl w:ilvl="3">
      <w:lvlJc w:val="left"/>
      <w:lvlText w:val="(%4)"/>
      <w:numFmt w:val="lowerLetter"/>
      <w:start w:val="35"/>
    </w:lvl>
  </w:abstractNum>
  <w:abstractNum w:abstractNumId="139">
    <w:nsid w:val="769A091F"/>
    <w:multiLevelType w:val="hybridMultilevel"/>
    <w:lvl w:ilvl="0">
      <w:lvlJc w:val="left"/>
      <w:lvlText w:val="(%1)"/>
      <w:numFmt w:val="upperLetter"/>
      <w:start w:val="2"/>
    </w:lvl>
    <w:lvl w:ilvl="1">
      <w:lvlJc w:val="left"/>
      <w:lvlText w:val="%2"/>
      <w:numFmt w:val="lowerLetter"/>
      <w:start w:val="1"/>
    </w:lvl>
    <w:lvl w:ilvl="2">
      <w:lvlJc w:val="left"/>
      <w:lvlText w:val="(%3)"/>
      <w:numFmt w:val="upperLetter"/>
    </w:lvl>
    <w:lvl w:ilvl="3">
      <w:lvlJc w:val="left"/>
      <w:lvlText w:val="(%4)"/>
      <w:numFmt w:val="lowerLetter"/>
      <w:start w:val="35"/>
    </w:lvl>
  </w:abstractNum>
  <w:abstractNum w:abstractNumId="140">
    <w:nsid w:val="4695AE95"/>
    <w:multiLevelType w:val="hybridMultilevel"/>
    <w:lvl w:ilvl="0">
      <w:lvlJc w:val="left"/>
      <w:lvlText w:val="(%1)"/>
      <w:numFmt w:val="lowerLetter"/>
      <w:start w:val="3"/>
    </w:lvl>
  </w:abstractNum>
  <w:abstractNum w:abstractNumId="141">
    <w:nsid w:val="777A4EAA"/>
    <w:multiLevelType w:val="hybridMultilevel"/>
    <w:lvl w:ilvl="0">
      <w:lvlJc w:val="left"/>
      <w:lvlText w:val="(%1)"/>
      <w:numFmt w:val="lowerLetter"/>
      <w:start w:val="5"/>
    </w:lvl>
  </w:abstractNum>
  <w:abstractNum w:abstractNumId="142">
    <w:nsid w:val="3F48B982"/>
    <w:multiLevelType w:val="hybridMultilevel"/>
    <w:lvl w:ilvl="0">
      <w:lvlJc w:val="left"/>
      <w:lvlText w:val="(%1)"/>
      <w:numFmt w:val="lowerLetter"/>
      <w:start w:val="1"/>
    </w:lvl>
    <w:lvl w:ilvl="1">
      <w:lvlJc w:val="left"/>
      <w:lvlText w:val="(%2)"/>
      <w:numFmt w:val="lowerRoman"/>
      <w:start w:val="1"/>
    </w:lvl>
  </w:abstractNum>
  <w:abstractNum w:abstractNumId="143">
    <w:nsid w:val="46BA8FC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4">
    <w:nsid w:val="7835626C"/>
    <w:multiLevelType w:val="hybridMultilevel"/>
    <w:lvl w:ilvl="0">
      <w:lvlJc w:val="left"/>
      <w:lvlText w:val="%1"/>
      <w:numFmt w:val="decimal"/>
      <w:start w:val="1"/>
    </w:lvl>
    <w:lvl w:ilvl="1">
      <w:lvlJc w:val="left"/>
      <w:lvlText w:val="(%2)"/>
      <w:numFmt w:val="upperLetter"/>
      <w:start w:val="3"/>
    </w:lvl>
  </w:abstractNum>
  <w:abstractNum w:abstractNumId="145">
    <w:nsid w:val="665ACA49"/>
    <w:multiLevelType w:val="hybridMultilevel"/>
    <w:lvl w:ilvl="0">
      <w:lvlJc w:val="left"/>
      <w:lvlText w:val="(%1)"/>
      <w:numFmt w:val="decimal"/>
      <w:start w:val="1"/>
    </w:lvl>
    <w:lvl w:ilvl="1">
      <w:lvlJc w:val="left"/>
      <w:lvlText w:val="%2"/>
      <w:numFmt w:val="upperLetter"/>
      <w:start w:val="1"/>
    </w:lvl>
  </w:abstractNum>
  <w:abstractNum w:abstractNumId="146">
    <w:nsid w:val="6835B2AE"/>
    <w:multiLevelType w:val="hybridMultilevel"/>
    <w:lvl w:ilvl="0">
      <w:lvlJc w:val="left"/>
      <w:lvlText w:val="%1"/>
      <w:numFmt w:val="upperLetter"/>
      <w:start w:val="1"/>
    </w:lvl>
    <w:lvl w:ilvl="1">
      <w:lvlJc w:val="left"/>
      <w:lvlText w:val="(%2)"/>
      <w:numFmt w:val="lowerRoman"/>
      <w:start w:val="3"/>
    </w:lvl>
    <w:lvl w:ilvl="2">
      <w:lvlJc w:val="left"/>
      <w:lvlText w:val="%3"/>
      <w:numFmt w:val="upperLetter"/>
      <w:start w:val="1"/>
    </w:lvl>
  </w:abstractNum>
  <w:abstractNum w:abstractNumId="147">
    <w:nsid w:val="4C187C90"/>
    <w:multiLevelType w:val="hybridMultilevel"/>
    <w:lvl w:ilvl="0">
      <w:lvlJc w:val="left"/>
      <w:lvlText w:val="(%1)"/>
      <w:numFmt w:val="upperLetter"/>
      <w:start w:val="3"/>
    </w:lvl>
    <w:lvl w:ilvl="1">
      <w:lvlJc w:val="left"/>
      <w:lvlText w:val="(%2)"/>
      <w:numFmt w:val="lowerRoman"/>
      <w:start w:val="4"/>
    </w:lvl>
    <w:lvl w:ilvl="2">
      <w:lvlJc w:val="left"/>
      <w:lvlText w:val="(%3)"/>
      <w:numFmt w:val="upperLetter"/>
      <w:start w:val="1"/>
    </w:lvl>
  </w:abstractNum>
  <w:abstractNum w:abstractNumId="148">
    <w:nsid w:val="541F28CD"/>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149">
    <w:nsid w:val="7F65FD16"/>
    <w:multiLevelType w:val="hybridMultilevel"/>
    <w:lvl w:ilvl="0">
      <w:lvlJc w:val="left"/>
      <w:lvlText w:val="%1"/>
      <w:numFmt w:val="decimal"/>
      <w:start w:val="1"/>
    </w:lvl>
    <w:lvl w:ilvl="1">
      <w:lvlJc w:val="left"/>
      <w:lvlText w:val="(%2)"/>
      <w:numFmt w:val="lowerRoman"/>
      <w:start w:val="5"/>
    </w:lvl>
    <w:lvl w:ilvl="2">
      <w:lvlJc w:val="left"/>
      <w:lvlText w:val="%3"/>
      <w:numFmt w:val="upperLetter"/>
      <w:start w:val="1"/>
    </w:lvl>
  </w:abstractNum>
  <w:abstractNum w:abstractNumId="150">
    <w:nsid w:val="77C9FD68"/>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151">
    <w:nsid w:val="298A92BA"/>
    <w:multiLevelType w:val="hybridMultilevel"/>
    <w:lvl w:ilvl="0">
      <w:lvlJc w:val="left"/>
      <w:lvlText w:val="(%1)"/>
      <w:numFmt w:val="lowerRoman"/>
      <w:start w:val="6"/>
    </w:lvl>
    <w:lvl w:ilvl="1">
      <w:lvlJc w:val="left"/>
      <w:lvlText w:val="(%2)"/>
      <w:numFmt w:val="upperLetter"/>
      <w:start w:val="2"/>
    </w:lvl>
  </w:abstractNum>
  <w:abstractNum w:abstractNumId="152">
    <w:nsid w:val="6FE95EAC"/>
    <w:multiLevelType w:val="hybridMultilevel"/>
    <w:lvl w:ilvl="0">
      <w:lvlJc w:val="left"/>
      <w:lvlText w:val="(%1)"/>
      <w:numFmt w:val="lowerLetter"/>
      <w:start w:val="1"/>
    </w:lvl>
  </w:abstractNum>
  <w:abstractNum w:abstractNumId="153">
    <w:nsid w:val="4B697C7A"/>
    <w:multiLevelType w:val="hybridMultilevel"/>
    <w:lvl w:ilvl="0">
      <w:lvlJc w:val="left"/>
      <w:lvlText w:val="(%1)"/>
      <w:numFmt w:val="lowerLetter"/>
      <w:start w:val="6"/>
    </w:lvl>
  </w:abstractNum>
  <w:abstractNum w:abstractNumId="154">
    <w:nsid w:val="51A27AA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55">
    <w:nsid w:val="613183F2"/>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5"/>
    </w:lvl>
  </w:abstractNum>
  <w:abstractNum w:abstractNumId="156">
    <w:nsid w:val="634102B4"/>
    <w:multiLevelType w:val="hybridMultilevel"/>
    <w:lvl w:ilvl="0">
      <w:lvlJc w:val="left"/>
      <w:lvlText w:val="%1"/>
      <w:numFmt w:val="lowerLetter"/>
      <w:start w:val="1"/>
    </w:lvl>
    <w:lvl w:ilvl="1">
      <w:lvlJc w:val="left"/>
      <w:lvlText w:val="(%2)"/>
      <w:numFmt w:val="lowerLetter"/>
      <w:start w:val="61"/>
    </w:lvl>
    <w:lvl w:ilvl="2">
      <w:lvlJc w:val="left"/>
      <w:lvlText w:val="(%3)"/>
      <w:numFmt w:val="lowerLetter"/>
      <w:start w:val="6"/>
    </w:lvl>
  </w:abstractNum>
  <w:abstractNum w:abstractNumId="157">
    <w:nsid w:val="65BF9DA8"/>
    <w:multiLevelType w:val="hybridMultilevel"/>
    <w:lvl w:ilvl="0">
      <w:lvlJc w:val="left"/>
      <w:lvlText w:val="(%1)"/>
      <w:numFmt w:val="lowerLetter"/>
      <w:start w:val="1"/>
    </w:lvl>
  </w:abstractNum>
  <w:abstractNum w:abstractNumId="158">
    <w:nsid w:val="21A2ECCA"/>
    <w:multiLevelType w:val="hybridMultilevel"/>
    <w:lvl w:ilvl="0">
      <w:lvlJc w:val="left"/>
      <w:lvlText w:val="(%1)"/>
      <w:numFmt w:val="lowerLetter"/>
      <w:start w:val="1"/>
    </w:lvl>
  </w:abstractNum>
  <w:abstractNum w:abstractNumId="159">
    <w:nsid w:val="4D5C4899"/>
    <w:multiLevelType w:val="hybridMultilevel"/>
    <w:lvl w:ilvl="0">
      <w:lvlJc w:val="left"/>
      <w:lvlText w:val="(%1)"/>
      <w:numFmt w:val="lowerLetter"/>
      <w:start w:val="1"/>
    </w:lvl>
  </w:abstractNum>
  <w:abstractNum w:abstractNumId="160">
    <w:nsid w:val="3C3B72B2"/>
    <w:multiLevelType w:val="hybridMultilevel"/>
    <w:lvl w:ilvl="0">
      <w:lvlJc w:val="left"/>
      <w:lvlText w:val="(%1)"/>
      <w:numFmt w:val="lowerLetter"/>
      <w:start w:val="1"/>
    </w:lvl>
    <w:lvl w:ilvl="1">
      <w:lvlJc w:val="left"/>
      <w:lvlText w:val="(%2)"/>
      <w:numFmt w:val="lowerRoman"/>
      <w:start w:val="1"/>
    </w:lvl>
  </w:abstractNum>
  <w:abstractNum w:abstractNumId="161">
    <w:nsid w:val="155EC4C2"/>
    <w:multiLevelType w:val="hybridMultilevel"/>
    <w:lvl w:ilvl="0">
      <w:lvlJc w:val="left"/>
      <w:lvlText w:val="(%1)"/>
      <w:numFmt w:val="lowerLetter"/>
      <w:start w:val="2"/>
    </w:lvl>
  </w:abstractNum>
  <w:abstractNum w:abstractNumId="162">
    <w:nsid w:val="65D2A137"/>
    <w:multiLevelType w:val="hybridMultilevel"/>
    <w:lvl w:ilvl="0">
      <w:lvlJc w:val="left"/>
      <w:lvlText w:val="(%1)"/>
      <w:numFmt w:val="lowerLetter"/>
      <w:start w:val="3"/>
    </w:lvl>
  </w:abstractNum>
  <w:abstractNum w:abstractNumId="163">
    <w:nsid w:val="6EBB1F2A"/>
    <w:multiLevelType w:val="hybridMultilevel"/>
    <w:lvl w:ilvl="0">
      <w:lvlJc w:val="left"/>
      <w:lvlText w:val="(%1)"/>
      <w:numFmt w:val="lowerLetter"/>
      <w:start w:val="1"/>
    </w:lvl>
  </w:abstractNum>
  <w:abstractNum w:abstractNumId="164">
    <w:nsid w:val="6FBF29CB"/>
    <w:multiLevelType w:val="hybridMultilevel"/>
    <w:lvl w:ilvl="0">
      <w:lvlJc w:val="left"/>
      <w:lvlText w:val="(%1)"/>
      <w:numFmt w:val="lowerLetter"/>
      <w:start w:val="2"/>
    </w:lvl>
    <w:lvl w:ilvl="1">
      <w:lvlJc w:val="left"/>
      <w:lvlText w:val="(%2)"/>
      <w:numFmt w:val="lowerLetter"/>
      <w:start w:val="9"/>
    </w:lvl>
  </w:abstractNum>
  <w:abstractNum w:abstractNumId="165">
    <w:nsid w:val="550B8808"/>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66">
    <w:nsid w:val="34CC3ACF"/>
    <w:multiLevelType w:val="hybridMultilevel"/>
    <w:lvl w:ilvl="0">
      <w:lvlJc w:val="left"/>
      <w:lvlText w:val="%1"/>
      <w:numFmt w:val="upperLetter"/>
      <w:start w:val="1"/>
    </w:lvl>
    <w:lvl w:ilvl="1">
      <w:lvlJc w:val="left"/>
      <w:lvlText w:val="(%2)"/>
      <w:numFmt w:val="decimal"/>
      <w:start w:val="3"/>
    </w:lvl>
  </w:abstractNum>
  <w:abstractNum w:abstractNumId="167">
    <w:nsid w:val="4E556261"/>
    <w:multiLevelType w:val="hybridMultilevel"/>
    <w:lvl w:ilvl="0">
      <w:lvlJc w:val="left"/>
      <w:lvlText w:val="(%1)"/>
      <w:numFmt w:val="upperLetter"/>
      <w:start w:val="3"/>
    </w:lvl>
    <w:lvl w:ilvl="1">
      <w:lvlJc w:val="left"/>
      <w:lvlText w:val="%2"/>
      <w:numFmt w:val="decimal"/>
      <w:start w:val="1"/>
    </w:lvl>
  </w:abstractNum>
  <w:abstractNum w:abstractNumId="168">
    <w:nsid w:val="4C672FC9"/>
    <w:multiLevelType w:val="hybridMultilevel"/>
    <w:lvl w:ilvl="0">
      <w:lvlJc w:val="left"/>
      <w:lvlText w:val="(%1)"/>
      <w:numFmt w:val="upperLetter"/>
      <w:start w:val="4"/>
    </w:lvl>
  </w:abstractNum>
  <w:abstractNum w:abstractNumId="169">
    <w:nsid w:val="52A311C3"/>
    <w:multiLevelType w:val="hybridMultilevel"/>
    <w:lvl w:ilvl="0">
      <w:lvlJc w:val="left"/>
      <w:lvlText w:val="%1"/>
      <w:numFmt w:val="lowerLetter"/>
      <w:start w:val="1"/>
    </w:lvl>
    <w:lvl w:ilvl="1">
      <w:lvlJc w:val="left"/>
      <w:lvlText w:val="(%2)"/>
      <w:numFmt w:val="lowerLetter"/>
      <w:start w:val="7"/>
    </w:lvl>
  </w:abstractNum>
  <w:abstractNum w:abstractNumId="170">
    <w:nsid w:val="44EF6B80"/>
    <w:multiLevelType w:val="hybridMultilevel"/>
    <w:lvl w:ilvl="0">
      <w:lvlJc w:val="left"/>
      <w:lvlText w:val="(%1)"/>
      <w:numFmt w:val="lowerLetter"/>
      <w:start w:val="7"/>
    </w:lvl>
    <w:lvl w:ilvl="1">
      <w:lvlJc w:val="left"/>
      <w:lvlText w:val="%2"/>
      <w:numFmt w:val="lowerLetter"/>
      <w:start w:val="1"/>
    </w:lvl>
  </w:abstractNum>
  <w:abstractNum w:abstractNumId="171">
    <w:nsid w:val="12FCDE5E"/>
    <w:multiLevelType w:val="hybridMultilevel"/>
    <w:lvl w:ilvl="0">
      <w:lvlJc w:val="left"/>
      <w:lvlText w:val="(%1)"/>
      <w:numFmt w:val="lowerLetter"/>
      <w:start w:val="8"/>
    </w:lvl>
  </w:abstractNum>
  <w:abstractNum w:abstractNumId="172">
    <w:nsid w:val="4A1D606E"/>
    <w:multiLevelType w:val="hybridMultilevel"/>
    <w:lvl w:ilvl="0">
      <w:lvlJc w:val="left"/>
      <w:lvlText w:val="(%1)"/>
      <w:numFmt w:val="lowerLetter"/>
      <w:start w:val="1"/>
    </w:lvl>
  </w:abstractNum>
  <w:abstractNum w:abstractNumId="173">
    <w:nsid w:val="4382503"/>
    <w:multiLevelType w:val="hybridMultilevel"/>
    <w:lvl w:ilvl="0">
      <w:lvlJc w:val="left"/>
      <w:lvlText w:val="(%1)"/>
      <w:numFmt w:val="lowerLetter"/>
      <w:start w:val="2"/>
    </w:lvl>
    <w:lvl w:ilvl="1">
      <w:lvlJc w:val="left"/>
      <w:lvlText w:val="(%2)"/>
      <w:numFmt w:val="lowerRoman"/>
      <w:start w:val="1"/>
    </w:lvl>
  </w:abstractNum>
  <w:abstractNum w:abstractNumId="174">
    <w:nsid w:val="59B76E28"/>
    <w:multiLevelType w:val="hybridMultilevel"/>
    <w:lvl w:ilvl="0">
      <w:lvlJc w:val="left"/>
      <w:lvlText w:val="(%1)"/>
      <w:numFmt w:val="lowerLetter"/>
      <w:start w:val="4"/>
    </w:lvl>
  </w:abstractNum>
  <w:abstractNum w:abstractNumId="175">
    <w:nsid w:val="4252C2DA"/>
    <w:multiLevelType w:val="hybridMultilevel"/>
    <w:lvl w:ilvl="0">
      <w:lvlJc w:val="left"/>
      <w:lvlText w:val="(%1)"/>
      <w:numFmt w:val="lowerLetter"/>
      <w:start w:val="1"/>
    </w:lvl>
  </w:abstractNum>
  <w:abstractNum w:abstractNumId="176">
    <w:nsid w:val="6A92EF4C"/>
    <w:multiLevelType w:val="hybridMultilevel"/>
    <w:lvl w:ilvl="0">
      <w:lvlJc w:val="left"/>
      <w:lvlText w:val="(%1)"/>
      <w:numFmt w:val="upperLetter"/>
      <w:start w:val="3"/>
    </w:lvl>
  </w:abstractNum>
  <w:abstractNum w:abstractNumId="177">
    <w:nsid w:val="41ED20D7"/>
    <w:multiLevelType w:val="hybridMultilevel"/>
    <w:lvl w:ilvl="0">
      <w:lvlJc w:val="left"/>
      <w:lvlText w:val="(%1)"/>
      <w:numFmt w:val="lowerRoman"/>
      <w:start w:val="10"/>
    </w:lvl>
  </w:abstractNum>
  <w:abstractNum w:abstractNumId="178">
    <w:nsid w:val="E6B3F6A"/>
    <w:multiLevelType w:val="hybridMultilevel"/>
    <w:lvl w:ilvl="0">
      <w:lvlJc w:val="left"/>
      <w:lvlText w:val="(%1)"/>
      <w:numFmt w:val="lowerLetter"/>
      <w:start w:val="1"/>
    </w:lvl>
  </w:abstractNum>
  <w:abstractNum w:abstractNumId="179">
    <w:nsid w:val="3EB21819"/>
    <w:multiLevelType w:val="hybridMultilevel"/>
    <w:lvl w:ilvl="0">
      <w:lvlJc w:val="left"/>
      <w:lvlText w:val="(%1)"/>
      <w:numFmt w:val="lowerLetter"/>
      <w:start w:val="4"/>
    </w:lvl>
    <w:lvl w:ilvl="1">
      <w:lvlJc w:val="left"/>
      <w:lvlText w:val="(%2)"/>
      <w:numFmt w:val="lowerRoman"/>
      <w:start w:val="1"/>
    </w:lvl>
  </w:abstractNum>
  <w:abstractNum w:abstractNumId="180">
    <w:nsid w:val="41531DE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181">
    <w:nsid w:val="6353CD2"/>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182">
    <w:nsid w:val="683CAAD3"/>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183">
    <w:nsid w:val="313C7C99"/>
    <w:multiLevelType w:val="hybridMultilevel"/>
    <w:lvl w:ilvl="0">
      <w:lvlJc w:val="left"/>
      <w:lvlText w:val="(%1)"/>
      <w:numFmt w:val="lowerLetter"/>
      <w:start w:val="1"/>
    </w:lvl>
    <w:lvl w:ilvl="1">
      <w:lvlJc w:val="left"/>
      <w:lvlText w:val="(%2)"/>
      <w:numFmt w:val="lowerRoman"/>
      <w:start w:val="1"/>
    </w:lvl>
  </w:abstractNum>
  <w:abstractNum w:abstractNumId="184">
    <w:nsid w:val="519EB94C"/>
    <w:multiLevelType w:val="hybridMultilevel"/>
    <w:lvl w:ilvl="0">
      <w:lvlJc w:val="left"/>
      <w:lvlText w:val="(%1)"/>
      <w:numFmt w:val="lowerRoman"/>
      <w:start w:val="3"/>
    </w:lvl>
    <w:lvl w:ilvl="1">
      <w:lvlJc w:val="left"/>
      <w:lvlText w:val="(%2)"/>
      <w:numFmt w:val="upperLetter"/>
      <w:start w:val="1"/>
    </w:lvl>
  </w:abstractNum>
  <w:abstractNum w:abstractNumId="185">
    <w:nsid w:val="39DF2579"/>
    <w:multiLevelType w:val="hybridMultilevel"/>
    <w:lvl w:ilvl="0">
      <w:lvlJc w:val="left"/>
      <w:lvlText w:val="%1"/>
      <w:numFmt w:val="upperLetter"/>
      <w:start w:val="1"/>
    </w:lvl>
    <w:lvl w:ilvl="1">
      <w:lvlJc w:val="left"/>
      <w:lvlText w:val="(%2)"/>
      <w:numFmt w:val="lowerRoman"/>
      <w:start w:val="8"/>
    </w:lvl>
  </w:abstractNum>
  <w:abstractNum w:abstractNumId="186">
    <w:nsid w:val="126E008B"/>
    <w:multiLevelType w:val="hybridMultilevel"/>
    <w:lvl w:ilvl="0">
      <w:lvlJc w:val="left"/>
      <w:lvlText w:val="(%1)"/>
      <w:numFmt w:val="upperLetter"/>
      <w:start w:val="2"/>
    </w:lvl>
    <w:lvl w:ilvl="1">
      <w:lvlJc w:val="left"/>
      <w:lvlText w:val="(%2)"/>
      <w:numFmt w:val="lowerRoman"/>
      <w:start w:val="11"/>
    </w:lvl>
  </w:abstractNum>
  <w:abstractNum w:abstractNumId="187">
    <w:nsid w:val="34DFBC00"/>
    <w:multiLevelType w:val="hybridMultilevel"/>
    <w:lvl w:ilvl="0">
      <w:lvlJc w:val="left"/>
      <w:lvlText w:val="(%1)"/>
      <w:numFmt w:val="lowerLetter"/>
      <w:start w:val="2"/>
    </w:lvl>
    <w:lvl w:ilvl="1">
      <w:lvlJc w:val="left"/>
      <w:lvlText w:val="(%2)"/>
      <w:numFmt w:val="lowerRoman"/>
      <w:start w:val="1"/>
    </w:lvl>
  </w:abstractNum>
  <w:abstractNum w:abstractNumId="188">
    <w:nsid w:val="1F9EC322"/>
    <w:multiLevelType w:val="hybridMultilevel"/>
    <w:lvl w:ilvl="0">
      <w:lvlJc w:val="left"/>
      <w:lvlText w:val="(%1)"/>
      <w:numFmt w:val="lowerLetter"/>
      <w:start w:val="6"/>
    </w:lvl>
  </w:abstractNum>
  <w:abstractNum w:abstractNumId="189">
    <w:nsid w:val="3410ED56"/>
    <w:multiLevelType w:val="hybridMultilevel"/>
    <w:lvl w:ilvl="0">
      <w:lvlJc w:val="left"/>
      <w:lvlText w:val="(%1)"/>
      <w:numFmt w:val="lowerLetter"/>
      <w:start w:val="1"/>
    </w:lvl>
  </w:abstractNum>
  <w:abstractNum w:abstractNumId="190">
    <w:nsid w:val="23C049A"/>
    <w:multiLevelType w:val="hybridMultilevel"/>
    <w:lvl w:ilvl="0">
      <w:lvlJc w:val="left"/>
      <w:lvlText w:val="%1"/>
      <w:numFmt w:val="decimal"/>
      <w:start w:val="1"/>
    </w:lvl>
    <w:lvl w:ilvl="1">
      <w:lvlJc w:val="left"/>
      <w:lvlText w:val="(%2)"/>
      <w:numFmt w:val="lowerRoman"/>
      <w:start w:val="1"/>
    </w:lvl>
  </w:abstractNum>
  <w:abstractNum w:abstractNumId="191">
    <w:nsid w:val="5BDA35D4"/>
    <w:multiLevelType w:val="hybridMultilevel"/>
    <w:lvl w:ilvl="0">
      <w:lvlJc w:val="left"/>
      <w:lvlText w:val="(%1)"/>
      <w:numFmt w:val="decimal"/>
      <w:start w:val="2"/>
    </w:lvl>
    <w:lvl w:ilvl="1">
      <w:lvlJc w:val="left"/>
      <w:lvlText w:val="%2"/>
      <w:numFmt w:val="lowerRoman"/>
      <w:start w:val="1"/>
    </w:lvl>
  </w:abstractNum>
  <w:abstractNum w:abstractNumId="192">
    <w:nsid w:val="496FB218"/>
    <w:multiLevelType w:val="hybridMultilevel"/>
    <w:lvl w:ilvl="0">
      <w:lvlJc w:val="left"/>
      <w:lvlText w:val="%1"/>
      <w:numFmt w:val="lowerRoman"/>
      <w:start w:val="1"/>
    </w:lvl>
    <w:lvl w:ilvl="1">
      <w:lvlJc w:val="left"/>
      <w:lvlText w:val="(%2)"/>
      <w:numFmt w:val="lowerRoman"/>
      <w:start w:val="2"/>
    </w:lvl>
  </w:abstractNum>
  <w:abstractNum w:abstractNumId="193">
    <w:nsid w:val="680EA5D1"/>
    <w:multiLevelType w:val="hybridMultilevel"/>
    <w:lvl w:ilvl="0">
      <w:lvlJc w:val="left"/>
      <w:lvlText w:val="(%1)"/>
      <w:numFmt w:val="lowerRoman"/>
      <w:start w:val="4"/>
    </w:lvl>
    <w:lvl w:ilvl="1">
      <w:lvlJc w:val="left"/>
      <w:lvlText w:val="(%2)"/>
      <w:numFmt w:val="lowerRoman"/>
      <w:start w:val="3"/>
    </w:lvl>
  </w:abstractNum>
  <w:abstractNum w:abstractNumId="194">
    <w:nsid w:val="4A9554FE"/>
    <w:multiLevelType w:val="hybridMultilevel"/>
    <w:lvl w:ilvl="0">
      <w:lvlJc w:val="left"/>
      <w:lvlText w:val="%1"/>
      <w:numFmt w:val="lowerLetter"/>
      <w:start w:val="1"/>
    </w:lvl>
    <w:lvl w:ilvl="1">
      <w:lvlJc w:val="left"/>
      <w:lvlText w:val="(%2)"/>
      <w:numFmt w:val="lowerRoman"/>
      <w:start w:val="8"/>
    </w:lvl>
  </w:abstractNum>
  <w:abstractNum w:abstractNumId="195">
    <w:nsid w:val="392EDBE4"/>
    <w:multiLevelType w:val="hybridMultilevel"/>
    <w:lvl w:ilvl="0">
      <w:lvlJc w:val="left"/>
      <w:lvlText w:val="(%1)"/>
      <w:numFmt w:val="lowerLetter"/>
      <w:start w:val="2"/>
    </w:lvl>
    <w:lvl w:ilvl="1">
      <w:lvlJc w:val="left"/>
      <w:lvlText w:val="%2"/>
      <w:numFmt w:val="lowerRoman"/>
      <w:start w:val="1"/>
    </w:lvl>
  </w:abstractNum>
  <w:abstractNum w:abstractNumId="196">
    <w:nsid w:val="3D1A2DD9"/>
    <w:multiLevelType w:val="hybridMultilevel"/>
    <w:lvl w:ilvl="0">
      <w:lvlJc w:val="left"/>
      <w:lvlText w:val="(%1)"/>
      <w:numFmt w:val="lowerRoman"/>
      <w:start w:val="2"/>
    </w:lvl>
  </w:abstractNum>
  <w:abstractNum w:abstractNumId="197">
    <w:nsid w:val="7F618FCD"/>
    <w:multiLevelType w:val="hybridMultilevel"/>
    <w:lvl w:ilvl="0">
      <w:lvlJc w:val="left"/>
      <w:lvlText w:val="(%1)"/>
      <w:numFmt w:val="lowerLetter"/>
      <w:start w:val="1"/>
    </w:lvl>
  </w:abstractNum>
  <w:abstractNum w:abstractNumId="198">
    <w:nsid w:val="7843E45"/>
    <w:multiLevelType w:val="hybridMultilevel"/>
    <w:lvl w:ilvl="0">
      <w:lvlJc w:val="left"/>
      <w:lvlText w:val="(%1)"/>
      <w:numFmt w:val="lowerLetter"/>
      <w:start w:val="1"/>
    </w:lvl>
  </w:abstractNum>
  <w:abstractNum w:abstractNumId="199">
    <w:nsid w:val="9815DA3"/>
    <w:multiLevelType w:val="hybridMultilevel"/>
    <w:lvl w:ilvl="0">
      <w:lvlJc w:val="left"/>
      <w:lvlText w:val="(%1)"/>
      <w:numFmt w:val="lowerLetter"/>
      <w:start w:val="1"/>
    </w:lvl>
  </w:abstractNum>
  <w:abstractNum w:abstractNumId="200">
    <w:nsid w:val="5204A191"/>
    <w:multiLevelType w:val="hybridMultilevel"/>
    <w:lvl w:ilvl="0">
      <w:lvlJc w:val="left"/>
      <w:lvlText w:val="(%1)"/>
      <w:numFmt w:val="lowerLetter"/>
      <w:start w:val="3"/>
    </w:lvl>
  </w:abstractNum>
  <w:abstractNum w:abstractNumId="201">
    <w:nsid w:val="4C73A9C6"/>
    <w:multiLevelType w:val="hybridMultilevel"/>
    <w:lvl w:ilvl="0">
      <w:lvlJc w:val="left"/>
      <w:lvlText w:val="(%1)"/>
      <w:numFmt w:val="lowerLetter"/>
      <w:start w:val="1"/>
    </w:lvl>
  </w:abstractNum>
  <w:abstractNum w:abstractNumId="202">
    <w:nsid w:val="1C7E3C01"/>
    <w:multiLevelType w:val="hybridMultilevel"/>
    <w:lvl w:ilvl="0">
      <w:lvlJc w:val="left"/>
      <w:lvlText w:val="(%1)"/>
      <w:numFmt w:val="lowerLetter"/>
      <w:start w:val="1"/>
    </w:lvl>
  </w:abstractNum>
  <w:abstractNum w:abstractNumId="203">
    <w:nsid w:val="1C2201FF"/>
    <w:multiLevelType w:val="hybridMultilevel"/>
    <w:lvl w:ilvl="0">
      <w:lvlJc w:val="left"/>
      <w:lvlText w:val="(%1)"/>
      <w:numFmt w:val="lowerLetter"/>
      <w:start w:val="1"/>
    </w:lvl>
  </w:abstractNum>
  <w:abstractNum w:abstractNumId="204">
    <w:nsid w:val="50ABCEC9"/>
    <w:multiLevelType w:val="hybridMultilevel"/>
    <w:lvl w:ilvl="0">
      <w:lvlJc w:val="left"/>
      <w:lvlText w:val="(%1)"/>
      <w:numFmt w:val="lowerLetter"/>
      <w:start w:val="2"/>
    </w:lvl>
  </w:abstractNum>
  <w:abstractNum w:abstractNumId="205">
    <w:nsid w:val="7635AA2A"/>
    <w:multiLevelType w:val="hybridMultilevel"/>
    <w:lvl w:ilvl="0">
      <w:lvlJc w:val="left"/>
      <w:lvlText w:val="(%1)"/>
      <w:numFmt w:val="lowerLetter"/>
      <w:start w:val="1"/>
    </w:lvl>
  </w:abstractNum>
  <w:abstractNum w:abstractNumId="206">
    <w:nsid w:val="5E74C4D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07">
    <w:nsid w:val="3B3EBE15"/>
    <w:multiLevelType w:val="hybridMultilevel"/>
    <w:lvl w:ilvl="0">
      <w:lvlJc w:val="left"/>
      <w:lvlText w:val="(%1)"/>
      <w:numFmt w:val="lowerLetter"/>
      <w:start w:val="7"/>
    </w:lvl>
  </w:abstractNum>
  <w:abstractNum w:abstractNumId="208">
    <w:nsid w:val="3822CB01"/>
    <w:multiLevelType w:val="hybridMultilevel"/>
    <w:lvl w:ilvl="0">
      <w:lvlJc w:val="left"/>
      <w:lvlText w:val="(%1)"/>
      <w:numFmt w:val="lowerLetter"/>
      <w:start w:val="1"/>
    </w:lvl>
  </w:abstractNum>
  <w:abstractNum w:abstractNumId="209">
    <w:nsid w:val="6CE00443"/>
    <w:multiLevelType w:val="hybridMultilevel"/>
    <w:lvl w:ilvl="0">
      <w:lvlJc w:val="left"/>
      <w:lvlText w:val="%1"/>
      <w:numFmt w:val="lowerLetter"/>
      <w:start w:val="1"/>
    </w:lvl>
    <w:lvl w:ilvl="1">
      <w:lvlJc w:val="left"/>
      <w:lvlText w:val="(%2)"/>
      <w:numFmt w:val="lowerLetter"/>
      <w:start w:val="1"/>
    </w:lvl>
  </w:abstractNum>
  <w:abstractNum w:abstractNumId="210">
    <w:nsid w:val="79F0D62F"/>
    <w:multiLevelType w:val="hybridMultilevel"/>
    <w:lvl w:ilvl="0">
      <w:lvlJc w:val="left"/>
      <w:lvlText w:val="(%1)"/>
      <w:numFmt w:val="lowerLetter"/>
      <w:start w:val="9"/>
    </w:lvl>
    <w:lvl w:ilvl="1">
      <w:lvlJc w:val="left"/>
      <w:lvlText w:val="(%2)"/>
      <w:numFmt w:val="lowerLetter"/>
      <w:start w:val="4"/>
    </w:lvl>
  </w:abstractNum>
  <w:abstractNum w:abstractNumId="211">
    <w:nsid w:val="7975E8EE"/>
    <w:multiLevelType w:val="hybridMultilevel"/>
    <w:lvl w:ilvl="0">
      <w:lvlJc w:val="left"/>
      <w:lvlText w:val="(%1)"/>
      <w:numFmt w:val="lowerLetter"/>
      <w:start w:val="7"/>
    </w:lvl>
  </w:abstractNum>
  <w:abstractNum w:abstractNumId="212">
    <w:nsid w:val="73154115"/>
    <w:multiLevelType w:val="hybridMultilevel"/>
    <w:lvl w:ilvl="0">
      <w:lvlJc w:val="left"/>
      <w:lvlText w:val="(%1)"/>
      <w:numFmt w:val="upperLetter"/>
      <w:start w:val="1"/>
    </w:lvl>
  </w:abstractNum>
  <w:abstractNum w:abstractNumId="213">
    <w:nsid w:val="622D8102"/>
    <w:multiLevelType w:val="hybridMultilevel"/>
    <w:lvl w:ilvl="0">
      <w:lvlJc w:val="left"/>
      <w:lvlText w:val="(%1)"/>
      <w:numFmt w:val="upperLetter"/>
      <w:start w:val="1"/>
    </w:lvl>
  </w:abstractNum>
  <w:abstractNum w:abstractNumId="214">
    <w:nsid w:val="2AB26587"/>
    <w:multiLevelType w:val="hybridMultilevel"/>
    <w:lvl w:ilvl="0">
      <w:lvlJc w:val="left"/>
      <w:lvlText w:val="(%1)"/>
      <w:numFmt w:val="lowerLetter"/>
      <w:start w:val="1"/>
    </w:lvl>
  </w:abstractNum>
  <w:abstractNum w:abstractNumId="215">
    <w:nsid w:val="44B3FA61"/>
    <w:multiLevelType w:val="hybridMultilevel"/>
    <w:lvl w:ilvl="0">
      <w:lvlJc w:val="left"/>
      <w:lvlText w:val="(%1)"/>
      <w:numFmt w:val="lowerLetter"/>
      <w:start w:val="1"/>
    </w:lvl>
  </w:abstractNum>
  <w:abstractNum w:abstractNumId="216">
    <w:nsid w:val="1C0CA67C"/>
    <w:multiLevelType w:val="hybridMultilevel"/>
    <w:lvl w:ilvl="0">
      <w:lvlJc w:val="left"/>
      <w:lvlText w:val="%1"/>
      <w:numFmt w:val="upperLetter"/>
      <w:start w:val="1"/>
    </w:lvl>
    <w:lvl w:ilvl="1">
      <w:lvlJc w:val="left"/>
      <w:lvlText w:val="(%2)"/>
      <w:numFmt w:val="lowerLetter"/>
      <w:start w:val="1"/>
    </w:lvl>
  </w:abstractNum>
  <w:abstractNum w:abstractNumId="217">
    <w:nsid w:val="3D206613"/>
    <w:multiLevelType w:val="hybridMultilevel"/>
    <w:lvl w:ilvl="0">
      <w:lvlJc w:val="left"/>
      <w:lvlText w:val="(%1)"/>
      <w:numFmt w:val="upperLetter"/>
      <w:start w:val="3"/>
    </w:lvl>
    <w:lvl w:ilvl="1">
      <w:lvlJc w:val="left"/>
      <w:lvlText w:val="(%2)"/>
      <w:numFmt w:val="lowerLetter"/>
      <w:start w:val="2"/>
    </w:lvl>
  </w:abstractNum>
  <w:abstractNum w:abstractNumId="218">
    <w:nsid w:val="7993B662"/>
    <w:multiLevelType w:val="hybridMultilevel"/>
    <w:lvl w:ilvl="0">
      <w:lvlJc w:val="left"/>
      <w:lvlText w:val="(%1)"/>
      <w:numFmt w:val="lowerLetter"/>
      <w:start w:val="1"/>
    </w:lvl>
  </w:abstractNum>
  <w:abstractNum w:abstractNumId="219">
    <w:nsid w:val="3BAB699E"/>
    <w:multiLevelType w:val="hybridMultilevel"/>
    <w:lvl w:ilvl="0">
      <w:lvlJc w:val="left"/>
      <w:lvlText w:val="(%1)"/>
      <w:numFmt w:val="lowerLetter"/>
      <w:start w:val="4"/>
    </w:lvl>
  </w:abstractNum>
  <w:abstractNum w:abstractNumId="220">
    <w:nsid w:val="71315369"/>
    <w:multiLevelType w:val="hybridMultilevel"/>
    <w:lvl w:ilvl="0">
      <w:lvlJc w:val="left"/>
      <w:lvlText w:val="%1"/>
      <w:numFmt w:val="upperLetter"/>
      <w:start w:val="1"/>
    </w:lvl>
    <w:lvl w:ilvl="1">
      <w:lvlJc w:val="left"/>
      <w:lvlText w:val="(%2)"/>
      <w:numFmt w:val="lowerRoman"/>
      <w:start w:val="1"/>
    </w:lvl>
  </w:abstractNum>
  <w:abstractNum w:abstractNumId="221">
    <w:nsid w:val="7BCFBAFC"/>
    <w:multiLevelType w:val="hybridMultilevel"/>
    <w:lvl w:ilvl="0">
      <w:lvlJc w:val="left"/>
      <w:lvlText w:val="(%1)"/>
      <w:numFmt w:val="upperLetter"/>
      <w:start w:val="1"/>
    </w:lvl>
    <w:lvl w:ilvl="1">
      <w:lvlJc w:val="left"/>
      <w:lvlText w:val="(%2)"/>
      <w:numFmt w:val="lowerRoman"/>
      <w:start w:val="8"/>
    </w:lvl>
  </w:abstractNum>
  <w:abstractNum w:abstractNumId="222">
    <w:nsid w:val="17859F72"/>
    <w:multiLevelType w:val="hybridMultilevel"/>
    <w:lvl w:ilvl="0">
      <w:lvlJc w:val="left"/>
      <w:lvlText w:val="(%1)"/>
      <w:numFmt w:val="lowerRoman"/>
      <w:start w:val="9"/>
    </w:lvl>
  </w:abstractNum>
  <w:abstractNum w:abstractNumId="223">
    <w:nsid w:val="3AA10581"/>
    <w:multiLevelType w:val="hybridMultilevel"/>
    <w:lvl w:ilvl="0">
      <w:lvlJc w:val="left"/>
      <w:lvlText w:val="%1"/>
      <w:numFmt w:val="lowerLetter"/>
      <w:start w:val="1"/>
    </w:lvl>
    <w:lvl w:ilvl="1">
      <w:lvlJc w:val="left"/>
      <w:lvlText w:val="(%2)"/>
      <w:numFmt w:val="lowerRoman"/>
      <w:start w:val="15"/>
    </w:lvl>
  </w:abstractNum>
  <w:abstractNum w:abstractNumId="224">
    <w:nsid w:val="63DE60CD"/>
    <w:multiLevelType w:val="hybridMultilevel"/>
    <w:lvl w:ilvl="0">
      <w:lvlJc w:val="left"/>
      <w:lvlText w:val="(%1)"/>
      <w:numFmt w:val="lowerLetter"/>
      <w:start w:val="5"/>
    </w:lvl>
    <w:lvl w:ilvl="1">
      <w:lvlJc w:val="left"/>
      <w:lvlText w:val="%2"/>
      <w:numFmt w:val="lowerRoman"/>
      <w:start w:val="1"/>
    </w:lvl>
  </w:abstractNum>
  <w:abstractNum w:abstractNumId="225">
    <w:nsid w:val="621AF471"/>
    <w:multiLevelType w:val="hybridMultilevel"/>
    <w:lvl w:ilvl="0">
      <w:lvlJc w:val="left"/>
      <w:lvlText w:val="(%1)"/>
      <w:numFmt w:val="lowerLetter"/>
      <w:start w:val="1"/>
    </w:lvl>
  </w:abstractNum>
  <w:abstractNum w:abstractNumId="226">
    <w:nsid w:val="73CFE165"/>
    <w:multiLevelType w:val="hybridMultilevel"/>
    <w:lvl w:ilvl="0">
      <w:lvlJc w:val="left"/>
      <w:lvlText w:val="(%1)"/>
      <w:numFmt w:val="lowerLetter"/>
      <w:start w:val="1"/>
    </w:lvl>
  </w:abstractNum>
  <w:abstractNum w:abstractNumId="227">
    <w:nsid w:val="20F88EA6"/>
    <w:multiLevelType w:val="hybridMultilevel"/>
    <w:lvl w:ilvl="0">
      <w:lvlJc w:val="left"/>
      <w:lvlText w:val="(%1)"/>
      <w:numFmt w:val="lowerLetter"/>
      <w:start w:val="2"/>
    </w:lvl>
  </w:abstractNum>
  <w:abstractNum w:abstractNumId="228">
    <w:nsid w:val="617C843E"/>
    <w:multiLevelType w:val="hybridMultilevel"/>
    <w:lvl w:ilvl="0">
      <w:lvlJc w:val="left"/>
      <w:lvlText w:val="%1"/>
      <w:numFmt w:val="lowerLetter"/>
      <w:start w:val="1"/>
    </w:lvl>
    <w:lvl w:ilvl="1">
      <w:lvlJc w:val="left"/>
      <w:lvlText w:val="(%2)"/>
      <w:numFmt w:val="lowerLetter"/>
      <w:start w:val="10"/>
    </w:lvl>
  </w:abstractNum>
  <w:abstractNum w:abstractNumId="229">
    <w:nsid w:val="7B541FAB"/>
    <w:multiLevelType w:val="hybridMultilevel"/>
    <w:lvl w:ilvl="0">
      <w:lvlJc w:val="left"/>
      <w:lvlText w:val="(%1)"/>
      <w:numFmt w:val="lowerLetter"/>
      <w:start w:val="9"/>
    </w:lvl>
    <w:lvl w:ilvl="1">
      <w:lvlJc w:val="left"/>
      <w:lvlText w:val="(%2)"/>
      <w:numFmt w:val="lowerLetter"/>
      <w:start w:val="13"/>
    </w:lvl>
  </w:abstractNum>
  <w:abstractNum w:abstractNumId="230">
    <w:nsid w:val="2A79EC49"/>
    <w:multiLevelType w:val="hybridMultilevel"/>
    <w:lvl w:ilvl="0">
      <w:lvlJc w:val="left"/>
      <w:lvlText w:val="(%1)"/>
      <w:numFmt w:val="lowerLetter"/>
      <w:start w:val="35"/>
    </w:lvl>
    <w:lvl w:ilvl="1">
      <w:lvlJc w:val="left"/>
      <w:lvlText w:val="(%2)"/>
      <w:numFmt w:val="lowerLetter"/>
      <w:start w:val="15"/>
    </w:lvl>
  </w:abstractNum>
  <w:abstractNum w:abstractNumId="231">
    <w:nsid w:val="338125CF"/>
    <w:multiLevelType w:val="hybridMultilevel"/>
    <w:lvl w:ilvl="0">
      <w:lvlJc w:val="left"/>
      <w:lvlText w:val="(%1)"/>
      <w:numFmt w:val="lowerLetter"/>
      <w:start w:val="23"/>
    </w:lvl>
    <w:lvl w:ilvl="1">
      <w:lvlJc w:val="left"/>
      <w:lvlText w:val="%2"/>
      <w:numFmt w:val="lowerLetter"/>
      <w:start w:val="1"/>
    </w:lvl>
  </w:abstractNum>
  <w:abstractNum w:abstractNumId="232">
    <w:nsid w:val="47C7C971"/>
    <w:multiLevelType w:val="hybridMultilevel"/>
    <w:lvl w:ilvl="0">
      <w:lvlJc w:val="left"/>
      <w:lvlText w:val="%1"/>
      <w:numFmt w:val="lowerLetter"/>
      <w:start w:val="1"/>
    </w:lvl>
    <w:lvl w:ilvl="1">
      <w:lvlJc w:val="left"/>
      <w:lvlText w:val="(%2)"/>
      <w:numFmt w:val="lowerLetter"/>
      <w:start w:val="1"/>
    </w:lvl>
  </w:abstractNum>
  <w:abstractNum w:abstractNumId="233">
    <w:nsid w:val="46F8284B"/>
    <w:multiLevelType w:val="hybridMultilevel"/>
    <w:lvl w:ilvl="0">
      <w:lvlJc w:val="left"/>
      <w:lvlText w:val="(%1)"/>
      <w:numFmt w:val="lowerLetter"/>
      <w:start w:val="35"/>
    </w:lvl>
    <w:lvl w:ilvl="1">
      <w:lvlJc w:val="left"/>
      <w:lvlText w:val="(%2)"/>
      <w:numFmt w:val="lowerLetter"/>
      <w:start w:val="6"/>
    </w:lvl>
  </w:abstractNum>
  <w:abstractNum w:abstractNumId="234">
    <w:nsid w:val="4FA327CE"/>
    <w:multiLevelType w:val="hybridMultilevel"/>
    <w:lvl w:ilvl="0">
      <w:lvlJc w:val="left"/>
      <w:lvlText w:val="(%1)"/>
      <w:numFmt w:val="lowerLetter"/>
      <w:start w:val="9"/>
    </w:lvl>
    <w:lvl w:ilvl="1">
      <w:lvlJc w:val="left"/>
      <w:lvlText w:val="(%2)"/>
      <w:numFmt w:val="upperLetter"/>
    </w:lvl>
    <w:lvl w:ilvl="2">
      <w:lvlJc w:val="left"/>
      <w:lvlText w:val="(%3)"/>
      <w:numFmt w:val="lowerRoman"/>
      <w:start w:val="1"/>
    </w:lvl>
  </w:abstractNum>
  <w:abstractNum w:abstractNumId="235">
    <w:nsid w:val="1873983A"/>
    <w:multiLevelType w:val="hybridMultilevel"/>
    <w:lvl w:ilvl="0">
      <w:lvlJc w:val="left"/>
      <w:lvlText w:val="%1"/>
      <w:numFmt w:val="upperLetter"/>
      <w:start w:val="1"/>
    </w:lvl>
    <w:lvl w:ilvl="1">
      <w:lvlJc w:val="left"/>
      <w:lvlText w:val="(%2)"/>
      <w:numFmt w:val="lowerRoman"/>
      <w:start w:val="2"/>
    </w:lvl>
  </w:abstractNum>
  <w:abstractNum w:abstractNumId="236">
    <w:nsid w:val="3D2DD275"/>
    <w:multiLevelType w:val="hybridMultilevel"/>
    <w:lvl w:ilvl="0">
      <w:lvlJc w:val="left"/>
      <w:lvlText w:val="(%1)"/>
      <w:numFmt w:val="upperLetter"/>
      <w:start w:val="1"/>
    </w:lvl>
    <w:lvl w:ilvl="1">
      <w:lvlJc w:val="left"/>
      <w:lvlText w:val="(%2)"/>
      <w:numFmt w:val="lowerRoman"/>
      <w:start w:val="3"/>
    </w:lvl>
  </w:abstractNum>
  <w:abstractNum w:abstractNumId="237">
    <w:nsid w:val="2E17ECA7"/>
    <w:multiLevelType w:val="hybridMultilevel"/>
    <w:lvl w:ilvl="0">
      <w:lvlJc w:val="left"/>
      <w:lvlText w:val="(%1)"/>
      <w:numFmt w:val="upperLetter"/>
      <w:start w:val="3"/>
    </w:lvl>
    <w:lvl w:ilvl="1">
      <w:lvlJc w:val="left"/>
      <w:lvlText w:val="(%2)"/>
      <w:numFmt w:val="lowerRoman"/>
      <w:start w:val="4"/>
    </w:lvl>
  </w:abstractNum>
  <w:abstractNum w:abstractNumId="238">
    <w:nsid w:val="53B2564F"/>
    <w:multiLevelType w:val="hybridMultilevel"/>
    <w:lvl w:ilvl="0">
      <w:lvlJc w:val="left"/>
      <w:lvlText w:val="(%1)"/>
      <w:numFmt w:val="decimal"/>
      <w:start w:val="1"/>
    </w:lvl>
  </w:abstractNum>
  <w:abstractNum w:abstractNumId="239">
    <w:nsid w:val="75509D76"/>
    <w:multiLevelType w:val="hybridMultilevel"/>
    <w:lvl w:ilvl="0">
      <w:lvlJc w:val="left"/>
      <w:lvlText w:val="%1"/>
      <w:numFmt w:val="lowerLetter"/>
      <w:start w:val="1"/>
    </w:lvl>
    <w:lvl w:ilvl="1">
      <w:lvlJc w:val="left"/>
      <w:lvlText w:val="(%2)"/>
      <w:numFmt w:val="lowerRoman"/>
      <w:start w:val="6"/>
    </w:lvl>
  </w:abstractNum>
  <w:abstractNum w:abstractNumId="240">
    <w:nsid w:val="1AF7F0EA"/>
    <w:multiLevelType w:val="hybridMultilevel"/>
    <w:lvl w:ilvl="0">
      <w:lvlJc w:val="left"/>
      <w:lvlText w:val="(%1)"/>
      <w:numFmt w:val="lowerLetter"/>
      <w:start w:val="17"/>
    </w:lvl>
    <w:lvl w:ilvl="1">
      <w:lvlJc w:val="left"/>
      <w:lvlText w:val="(%2)"/>
      <w:numFmt w:val="lowerRoman"/>
      <w:start w:val="1"/>
    </w:lvl>
  </w:abstractNum>
  <w:abstractNum w:abstractNumId="241">
    <w:nsid w:val="4DA32C7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42">
    <w:nsid w:val="6EC6866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243">
    <w:nsid w:val="E0D31FF"/>
    <w:multiLevelType w:val="hybridMultilevel"/>
    <w:lvl w:ilvl="0">
      <w:lvlJc w:val="left"/>
      <w:lvlText w:val="%1"/>
      <w:numFmt w:val="lowerLetter"/>
      <w:start w:val="1"/>
    </w:lvl>
    <w:lvl w:ilvl="1">
      <w:lvlJc w:val="left"/>
      <w:lvlText w:val="(%2)"/>
      <w:numFmt w:val="lowerLetter"/>
      <w:start w:val="24"/>
    </w:lvl>
    <w:lvl w:ilvl="2">
      <w:lvlJc w:val="left"/>
      <w:lvlText w:val="%3"/>
      <w:numFmt w:val="lowerRoman"/>
      <w:start w:val="1"/>
    </w:lvl>
    <w:lvl w:ilvl="3">
      <w:lvlJc w:val="left"/>
      <w:lvlText w:val="%4"/>
      <w:numFmt w:val="upperLetter"/>
      <w:start w:val="1"/>
    </w:lvl>
  </w:abstractNum>
  <w:abstractNum w:abstractNumId="244">
    <w:nsid w:val="2FD0AD81"/>
    <w:multiLevelType w:val="hybridMultilevel"/>
    <w:lvl w:ilvl="0">
      <w:lvlJc w:val="left"/>
      <w:lvlText w:val="(%1)"/>
      <w:numFmt w:val="lowerLetter"/>
      <w:start w:val="29"/>
    </w:lvl>
  </w:abstractNum>
  <w:abstractNum w:abstractNumId="245">
    <w:nsid w:val="1978EBEB"/>
    <w:multiLevelType w:val="hybridMultilevel"/>
    <w:lvl w:ilvl="0">
      <w:lvlJc w:val="left"/>
      <w:lvlText w:val="(%1)"/>
      <w:numFmt w:val="lowerLetter"/>
      <w:start w:val="1"/>
    </w:lvl>
  </w:abstractNum>
  <w:abstractNum w:abstractNumId="246">
    <w:nsid w:val="52C12C61"/>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5"/>
    </w:lvl>
  </w:abstractNum>
  <w:abstractNum w:abstractNumId="247">
    <w:nsid w:val="4BDD53FD"/>
    <w:multiLevelType w:val="hybridMultilevel"/>
    <w:lvl w:ilvl="0">
      <w:lvlJc w:val="left"/>
      <w:lvlText w:val="%1"/>
      <w:numFmt w:val="upperLetter"/>
      <w:start w:val="1"/>
    </w:lvl>
    <w:lvl w:ilvl="1">
      <w:lvlJc w:val="left"/>
      <w:lvlText w:val="(%2)"/>
      <w:numFmt w:val="lowerLetter"/>
      <w:start w:val="12"/>
    </w:lvl>
  </w:abstractNum>
  <w:abstractNum w:abstractNumId="248">
    <w:nsid w:val="569951FE"/>
    <w:multiLevelType w:val="hybridMultilevel"/>
    <w:lvl w:ilvl="0">
      <w:lvlJc w:val="left"/>
      <w:lvlText w:val="(%1)"/>
      <w:numFmt w:val="upperLetter"/>
      <w:start w:val="3"/>
    </w:lvl>
    <w:lvl w:ilvl="1">
      <w:lvlJc w:val="left"/>
      <w:lvlText w:val="%2"/>
      <w:numFmt w:val="lowerLetter"/>
      <w:start w:val="1"/>
    </w:lvl>
  </w:abstractNum>
  <w:abstractNum w:abstractNumId="249">
    <w:nsid w:val="4C54E2C3"/>
    <w:multiLevelType w:val="hybridMultilevel"/>
    <w:lvl w:ilvl="0">
      <w:lvlJc w:val="left"/>
      <w:lvlText w:val="%1"/>
      <w:numFmt w:val="lowerLetter"/>
      <w:start w:val="1"/>
    </w:lvl>
    <w:lvl w:ilvl="1">
      <w:lvlJc w:val="left"/>
      <w:lvlText w:val="(%2)"/>
      <w:numFmt w:val="lowerLetter"/>
      <w:start w:val="17"/>
    </w:lvl>
    <w:lvl w:ilvl="2">
      <w:lvlJc w:val="left"/>
      <w:lvlText w:val="%3"/>
      <w:numFmt w:val="lowerLetter"/>
      <w:start w:val="1"/>
    </w:lvl>
  </w:abstractNum>
  <w:abstractNum w:abstractNumId="250">
    <w:nsid w:val="788BD9B"/>
    <w:multiLevelType w:val="hybridMultilevel"/>
    <w:lvl w:ilvl="0">
      <w:lvlJc w:val="left"/>
      <w:lvlText w:val="(%1)"/>
      <w:numFmt w:val="lowerLetter"/>
      <w:start w:val="19"/>
    </w:lvl>
    <w:lvl w:ilvl="1">
      <w:lvlJc w:val="left"/>
      <w:lvlText w:val="(%2)"/>
      <w:numFmt w:val="lowerLetter"/>
      <w:start w:val="20"/>
    </w:lvl>
    <w:lvl w:ilvl="2">
      <w:lvlJc w:val="left"/>
      <w:lvlText w:val="%3"/>
      <w:numFmt w:val="lowerLetter"/>
      <w:start w:val="1"/>
    </w:lvl>
  </w:abstractNum>
  <w:abstractNum w:abstractNumId="251">
    <w:nsid w:val="47CAA567"/>
    <w:multiLevelType w:val="hybridMultilevel"/>
    <w:lvl w:ilvl="0">
      <w:lvlJc w:val="left"/>
      <w:lvlText w:val="(%1)"/>
      <w:numFmt w:val="lowerLetter"/>
      <w:start w:val="35"/>
    </w:lvl>
    <w:lvl w:ilvl="1">
      <w:lvlJc w:val="left"/>
      <w:lvlText w:val="(%2)"/>
      <w:numFmt w:val="lowerLetter"/>
      <w:start w:val="23"/>
    </w:lvl>
    <w:lvl w:ilvl="2">
      <w:lvlJc w:val="left"/>
      <w:lvlText w:val="%3"/>
      <w:numFmt w:val="lowerLetter"/>
      <w:start w:val="1"/>
    </w:lvl>
  </w:abstractNum>
  <w:abstractNum w:abstractNumId="252">
    <w:nsid w:val="48249DBF"/>
    <w:multiLevelType w:val="hybridMultilevel"/>
    <w:lvl w:ilvl="0">
      <w:lvlJc w:val="left"/>
      <w:lvlText w:val="(%1)"/>
      <w:numFmt w:val="lowerLetter"/>
      <w:start w:val="30"/>
    </w:lvl>
  </w:abstractNum>
  <w:abstractNum w:abstractNumId="253">
    <w:nsid w:val="1F0E5D0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1"/>
    </w:lvl>
  </w:abstractNum>
  <w:abstractNum w:abstractNumId="254">
    <w:nsid w:val="26BAAE9"/>
    <w:multiLevelType w:val="hybridMultilevel"/>
    <w:lvl w:ilvl="0">
      <w:lvlJc w:val="left"/>
      <w:lvlText w:val="(%1)"/>
      <w:numFmt w:val="upperLetter"/>
      <w:start w:val="3"/>
    </w:lvl>
  </w:abstractNum>
  <w:abstractNum w:abstractNumId="255">
    <w:nsid w:val="2C02FE8C"/>
    <w:multiLevelType w:val="hybridMultilevel"/>
    <w:lvl w:ilvl="0">
      <w:lvlJc w:val="left"/>
      <w:lvlText w:val="(%1)"/>
      <w:numFmt w:val="lowerRoman"/>
      <w:start w:val="2"/>
    </w:lvl>
  </w:abstractNum>
  <w:abstractNum w:abstractNumId="256">
    <w:nsid w:val="129517E"/>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257">
    <w:nsid w:val="763B8C4E"/>
    <w:multiLevelType w:val="hybridMultilevel"/>
    <w:lvl w:ilvl="0">
      <w:lvlJc w:val="left"/>
      <w:lvlText w:val="(%1)"/>
      <w:numFmt w:val="lowerRoman"/>
      <w:start w:val="3"/>
    </w:lvl>
    <w:lvl w:ilvl="1">
      <w:lvlJc w:val="left"/>
      <w:lvlText w:val="(%2)"/>
      <w:numFmt w:val="decimal"/>
      <w:start w:val="2"/>
    </w:lvl>
    <w:lvl w:ilvl="2">
      <w:lvlJc w:val="left"/>
      <w:lvlText w:val="(%3)"/>
      <w:numFmt w:val="upperLetter"/>
      <w:start w:val="1"/>
    </w:lvl>
  </w:abstractNum>
  <w:abstractNum w:abstractNumId="258">
    <w:nsid w:val="4CFB8D32"/>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6"/>
    </w:lvl>
  </w:abstractNum>
  <w:abstractNum w:abstractNumId="259">
    <w:nsid w:val="62A5D5BD"/>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1"/>
    </w:lvl>
  </w:abstractNum>
  <w:abstractNum w:abstractNumId="260">
    <w:nsid w:val="718FABF9"/>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9"/>
    </w:lvl>
  </w:abstractNum>
  <w:abstractNum w:abstractNumId="261">
    <w:nsid w:val="7775797C"/>
    <w:multiLevelType w:val="hybridMultilevel"/>
    <w:lvl w:ilvl="0">
      <w:lvlJc w:val="left"/>
      <w:lvlText w:val="(%1)"/>
      <w:numFmt w:val="lowerLetter"/>
      <w:start w:val="2"/>
    </w:lvl>
    <w:lvl w:ilvl="1">
      <w:lvlJc w:val="left"/>
      <w:lvlText w:val="(%2)"/>
      <w:numFmt w:val="upperLetter"/>
    </w:lvl>
    <w:lvl w:ilvl="2">
      <w:lvlJc w:val="left"/>
      <w:lvlText w:val="(%3)"/>
      <w:numFmt w:val="lowerRoman"/>
      <w:start w:val="1"/>
    </w:lvl>
  </w:abstractNum>
  <w:abstractNum w:abstractNumId="262">
    <w:nsid w:val="1626FB8C"/>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5"/>
    </w:lvl>
  </w:abstractNum>
  <w:abstractNum w:abstractNumId="263">
    <w:nsid w:val="3957756A"/>
    <w:multiLevelType w:val="hybridMultilevel"/>
    <w:lvl w:ilvl="0">
      <w:lvlJc w:val="left"/>
      <w:lvlText w:val="(%1)"/>
      <w:numFmt w:val="lowerLetter"/>
      <w:start w:val="1"/>
    </w:lvl>
  </w:abstractNum>
  <w:abstractNum w:abstractNumId="264">
    <w:nsid w:val="3E6DA1C7"/>
    <w:multiLevelType w:val="hybridMultilevel"/>
    <w:lvl w:ilvl="0">
      <w:lvlJc w:val="left"/>
      <w:lvlText w:val="(%1)"/>
      <w:numFmt w:val="lowerLetter"/>
      <w:start w:val="13"/>
    </w:lvl>
  </w:abstractNum>
  <w:abstractNum w:abstractNumId="265">
    <w:nsid w:val="65CA235B"/>
    <w:multiLevelType w:val="hybridMultilevel"/>
    <w:lvl w:ilvl="0">
      <w:lvlJc w:val="left"/>
      <w:lvlText w:val="%1"/>
      <w:numFmt w:val="lowerLetter"/>
      <w:start w:val="1"/>
    </w:lvl>
    <w:lvl w:ilvl="1">
      <w:lvlJc w:val="left"/>
      <w:lvlText w:val="(%2)"/>
      <w:numFmt w:val="lowerLetter"/>
      <w:start w:val="1"/>
    </w:lvl>
  </w:abstractNum>
  <w:abstractNum w:abstractNumId="266">
    <w:nsid w:val="51CB0DA4"/>
    <w:multiLevelType w:val="hybridMultilevel"/>
    <w:lvl w:ilvl="0">
      <w:lvlJc w:val="left"/>
      <w:lvlText w:val="(%1)"/>
      <w:numFmt w:val="lowerLetter"/>
      <w:start w:val="35"/>
    </w:lvl>
    <w:lvl w:ilvl="1">
      <w:lvlJc w:val="left"/>
      <w:lvlText w:val="(%2)"/>
      <w:numFmt w:val="lowerLetter"/>
      <w:start w:val="4"/>
    </w:lvl>
  </w:abstractNum>
  <w:abstractNum w:abstractNumId="267">
    <w:nsid w:val="7B9B743C"/>
    <w:multiLevelType w:val="hybridMultilevel"/>
    <w:lvl w:ilvl="0">
      <w:lvlJc w:val="left"/>
      <w:lvlText w:val="(%1)"/>
      <w:numFmt w:val="lowerLetter"/>
      <w:start w:val="5"/>
    </w:lvl>
  </w:abstractNum>
  <w:abstractNum w:abstractNumId="268">
    <w:nsid w:val="13E21002"/>
    <w:multiLevelType w:val="hybridMultilevel"/>
    <w:lvl w:ilvl="0">
      <w:lvlJc w:val="left"/>
      <w:lvlText w:val="(%1)"/>
      <w:numFmt w:val="lowerLetter"/>
      <w:start w:val="14"/>
    </w:lvl>
    <w:lvl w:ilvl="1">
      <w:lvlJc w:val="left"/>
      <w:lvlText w:val="(%2)"/>
      <w:numFmt w:val="lowerRoman"/>
      <w:start w:val="1"/>
    </w:lvl>
  </w:abstractNum>
  <w:abstractNum w:abstractNumId="269">
    <w:nsid w:val="257D63F4"/>
    <w:multiLevelType w:val="hybridMultilevel"/>
    <w:lvl w:ilvl="0">
      <w:lvlJc w:val="left"/>
      <w:lvlText w:val="(%1)"/>
      <w:numFmt w:val="lowerLetter"/>
      <w:start w:val="21"/>
    </w:lvl>
    <w:lvl w:ilvl="1">
      <w:lvlJc w:val="left"/>
      <w:lvlText w:val="%2"/>
      <w:numFmt w:val="lowerLetter"/>
      <w:start w:val="1"/>
    </w:lvl>
  </w:abstractNum>
  <w:abstractNum w:abstractNumId="270">
    <w:nsid w:val="70EC11B2"/>
    <w:multiLevelType w:val="hybridMultilevel"/>
    <w:lvl w:ilvl="0">
      <w:lvlJc w:val="left"/>
      <w:lvlText w:val="(%1)"/>
      <w:numFmt w:val="lowerLetter"/>
      <w:start w:val="33"/>
    </w:lvl>
  </w:abstractNum>
  <w:abstractNum w:abstractNumId="271">
    <w:nsid w:val="2EDA00ED"/>
    <w:multiLevelType w:val="hybridMultilevel"/>
    <w:lvl w:ilvl="0">
      <w:lvlJc w:val="left"/>
      <w:lvlText w:val="(%1)"/>
      <w:numFmt w:val="lowerLetter"/>
      <w:start w:val="1"/>
    </w:lvl>
    <w:lvl w:ilvl="1">
      <w:lvlJc w:val="left"/>
      <w:lvlText w:val="(%2)"/>
      <w:numFmt w:val="lowerLetter"/>
      <w:start w:val="9"/>
    </w:lvl>
  </w:abstractNum>
  <w:abstractNum w:abstractNumId="272">
    <w:nsid w:val="7320907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273">
    <w:nsid w:val="5FB29816"/>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74">
    <w:nsid w:val="3CE732EC"/>
    <w:multiLevelType w:val="hybridMultilevel"/>
    <w:lvl w:ilvl="0">
      <w:lvlJc w:val="left"/>
      <w:lvlText w:val="(%1)"/>
      <w:numFmt w:val="lowerLetter"/>
      <w:start w:val="35"/>
    </w:lvl>
    <w:lvl w:ilvl="1">
      <w:lvlJc w:val="left"/>
      <w:lvlText w:val="(%2)"/>
      <w:numFmt w:val="lowerLetter"/>
      <w:start w:val="4"/>
    </w:lvl>
    <w:lvl w:ilvl="2">
      <w:lvlJc w:val="left"/>
      <w:lvlText w:val="(%3)"/>
      <w:numFmt w:val="lowerLetter"/>
      <w:start w:val="9"/>
    </w:lvl>
  </w:abstractNum>
  <w:abstractNum w:abstractNumId="275">
    <w:nsid w:val="22F13DF3"/>
    <w:multiLevelType w:val="hybridMultilevel"/>
    <w:lvl w:ilvl="0">
      <w:lvlJc w:val="left"/>
      <w:lvlText w:val="(%1)"/>
      <w:numFmt w:val="lowerRoman"/>
      <w:start w:val="2"/>
    </w:lvl>
  </w:abstractNum>
  <w:abstractNum w:abstractNumId="276">
    <w:nsid w:val="792B8401"/>
    <w:multiLevelType w:val="hybridMultilevel"/>
    <w:lvl w:ilvl="0">
      <w:lvlJc w:val="left"/>
      <w:lvlText w:val="(%1)"/>
      <w:numFmt w:val="upperLetter"/>
      <w:start w:val="1"/>
    </w:lvl>
  </w:abstractNum>
  <w:abstractNum w:abstractNumId="277">
    <w:nsid w:val="FA85F4D"/>
    <w:multiLevelType w:val="hybridMultilevel"/>
    <w:lvl w:ilvl="0">
      <w:lvlJc w:val="left"/>
      <w:lvlText w:val="(%1)"/>
      <w:numFmt w:val="lowerLetter"/>
      <w:start w:val="9"/>
    </w:lvl>
  </w:abstractNum>
  <w:abstractNum w:abstractNumId="278">
    <w:nsid w:val="6ECE91F0"/>
    <w:multiLevelType w:val="hybridMultilevel"/>
    <w:lvl w:ilvl="0">
      <w:lvlJc w:val="left"/>
      <w:lvlText w:val="%1"/>
      <w:numFmt w:val="lowerLetter"/>
      <w:start w:val="1"/>
    </w:lvl>
    <w:lvl w:ilvl="1">
      <w:lvlJc w:val="left"/>
      <w:lvlText w:val="(%2)"/>
      <w:numFmt w:val="lowerLetter"/>
      <w:start w:val="14"/>
    </w:lvl>
  </w:abstractNum>
  <w:abstractNum w:abstractNumId="279">
    <w:nsid w:val="4FC4D600"/>
    <w:multiLevelType w:val="hybridMultilevel"/>
    <w:lvl w:ilvl="0">
      <w:lvlJc w:val="left"/>
      <w:lvlText w:val="(%1)"/>
      <w:numFmt w:val="lowerLetter"/>
      <w:start w:val="35"/>
    </w:lvl>
    <w:lvl w:ilvl="1">
      <w:lvlJc w:val="left"/>
      <w:lvlText w:val="(%2)"/>
      <w:numFmt w:val="lowerLetter"/>
      <w:start w:val="21"/>
    </w:lvl>
  </w:abstractNum>
  <w:abstractNum w:abstractNumId="280">
    <w:nsid w:val="5BFD4210"/>
    <w:multiLevelType w:val="hybridMultilevel"/>
    <w:lvl w:ilvl="0">
      <w:lvlJc w:val="left"/>
      <w:lvlText w:val="(%1)"/>
      <w:numFmt w:val="lowerLetter"/>
      <w:start w:val="28"/>
    </w:lvl>
  </w:abstractNum>
  <w:abstractNum w:abstractNumId="281">
    <w:nsid w:val="76574F8B"/>
    <w:multiLevelType w:val="hybridMultilevel"/>
    <w:lvl w:ilvl="0">
      <w:lvlJc w:val="left"/>
      <w:lvlText w:val="%1"/>
      <w:numFmt w:val="lowerLetter"/>
      <w:start w:val="1"/>
    </w:lvl>
    <w:lvl w:ilvl="1">
      <w:lvlJc w:val="left"/>
      <w:lvlText w:val="(%2)"/>
      <w:numFmt w:val="lowerLetter"/>
      <w:start w:val="1"/>
    </w:lvl>
  </w:abstractNum>
  <w:abstractNum w:abstractNumId="282">
    <w:nsid w:val="178F7B67"/>
    <w:multiLevelType w:val="hybridMultilevel"/>
    <w:lvl w:ilvl="0">
      <w:lvlJc w:val="left"/>
      <w:lvlText w:val="(%1)"/>
      <w:numFmt w:val="lowerLetter"/>
      <w:start w:val="24"/>
    </w:lvl>
    <w:lvl w:ilvl="1">
      <w:lvlJc w:val="left"/>
      <w:lvlText w:val="%2"/>
      <w:numFmt w:val="lowerLetter"/>
      <w:start w:val="1"/>
    </w:lvl>
  </w:abstractNum>
  <w:abstractNum w:abstractNumId="283">
    <w:nsid w:val="2421DFCF"/>
    <w:multiLevelType w:val="hybridMultilevel"/>
    <w:lvl w:ilvl="0">
      <w:lvlJc w:val="left"/>
      <w:lvlText w:val="(%1)"/>
      <w:numFmt w:val="lowerLetter"/>
      <w:start w:val="1"/>
    </w:lvl>
  </w:abstractNum>
  <w:abstractNum w:abstractNumId="284">
    <w:nsid w:val="1565AC99"/>
    <w:multiLevelType w:val="hybridMultilevel"/>
    <w:lvl w:ilvl="0">
      <w:lvlJc w:val="left"/>
      <w:lvlText w:val="(%1)"/>
      <w:numFmt w:val="lowerLetter"/>
      <w:start w:val="2"/>
    </w:lvl>
    <w:lvl w:ilvl="1">
      <w:lvlJc w:val="left"/>
      <w:lvlText w:val="(%2)"/>
      <w:numFmt w:val="lowerRoman"/>
      <w:start w:val="1"/>
    </w:lvl>
  </w:abstractNum>
  <w:abstractNum w:abstractNumId="285">
    <w:nsid w:val="19FB265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86">
    <w:nsid w:val="5024DE5B"/>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287">
    <w:nsid w:val="168EFE17"/>
    <w:multiLevelType w:val="hybridMultilevel"/>
    <w:lvl w:ilvl="0">
      <w:lvlJc w:val="left"/>
      <w:lvlText w:val="(%1)"/>
      <w:numFmt w:val="lowerLetter"/>
      <w:start w:val="2"/>
    </w:lvl>
    <w:lvl w:ilvl="1">
      <w:lvlJc w:val="left"/>
      <w:lvlText w:val="(%2)"/>
      <w:numFmt w:val="lowerLetter"/>
      <w:start w:val="3"/>
    </w:lvl>
    <w:lvl w:ilvl="2">
      <w:lvlJc w:val="left"/>
      <w:lvlText w:val="%3"/>
      <w:numFmt w:val="lowerRoman"/>
      <w:start w:val="1"/>
    </w:lvl>
  </w:abstractNum>
  <w:abstractNum w:abstractNumId="288">
    <w:nsid w:val="1036B29F"/>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289">
    <w:nsid w:val="1D206B8E"/>
    <w:multiLevelType w:val="hybridMultilevel"/>
    <w:lvl w:ilvl="0">
      <w:lvlJc w:val="left"/>
      <w:lvlText w:val="(%1)"/>
      <w:numFmt w:val="lowerLetter"/>
      <w:start w:val="4"/>
    </w:lvl>
  </w:abstractNum>
  <w:abstractNum w:abstractNumId="290">
    <w:nsid w:val="7934D3D4"/>
    <w:multiLevelType w:val="hybridMultilevel"/>
    <w:lvl w:ilvl="0">
      <w:lvlJc w:val="left"/>
      <w:lvlText w:val="%1"/>
      <w:numFmt w:val="decimal"/>
      <w:start w:val="1"/>
    </w:lvl>
    <w:lvl w:ilvl="1">
      <w:lvlJc w:val="left"/>
      <w:lvlText w:val="(%2)"/>
      <w:numFmt w:val="lowerLetter"/>
      <w:start w:val="8"/>
    </w:lvl>
  </w:abstractNum>
  <w:abstractNum w:abstractNumId="291">
    <w:nsid w:val="1C65E98"/>
    <w:multiLevelType w:val="hybridMultilevel"/>
    <w:lvl w:ilvl="0">
      <w:lvlJc w:val="left"/>
      <w:lvlText w:val="(%1)"/>
      <w:numFmt w:val="decimal"/>
      <w:start w:val="1"/>
    </w:lvl>
    <w:lvl w:ilvl="1">
      <w:lvlJc w:val="left"/>
      <w:lvlText w:val="(%2)"/>
      <w:numFmt w:val="lowerLetter"/>
      <w:start w:val="12"/>
    </w:lvl>
  </w:abstractNum>
  <w:abstractNum w:abstractNumId="292">
    <w:nsid w:val="1495E50A"/>
    <w:multiLevelType w:val="hybridMultilevel"/>
    <w:lvl w:ilvl="0">
      <w:lvlJc w:val="left"/>
      <w:lvlText w:val="(%1)"/>
      <w:numFmt w:val="lowerLetter"/>
      <w:start w:val="1"/>
    </w:lvl>
  </w:abstractNum>
  <w:abstractNum w:abstractNumId="293">
    <w:nsid w:val="F5BCF61"/>
    <w:multiLevelType w:val="hybridMultilevel"/>
    <w:lvl w:ilvl="0">
      <w:lvlJc w:val="left"/>
      <w:lvlText w:val="(%1)"/>
      <w:numFmt w:val="lowerLetter"/>
      <w:start w:val="1"/>
    </w:lvl>
  </w:abstractNum>
  <w:abstractNum w:abstractNumId="294">
    <w:nsid w:val="3B1DD403"/>
    <w:multiLevelType w:val="hybridMultilevel"/>
    <w:lvl w:ilvl="0">
      <w:lvlJc w:val="left"/>
      <w:lvlText w:val="(%1)"/>
      <w:numFmt w:val="lowerLetter"/>
      <w:start w:val="1"/>
    </w:lvl>
  </w:abstractNum>
  <w:abstractNum w:abstractNumId="295">
    <w:nsid w:val="530386D1"/>
    <w:multiLevelType w:val="hybridMultilevel"/>
    <w:lvl w:ilvl="0">
      <w:lvlJc w:val="left"/>
      <w:lvlText w:val="(%1)"/>
      <w:numFmt w:val="lowerLetter"/>
      <w:start w:val="3"/>
    </w:lvl>
  </w:abstractNum>
  <w:abstractNum w:abstractNumId="296">
    <w:nsid w:val="7525F2BC"/>
    <w:multiLevelType w:val="hybridMultilevel"/>
    <w:lvl w:ilvl="0">
      <w:lvlJc w:val="left"/>
      <w:lvlText w:val="(%1)"/>
      <w:numFmt w:val="lowerLetter"/>
      <w:start w:val="1"/>
    </w:lvl>
  </w:abstractNum>
  <w:abstractNum w:abstractNumId="297">
    <w:nsid w:val="CE8E1A7"/>
    <w:multiLevelType w:val="hybridMultilevel"/>
    <w:lvl w:ilvl="0">
      <w:lvlJc w:val="left"/>
      <w:lvlText w:val="(%1)"/>
      <w:numFmt w:val="lowerLetter"/>
      <w:start w:val="4"/>
    </w:lvl>
  </w:abstractNum>
  <w:abstractNum w:abstractNumId="298">
    <w:nsid w:val="4E9EFB0D"/>
    <w:multiLevelType w:val="hybridMultilevel"/>
    <w:lvl w:ilvl="0">
      <w:lvlJc w:val="left"/>
      <w:lvlText w:val="(%1)"/>
      <w:numFmt w:val="lowerRoman"/>
      <w:start w:val="1"/>
    </w:lvl>
  </w:abstractNum>
  <w:abstractNum w:abstractNumId="299">
    <w:nsid w:val="90802BE"/>
    <w:multiLevelType w:val="hybridMultilevel"/>
    <w:lvl w:ilvl="0">
      <w:lvlJc w:val="left"/>
      <w:lvlText w:val="(%1)"/>
      <w:numFmt w:val="lowerLetter"/>
      <w:start w:val="1"/>
    </w:lvl>
  </w:abstractNum>
  <w:abstractNum w:abstractNumId="300">
    <w:nsid w:val="3266459B"/>
    <w:multiLevelType w:val="hybridMultilevel"/>
    <w:lvl w:ilvl="0">
      <w:lvlJc w:val="left"/>
      <w:lvlText w:val="(%1)"/>
      <w:numFmt w:val="lowerLetter"/>
      <w:start w:val="1"/>
    </w:lvl>
  </w:abstractNum>
  <w:abstractNum w:abstractNumId="301">
    <w:nsid w:val="3F8B0CBF"/>
    <w:multiLevelType w:val="hybridMultilevel"/>
    <w:lvl w:ilvl="0">
      <w:lvlJc w:val="left"/>
      <w:lvlText w:val="(%1)"/>
      <w:numFmt w:val="lowerLetter"/>
      <w:start w:val="3"/>
    </w:lvl>
  </w:abstractNum>
  <w:abstractNum w:abstractNumId="302">
    <w:nsid w:val="37E203AB"/>
    <w:multiLevelType w:val="hybridMultilevel"/>
    <w:lvl w:ilvl="0">
      <w:lvlJc w:val="left"/>
      <w:lvlText w:val="(%1)"/>
      <w:numFmt w:val="lowerRoman"/>
      <w:start w:val="1"/>
    </w:lvl>
  </w:abstractNum>
  <w:abstractNum w:abstractNumId="303">
    <w:nsid w:val="2586D60E"/>
    <w:multiLevelType w:val="hybridMultilevel"/>
    <w:lvl w:ilvl="0">
      <w:lvlJc w:val="left"/>
      <w:lvlText w:val="(%1)"/>
      <w:numFmt w:val="lowerLetter"/>
      <w:start w:val="1"/>
    </w:lvl>
    <w:lvl w:ilvl="1">
      <w:lvlJc w:val="left"/>
      <w:lvlText w:val="(%2)"/>
      <w:numFmt w:val="lowerLetter"/>
      <w:start w:val="9"/>
    </w:lvl>
  </w:abstractNum>
  <w:abstractNum w:abstractNumId="304">
    <w:nsid w:val="1F3DA4D5"/>
    <w:multiLevelType w:val="hybridMultilevel"/>
    <w:lvl w:ilvl="0">
      <w:lvlJc w:val="left"/>
      <w:lvlText w:val="(%1)"/>
      <w:numFmt w:val="lowerRoman"/>
      <w:start w:val="2"/>
    </w:lvl>
  </w:abstractNum>
  <w:abstractNum w:abstractNumId="305">
    <w:nsid w:val="74C93698"/>
    <w:multiLevelType w:val="hybridMultilevel"/>
    <w:lvl w:ilvl="0">
      <w:lvlJc w:val="left"/>
      <w:lvlText w:val="(%1)"/>
      <w:numFmt w:val="lowerRoman"/>
      <w:start w:val="3"/>
    </w:lvl>
  </w:abstractNum>
  <w:abstractNum w:abstractNumId="306">
    <w:nsid w:val="48781401"/>
    <w:multiLevelType w:val="hybridMultilevel"/>
    <w:lvl w:ilvl="0">
      <w:lvlJc w:val="left"/>
      <w:lvlText w:val="(%1)"/>
      <w:numFmt w:val="lowerLetter"/>
      <w:start w:val="2"/>
    </w:lvl>
  </w:abstractNum>
  <w:abstractNum w:abstractNumId="307">
    <w:nsid w:val="186928D6"/>
    <w:multiLevelType w:val="hybridMultilevel"/>
    <w:lvl w:ilvl="0">
      <w:lvlJc w:val="left"/>
      <w:lvlText w:val="(%1)"/>
      <w:numFmt w:val="lowerLetter"/>
      <w:start w:val="3"/>
    </w:lvl>
  </w:abstractNum>
  <w:abstractNum w:abstractNumId="308">
    <w:nsid w:val="47195E5"/>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abstractNum>
  <w:abstractNum w:abstractNumId="309">
    <w:nsid w:val="3746A5F2"/>
    <w:multiLevelType w:val="hybridMultilevel"/>
    <w:lvl w:ilvl="0">
      <w:lvlJc w:val="left"/>
      <w:lvlText w:val="%1"/>
      <w:numFmt w:val="lowerLetter"/>
      <w:start w:val="1"/>
    </w:lvl>
    <w:lvl w:ilvl="1">
      <w:lvlJc w:val="left"/>
      <w:lvlText w:val="(%2)"/>
      <w:numFmt w:val="decimal"/>
      <w:start w:val="3"/>
    </w:lvl>
  </w:abstractNum>
  <w:abstractNum w:abstractNumId="310">
    <w:nsid w:val="682DFED6"/>
    <w:multiLevelType w:val="hybridMultilevel"/>
    <w:lvl w:ilvl="0">
      <w:lvlJc w:val="left"/>
      <w:lvlText w:val="(%1)"/>
      <w:numFmt w:val="lowerLetter"/>
      <w:start w:val="3"/>
    </w:lvl>
    <w:lvl w:ilvl="1">
      <w:lvlJc w:val="left"/>
      <w:lvlText w:val="%2"/>
      <w:numFmt w:val="decimal"/>
      <w:start w:val="1"/>
    </w:lvl>
  </w:abstractNum>
  <w:abstractNum w:abstractNumId="311">
    <w:nsid w:val="606ED7F6"/>
    <w:multiLevelType w:val="hybridMultilevel"/>
    <w:lvl w:ilvl="0">
      <w:lvlJc w:val="left"/>
      <w:lvlText w:val="(%1)"/>
      <w:numFmt w:val="upperLetter"/>
      <w:start w:val="2"/>
    </w:lvl>
    <w:lvl w:ilvl="1">
      <w:lvlJc w:val="left"/>
      <w:lvlText w:val="(%2)"/>
      <w:numFmt w:val="upperLetter"/>
      <w:start w:val="1"/>
    </w:lvl>
    <w:lvl w:ilvl="2">
      <w:lvlJc w:val="left"/>
      <w:lvlText w:val="(%3)"/>
      <w:numFmt w:val="decimal"/>
      <w:start w:val="1"/>
    </w:lvl>
  </w:abstractNum>
  <w:abstractNum w:abstractNumId="312">
    <w:nsid w:val="2D9DF57D"/>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1"/>
    </w:lvl>
    <w:lvl w:ilvl="4">
      <w:lvlJc w:val="left"/>
      <w:lvlText w:val="(%5)"/>
      <w:numFmt w:val="decimal"/>
      <w:start w:val="3"/>
    </w:lvl>
  </w:abstractNum>
  <w:abstractNum w:abstractNumId="313">
    <w:nsid w:val="7FBD7A3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3"/>
    </w:lvl>
    <w:lvl w:ilvl="4">
      <w:lvlJc w:val="left"/>
      <w:lvlText w:val="%5"/>
      <w:numFmt w:val="decimal"/>
      <w:start w:val="1"/>
    </w:lvl>
  </w:abstractNum>
  <w:abstractNum w:abstractNumId="314">
    <w:nsid w:val="490B7C5"/>
    <w:multiLevelType w:val="hybridMultilevel"/>
    <w:lvl w:ilvl="0">
      <w:lvlJc w:val="left"/>
      <w:lvlText w:val="(%1)"/>
      <w:numFmt w:val="lowerLetter"/>
      <w:start w:val="3"/>
    </w:lvl>
    <w:lvl w:ilvl="1">
      <w:lvlJc w:val="left"/>
      <w:lvlText w:val="(%2)"/>
      <w:numFmt w:val="lowerLetter"/>
      <w:start w:val="9"/>
    </w:lvl>
    <w:lvl w:ilvl="2">
      <w:lvlJc w:val="left"/>
      <w:lvlText w:val="(%3)"/>
      <w:numFmt w:val="decimal"/>
    </w:lvl>
    <w:lvl w:ilvl="3">
      <w:lvlJc w:val="left"/>
      <w:lvlText w:val="(%4)"/>
      <w:numFmt w:val="upperLetter"/>
      <w:start w:val="1"/>
    </w:lvl>
    <w:lvl w:ilvl="4">
      <w:lvlJc w:val="left"/>
      <w:lvlText w:val="%5"/>
      <w:numFmt w:val="decimal"/>
      <w:start w:val="1"/>
    </w:lvl>
  </w:abstractNum>
  <w:abstractNum w:abstractNumId="315">
    <w:nsid w:val="4303A216"/>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upperLetter"/>
      <w:start w:val="2"/>
    </w:lvl>
    <w:lvl w:ilvl="4">
      <w:lvlJc w:val="left"/>
      <w:lvlText w:val="%5"/>
      <w:numFmt w:val="decimal"/>
      <w:start w:val="1"/>
    </w:lvl>
  </w:abstractNum>
  <w:abstractNum w:abstractNumId="316">
    <w:nsid w:val="19B8A08E"/>
    <w:multiLevelType w:val="hybridMultilevel"/>
    <w:lvl w:ilvl="0">
      <w:lvlJc w:val="left"/>
      <w:lvlText w:val="%1"/>
      <w:numFmt w:val="decimal"/>
      <w:start w:val="1"/>
    </w:lvl>
    <w:lvl w:ilvl="1">
      <w:lvlJc w:val="left"/>
      <w:lvlText w:val="(%2)"/>
      <w:numFmt w:val="upperLetter"/>
      <w:start w:val="3"/>
    </w:lvl>
  </w:abstractNum>
  <w:abstractNum w:abstractNumId="317">
    <w:nsid w:val="54B59621"/>
    <w:multiLevelType w:val="hybridMultilevel"/>
    <w:lvl w:ilvl="0">
      <w:lvlJc w:val="left"/>
      <w:lvlText w:val="(%1)"/>
      <w:numFmt w:val="decimal"/>
      <w:start w:val="1"/>
    </w:lvl>
    <w:lvl w:ilvl="1">
      <w:lvlJc w:val="left"/>
      <w:lvlText w:val="(%2)"/>
      <w:numFmt w:val="upperLetter"/>
      <w:start w:val="9"/>
    </w:lvl>
  </w:abstractNum>
  <w:abstractNum w:abstractNumId="318">
    <w:nsid w:val="5992A02E"/>
    <w:multiLevelType w:val="hybridMultilevel"/>
    <w:lvl w:ilvl="0">
      <w:lvlJc w:val="left"/>
      <w:lvlText w:val="(%1)"/>
      <w:numFmt w:val="lowerRoman"/>
      <w:start w:val="2"/>
    </w:lvl>
  </w:abstractNum>
  <w:abstractNum w:abstractNumId="319">
    <w:nsid w:val="29EF532D"/>
    <w:multiLevelType w:val="hybridMultilevel"/>
    <w:lvl w:ilvl="0">
      <w:lvlJc w:val="left"/>
      <w:lvlText w:val="(%1)"/>
      <w:numFmt w:val="upperLetter"/>
      <w:start w:val="1"/>
    </w:lvl>
  </w:abstractNum>
  <w:abstractNum w:abstractNumId="320">
    <w:nsid w:val="71D601AF"/>
    <w:multiLevelType w:val="hybridMultilevel"/>
    <w:lvl w:ilvl="0">
      <w:lvlJc w:val="left"/>
      <w:lvlText w:val="(%1)"/>
      <w:numFmt w:val="upperLetter"/>
      <w:start w:val="7"/>
    </w:lvl>
  </w:abstractNum>
  <w:abstractNum w:abstractNumId="321">
    <w:nsid w:val="52C77402"/>
    <w:multiLevelType w:val="hybridMultilevel"/>
    <w:lvl w:ilvl="0">
      <w:lvlJc w:val="left"/>
      <w:lvlText w:val="(%1)"/>
      <w:numFmt w:val="lowerLetter"/>
      <w:start w:val="4"/>
    </w:lvl>
    <w:lvl w:ilvl="1">
      <w:lvlJc w:val="left"/>
      <w:lvlText w:val="(%2)"/>
      <w:numFmt w:val="lowerRoman"/>
      <w:start w:val="1"/>
    </w:lvl>
  </w:abstractNum>
  <w:abstractNum w:abstractNumId="322">
    <w:nsid w:val="2BB5B1C6"/>
    <w:multiLevelType w:val="hybridMultilevel"/>
    <w:lvl w:ilvl="0">
      <w:lvlJc w:val="left"/>
      <w:lvlText w:val="(%1)"/>
      <w:numFmt w:val="lowerRoman"/>
      <w:start w:val="4"/>
    </w:lvl>
  </w:abstractNum>
  <w:abstractNum w:abstractNumId="323">
    <w:nsid w:val="66BE6B9"/>
    <w:multiLevelType w:val="hybridMultilevel"/>
    <w:lvl w:ilvl="0">
      <w:lvlJc w:val="left"/>
      <w:lvlText w:val="(%1)"/>
      <w:numFmt w:val="lowerRoman"/>
      <w:start w:val="10"/>
    </w:lvl>
  </w:abstractNum>
  <w:abstractNum w:abstractNumId="324">
    <w:nsid w:val="62234363"/>
    <w:multiLevelType w:val="hybridMultilevel"/>
    <w:lvl w:ilvl="0">
      <w:lvlJc w:val="left"/>
      <w:lvlText w:val="(%1)"/>
      <w:numFmt w:val="lowerLetter"/>
      <w:start w:val="5"/>
    </w:lvl>
    <w:lvl w:ilvl="1">
      <w:lvlJc w:val="left"/>
      <w:lvlText w:val="(%2)"/>
      <w:numFmt w:val="lowerRoman"/>
      <w:start w:val="1"/>
    </w:lvl>
  </w:abstractNum>
  <w:abstractNum w:abstractNumId="325">
    <w:nsid w:val="66D385C9"/>
    <w:multiLevelType w:val="hybridMultilevel"/>
    <w:lvl w:ilvl="0">
      <w:lvlJc w:val="left"/>
      <w:lvlText w:val="(%1)"/>
      <w:numFmt w:val="lowerLetter"/>
      <w:start w:val="9"/>
    </w:lvl>
    <w:lvl w:ilvl="1">
      <w:lvlJc w:val="left"/>
      <w:lvlText w:val="(%2)"/>
      <w:numFmt w:val="lowerRoman"/>
      <w:start w:val="3"/>
    </w:lvl>
  </w:abstractNum>
  <w:abstractNum w:abstractNumId="326">
    <w:nsid w:val="596F6D8A"/>
    <w:multiLevelType w:val="hybridMultilevel"/>
    <w:lvl w:ilvl="0">
      <w:lvlJc w:val="left"/>
      <w:lvlText w:val="(%1)"/>
      <w:numFmt w:val="lowerRoman"/>
      <w:start w:val="4"/>
    </w:lvl>
  </w:abstractNum>
  <w:abstractNum w:abstractNumId="327">
    <w:nsid w:val="5749361F"/>
    <w:multiLevelType w:val="hybridMultilevel"/>
    <w:lvl w:ilvl="0">
      <w:lvlJc w:val="left"/>
      <w:lvlText w:val="(%1)"/>
      <w:numFmt w:val="lowerLetter"/>
      <w:start w:val="1"/>
    </w:lvl>
  </w:abstractNum>
  <w:abstractNum w:abstractNumId="328">
    <w:nsid w:val="73BC6770"/>
    <w:multiLevelType w:val="hybridMultilevel"/>
    <w:lvl w:ilvl="0">
      <w:lvlJc w:val="left"/>
      <w:lvlText w:val="(%1)"/>
      <w:numFmt w:val="lowerLetter"/>
      <w:start w:val="3"/>
    </w:lvl>
  </w:abstractNum>
  <w:abstractNum w:abstractNumId="329">
    <w:nsid w:val="280E689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30">
    <w:nsid w:val="605138DE"/>
    <w:multiLevelType w:val="hybridMultilevel"/>
    <w:lvl w:ilvl="0">
      <w:lvlJc w:val="left"/>
      <w:lvlText w:val="%1"/>
      <w:numFmt w:val="lowerRoman"/>
      <w:start w:val="1"/>
    </w:lvl>
    <w:lvl w:ilvl="1">
      <w:lvlJc w:val="left"/>
      <w:lvlText w:val="(%2)"/>
      <w:numFmt w:val="upperLetter"/>
      <w:start w:val="1"/>
    </w:lvl>
  </w:abstractNum>
  <w:abstractNum w:abstractNumId="331">
    <w:nsid w:val="2622AD0C"/>
    <w:multiLevelType w:val="hybridMultilevel"/>
    <w:lvl w:ilvl="0">
      <w:lvlJc w:val="left"/>
      <w:lvlText w:val="(%1)"/>
      <w:numFmt w:val="lowerRoman"/>
      <w:start w:val="3"/>
    </w:lvl>
    <w:lvl w:ilvl="1">
      <w:lvlJc w:val="left"/>
      <w:lvlText w:val="%2"/>
      <w:numFmt w:val="upperLetter"/>
      <w:start w:val="1"/>
    </w:lvl>
  </w:abstractNum>
  <w:abstractNum w:abstractNumId="332">
    <w:nsid w:val="67997556"/>
    <w:multiLevelType w:val="hybridMultilevel"/>
    <w:lvl w:ilvl="0">
      <w:lvlJc w:val="left"/>
      <w:lvlText w:val="%1"/>
      <w:numFmt w:val="lowerLetter"/>
      <w:start w:val="1"/>
    </w:lvl>
    <w:lvl w:ilvl="1">
      <w:lvlJc w:val="left"/>
      <w:lvlText w:val="(%2)"/>
      <w:numFmt w:val="lowerLetter"/>
      <w:start w:val="22"/>
    </w:lvl>
  </w:abstractNum>
  <w:abstractNum w:abstractNumId="333">
    <w:nsid w:val="18333C89"/>
    <w:multiLevelType w:val="hybridMultilevel"/>
    <w:lvl w:ilvl="0">
      <w:lvlJc w:val="left"/>
      <w:lvlText w:val="(%1)"/>
      <w:numFmt w:val="lowerLetter"/>
      <w:start w:val="2"/>
    </w:lvl>
    <w:lvl w:ilvl="1">
      <w:lvlJc w:val="left"/>
      <w:lvlText w:val="%2"/>
      <w:numFmt w:val="lowerLetter"/>
      <w:start w:val="1"/>
    </w:lvl>
  </w:abstractNum>
  <w:abstractNum w:abstractNumId="334">
    <w:nsid w:val="4BA9831A"/>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6"/>
    </w:lvl>
  </w:abstractNum>
  <w:abstractNum w:abstractNumId="335">
    <w:nsid w:val="6D71A2B"/>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1"/>
    </w:lvl>
  </w:abstractNum>
  <w:abstractNum w:abstractNumId="336">
    <w:nsid w:val="CFC7321"/>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abstractNum>
  <w:abstractNum w:abstractNumId="337">
    <w:nsid w:val="1421971B"/>
    <w:multiLevelType w:val="hybridMultilevel"/>
    <w:lvl w:ilvl="0">
      <w:lvlJc w:val="left"/>
      <w:lvlText w:val="(%1)"/>
      <w:numFmt w:val="lowerLetter"/>
      <w:start w:val="4"/>
    </w:lvl>
  </w:abstractNum>
  <w:abstractNum w:abstractNumId="338">
    <w:nsid w:val="1F404301"/>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339">
    <w:nsid w:val="116E0907"/>
    <w:multiLevelType w:val="hybridMultilevel"/>
    <w:lvl w:ilvl="0">
      <w:lvlJc w:val="left"/>
      <w:lvlText w:val="%1"/>
      <w:numFmt w:val="lowerRoman"/>
      <w:start w:val="1"/>
    </w:lvl>
    <w:lvl w:ilvl="1">
      <w:lvlJc w:val="left"/>
      <w:lvlText w:val="(%2)"/>
      <w:numFmt w:val="lowerLetter"/>
      <w:start w:val="5"/>
    </w:lvl>
    <w:lvl w:ilvl="2">
      <w:lvlJc w:val="left"/>
      <w:lvlText w:val="%3"/>
      <w:numFmt w:val="lowerLetter"/>
      <w:start w:val="1"/>
    </w:lvl>
  </w:abstractNum>
  <w:abstractNum w:abstractNumId="340">
    <w:nsid w:val="4B683D0D"/>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341">
    <w:nsid w:val="76E41D8"/>
    <w:multiLevelType w:val="hybridMultilevel"/>
    <w:lvl w:ilvl="0">
      <w:lvlJc w:val="left"/>
      <w:lvlText w:val="(%1)"/>
      <w:numFmt w:val="lowerRoman"/>
      <w:start w:val="3"/>
    </w:lvl>
    <w:lvl w:ilvl="1">
      <w:lvlJc w:val="left"/>
      <w:lvlText w:val="%2"/>
      <w:numFmt w:val="lowerLetter"/>
      <w:start w:val="1"/>
    </w:lvl>
    <w:lvl w:ilvl="2">
      <w:lvlJc w:val="left"/>
      <w:lvlText w:val="%3"/>
      <w:numFmt w:val="lowerLetter"/>
      <w:start w:val="1"/>
    </w:lvl>
  </w:abstractNum>
  <w:abstractNum w:abstractNumId="342">
    <w:nsid w:val="71DCE0FD"/>
    <w:multiLevelType w:val="hybridMultilevel"/>
    <w:lvl w:ilvl="0">
      <w:lvlJc w:val="left"/>
      <w:lvlText w:val="(%1)"/>
      <w:numFmt w:val="lowerRoman"/>
      <w:start w:val="2"/>
    </w:lvl>
    <w:lvl w:ilvl="1">
      <w:lvlJc w:val="left"/>
      <w:lvlText w:val="(%2)"/>
      <w:numFmt w:val="lowerLetter"/>
      <w:start w:val="6"/>
    </w:lvl>
    <w:lvl w:ilvl="2">
      <w:lvlJc w:val="left"/>
      <w:lvlText w:val="%3"/>
      <w:numFmt w:val="lowerLetter"/>
      <w:start w:val="1"/>
    </w:lvl>
  </w:abstractNum>
  <w:abstractNum w:abstractNumId="343">
    <w:nsid w:val="7906328B"/>
    <w:multiLevelType w:val="hybridMultilevel"/>
    <w:lvl w:ilvl="0">
      <w:lvlJc w:val="left"/>
      <w:lvlText w:val="%1"/>
      <w:numFmt w:val="upperLetter"/>
      <w:start w:val="1"/>
    </w:lvl>
    <w:lvl w:ilvl="1">
      <w:lvlJc w:val="left"/>
      <w:lvlText w:val="(%2)"/>
      <w:numFmt w:val="lowerRoman"/>
      <w:start w:val="2"/>
    </w:lvl>
  </w:abstractNum>
  <w:abstractNum w:abstractNumId="344">
    <w:nsid w:val="72BBC16"/>
    <w:multiLevelType w:val="hybridMultilevel"/>
    <w:lvl w:ilvl="0">
      <w:lvlJc w:val="left"/>
      <w:lvlText w:val="(%1)"/>
      <w:numFmt w:val="upperLetter"/>
      <w:start w:val="61"/>
    </w:lvl>
    <w:lvl w:ilvl="1">
      <w:lvlJc w:val="left"/>
      <w:lvlText w:val="%2"/>
      <w:numFmt w:val="lowerRoman"/>
      <w:start w:val="1"/>
    </w:lvl>
  </w:abstractNum>
  <w:abstractNum w:abstractNumId="345">
    <w:nsid w:val="766D98C2"/>
    <w:multiLevelType w:val="hybridMultilevel"/>
    <w:lvl w:ilvl="0">
      <w:lvlJc w:val="left"/>
      <w:lvlText w:val="%1"/>
      <w:numFmt w:val="lowerLetter"/>
      <w:start w:val="1"/>
    </w:lvl>
    <w:lvl w:ilvl="1">
      <w:lvlJc w:val="left"/>
      <w:lvlText w:val="(%2)"/>
      <w:numFmt w:val="lowerLetter"/>
      <w:start w:val="61"/>
    </w:lvl>
  </w:abstractNum>
  <w:abstractNum w:abstractNumId="346">
    <w:nsid w:val="3C09D4A1"/>
    <w:multiLevelType w:val="hybridMultilevel"/>
    <w:lvl w:ilvl="0">
      <w:lvlJc w:val="left"/>
      <w:lvlText w:val="(%1)"/>
      <w:numFmt w:val="lowerLetter"/>
      <w:start w:val="7"/>
    </w:lvl>
    <w:lvl w:ilvl="1">
      <w:lvlJc w:val="left"/>
      <w:lvlText w:val="(%2)"/>
      <w:numFmt w:val="lowerLetter"/>
      <w:start w:val="9"/>
    </w:lvl>
  </w:abstractNum>
  <w:abstractNum w:abstractNumId="347">
    <w:nsid w:val="20E45CA4"/>
    <w:multiLevelType w:val="hybridMultilevel"/>
    <w:lvl w:ilvl="0">
      <w:lvlJc w:val="left"/>
      <w:lvlText w:val="(%1)"/>
      <w:numFmt w:val="lowerRoman"/>
      <w:start w:val="2"/>
    </w:lvl>
  </w:abstractNum>
  <w:abstractNum w:abstractNumId="348">
    <w:nsid w:val="4B232EE3"/>
    <w:multiLevelType w:val="hybridMultilevel"/>
    <w:lvl w:ilvl="0">
      <w:lvlJc w:val="left"/>
      <w:lvlText w:val="(%1)"/>
      <w:numFmt w:val="lowerRoman"/>
      <w:start w:val="4"/>
    </w:lvl>
    <w:lvl w:ilvl="1">
      <w:lvlJc w:val="left"/>
      <w:lvlText w:val="(%2)"/>
      <w:numFmt w:val="lowerRoman"/>
      <w:start w:val="5"/>
    </w:lvl>
    <w:lvl w:ilvl="2">
      <w:lvlJc w:val="left"/>
      <w:lvlText w:val="(%3)"/>
      <w:numFmt w:val="decimal"/>
    </w:lvl>
    <w:lvl w:ilvl="3">
      <w:lvlJc w:val="left"/>
      <w:lvlText w:val="(%4)"/>
      <w:numFmt w:val="upperLetter"/>
      <w:start w:val="1"/>
    </w:lvl>
  </w:abstractNum>
  <w:abstractNum w:abstractNumId="349">
    <w:nsid w:val="159C74CF"/>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1"/>
    </w:lvl>
    <w:lvl w:ilvl="3">
      <w:lvlJc w:val="left"/>
      <w:lvlText w:val="(%4)"/>
      <w:numFmt w:val="upperLetter"/>
      <w:start w:val="2"/>
    </w:lvl>
  </w:abstractNum>
  <w:abstractNum w:abstractNumId="350">
    <w:nsid w:val="4AD3AFD2"/>
    <w:multiLevelType w:val="hybridMultilevel"/>
    <w:lvl w:ilvl="0">
      <w:lvlJc w:val="left"/>
      <w:lvlText w:val="%1"/>
      <w:numFmt w:val="lowerRoman"/>
      <w:start w:val="1"/>
    </w:lvl>
    <w:lvl w:ilvl="1">
      <w:lvlJc w:val="left"/>
      <w:lvlText w:val="(%2)"/>
      <w:numFmt w:val="lowerRoman"/>
      <w:start w:val="7"/>
    </w:lvl>
    <w:lvl w:ilvl="2">
      <w:lvlJc w:val="left"/>
      <w:lvlText w:val="%3"/>
      <w:numFmt w:val="decimal"/>
      <w:start w:val="1"/>
    </w:lvl>
    <w:lvl w:ilvl="3">
      <w:lvlJc w:val="left"/>
      <w:lvlText w:val="%4"/>
      <w:numFmt w:val="upperLetter"/>
      <w:start w:val="1"/>
    </w:lvl>
  </w:abstractNum>
  <w:abstractNum w:abstractNumId="351">
    <w:nsid w:val="3CF93092"/>
    <w:multiLevelType w:val="hybridMultilevel"/>
    <w:lvl w:ilvl="0">
      <w:lvlJc w:val="left"/>
      <w:lvlText w:val="%1"/>
      <w:numFmt w:val="upperLetter"/>
      <w:start w:val="1"/>
    </w:lvl>
    <w:lvl w:ilvl="1">
      <w:lvlJc w:val="left"/>
      <w:lvlText w:val="(%2)"/>
      <w:numFmt w:val="lowerRoman"/>
      <w:start w:val="8"/>
    </w:lvl>
  </w:abstractNum>
  <w:abstractNum w:abstractNumId="352">
    <w:nsid w:val="6863E8D2"/>
    <w:multiLevelType w:val="hybridMultilevel"/>
    <w:lvl w:ilvl="0">
      <w:lvlJc w:val="left"/>
      <w:lvlText w:val="(%1)"/>
      <w:numFmt w:val="upperLetter"/>
      <w:start w:val="2"/>
    </w:lvl>
    <w:lvl w:ilvl="1">
      <w:lvlJc w:val="left"/>
      <w:lvlText w:val="%2"/>
      <w:numFmt w:val="lowerRoman"/>
      <w:start w:val="1"/>
    </w:lvl>
  </w:abstractNum>
  <w:abstractNum w:abstractNumId="353">
    <w:nsid w:val="76896198"/>
    <w:multiLevelType w:val="hybridMultilevel"/>
    <w:lvl w:ilvl="0">
      <w:lvlJc w:val="left"/>
      <w:lvlText w:val="(%1)"/>
      <w:numFmt w:val="lowerRoman"/>
      <w:start w:val="8"/>
    </w:lvl>
  </w:abstractNum>
  <w:abstractNum w:abstractNumId="354">
    <w:nsid w:val="4365174B"/>
    <w:multiLevelType w:val="hybridMultilevel"/>
    <w:lvl w:ilvl="0">
      <w:lvlJc w:val="left"/>
      <w:lvlText w:val="(%1)"/>
      <w:numFmt w:val="lowerLetter"/>
      <w:start w:val="1"/>
    </w:lvl>
  </w:abstractNum>
  <w:abstractNum w:abstractNumId="355">
    <w:nsid w:val="4A872C35"/>
    <w:multiLevelType w:val="hybridMultilevel"/>
    <w:lvl w:ilvl="0">
      <w:lvlJc w:val="left"/>
      <w:lvlText w:val="(%1)"/>
      <w:numFmt w:val="lowerLetter"/>
      <w:start w:val="2"/>
    </w:lvl>
  </w:abstractNum>
  <w:abstractNum w:abstractNumId="356">
    <w:nsid w:val="5D5CE761"/>
    <w:multiLevelType w:val="hybridMultilevel"/>
    <w:lvl w:ilvl="0">
      <w:lvlJc w:val="left"/>
      <w:lvlText w:val="(%1)"/>
      <w:numFmt w:val="lowerLetter"/>
      <w:start w:val="2"/>
    </w:lvl>
  </w:abstractNum>
  <w:abstractNum w:abstractNumId="357">
    <w:nsid w:val="1CD484D5"/>
    <w:multiLevelType w:val="hybridMultilevel"/>
    <w:lvl w:ilvl="0">
      <w:lvlJc w:val="left"/>
      <w:lvlText w:val="(%1)"/>
      <w:numFmt w:val="lowerLetter"/>
      <w:start w:val="1"/>
    </w:lvl>
  </w:abstractNum>
  <w:abstractNum w:abstractNumId="358">
    <w:nsid w:val="21D06255"/>
    <w:multiLevelType w:val="hybridMultilevel"/>
    <w:lvl w:ilvl="0">
      <w:lvlJc w:val="left"/>
      <w:lvlText w:val="(%1)"/>
      <w:numFmt w:val="lowerLetter"/>
      <w:start w:val="6"/>
    </w:lvl>
  </w:abstractNum>
  <w:abstractNum w:abstractNumId="359">
    <w:nsid w:val="51194ED1"/>
    <w:multiLevelType w:val="hybridMultilevel"/>
    <w:lvl w:ilvl="0">
      <w:lvlJc w:val="left"/>
      <w:lvlText w:val="(%1)"/>
      <w:numFmt w:val="lowerLetter"/>
      <w:start w:val="1"/>
    </w:lvl>
  </w:abstractNum>
  <w:abstractNum w:abstractNumId="360">
    <w:nsid w:val="44E2ED6C"/>
    <w:multiLevelType w:val="hybridMultilevel"/>
    <w:lvl w:ilvl="0">
      <w:lvlJc w:val="left"/>
      <w:lvlText w:val="(%1)"/>
      <w:numFmt w:val="lowerLetter"/>
      <w:start w:val="1"/>
    </w:lvl>
    <w:lvl w:ilvl="1">
      <w:lvlJc w:val="left"/>
      <w:lvlText w:val="(%2)"/>
      <w:numFmt w:val="lowerRoman"/>
      <w:start w:val="1"/>
    </w:lvl>
  </w:abstractNum>
  <w:abstractNum w:abstractNumId="361">
    <w:nsid w:val="2219B33"/>
    <w:multiLevelType w:val="hybridMultilevel"/>
    <w:lvl w:ilvl="0">
      <w:lvlJc w:val="left"/>
      <w:lvlText w:val="(%1)"/>
      <w:numFmt w:val="lowerRoman"/>
      <w:start w:val="3"/>
    </w:lvl>
  </w:abstractNum>
  <w:abstractNum w:abstractNumId="362">
    <w:nsid w:val="773BFBDD"/>
    <w:multiLevelType w:val="hybridMultilevel"/>
    <w:lvl w:ilvl="0">
      <w:lvlJc w:val="left"/>
      <w:lvlText w:val="%1"/>
      <w:numFmt w:val="lowerLetter"/>
      <w:start w:val="1"/>
    </w:lvl>
    <w:lvl w:ilvl="1">
      <w:lvlJc w:val="left"/>
      <w:lvlText w:val="(%2)"/>
      <w:numFmt w:val="lowerLetter"/>
      <w:start w:val="1"/>
    </w:lvl>
  </w:abstractNum>
  <w:abstractNum w:abstractNumId="363">
    <w:nsid w:val="2C7C62C2"/>
    <w:multiLevelType w:val="hybridMultilevel"/>
    <w:lvl w:ilvl="0">
      <w:lvlJc w:val="left"/>
      <w:lvlText w:val="(%1)"/>
      <w:numFmt w:val="lowerLetter"/>
      <w:start w:val="61"/>
    </w:lvl>
    <w:lvl w:ilvl="1">
      <w:lvlJc w:val="left"/>
      <w:lvlText w:val="(%2)"/>
      <w:numFmt w:val="lowerLetter"/>
      <w:start w:val="4"/>
    </w:lvl>
  </w:abstractNum>
  <w:abstractNum w:abstractNumId="364">
    <w:nsid w:val="1A54D7BC"/>
    <w:multiLevelType w:val="hybridMultilevel"/>
    <w:lvl w:ilvl="0">
      <w:lvlJc w:val="left"/>
      <w:lvlText w:val="(%1)"/>
      <w:numFmt w:val="lowerLetter"/>
      <w:start w:val="1"/>
    </w:lvl>
  </w:abstractNum>
  <w:abstractNum w:abstractNumId="365">
    <w:nsid w:val="42E57EF7"/>
    <w:multiLevelType w:val="hybridMultilevel"/>
    <w:lvl w:ilvl="0">
      <w:lvlJc w:val="left"/>
      <w:lvlText w:val="(%1)"/>
      <w:numFmt w:val="lowerLetter"/>
      <w:start w:val="2"/>
    </w:lvl>
  </w:abstractNum>
  <w:abstractNum w:abstractNumId="366">
    <w:nsid w:val="33537CED"/>
    <w:multiLevelType w:val="hybridMultilevel"/>
    <w:lvl w:ilvl="0">
      <w:lvlJc w:val="left"/>
      <w:lvlText w:val="(%1)"/>
      <w:numFmt w:val="lowerRoman"/>
      <w:start w:val="1"/>
    </w:lvl>
  </w:abstractNum>
  <w:abstractNum w:abstractNumId="367">
    <w:nsid w:val="27514ADE"/>
    <w:multiLevelType w:val="hybridMultilevel"/>
    <w:lvl w:ilvl="0">
      <w:lvlJc w:val="left"/>
      <w:lvlText w:val="(%1)"/>
      <w:numFmt w:val="upperLetter"/>
      <w:start w:val="1"/>
    </w:lvl>
  </w:abstractNum>
  <w:abstractNum w:abstractNumId="368">
    <w:nsid w:val="57071613"/>
    <w:multiLevelType w:val="hybridMultilevel"/>
    <w:lvl w:ilvl="0">
      <w:lvlJc w:val="left"/>
      <w:lvlText w:val="(%1)"/>
      <w:numFmt w:val="upperLetter"/>
      <w:start w:val="2"/>
    </w:lvl>
  </w:abstractNum>
  <w:abstractNum w:abstractNumId="369">
    <w:nsid w:val="5293BFEF"/>
    <w:multiLevelType w:val="hybridMultilevel"/>
    <w:lvl w:ilvl="0">
      <w:lvlJc w:val="left"/>
      <w:lvlText w:val="%1."/>
      <w:numFmt w:val="decimal"/>
      <w:start w:val="1"/>
    </w:lvl>
    <w:lvl w:ilvl="1">
      <w:lvlJc w:val="left"/>
      <w:lvlText w:val="(%2)"/>
      <w:numFmt w:val="lowerLetter"/>
      <w:start w:val="1"/>
    </w:lvl>
  </w:abstractNum>
  <w:abstractNum w:abstractNumId="370">
    <w:nsid w:val="38BF53E5"/>
    <w:multiLevelType w:val="hybridMultilevel"/>
    <w:lvl w:ilvl="0">
      <w:lvlJc w:val="left"/>
      <w:lvlText w:val="%1."/>
      <w:numFmt w:val="decimal"/>
      <w:start w:val="1"/>
    </w:lvl>
    <w:lvl w:ilvl="1">
      <w:lvlJc w:val="left"/>
      <w:lvlText w:val="(%2)"/>
      <w:numFmt w:val="lowerLetter"/>
      <w:start w:val="1"/>
    </w:lvl>
  </w:abstractNum>
  <w:abstractNum w:abstractNumId="371">
    <w:nsid w:val="226F532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jpeg"/><Relationship Id="rId318" Type="http://schemas.openxmlformats.org/officeDocument/2006/relationships/image" Target="media/image308.png"/><Relationship Id="rId319" Type="http://schemas.openxmlformats.org/officeDocument/2006/relationships/image" Target="media/image309.jpe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png"/><Relationship Id="rId336" Type="http://schemas.openxmlformats.org/officeDocument/2006/relationships/image" Target="media/image326.png"/><Relationship Id="rId337" Type="http://schemas.openxmlformats.org/officeDocument/2006/relationships/image" Target="media/image327.png"/><Relationship Id="rId338" Type="http://schemas.openxmlformats.org/officeDocument/2006/relationships/image" Target="media/image328.png"/><Relationship Id="rId339" Type="http://schemas.openxmlformats.org/officeDocument/2006/relationships/image" Target="media/image329.png"/><Relationship Id="rId340" Type="http://schemas.openxmlformats.org/officeDocument/2006/relationships/image" Target="media/image330.png"/><Relationship Id="rId341" Type="http://schemas.openxmlformats.org/officeDocument/2006/relationships/image" Target="media/image331.png"/><Relationship Id="rId342" Type="http://schemas.openxmlformats.org/officeDocument/2006/relationships/image" Target="media/image332.png"/><Relationship Id="rId343" Type="http://schemas.openxmlformats.org/officeDocument/2006/relationships/image" Target="media/image333.png"/><Relationship Id="rId344" Type="http://schemas.openxmlformats.org/officeDocument/2006/relationships/image" Target="media/image334.png"/><Relationship Id="rId345" Type="http://schemas.openxmlformats.org/officeDocument/2006/relationships/image" Target="media/image335.png"/><Relationship Id="rId346" Type="http://schemas.openxmlformats.org/officeDocument/2006/relationships/image" Target="media/image336.png"/><Relationship Id="rId347"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50" Type="http://schemas.openxmlformats.org/officeDocument/2006/relationships/image" Target="media/image340.png"/><Relationship Id="rId351"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60" Type="http://schemas.openxmlformats.org/officeDocument/2006/relationships/image" Target="media/image350.png"/><Relationship Id="rId361" Type="http://schemas.openxmlformats.org/officeDocument/2006/relationships/image" Target="media/image351.png"/><Relationship Id="rId362"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65" Type="http://schemas.openxmlformats.org/officeDocument/2006/relationships/image" Target="media/image355.png"/><Relationship Id="rId366" Type="http://schemas.openxmlformats.org/officeDocument/2006/relationships/image" Target="media/image356.png"/><Relationship Id="rId367" Type="http://schemas.openxmlformats.org/officeDocument/2006/relationships/image" Target="media/image357.png"/><Relationship Id="rId368" Type="http://schemas.openxmlformats.org/officeDocument/2006/relationships/image" Target="media/image358.png"/><Relationship Id="rId369" Type="http://schemas.openxmlformats.org/officeDocument/2006/relationships/image" Target="media/image359.png"/><Relationship Id="rId370" Type="http://schemas.openxmlformats.org/officeDocument/2006/relationships/image" Target="media/image360.png"/><Relationship Id="rId371" Type="http://schemas.openxmlformats.org/officeDocument/2006/relationships/image" Target="media/image361.png"/><Relationship Id="rId372" Type="http://schemas.openxmlformats.org/officeDocument/2006/relationships/image" Target="media/image362.png"/><Relationship Id="rId373" Type="http://schemas.openxmlformats.org/officeDocument/2006/relationships/image" Target="media/image363.png"/><Relationship Id="rId374" Type="http://schemas.openxmlformats.org/officeDocument/2006/relationships/image" Target="media/image364.png"/><Relationship Id="rId375" Type="http://schemas.openxmlformats.org/officeDocument/2006/relationships/image" Target="media/image365.png"/><Relationship Id="rId376" Type="http://schemas.openxmlformats.org/officeDocument/2006/relationships/image" Target="media/image366.png"/><Relationship Id="rId377" Type="http://schemas.openxmlformats.org/officeDocument/2006/relationships/image" Target="media/image367.png"/><Relationship Id="rId378" Type="http://schemas.openxmlformats.org/officeDocument/2006/relationships/image" Target="media/image368.png"/><Relationship Id="rId379" Type="http://schemas.openxmlformats.org/officeDocument/2006/relationships/image" Target="media/image369.png"/><Relationship Id="rId380" Type="http://schemas.openxmlformats.org/officeDocument/2006/relationships/image" Target="media/image370.png"/><Relationship Id="rId381" Type="http://schemas.openxmlformats.org/officeDocument/2006/relationships/image" Target="media/image371.png"/><Relationship Id="rId382" Type="http://schemas.openxmlformats.org/officeDocument/2006/relationships/image" Target="media/image372.png"/><Relationship Id="rId383" Type="http://schemas.openxmlformats.org/officeDocument/2006/relationships/image" Target="media/image373.png"/><Relationship Id="rId384" Type="http://schemas.openxmlformats.org/officeDocument/2006/relationships/image" Target="media/image374.png"/><Relationship Id="rId385" Type="http://schemas.openxmlformats.org/officeDocument/2006/relationships/image" Target="media/image375.png"/><Relationship Id="rId386" Type="http://schemas.openxmlformats.org/officeDocument/2006/relationships/image" Target="media/image376.png"/><Relationship Id="rId387" Type="http://schemas.openxmlformats.org/officeDocument/2006/relationships/image" Target="media/image377.png"/><Relationship Id="rId388" Type="http://schemas.openxmlformats.org/officeDocument/2006/relationships/image" Target="media/image378.png"/><Relationship Id="rId389" Type="http://schemas.openxmlformats.org/officeDocument/2006/relationships/image" Target="media/image379.png"/><Relationship Id="rId390" Type="http://schemas.openxmlformats.org/officeDocument/2006/relationships/image" Target="media/image380.png"/><Relationship Id="rId391" Type="http://schemas.openxmlformats.org/officeDocument/2006/relationships/image" Target="media/image381.png"/><Relationship Id="rId392" Type="http://schemas.openxmlformats.org/officeDocument/2006/relationships/image" Target="media/image382.png"/><Relationship Id="rId393" Type="http://schemas.openxmlformats.org/officeDocument/2006/relationships/image" Target="media/image383.png"/><Relationship Id="rId394" Type="http://schemas.openxmlformats.org/officeDocument/2006/relationships/image" Target="media/image384.png"/><Relationship Id="rId395" Type="http://schemas.openxmlformats.org/officeDocument/2006/relationships/image" Target="media/image385.png"/><Relationship Id="rId396" Type="http://schemas.openxmlformats.org/officeDocument/2006/relationships/image" Target="media/image386.png"/><Relationship Id="rId397" Type="http://schemas.openxmlformats.org/officeDocument/2006/relationships/image" Target="media/image387.png"/><Relationship Id="rId398" Type="http://schemas.openxmlformats.org/officeDocument/2006/relationships/image" Target="media/image388.png"/><Relationship Id="rId399" Type="http://schemas.openxmlformats.org/officeDocument/2006/relationships/image" Target="media/image389.png"/><Relationship Id="rId400" Type="http://schemas.openxmlformats.org/officeDocument/2006/relationships/image" Target="media/image390.png"/><Relationship Id="rId401" Type="http://schemas.openxmlformats.org/officeDocument/2006/relationships/image" Target="media/image391.png"/><Relationship Id="rId402" Type="http://schemas.openxmlformats.org/officeDocument/2006/relationships/image" Target="media/image392.png"/><Relationship Id="rId403" Type="http://schemas.openxmlformats.org/officeDocument/2006/relationships/image" Target="media/image393.png"/><Relationship Id="rId404" Type="http://schemas.openxmlformats.org/officeDocument/2006/relationships/image" Target="media/image394.png"/><Relationship Id="rId405" Type="http://schemas.openxmlformats.org/officeDocument/2006/relationships/image" Target="media/image395.png"/><Relationship Id="rId406" Type="http://schemas.openxmlformats.org/officeDocument/2006/relationships/image" Target="media/image396.png"/><Relationship Id="rId407" Type="http://schemas.openxmlformats.org/officeDocument/2006/relationships/image" Target="media/image397.png"/><Relationship Id="rId408" Type="http://schemas.openxmlformats.org/officeDocument/2006/relationships/image" Target="media/image398.png"/><Relationship Id="rId409" Type="http://schemas.openxmlformats.org/officeDocument/2006/relationships/image" Target="media/image399.png"/><Relationship Id="rId410" Type="http://schemas.openxmlformats.org/officeDocument/2006/relationships/image" Target="media/image400.png"/><Relationship Id="rId411" Type="http://schemas.openxmlformats.org/officeDocument/2006/relationships/image" Target="media/image401.png"/><Relationship Id="rId412" Type="http://schemas.openxmlformats.org/officeDocument/2006/relationships/image" Target="media/image402.png"/><Relationship Id="rId413" Type="http://schemas.openxmlformats.org/officeDocument/2006/relationships/image" Target="media/image403.png"/><Relationship Id="rId414" Type="http://schemas.openxmlformats.org/officeDocument/2006/relationships/image" Target="media/image404.png"/><Relationship Id="rId415" Type="http://schemas.openxmlformats.org/officeDocument/2006/relationships/image" Target="media/image405.png"/><Relationship Id="rId416" Type="http://schemas.openxmlformats.org/officeDocument/2006/relationships/image" Target="media/image406.png"/><Relationship Id="rId417" Type="http://schemas.openxmlformats.org/officeDocument/2006/relationships/image" Target="media/image407.png"/><Relationship Id="rId418" Type="http://schemas.openxmlformats.org/officeDocument/2006/relationships/image" Target="media/image408.png"/><Relationship Id="rId419" Type="http://schemas.openxmlformats.org/officeDocument/2006/relationships/image" Target="media/image409.png"/><Relationship Id="rId420" Type="http://schemas.openxmlformats.org/officeDocument/2006/relationships/image" Target="media/image410.png"/><Relationship Id="rId421" Type="http://schemas.openxmlformats.org/officeDocument/2006/relationships/image" Target="media/image411.png"/><Relationship Id="rId422" Type="http://schemas.openxmlformats.org/officeDocument/2006/relationships/image" Target="media/image412.png"/><Relationship Id="rId423" Type="http://schemas.openxmlformats.org/officeDocument/2006/relationships/image" Target="media/image413.png"/><Relationship Id="rId424" Type="http://schemas.openxmlformats.org/officeDocument/2006/relationships/image" Target="media/image414.png"/><Relationship Id="rId425" Type="http://schemas.openxmlformats.org/officeDocument/2006/relationships/image" Target="media/image415.png"/><Relationship Id="rId426" Type="http://schemas.openxmlformats.org/officeDocument/2006/relationships/image" Target="media/image416.png"/><Relationship Id="rId427" Type="http://schemas.openxmlformats.org/officeDocument/2006/relationships/image" Target="media/image417.png"/><Relationship Id="rId428" Type="http://schemas.openxmlformats.org/officeDocument/2006/relationships/image" Target="media/image418.png"/><Relationship Id="rId429" Type="http://schemas.openxmlformats.org/officeDocument/2006/relationships/image" Target="media/image419.png"/><Relationship Id="rId430" Type="http://schemas.openxmlformats.org/officeDocument/2006/relationships/image" Target="media/image420.png"/><Relationship Id="rId431" Type="http://schemas.openxmlformats.org/officeDocument/2006/relationships/image" Target="media/image421.png"/><Relationship Id="rId432" Type="http://schemas.openxmlformats.org/officeDocument/2006/relationships/image" Target="media/image422.png"/><Relationship Id="rId433" Type="http://schemas.openxmlformats.org/officeDocument/2006/relationships/image" Target="media/image423.png"/><Relationship Id="rId434" Type="http://schemas.openxmlformats.org/officeDocument/2006/relationships/image" Target="media/image424.png"/><Relationship Id="rId435" Type="http://schemas.openxmlformats.org/officeDocument/2006/relationships/image" Target="media/image425.png"/><Relationship Id="rId436" Type="http://schemas.openxmlformats.org/officeDocument/2006/relationships/image" Target="media/image426.png"/><Relationship Id="rId437" Type="http://schemas.openxmlformats.org/officeDocument/2006/relationships/image" Target="media/image427.png"/><Relationship Id="rId438" Type="http://schemas.openxmlformats.org/officeDocument/2006/relationships/image" Target="media/image428.png"/><Relationship Id="rId439" Type="http://schemas.openxmlformats.org/officeDocument/2006/relationships/image" Target="media/image429.png"/><Relationship Id="rId440" Type="http://schemas.openxmlformats.org/officeDocument/2006/relationships/image" Target="media/image430.png"/><Relationship Id="rId441" Type="http://schemas.openxmlformats.org/officeDocument/2006/relationships/image" Target="media/image431.png"/><Relationship Id="rId442" Type="http://schemas.openxmlformats.org/officeDocument/2006/relationships/image" Target="media/image432.png"/><Relationship Id="rId443" Type="http://schemas.openxmlformats.org/officeDocument/2006/relationships/image" Target="media/image433.png"/><Relationship Id="rId444" Type="http://schemas.openxmlformats.org/officeDocument/2006/relationships/image" Target="media/image434.png"/><Relationship Id="rId445" Type="http://schemas.openxmlformats.org/officeDocument/2006/relationships/image" Target="media/image435.png"/><Relationship Id="rId446" Type="http://schemas.openxmlformats.org/officeDocument/2006/relationships/image" Target="media/image436.png"/><Relationship Id="rId447" Type="http://schemas.openxmlformats.org/officeDocument/2006/relationships/image" Target="media/image437.png"/><Relationship Id="rId448" Type="http://schemas.openxmlformats.org/officeDocument/2006/relationships/image" Target="media/image438.png"/><Relationship Id="rId449" Type="http://schemas.openxmlformats.org/officeDocument/2006/relationships/image" Target="media/image439.png"/><Relationship Id="rId450" Type="http://schemas.openxmlformats.org/officeDocument/2006/relationships/image" Target="media/image440.png"/><Relationship Id="rId451" Type="http://schemas.openxmlformats.org/officeDocument/2006/relationships/image" Target="media/image441.png"/><Relationship Id="rId452" Type="http://schemas.openxmlformats.org/officeDocument/2006/relationships/image" Target="media/image442.png"/><Relationship Id="rId453" Type="http://schemas.openxmlformats.org/officeDocument/2006/relationships/image" Target="media/image443.png"/><Relationship Id="rId454" Type="http://schemas.openxmlformats.org/officeDocument/2006/relationships/image" Target="media/image444.png"/><Relationship Id="rId455" Type="http://schemas.openxmlformats.org/officeDocument/2006/relationships/image" Target="media/image445.png"/><Relationship Id="rId456" Type="http://schemas.openxmlformats.org/officeDocument/2006/relationships/image" Target="media/image446.png"/><Relationship Id="rId457" Type="http://schemas.openxmlformats.org/officeDocument/2006/relationships/image" Target="media/image447.png"/><Relationship Id="rId458" Type="http://schemas.openxmlformats.org/officeDocument/2006/relationships/image" Target="media/image448.png"/><Relationship Id="rId459" Type="http://schemas.openxmlformats.org/officeDocument/2006/relationships/image" Target="media/image449.png"/><Relationship Id="rId460" Type="http://schemas.openxmlformats.org/officeDocument/2006/relationships/image" Target="media/image450.png"/><Relationship Id="rId461" Type="http://schemas.openxmlformats.org/officeDocument/2006/relationships/image" Target="media/image451.png"/><Relationship Id="rId462" Type="http://schemas.openxmlformats.org/officeDocument/2006/relationships/image" Target="media/image452.png"/><Relationship Id="rId463" Type="http://schemas.openxmlformats.org/officeDocument/2006/relationships/image" Target="media/image453.png"/><Relationship Id="rId464" Type="http://schemas.openxmlformats.org/officeDocument/2006/relationships/image" Target="media/image454.png"/><Relationship Id="rId465" Type="http://schemas.openxmlformats.org/officeDocument/2006/relationships/image" Target="media/image455.png"/><Relationship Id="rId466" Type="http://schemas.openxmlformats.org/officeDocument/2006/relationships/image" Target="media/image456.png"/><Relationship Id="rId467" Type="http://schemas.openxmlformats.org/officeDocument/2006/relationships/image" Target="media/image457.png"/><Relationship Id="rId468" Type="http://schemas.openxmlformats.org/officeDocument/2006/relationships/image" Target="media/image458.png"/><Relationship Id="rId469" Type="http://schemas.openxmlformats.org/officeDocument/2006/relationships/image" Target="media/image459.png"/><Relationship Id="rId470" Type="http://schemas.openxmlformats.org/officeDocument/2006/relationships/image" Target="media/image460.png"/><Relationship Id="rId471" Type="http://schemas.openxmlformats.org/officeDocument/2006/relationships/image" Target="media/image461.png"/><Relationship Id="rId472" Type="http://schemas.openxmlformats.org/officeDocument/2006/relationships/image" Target="media/image462.png"/><Relationship Id="rId473" Type="http://schemas.openxmlformats.org/officeDocument/2006/relationships/image" Target="media/image463.png"/><Relationship Id="rId474" Type="http://schemas.openxmlformats.org/officeDocument/2006/relationships/image" Target="media/image464.png"/><Relationship Id="rId475" Type="http://schemas.openxmlformats.org/officeDocument/2006/relationships/image" Target="media/image465.png"/><Relationship Id="rId476" Type="http://schemas.openxmlformats.org/officeDocument/2006/relationships/image" Target="media/image466.png"/><Relationship Id="rId477" Type="http://schemas.openxmlformats.org/officeDocument/2006/relationships/image" Target="media/image467.png"/><Relationship Id="rId478" Type="http://schemas.openxmlformats.org/officeDocument/2006/relationships/image" Target="media/image468.png"/><Relationship Id="rId479" Type="http://schemas.openxmlformats.org/officeDocument/2006/relationships/image" Target="media/image469.png"/><Relationship Id="rId480" Type="http://schemas.openxmlformats.org/officeDocument/2006/relationships/image" Target="media/image470.png"/><Relationship Id="rId481" Type="http://schemas.openxmlformats.org/officeDocument/2006/relationships/image" Target="media/image471.png"/><Relationship Id="rId482" Type="http://schemas.openxmlformats.org/officeDocument/2006/relationships/image" Target="media/image472.png"/><Relationship Id="rId483" Type="http://schemas.openxmlformats.org/officeDocument/2006/relationships/image" Target="media/image473.png"/><Relationship Id="rId484" Type="http://schemas.openxmlformats.org/officeDocument/2006/relationships/image" Target="media/image474.png"/><Relationship Id="rId485" Type="http://schemas.openxmlformats.org/officeDocument/2006/relationships/image" Target="media/image475.png"/><Relationship Id="rId486" Type="http://schemas.openxmlformats.org/officeDocument/2006/relationships/image" Target="media/image476.png"/><Relationship Id="rId487" Type="http://schemas.openxmlformats.org/officeDocument/2006/relationships/image" Target="media/image477.png"/><Relationship Id="rId488" Type="http://schemas.openxmlformats.org/officeDocument/2006/relationships/image" Target="media/image478.png"/><Relationship Id="rId489" Type="http://schemas.openxmlformats.org/officeDocument/2006/relationships/image" Target="media/image479.png"/><Relationship Id="rId490" Type="http://schemas.openxmlformats.org/officeDocument/2006/relationships/image" Target="media/image480.png"/><Relationship Id="rId491" Type="http://schemas.openxmlformats.org/officeDocument/2006/relationships/image" Target="media/image481.png"/><Relationship Id="rId492" Type="http://schemas.openxmlformats.org/officeDocument/2006/relationships/image" Target="media/image482.png"/><Relationship Id="rId493" Type="http://schemas.openxmlformats.org/officeDocument/2006/relationships/image" Target="media/image483.png"/><Relationship Id="rId494" Type="http://schemas.openxmlformats.org/officeDocument/2006/relationships/image" Target="media/image484.png"/><Relationship Id="rId495" Type="http://schemas.openxmlformats.org/officeDocument/2006/relationships/image" Target="media/image485.png"/><Relationship Id="rId496" Type="http://schemas.openxmlformats.org/officeDocument/2006/relationships/image" Target="media/image486.png"/><Relationship Id="rId497" Type="http://schemas.openxmlformats.org/officeDocument/2006/relationships/image" Target="media/image487.png"/><Relationship Id="rId498" Type="http://schemas.openxmlformats.org/officeDocument/2006/relationships/image" Target="media/image488.png"/><Relationship Id="rId499" Type="http://schemas.openxmlformats.org/officeDocument/2006/relationships/image" Target="media/image489.png"/><Relationship Id="rId500" Type="http://schemas.openxmlformats.org/officeDocument/2006/relationships/image" Target="media/image490.png"/><Relationship Id="rId501" Type="http://schemas.openxmlformats.org/officeDocument/2006/relationships/image" Target="media/image491.png"/><Relationship Id="rId502" Type="http://schemas.openxmlformats.org/officeDocument/2006/relationships/image" Target="media/image492.png"/><Relationship Id="rId503" Type="http://schemas.openxmlformats.org/officeDocument/2006/relationships/image" Target="media/image493.png"/><Relationship Id="rId504" Type="http://schemas.openxmlformats.org/officeDocument/2006/relationships/image" Target="media/image494.png"/><Relationship Id="rId505" Type="http://schemas.openxmlformats.org/officeDocument/2006/relationships/image" Target="media/image495.png"/><Relationship Id="rId506" Type="http://schemas.openxmlformats.org/officeDocument/2006/relationships/image" Target="media/image496.png"/><Relationship Id="rId507" Type="http://schemas.openxmlformats.org/officeDocument/2006/relationships/image" Target="media/image497.png"/><Relationship Id="rId508" Type="http://schemas.openxmlformats.org/officeDocument/2006/relationships/image" Target="media/image498.png"/><Relationship Id="rId509" Type="http://schemas.openxmlformats.org/officeDocument/2006/relationships/image" Target="media/image499.png"/><Relationship Id="rId510" Type="http://schemas.openxmlformats.org/officeDocument/2006/relationships/image" Target="media/image500.png"/><Relationship Id="rId511" Type="http://schemas.openxmlformats.org/officeDocument/2006/relationships/image" Target="media/image501.png"/><Relationship Id="rId512" Type="http://schemas.openxmlformats.org/officeDocument/2006/relationships/image" Target="media/image502.png"/><Relationship Id="rId513" Type="http://schemas.openxmlformats.org/officeDocument/2006/relationships/image" Target="media/image503.png"/><Relationship Id="rId514" Type="http://schemas.openxmlformats.org/officeDocument/2006/relationships/image" Target="media/image504.png"/><Relationship Id="rId515" Type="http://schemas.openxmlformats.org/officeDocument/2006/relationships/image" Target="media/image505.png"/><Relationship Id="rId516" Type="http://schemas.openxmlformats.org/officeDocument/2006/relationships/image" Target="media/image506.png"/><Relationship Id="rId517" Type="http://schemas.openxmlformats.org/officeDocument/2006/relationships/image" Target="media/image507.png"/><Relationship Id="rId518" Type="http://schemas.openxmlformats.org/officeDocument/2006/relationships/image" Target="media/image508.png"/><Relationship Id="rId519" Type="http://schemas.openxmlformats.org/officeDocument/2006/relationships/image" Target="media/image509.png"/><Relationship Id="rId520" Type="http://schemas.openxmlformats.org/officeDocument/2006/relationships/image" Target="media/image510.png"/><Relationship Id="rId521" Type="http://schemas.openxmlformats.org/officeDocument/2006/relationships/image" Target="media/image511.png"/><Relationship Id="rId522" Type="http://schemas.openxmlformats.org/officeDocument/2006/relationships/image" Target="media/image512.png"/><Relationship Id="rId523" Type="http://schemas.openxmlformats.org/officeDocument/2006/relationships/image" Target="media/image513.png"/><Relationship Id="rId524" Type="http://schemas.openxmlformats.org/officeDocument/2006/relationships/image" Target="media/image514.png"/><Relationship Id="rId525" Type="http://schemas.openxmlformats.org/officeDocument/2006/relationships/image" Target="media/image515.png"/><Relationship Id="rId526" Type="http://schemas.openxmlformats.org/officeDocument/2006/relationships/image" Target="media/image516.png"/><Relationship Id="rId527" Type="http://schemas.openxmlformats.org/officeDocument/2006/relationships/image" Target="media/image517.png"/><Relationship Id="rId528" Type="http://schemas.openxmlformats.org/officeDocument/2006/relationships/image" Target="media/image518.png"/><Relationship Id="rId529" Type="http://schemas.openxmlformats.org/officeDocument/2006/relationships/image" Target="media/image519.png"/><Relationship Id="rId530" Type="http://schemas.openxmlformats.org/officeDocument/2006/relationships/image" Target="media/image520.png"/><Relationship Id="rId531" Type="http://schemas.openxmlformats.org/officeDocument/2006/relationships/image" Target="media/image521.png"/><Relationship Id="rId532" Type="http://schemas.openxmlformats.org/officeDocument/2006/relationships/image" Target="media/image522.png"/><Relationship Id="rId533" Type="http://schemas.openxmlformats.org/officeDocument/2006/relationships/image" Target="media/image523.png"/><Relationship Id="rId534" Type="http://schemas.openxmlformats.org/officeDocument/2006/relationships/image" Target="media/image524.png"/><Relationship Id="rId535" Type="http://schemas.openxmlformats.org/officeDocument/2006/relationships/image" Target="media/image525.png"/><Relationship Id="rId536" Type="http://schemas.openxmlformats.org/officeDocument/2006/relationships/image" Target="media/image526.png"/><Relationship Id="rId537" Type="http://schemas.openxmlformats.org/officeDocument/2006/relationships/image" Target="media/image527.png"/><Relationship Id="rId538" Type="http://schemas.openxmlformats.org/officeDocument/2006/relationships/image" Target="media/image528.png"/><Relationship Id="rId539" Type="http://schemas.openxmlformats.org/officeDocument/2006/relationships/image" Target="media/image529.png"/><Relationship Id="rId540" Type="http://schemas.openxmlformats.org/officeDocument/2006/relationships/image" Target="media/image530.png"/><Relationship Id="rId541" Type="http://schemas.openxmlformats.org/officeDocument/2006/relationships/image" Target="media/image531.png"/><Relationship Id="rId542" Type="http://schemas.openxmlformats.org/officeDocument/2006/relationships/image" Target="media/image532.png"/><Relationship Id="rId543" Type="http://schemas.openxmlformats.org/officeDocument/2006/relationships/image" Target="media/image533.png"/><Relationship Id="rId544" Type="http://schemas.openxmlformats.org/officeDocument/2006/relationships/image" Target="media/image534.png"/><Relationship Id="rId545" Type="http://schemas.openxmlformats.org/officeDocument/2006/relationships/image" Target="media/image535.png"/><Relationship Id="rId546" Type="http://schemas.openxmlformats.org/officeDocument/2006/relationships/image" Target="media/image536.png"/><Relationship Id="rId547" Type="http://schemas.openxmlformats.org/officeDocument/2006/relationships/image" Target="media/image537.png"/><Relationship Id="rId548" Type="http://schemas.openxmlformats.org/officeDocument/2006/relationships/image" Target="media/image538.png"/><Relationship Id="rId549" Type="http://schemas.openxmlformats.org/officeDocument/2006/relationships/image" Target="media/image539.png"/><Relationship Id="rId550" Type="http://schemas.openxmlformats.org/officeDocument/2006/relationships/image" Target="media/image540.png"/><Relationship Id="rId551" Type="http://schemas.openxmlformats.org/officeDocument/2006/relationships/image" Target="media/image541.png"/><Relationship Id="rId552" Type="http://schemas.openxmlformats.org/officeDocument/2006/relationships/image" Target="media/image542.png"/><Relationship Id="rId553" Type="http://schemas.openxmlformats.org/officeDocument/2006/relationships/image" Target="media/image543.png"/><Relationship Id="rId554" Type="http://schemas.openxmlformats.org/officeDocument/2006/relationships/image" Target="media/image544.png"/><Relationship Id="rId555" Type="http://schemas.openxmlformats.org/officeDocument/2006/relationships/image" Target="media/image545.png"/><Relationship Id="rId556" Type="http://schemas.openxmlformats.org/officeDocument/2006/relationships/image" Target="media/image546.png"/><Relationship Id="rId557" Type="http://schemas.openxmlformats.org/officeDocument/2006/relationships/image" Target="media/image547.png"/><Relationship Id="rId558" Type="http://schemas.openxmlformats.org/officeDocument/2006/relationships/image" Target="media/image548.png"/><Relationship Id="rId559" Type="http://schemas.openxmlformats.org/officeDocument/2006/relationships/image" Target="media/image549.png"/><Relationship Id="rId560" Type="http://schemas.openxmlformats.org/officeDocument/2006/relationships/image" Target="media/image550.png"/><Relationship Id="rId561" Type="http://schemas.openxmlformats.org/officeDocument/2006/relationships/image" Target="media/image551.png"/><Relationship Id="rId562" Type="http://schemas.openxmlformats.org/officeDocument/2006/relationships/image" Target="media/image552.png"/><Relationship Id="rId563" Type="http://schemas.openxmlformats.org/officeDocument/2006/relationships/image" Target="media/image553.png"/><Relationship Id="rId564" Type="http://schemas.openxmlformats.org/officeDocument/2006/relationships/image" Target="media/image554.png"/><Relationship Id="rId565" Type="http://schemas.openxmlformats.org/officeDocument/2006/relationships/image" Target="media/image555.png"/><Relationship Id="rId566" Type="http://schemas.openxmlformats.org/officeDocument/2006/relationships/image" Target="media/image556.png"/><Relationship Id="rId567" Type="http://schemas.openxmlformats.org/officeDocument/2006/relationships/image" Target="media/image557.png"/><Relationship Id="rId568" Type="http://schemas.openxmlformats.org/officeDocument/2006/relationships/image" Target="media/image558.png"/><Relationship Id="rId569" Type="http://schemas.openxmlformats.org/officeDocument/2006/relationships/image" Target="media/image559.png"/><Relationship Id="rId570" Type="http://schemas.openxmlformats.org/officeDocument/2006/relationships/image" Target="media/image560.png"/><Relationship Id="rId571" Type="http://schemas.openxmlformats.org/officeDocument/2006/relationships/image" Target="media/image561.png"/><Relationship Id="rId572" Type="http://schemas.openxmlformats.org/officeDocument/2006/relationships/image" Target="media/image562.png"/><Relationship Id="rId573" Type="http://schemas.openxmlformats.org/officeDocument/2006/relationships/image" Target="media/image563.png"/><Relationship Id="rId574" Type="http://schemas.openxmlformats.org/officeDocument/2006/relationships/image" Target="media/image564.png"/><Relationship Id="rId575" Type="http://schemas.openxmlformats.org/officeDocument/2006/relationships/image" Target="media/image565.png"/><Relationship Id="rId576" Type="http://schemas.openxmlformats.org/officeDocument/2006/relationships/image" Target="media/image566.png"/><Relationship Id="rId577" Type="http://schemas.openxmlformats.org/officeDocument/2006/relationships/image" Target="media/image567.png"/><Relationship Id="rId578" Type="http://schemas.openxmlformats.org/officeDocument/2006/relationships/image" Target="media/image568.png"/><Relationship Id="rId579" Type="http://schemas.openxmlformats.org/officeDocument/2006/relationships/image" Target="media/image569.png"/><Relationship Id="rId580" Type="http://schemas.openxmlformats.org/officeDocument/2006/relationships/image" Target="media/image570.png"/><Relationship Id="rId581" Type="http://schemas.openxmlformats.org/officeDocument/2006/relationships/image" Target="media/image571.png"/><Relationship Id="rId582" Type="http://schemas.openxmlformats.org/officeDocument/2006/relationships/image" Target="media/image572.png"/><Relationship Id="rId583" Type="http://schemas.openxmlformats.org/officeDocument/2006/relationships/image" Target="media/image573.png"/><Relationship Id="rId584" Type="http://schemas.openxmlformats.org/officeDocument/2006/relationships/image" Target="media/image574.png"/><Relationship Id="rId585" Type="http://schemas.openxmlformats.org/officeDocument/2006/relationships/image" Target="media/image575.png"/><Relationship Id="rId586" Type="http://schemas.openxmlformats.org/officeDocument/2006/relationships/image" Target="media/image576.png"/><Relationship Id="rId587" Type="http://schemas.openxmlformats.org/officeDocument/2006/relationships/image" Target="media/image577.png"/><Relationship Id="rId588" Type="http://schemas.openxmlformats.org/officeDocument/2006/relationships/image" Target="media/image578.png"/><Relationship Id="rId589" Type="http://schemas.openxmlformats.org/officeDocument/2006/relationships/image" Target="media/image579.png"/><Relationship Id="rId590" Type="http://schemas.openxmlformats.org/officeDocument/2006/relationships/image" Target="media/image580.png"/><Relationship Id="rId591" Type="http://schemas.openxmlformats.org/officeDocument/2006/relationships/image" Target="media/image581.png"/><Relationship Id="rId592" Type="http://schemas.openxmlformats.org/officeDocument/2006/relationships/image" Target="media/image582.png"/><Relationship Id="rId593" Type="http://schemas.openxmlformats.org/officeDocument/2006/relationships/image" Target="media/image583.png"/><Relationship Id="rId594" Type="http://schemas.openxmlformats.org/officeDocument/2006/relationships/image" Target="media/image584.png"/><Relationship Id="rId595" Type="http://schemas.openxmlformats.org/officeDocument/2006/relationships/image" Target="media/image585.png"/><Relationship Id="rId286" Type="http://schemas.openxmlformats.org/officeDocument/2006/relationships/hyperlink" Target="https://www.sec.gov/Archives/edgar/data/1861795/000095017022021909/dh-ex10_1.htm" TargetMode="External"/><Relationship Id="rId287" Type="http://schemas.openxmlformats.org/officeDocument/2006/relationships/hyperlink" Target="https://www.sec.gov/Archives/edgar/data/1861795/000095017022021909/dh-ex10_2.htm" TargetMode="External"/><Relationship Id="rId288" Type="http://schemas.openxmlformats.org/officeDocument/2006/relationships/hyperlink" Target="https://www.sec.gov/Archives/edgar/data/1861795/000119312522256657/d38393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2022-11-03T17:48:13Z</dcterms:created>
  <dcterms:modified xsi:type="dcterms:W3CDTF">2022-11-03T17:48:13Z</dcterms:modified>
</cp:coreProperties>
</file>