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Booth Richard Douglas</w:t>
              </w:r>
            </w:hyperlink>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Definitive Healthcare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40" w:type="dxa"/>
            <w:vAlign w:val="bottom"/>
            <w:tcBorders>
              <w:top w:val="single" w:sz="8" w:color="0000EE"/>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240" w:type="dxa"/>
            <w:vAlign w:val="bottom"/>
            <w:tcBorders>
              <w:top w:val="single" w:sz="8" w:color="EEEEEE"/>
            </w:tcBorders>
          </w:tcPr>
          <w:p>
            <w:pPr>
              <w:spacing w:after="0"/>
              <w:rPr>
                <w:sz w:val="4"/>
                <w:szCs w:val="4"/>
                <w:color w:val="auto"/>
              </w:rPr>
            </w:pPr>
          </w:p>
        </w:tc>
        <w:tc>
          <w:tcPr>
            <w:tcW w:w="220" w:type="dxa"/>
            <w:vAlign w:val="bottom"/>
            <w:tcBorders>
              <w:top w:val="single" w:sz="8" w:color="EEEEEE"/>
            </w:tcBorders>
          </w:tcPr>
          <w:p>
            <w:pPr>
              <w:spacing w:after="0"/>
              <w:rPr>
                <w:sz w:val="4"/>
                <w:szCs w:val="4"/>
                <w:color w:val="auto"/>
              </w:rPr>
            </w:pPr>
          </w:p>
        </w:tc>
        <w:tc>
          <w:tcPr>
            <w:tcW w:w="140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01/21/2025</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60" w:type="dxa"/>
            <w:vAlign w:val="bottom"/>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20" w:type="dxa"/>
            <w:vAlign w:val="bottom"/>
            <w:vMerge w:val="restart"/>
          </w:tcPr>
          <w:p>
            <w:pPr>
              <w:jc w:val="right"/>
              <w:ind w:right="653"/>
              <w:spacing w:after="0"/>
              <w:rPr>
                <w:sz w:val="20"/>
                <w:szCs w:val="20"/>
                <w:color w:val="auto"/>
              </w:rPr>
            </w:pPr>
            <w:r>
              <w:rPr>
                <w:rFonts w:ascii="Times New Roman" w:cs="Times New Roman" w:eastAsia="Times New Roman" w:hAnsi="Times New Roman"/>
                <w:sz w:val="17"/>
                <w:szCs w:val="17"/>
                <w:color w:val="0000FF"/>
              </w:rPr>
              <w:t>01701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01/21/2025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107,480</w:t>
            </w:r>
            <w:r>
              <w:rPr>
                <w:rFonts w:ascii="Times New Roman" w:cs="Times New Roman" w:eastAsia="Times New Roman" w:hAnsi="Times New Roman"/>
                <w:sz w:val="22"/>
                <w:szCs w:val="22"/>
                <w:color w:val="008000"/>
                <w:w w:val="96"/>
                <w:vertAlign w:val="superscript"/>
              </w:rPr>
              <w:t>(1)</w:t>
            </w:r>
          </w:p>
        </w:tc>
        <w:tc>
          <w:tcPr>
            <w:tcW w:w="3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698,738.173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01/21/2025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10,192</w:t>
            </w:r>
          </w:p>
        </w:tc>
        <w:tc>
          <w:tcPr>
            <w:tcW w:w="3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4.41</w:t>
            </w:r>
          </w:p>
        </w:tc>
        <w:tc>
          <w:tcPr>
            <w:tcW w:w="122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688,546.173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02/01/2025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(3)</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27,080</w:t>
            </w:r>
          </w:p>
        </w:tc>
        <w:tc>
          <w:tcPr>
            <w:tcW w:w="3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4.86</w:t>
            </w:r>
          </w:p>
        </w:tc>
        <w:tc>
          <w:tcPr>
            <w:tcW w:w="122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661,466.173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number of performance-based restricted stock units ("PSUs"), each representing a contingent right to receive one share of the Issuer's Class A Common Stock, par value $0.001, earned upon the certification of achievement of certain performance criteria by the Issuer's compensation committee. The PSUs will vest in three substantially equal installments as to 1/3rd on January 21, 2025, 1/3rd on February 1, 2026, and the remaining 1/3rd on February 1, 2027 and will be settled pursuant to the terms of the Issuer's 2021 Equity Incentive Plan (as amended from time to time), in each case subject to the Reporting Person's continued service with the Issuer through each such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of shares by the Issuer to satisfy the Reporting Person's tax withholding obligations in connection with the vesting and settlement of previously reported PSUs.</w:t>
      </w:r>
    </w:p>
    <w:p>
      <w:pPr>
        <w:spacing w:after="0" w:line="5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of shares by the Issuer to satisfy the Reporting Person's tax withholding obligations in connection with the vesting and settlement of previously reported restricted stock units.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02/04/2025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1054" TargetMode="External"/><Relationship Id="rId14"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2025-02-04T17:57:03Z</dcterms:created>
  <dcterms:modified xsi:type="dcterms:W3CDTF">2025-02-04T17:57:03Z</dcterms:modified>
</cp:coreProperties>
</file>