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1060" w:type="dxa"/>
            <w:vAlign w:val="bottom"/>
            <w:gridSpan w:val="2"/>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Larsen Jill</w:t>
              </w:r>
            </w:hyperlink>
          </w:p>
        </w:tc>
        <w:tc>
          <w:tcPr>
            <w:tcW w:w="940" w:type="dxa"/>
            <w:vAlign w:val="bottom"/>
          </w:tcPr>
          <w:p>
            <w:pPr>
              <w:spacing w:after="0"/>
              <w:rPr>
                <w:sz w:val="9"/>
                <w:szCs w:val="9"/>
                <w:color w:val="auto"/>
              </w:rPr>
            </w:pPr>
          </w:p>
        </w:tc>
        <w:tc>
          <w:tcPr>
            <w:tcW w:w="16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Definitive Healthcare Corp.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DH</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1060" w:type="dxa"/>
            <w:vAlign w:val="bottom"/>
            <w:gridSpan w:val="2"/>
            <w:vMerge w:val="continue"/>
          </w:tcPr>
          <w:p>
            <w:pPr>
              <w:spacing w:after="0"/>
              <w:rPr>
                <w:sz w:val="6"/>
                <w:szCs w:val="6"/>
                <w:color w:val="auto"/>
              </w:rPr>
            </w:pPr>
          </w:p>
        </w:tc>
        <w:tc>
          <w:tcPr>
            <w:tcW w:w="940" w:type="dxa"/>
            <w:vAlign w:val="bottom"/>
          </w:tcPr>
          <w:p>
            <w:pPr>
              <w:spacing w:after="0"/>
              <w:rPr>
                <w:sz w:val="6"/>
                <w:szCs w:val="6"/>
                <w:color w:val="auto"/>
              </w:rPr>
            </w:pPr>
          </w:p>
        </w:tc>
        <w:tc>
          <w:tcPr>
            <w:tcW w:w="16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360" w:type="dxa"/>
            <w:vAlign w:val="bottom"/>
            <w:tcBorders>
              <w:bottom w:val="single" w:sz="8" w:color="0000EE"/>
            </w:tcBorders>
          </w:tcPr>
          <w:p>
            <w:pPr>
              <w:spacing w:after="0"/>
              <w:rPr>
                <w:sz w:val="6"/>
                <w:szCs w:val="6"/>
                <w:color w:val="auto"/>
              </w:rPr>
            </w:pPr>
          </w:p>
        </w:tc>
        <w:tc>
          <w:tcPr>
            <w:tcW w:w="138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106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16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360" w:type="dxa"/>
            <w:vAlign w:val="bottom"/>
          </w:tcPr>
          <w:p>
            <w:pPr>
              <w:spacing w:after="0"/>
              <w:rPr>
                <w:sz w:val="5"/>
                <w:szCs w:val="5"/>
                <w:color w:val="auto"/>
              </w:rPr>
            </w:pPr>
          </w:p>
        </w:tc>
        <w:tc>
          <w:tcPr>
            <w:tcW w:w="138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900" w:type="dxa"/>
            <w:vAlign w:val="bottom"/>
            <w:tcBorders>
              <w:top w:val="single" w:sz="8" w:color="0000EE"/>
            </w:tcBorders>
          </w:tcPr>
          <w:p>
            <w:pPr>
              <w:spacing w:after="0"/>
              <w:rPr>
                <w:sz w:val="6"/>
                <w:szCs w:val="6"/>
                <w:color w:val="auto"/>
              </w:rPr>
            </w:pPr>
          </w:p>
        </w:tc>
        <w:tc>
          <w:tcPr>
            <w:tcW w:w="160" w:type="dxa"/>
            <w:vAlign w:val="bottom"/>
          </w:tcPr>
          <w:p>
            <w:pPr>
              <w:spacing w:after="0"/>
              <w:rPr>
                <w:sz w:val="6"/>
                <w:szCs w:val="6"/>
                <w:color w:val="auto"/>
              </w:rPr>
            </w:pPr>
          </w:p>
        </w:tc>
        <w:tc>
          <w:tcPr>
            <w:tcW w:w="940" w:type="dxa"/>
            <w:vAlign w:val="bottom"/>
          </w:tcPr>
          <w:p>
            <w:pPr>
              <w:spacing w:after="0"/>
              <w:rPr>
                <w:sz w:val="6"/>
                <w:szCs w:val="6"/>
                <w:color w:val="auto"/>
              </w:rPr>
            </w:pPr>
          </w:p>
        </w:tc>
        <w:tc>
          <w:tcPr>
            <w:tcW w:w="16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360" w:type="dxa"/>
            <w:vAlign w:val="bottom"/>
          </w:tcPr>
          <w:p>
            <w:pPr>
              <w:spacing w:after="0"/>
              <w:rPr>
                <w:sz w:val="6"/>
                <w:szCs w:val="6"/>
                <w:color w:val="auto"/>
              </w:rPr>
            </w:pPr>
          </w:p>
        </w:tc>
        <w:tc>
          <w:tcPr>
            <w:tcW w:w="138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64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00" w:type="dxa"/>
            <w:vAlign w:val="bottom"/>
            <w:tcBorders>
              <w:top w:val="single" w:sz="8" w:color="EEEEEE"/>
            </w:tcBorders>
          </w:tcPr>
          <w:p>
            <w:pPr>
              <w:spacing w:after="0"/>
              <w:rPr>
                <w:sz w:val="2"/>
                <w:szCs w:val="2"/>
                <w:color w:val="auto"/>
              </w:rPr>
            </w:pPr>
          </w:p>
        </w:tc>
        <w:tc>
          <w:tcPr>
            <w:tcW w:w="160" w:type="dxa"/>
            <w:vAlign w:val="bottom"/>
            <w:tcBorders>
              <w:top w:val="single" w:sz="8" w:color="EEEEEE"/>
            </w:tcBorders>
          </w:tcPr>
          <w:p>
            <w:pPr>
              <w:spacing w:after="0"/>
              <w:rPr>
                <w:sz w:val="2"/>
                <w:szCs w:val="2"/>
                <w:color w:val="auto"/>
              </w:rPr>
            </w:pPr>
          </w:p>
        </w:tc>
        <w:tc>
          <w:tcPr>
            <w:tcW w:w="940" w:type="dxa"/>
            <w:vAlign w:val="bottom"/>
            <w:tcBorders>
              <w:top w:val="single" w:sz="8" w:color="EEEEEE"/>
            </w:tcBorders>
          </w:tcPr>
          <w:p>
            <w:pPr>
              <w:spacing w:after="0"/>
              <w:rPr>
                <w:sz w:val="2"/>
                <w:szCs w:val="2"/>
                <w:color w:val="auto"/>
              </w:rPr>
            </w:pPr>
          </w:p>
        </w:tc>
        <w:tc>
          <w:tcPr>
            <w:tcW w:w="164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1060" w:type="dxa"/>
            <w:vAlign w:val="bottom"/>
            <w:gridSpan w:val="2"/>
            <w:vMerge w:val="restart"/>
          </w:tcPr>
          <w:p>
            <w:pPr>
              <w:spacing w:after="0"/>
              <w:rPr>
                <w:sz w:val="20"/>
                <w:szCs w:val="20"/>
                <w:color w:val="auto"/>
              </w:rPr>
            </w:pPr>
            <w:r>
              <w:rPr>
                <w:rFonts w:ascii="Arial" w:cs="Arial" w:eastAsia="Arial" w:hAnsi="Arial"/>
                <w:sz w:val="13"/>
                <w:szCs w:val="13"/>
                <w:color w:val="auto"/>
              </w:rPr>
              <w:t>(Last)</w:t>
            </w:r>
          </w:p>
        </w:tc>
        <w:tc>
          <w:tcPr>
            <w:tcW w:w="940" w:type="dxa"/>
            <w:vAlign w:val="bottom"/>
            <w:vMerge w:val="restart"/>
          </w:tcPr>
          <w:p>
            <w:pPr>
              <w:ind w:left="160"/>
              <w:spacing w:after="0"/>
              <w:rPr>
                <w:sz w:val="20"/>
                <w:szCs w:val="20"/>
                <w:color w:val="auto"/>
              </w:rPr>
            </w:pPr>
            <w:r>
              <w:rPr>
                <w:rFonts w:ascii="Arial" w:cs="Arial" w:eastAsia="Arial" w:hAnsi="Arial"/>
                <w:sz w:val="13"/>
                <w:szCs w:val="13"/>
                <w:color w:val="auto"/>
              </w:rPr>
              <w:t>(First)</w:t>
            </w:r>
          </w:p>
        </w:tc>
        <w:tc>
          <w:tcPr>
            <w:tcW w:w="1640" w:type="dxa"/>
            <w:vAlign w:val="bottom"/>
            <w:vMerge w:val="restart"/>
          </w:tcPr>
          <w:p>
            <w:pPr>
              <w:ind w:left="4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1060" w:type="dxa"/>
            <w:vAlign w:val="bottom"/>
            <w:gridSpan w:val="2"/>
            <w:vMerge w:val="continue"/>
          </w:tcPr>
          <w:p>
            <w:pPr>
              <w:spacing w:after="0"/>
              <w:rPr>
                <w:sz w:val="8"/>
                <w:szCs w:val="8"/>
                <w:color w:val="auto"/>
              </w:rPr>
            </w:pPr>
          </w:p>
        </w:tc>
        <w:tc>
          <w:tcPr>
            <w:tcW w:w="940" w:type="dxa"/>
            <w:vAlign w:val="bottom"/>
            <w:vMerge w:val="continue"/>
          </w:tcPr>
          <w:p>
            <w:pPr>
              <w:spacing w:after="0"/>
              <w:rPr>
                <w:sz w:val="8"/>
                <w:szCs w:val="8"/>
                <w:color w:val="auto"/>
              </w:rPr>
            </w:pPr>
          </w:p>
        </w:tc>
        <w:tc>
          <w:tcPr>
            <w:tcW w:w="1640" w:type="dxa"/>
            <w:vAlign w:val="bottom"/>
            <w:vMerge w:val="continue"/>
          </w:tcPr>
          <w:p>
            <w:pPr>
              <w:spacing w:after="0"/>
              <w:rPr>
                <w:sz w:val="8"/>
                <w:szCs w:val="8"/>
                <w:color w:val="auto"/>
              </w:rPr>
            </w:pPr>
          </w:p>
        </w:tc>
        <w:tc>
          <w:tcPr>
            <w:tcW w:w="252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06/05/2025</w:t>
            </w:r>
          </w:p>
        </w:tc>
        <w:tc>
          <w:tcPr>
            <w:tcW w:w="138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C/O DEFINITIVE HEALTHCARE CORP.</w:t>
            </w:r>
          </w:p>
        </w:tc>
        <w:tc>
          <w:tcPr>
            <w:tcW w:w="2520" w:type="dxa"/>
            <w:vAlign w:val="bottom"/>
            <w:gridSpan w:val="3"/>
            <w:vMerge w:val="continue"/>
          </w:tcPr>
          <w:p>
            <w:pPr>
              <w:spacing w:after="0"/>
              <w:rPr>
                <w:sz w:val="11"/>
                <w:szCs w:val="11"/>
                <w:color w:val="auto"/>
              </w:rPr>
            </w:pPr>
          </w:p>
        </w:tc>
        <w:tc>
          <w:tcPr>
            <w:tcW w:w="138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364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492 OLD CONNECTICUT PATH, SUITE 401</w:t>
            </w: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360" w:type="dxa"/>
            <w:vAlign w:val="bottom"/>
            <w:tcBorders>
              <w:bottom w:val="single" w:sz="8" w:color="2C2C2C"/>
            </w:tcBorders>
          </w:tcPr>
          <w:p>
            <w:pPr>
              <w:spacing w:after="0"/>
              <w:rPr>
                <w:sz w:val="12"/>
                <w:szCs w:val="12"/>
                <w:color w:val="auto"/>
              </w:rPr>
            </w:pPr>
          </w:p>
        </w:tc>
        <w:tc>
          <w:tcPr>
            <w:tcW w:w="138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3640" w:type="dxa"/>
            <w:vAlign w:val="bottom"/>
            <w:gridSpan w:val="4"/>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900" w:type="dxa"/>
            <w:vAlign w:val="bottom"/>
          </w:tcPr>
          <w:p>
            <w:pPr>
              <w:spacing w:after="0"/>
              <w:rPr>
                <w:sz w:val="8"/>
                <w:szCs w:val="8"/>
                <w:color w:val="auto"/>
              </w:rPr>
            </w:pPr>
          </w:p>
        </w:tc>
        <w:tc>
          <w:tcPr>
            <w:tcW w:w="160" w:type="dxa"/>
            <w:vAlign w:val="bottom"/>
          </w:tcPr>
          <w:p>
            <w:pPr>
              <w:spacing w:after="0"/>
              <w:rPr>
                <w:sz w:val="8"/>
                <w:szCs w:val="8"/>
                <w:color w:val="auto"/>
              </w:rPr>
            </w:pPr>
          </w:p>
        </w:tc>
        <w:tc>
          <w:tcPr>
            <w:tcW w:w="940" w:type="dxa"/>
            <w:vAlign w:val="bottom"/>
          </w:tcPr>
          <w:p>
            <w:pPr>
              <w:spacing w:after="0"/>
              <w:rPr>
                <w:sz w:val="8"/>
                <w:szCs w:val="8"/>
                <w:color w:val="auto"/>
              </w:rPr>
            </w:pPr>
          </w:p>
        </w:tc>
        <w:tc>
          <w:tcPr>
            <w:tcW w:w="16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FRAMINGHAM MA</w:t>
            </w:r>
          </w:p>
        </w:tc>
        <w:tc>
          <w:tcPr>
            <w:tcW w:w="1600" w:type="dxa"/>
            <w:vAlign w:val="bottom"/>
          </w:tcPr>
          <w:p>
            <w:pPr>
              <w:ind w:left="440"/>
              <w:spacing w:after="0"/>
              <w:rPr>
                <w:sz w:val="20"/>
                <w:szCs w:val="20"/>
                <w:color w:val="auto"/>
              </w:rPr>
            </w:pPr>
            <w:r>
              <w:rPr>
                <w:rFonts w:ascii="Times New Roman" w:cs="Times New Roman" w:eastAsia="Times New Roman" w:hAnsi="Times New Roman"/>
                <w:sz w:val="17"/>
                <w:szCs w:val="17"/>
                <w:color w:val="0000FF"/>
              </w:rPr>
              <w:t>01701</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140" w:type="dxa"/>
            <w:vAlign w:val="bottom"/>
            <w:gridSpan w:val="7"/>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60"/>
              <w:spacing w:after="0"/>
              <w:rPr>
                <w:sz w:val="20"/>
                <w:szCs w:val="20"/>
                <w:color w:val="auto"/>
              </w:rPr>
            </w:pPr>
            <w:r>
              <w:rPr>
                <w:rFonts w:ascii="Arial" w:cs="Arial" w:eastAsia="Arial" w:hAnsi="Arial"/>
                <w:sz w:val="12"/>
                <w:szCs w:val="12"/>
                <w:b w:val="1"/>
                <w:bCs w:val="1"/>
                <w:color w:val="auto"/>
                <w:w w:val="95"/>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6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06/05/2025</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4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w w:val="93"/>
              </w:rPr>
              <w:t>55,911</w:t>
            </w:r>
            <w:r>
              <w:rPr>
                <w:rFonts w:ascii="Times New Roman" w:cs="Times New Roman" w:eastAsia="Times New Roman" w:hAnsi="Times New Roman"/>
                <w:sz w:val="22"/>
                <w:szCs w:val="22"/>
                <w:color w:val="008000"/>
                <w:w w:val="93"/>
                <w:vertAlign w:val="superscript"/>
              </w:rPr>
              <w:t>(1)</w:t>
            </w:r>
          </w:p>
        </w:tc>
        <w:tc>
          <w:tcPr>
            <w:tcW w:w="66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A</w:t>
            </w:r>
          </w:p>
        </w:tc>
        <w:tc>
          <w:tcPr>
            <w:tcW w:w="360" w:type="dxa"/>
            <w:vAlign w:val="bottom"/>
            <w:tcBorders>
              <w:bottom w:val="single" w:sz="8" w:color="2C2C2C"/>
            </w:tcBorders>
            <w:gridSpan w:val="2"/>
          </w:tcPr>
          <w:p>
            <w:pPr>
              <w:jc w:val="right"/>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480"/>
              <w:spacing w:after="0"/>
              <w:rPr>
                <w:sz w:val="20"/>
                <w:szCs w:val="20"/>
                <w:color w:val="auto"/>
              </w:rPr>
            </w:pPr>
            <w:r>
              <w:rPr>
                <w:rFonts w:ascii="Times New Roman" w:cs="Times New Roman" w:eastAsia="Times New Roman" w:hAnsi="Times New Roman"/>
                <w:sz w:val="17"/>
                <w:szCs w:val="17"/>
                <w:color w:val="0000FF"/>
              </w:rPr>
              <w:t>114,751</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20" w:type="dxa"/>
            <w:vAlign w:val="bottom"/>
            <w:gridSpan w:val="3"/>
          </w:tcPr>
          <w:p>
            <w:pPr>
              <w:ind w:left="4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ind w:left="42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20" w:type="dxa"/>
            <w:vAlign w:val="bottom"/>
            <w:gridSpan w:val="3"/>
          </w:tcPr>
          <w:p>
            <w:pPr>
              <w:ind w:left="4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ind w:left="42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020" w:type="dxa"/>
            <w:vAlign w:val="bottom"/>
            <w:gridSpan w:val="3"/>
          </w:tcPr>
          <w:p>
            <w:pPr>
              <w:ind w:left="20"/>
              <w:spacing w:after="0"/>
              <w:rPr>
                <w:sz w:val="20"/>
                <w:szCs w:val="20"/>
                <w:color w:val="auto"/>
              </w:rPr>
            </w:pPr>
            <w:r>
              <w:rPr>
                <w:rFonts w:ascii="Arial" w:cs="Arial" w:eastAsia="Arial" w:hAnsi="Arial"/>
                <w:sz w:val="12"/>
                <w:szCs w:val="12"/>
                <w:b w:val="1"/>
                <w:bCs w:val="1"/>
                <w:color w:val="auto"/>
              </w:rPr>
              <w:t>Title  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34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restricted stock units ("RSUs"), each representing a contingent right to receive one share of the Issuer's Class A Common Stock, par value $0.001, vesting on the earlier of June 5, 2026 or the date of the Issuer's next annual meeting of stockholders, subject to the Reporting Person's continued service through the applicable vesting date.</w:t>
      </w:r>
    </w:p>
    <w:p>
      <w:pPr>
        <w:spacing w:after="0" w:line="25"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Matthew Ruderman,</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06/09/2025</w:t>
            </w:r>
          </w:p>
        </w:tc>
        <w:tc>
          <w:tcPr>
            <w:tcW w:w="0" w:type="dxa"/>
            <w:vAlign w:val="bottom"/>
          </w:tcPr>
          <w:p>
            <w:pPr>
              <w:spacing w:after="0"/>
              <w:rPr>
                <w:sz w:val="1"/>
                <w:szCs w:val="1"/>
                <w:color w:val="auto"/>
              </w:rPr>
            </w:pPr>
          </w:p>
        </w:tc>
      </w:tr>
      <w:tr>
        <w:trPr>
          <w:trHeight w:val="87"/>
        </w:trPr>
        <w:tc>
          <w:tcPr>
            <w:tcW w:w="1180" w:type="dxa"/>
            <w:vAlign w:val="bottom"/>
            <w:tcBorders>
              <w:top w:val="single" w:sz="8" w:color="auto"/>
            </w:tcBorders>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460" w:type="dxa"/>
            <w:vAlign w:val="bottom"/>
            <w:tcBorders>
              <w:top w:val="single" w:sz="8" w:color="auto"/>
            </w:tcBorders>
            <w:vMerge w:val="restart"/>
          </w:tcPr>
          <w:p>
            <w:pPr>
              <w:spacing w:after="0"/>
              <w:rPr>
                <w:sz w:val="7"/>
                <w:szCs w:val="7"/>
                <w:color w:val="auto"/>
              </w:rPr>
            </w:pPr>
          </w:p>
        </w:tc>
        <w:tc>
          <w:tcPr>
            <w:tcW w:w="44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top w:val="single" w:sz="8" w:color="auto"/>
              <w:bottom w:val="single" w:sz="8" w:color="auto"/>
            </w:tcBorders>
            <w:vMerge w:val="continue"/>
          </w:tcPr>
          <w:p>
            <w:pPr>
              <w:spacing w:after="0"/>
              <w:rPr>
                <w:sz w:val="7"/>
                <w:szCs w:val="7"/>
                <w:color w:val="auto"/>
              </w:rPr>
            </w:pPr>
          </w:p>
        </w:tc>
        <w:tc>
          <w:tcPr>
            <w:tcW w:w="460" w:type="dxa"/>
            <w:vAlign w:val="bottom"/>
            <w:tcBorders>
              <w:top w:val="single" w:sz="8" w:color="auto"/>
            </w:tcBorders>
            <w:vMerge w:val="continue"/>
          </w:tcPr>
          <w:p>
            <w:pPr>
              <w:spacing w:after="0"/>
              <w:rPr>
                <w:sz w:val="7"/>
                <w:szCs w:val="7"/>
                <w:color w:val="auto"/>
              </w:rPr>
            </w:pPr>
          </w:p>
        </w:tc>
        <w:tc>
          <w:tcPr>
            <w:tcW w:w="4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38092" TargetMode="External"/><Relationship Id="rId14" Type="http://schemas.openxmlformats.org/officeDocument/2006/relationships/hyperlink" Target="http://www.sec.gov/cgi-bin/browse-edgar?action=getcompany&amp;CIK=000186179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2025-06-09T16:43:26Z</dcterms:created>
  <dcterms:modified xsi:type="dcterms:W3CDTF">2025-06-09T16:43:26Z</dcterms:modified>
</cp:coreProperties>
</file>