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Booth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492 Old Connecticut Path, Suite 401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Framingham, MA 01701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Definitive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001-40815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Richard Booth: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Measures, page 48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reconcile from gross profit to the non-GAAP Adjusted Gross Profit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measure, although also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Adjusted Gross Margin, representing Adjusted Gross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Profit as a percentage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revenue, without a comparable GAAP measure.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 and analysis to present with equal or greater prominence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3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ind w:left="100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 corresponding gross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margin percentage based on your GAAP measure of gross profit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10(e)(1)(i) of Regulation S-K.</w:t>
            </w:r>
          </w:p>
        </w:tc>
        <w:tc>
          <w:tcPr>
            <w:tcW w:w="32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comply with Item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Results of Operations, page 53</w:t>
            </w: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4900" w:type="dxa"/>
            <w:vAlign w:val="bottom"/>
          </w:tcPr>
          <w:p>
            <w:pPr>
              <w:jc w:val="right"/>
              <w:ind w:right="4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22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both"/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identify multiple factors associated with changes in revenue and cost of revenue for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without quantifying the changes attributable to each factor.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Booth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24, 2023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example, in discussing revenue you state that the increase was "...primarily due to net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expansion with existing customers, as well as organic additions of new customers, and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 of new customers resulting from the acquisition of Analytical Wizards;" and in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0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discussing cost of revenue you state that the increase was "...primarily due to increased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and hosting fees, increases in employee benefit and insurance costs and, to a lesser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extent, incremental personnel costs resulting from the acquisition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Analytical Wizards,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partially offset by lower amortization of acquired technology costs."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believe that you should address changes in your results of operations in both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qualitative and quantitative terms to comply with Item 303(b) of Regulation S-K; this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ordinarily require quantification of each material factor, including offsetting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factors, that are reflected in the line items being discussed.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guidance in subparagraphs (b)(2)(i) and (iii) further clarify that this should include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effects of unusual or infrequent events or transactions and significant economic changes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materially affected income from continuing operations; and the extent to which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changes in revenues are attributable to changes in prices, changes in the volumes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goods or services sold, and to the introduction of new products or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979" w:firstLine="948"/>
        <w:spacing w:after="0" w:line="25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submit the revisions that you propose to address the aforementioned guidance.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2559" w:firstLine="737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Jenifer Gallagher, Staff Accountant at (202) 551-3706 or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Cannarella, Staff Accountant at (202) 551-3337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LastNameRichard Booth</w:t>
            </w:r>
          </w:p>
        </w:tc>
        <w:tc>
          <w:tcPr>
            <w:tcW w:w="2420" w:type="dxa"/>
            <w:vAlign w:val="bottom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NameDefinitive Healthcare Corp.</w:t>
            </w: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24, 2023 Page 2</w:t>
            </w:r>
          </w:p>
        </w:tc>
        <w:tc>
          <w:tcPr>
            <w:tcW w:w="2420" w:type="dxa"/>
            <w:vAlign w:val="bottom"/>
          </w:tcPr>
          <w:p>
            <w:pPr>
              <w:ind w:left="1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4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Energy &amp; Transportation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2023-06-16T23:12:29Z</dcterms:created>
  <dcterms:modified xsi:type="dcterms:W3CDTF">2023-06-16T23:12:29Z</dcterms:modified>
</cp:coreProperties>
</file>