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September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2324"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5560" w:type="dxa"/>
            <w:vAlign w:val="bottom"/>
          </w:tcPr>
          <w:p>
            <w:pPr>
              <w:jc w:val="center"/>
              <w:ind w:right="1138"/>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34"/>
        </w:trPr>
        <w:tc>
          <w:tcPr>
            <w:tcW w:w="102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60" w:type="dxa"/>
            <w:vAlign w:val="bottom"/>
          </w:tcPr>
          <w:p>
            <w:pPr>
              <w:jc w:val="center"/>
              <w:ind w:left="4358"/>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0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of</w:t>
            </w:r>
          </w:p>
        </w:tc>
        <w:tc>
          <w:tcPr>
            <w:tcW w:w="5560" w:type="dxa"/>
            <w:vAlign w:val="bottom"/>
          </w:tcPr>
          <w:p>
            <w:pPr>
              <w:jc w:val="center"/>
              <w:ind w:left="43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02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560" w:type="dxa"/>
            <w:vAlign w:val="bottom"/>
          </w:tcPr>
          <w:p>
            <w:pPr>
              <w:jc w:val="center"/>
              <w:ind w:left="435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rPr>
              <w:t>550 Cochituate Rd</w:t>
            </w:r>
          </w:p>
        </w:tc>
      </w:tr>
      <w:tr>
        <w:trPr>
          <w:trHeight w:val="214"/>
        </w:trPr>
        <w:tc>
          <w:tcPr>
            <w:tcW w:w="1020" w:type="dxa"/>
            <w:vAlign w:val="bottom"/>
          </w:tcPr>
          <w:p>
            <w:pPr>
              <w:spacing w:after="0"/>
              <w:rPr>
                <w:sz w:val="18"/>
                <w:szCs w:val="18"/>
                <w:color w:val="auto"/>
              </w:rPr>
            </w:pPr>
          </w:p>
        </w:tc>
        <w:tc>
          <w:tcPr>
            <w:tcW w:w="5560" w:type="dxa"/>
            <w:vAlign w:val="bottom"/>
          </w:tcPr>
          <w:p>
            <w:pPr>
              <w:jc w:val="center"/>
              <w:ind w:right="1138"/>
              <w:spacing w:after="0"/>
              <w:rPr>
                <w:sz w:val="20"/>
                <w:szCs w:val="20"/>
                <w:color w:val="auto"/>
              </w:rPr>
            </w:pPr>
            <w:r>
              <w:rPr>
                <w:rFonts w:ascii="Times New Roman" w:cs="Times New Roman" w:eastAsia="Times New Roman" w:hAnsi="Times New Roman"/>
                <w:sz w:val="18"/>
                <w:szCs w:val="18"/>
                <w:b w:val="1"/>
                <w:bCs w:val="1"/>
                <w:color w:val="auto"/>
              </w:rPr>
              <w:t>Framingham, MA 01701</w:t>
            </w:r>
          </w:p>
        </w:tc>
      </w:tr>
      <w:tr>
        <w:trPr>
          <w:trHeight w:val="190"/>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390"/>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r>
      <w:tr>
        <w:trPr>
          <w:trHeight w:val="190"/>
        </w:trPr>
        <w:tc>
          <w:tcPr>
            <w:tcW w:w="1020" w:type="dxa"/>
            <w:vAlign w:val="bottom"/>
          </w:tcPr>
          <w:p>
            <w:pPr>
              <w:spacing w:after="0"/>
              <w:rPr>
                <w:sz w:val="16"/>
                <w:szCs w:val="16"/>
                <w:color w:val="auto"/>
              </w:rPr>
            </w:pPr>
          </w:p>
        </w:tc>
        <w:tc>
          <w:tcPr>
            <w:tcW w:w="5560" w:type="dxa"/>
            <w:vAlign w:val="bottom"/>
          </w:tcPr>
          <w:p>
            <w:pPr>
              <w:jc w:val="center"/>
              <w:ind w:right="11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r>
        <w:trPr>
          <w:trHeight w:val="390"/>
        </w:trPr>
        <w:tc>
          <w:tcPr>
            <w:tcW w:w="1020" w:type="dxa"/>
            <w:vAlign w:val="bottom"/>
          </w:tcPr>
          <w:p>
            <w:pPr>
              <w:spacing w:after="0"/>
              <w:rPr>
                <w:sz w:val="24"/>
                <w:szCs w:val="24"/>
                <w:color w:val="auto"/>
              </w:rPr>
            </w:pPr>
          </w:p>
        </w:tc>
        <w:tc>
          <w:tcPr>
            <w:tcW w:w="5560" w:type="dxa"/>
            <w:vAlign w:val="bottom"/>
          </w:tcPr>
          <w:p>
            <w:pPr>
              <w:jc w:val="center"/>
              <w:ind w:right="1158"/>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1020" w:type="dxa"/>
            <w:vAlign w:val="bottom"/>
          </w:tcPr>
          <w:p>
            <w:pPr>
              <w:spacing w:after="0"/>
              <w:rPr>
                <w:sz w:val="16"/>
                <w:szCs w:val="16"/>
                <w:color w:val="auto"/>
              </w:rPr>
            </w:pPr>
          </w:p>
        </w:tc>
        <w:tc>
          <w:tcPr>
            <w:tcW w:w="5560" w:type="dxa"/>
            <w:vAlign w:val="bottom"/>
          </w:tcPr>
          <w:p>
            <w:pPr>
              <w:jc w:val="center"/>
              <w:ind w:right="11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DH</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29, 2022, D. Randall Winn resigned from the Board of Directors (the “Board”) of Definitive Healthcare Corp. (the “Company”), which resignation became effective upon the appointment of Sastry Chilukuri as a member of the Board and of the audit committee of the Board (the “Audit Committee”) on September 30, 2022 (the “Effective Date”). Mr. Chilukuri will serve as a Class II director until the Company’s 2023 Annual Meeting of Stockholders and until such time as his successor is duly elected and qualified, or until his earlier death, resignation or removal.</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Mr. Chilukuri will be compensated in accordance with the Company’s non-employee director compensation policy. Pursuant to such policy, the Board approved (i) payment to Mr. Chilukuri of an annual retainer for board service of $50,000 (pro-rated to the Effective Date), (ii) an initial grant (the “Initial RSU Award”) of restricted stock units (“RSUs”) with respect to 19,306 shares of the Company’s Class A common stock, par value $0.001 per share (“Class A Common Stock”) pursuant to the Company’s 2021 Equity Incentive Plan (the “Plan”) and (iii) a pro-rated annual grant (the “Pro-Rated Annual RSU Award”) of RSUs with respect to 7,282 shares of Class A Common Stock (which number of RSUs reflects pro-ration for the period from the Effective Date through May 24, 2023) pursuant to the Plan. The Initial RSU Award vests over a three-year period, where one third of the RSUs vests on each anniversary of the Effective Date, subject to Mr. Chilukuri’s continued Service (as defined in the Plan) through the applicable vesting date. The Pro-Rated Annual RSU Award vests upon the earlier of May 24, 2023 or the Company’s next annual meeting of stockholders, subject to Mr. Chilukuri’s continued Service through such vesting date. Each of the Initial RSU Award and the Pro-Rated Annual RSU Award is subject to the terms and conditions of the Plan and the applicable form of award agreement, which form is filed as Exhibit 10.1 hereto and incorporated by reference herein.</w:t>
      </w:r>
    </w:p>
    <w:p>
      <w:pPr>
        <w:spacing w:after="0" w:line="19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Mr. Chilukuri will enter into the Company’s standard form of indemnification agreement in the form previously approved by the Board, which form is filed as Exhibit 10.6 to the Company’s Registration Statement on Form S-1 (File No. 333-258990) filed with the Securities and Exchange Commission on August 20,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On October 3, 2022, the Company issued a press release announcing the resignation of Mr. Winn and appointment of Mr. Chilukuri as a member of the Board and of the Audit Committee. A copy of the press release is furnished as Exhibit 99.1 hereto and is incorporated by reference herein.</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on this Current Report on Form 8-K, including Exhibit 99.1, shall not be deemed “filed” for purposes of Section 18 of the Exchange Act, or otherwise subject to the liabilities of that section, nor shall it be deemed incorporated by reference into any filing under the Securities Act, or the Exchange Act, regardless of any general incorporation language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Director Restricted Stock Unit Award Agreement under 2021 Equity Incentive Plan.</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3, 2022 (furnished herewith pursuant to Item 7.01).</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0"/>
          </w:cols>
          <w:pgMar w:left="440" w:top="293" w:right="47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David Samuels</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2022</w:t>
      </w:r>
    </w:p>
    <w:p>
      <w:pPr>
        <w:sectPr>
          <w:pgSz w:w="11900" w:h="16838" w:orient="portrait"/>
          <w:cols w:equalWidth="0" w:num="1">
            <w:col w:w="10780"/>
          </w:cols>
          <w:pgMar w:left="440" w:top="293" w:right="6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4444"/>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p>
      <w:pPr>
        <w:spacing w:after="0" w:line="31" w:lineRule="exact"/>
        <w:rPr>
          <w:sz w:val="20"/>
          <w:szCs w:val="20"/>
          <w:color w:val="auto"/>
        </w:rPr>
      </w:pPr>
    </w:p>
    <w:p>
      <w:pPr>
        <w:ind w:left="4464"/>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56"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Vesting Start Date:</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4" w:right="600" w:firstLine="991"/>
        <w:spacing w:after="0" w:line="282"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u w:val="single" w:color="auto"/>
          <w:color w:val="auto"/>
        </w:rPr>
        <w:t>Agreement”) is made by and between Definitive Healthcare Corp., a Delaware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 (the “Company”), and Participant, effective as of Date of Grant.</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left="4" w:right="2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adopted the Definitive Healthcare Corp.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is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by reference and made a part of this Agreement. Capitalized terms not otherwise defined in this Agreement shall have the meanings ascribed to those terms in the Plan; and</w:t>
      </w:r>
    </w:p>
    <w:p>
      <w:pPr>
        <w:spacing w:after="0" w:line="171" w:lineRule="exact"/>
        <w:rPr>
          <w:sz w:val="20"/>
          <w:szCs w:val="20"/>
          <w:color w:val="auto"/>
        </w:rPr>
      </w:pPr>
    </w:p>
    <w:p>
      <w:pPr>
        <w:jc w:val="both"/>
        <w:ind w:left="4" w:right="3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has authorized and approved the grant of an Award to the Participant that will provide the Participant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to receive shares of Common Stock upon the settlement of restricted stock units on the terms and conditions set forth in the Plan and this Agreement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covenants set forth in this Agreement, the parties agree as follows:</w:t>
      </w:r>
    </w:p>
    <w:p>
      <w:pPr>
        <w:spacing w:after="0" w:line="12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1.</w:t>
            </w: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of Award. The Company hereby grants to the Participant, effective as of the Date of Grant, [</w:t>
            </w:r>
          </w:p>
        </w:tc>
        <w:tc>
          <w:tcPr>
            <w:tcW w:w="272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 Restricted Stock Units, on the</w:t>
            </w:r>
          </w:p>
        </w:tc>
      </w:tr>
      <w:tr>
        <w:trPr>
          <w:trHeight w:val="20"/>
        </w:trPr>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terms and conditions set forth in the Plan and this Agreement.</w:t>
            </w:r>
          </w:p>
        </w:tc>
        <w:tc>
          <w:tcPr>
            <w:tcW w:w="2720" w:type="dxa"/>
            <w:vAlign w:val="bottom"/>
          </w:tcPr>
          <w:p>
            <w:pPr>
              <w:spacing w:after="0"/>
              <w:rPr>
                <w:sz w:val="20"/>
                <w:szCs w:val="20"/>
                <w:color w:val="auto"/>
              </w:rPr>
            </w:pPr>
          </w:p>
        </w:tc>
      </w:tr>
    </w:tbl>
    <w:p>
      <w:pPr>
        <w:spacing w:after="0" w:line="103" w:lineRule="exact"/>
        <w:rPr>
          <w:sz w:val="20"/>
          <w:szCs w:val="20"/>
          <w:color w:val="auto"/>
        </w:rPr>
      </w:pPr>
    </w:p>
    <w:p>
      <w:pPr>
        <w:ind w:left="424" w:right="56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 Subject to the terms and conditions set forth in the Plan and this Agreement, the Restricted Stock Units shall vest as follows:</w:t>
      </w:r>
    </w:p>
    <w:p>
      <w:pPr>
        <w:spacing w:after="0" w:line="67" w:lineRule="exact"/>
        <w:rPr>
          <w:sz w:val="20"/>
          <w:szCs w:val="20"/>
          <w:color w:val="auto"/>
        </w:rPr>
      </w:pPr>
    </w:p>
    <w:p>
      <w:pPr>
        <w:ind w:left="424"/>
        <w:spacing w:after="0"/>
        <w:tabs>
          <w:tab w:leader="none" w:pos="944" w:val="left"/>
          <w:tab w:leader="none" w:pos="5684"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of the Restricted Stock Units shall vest [</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4" w:right="180" w:hanging="532"/>
        <w:spacing w:after="0" w:line="261"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Breach</w:t>
      </w:r>
      <w:r>
        <w:rPr>
          <w:rFonts w:ascii="Times New Roman" w:cs="Times New Roman" w:eastAsia="Times New Roman" w:hAnsi="Times New Roman"/>
          <w:sz w:val="18"/>
          <w:szCs w:val="18"/>
          <w:color w:val="auto"/>
        </w:rPr>
        <w:t>. Except as set forth in Section 11.3 of the Plan, upon termination of a Participant’s Service for any reason or no reason, any then unvested Restricted Stock Units will be forfeited immediately, automatically and without consideration. If the Participant breaches Section 4, Section 5, or any other restrictive covenant with the Company or its Affiliate, any vested or unvested Restricted Stock Units will be forfeited immediately, automatically and without consideration.</w:t>
      </w:r>
    </w:p>
    <w:p>
      <w:pPr>
        <w:sectPr>
          <w:pgSz w:w="11900" w:h="16838" w:orient="portrait"/>
          <w:cols w:equalWidth="0" w:num="1">
            <w:col w:w="11024"/>
          </w:cols>
          <w:pgMar w:left="436" w:top="117" w:right="439" w:bottom="1440" w:gutter="0" w:footer="0" w:header="0"/>
        </w:sectPr>
      </w:pPr>
    </w:p>
    <w:bookmarkStart w:id="4" w:name="page5"/>
    <w:bookmarkEnd w:id="4"/>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w:t>
      </w:r>
    </w:p>
    <w:p>
      <w:pPr>
        <w:spacing w:after="0" w:line="130" w:lineRule="exact"/>
        <w:rPr>
          <w:rFonts w:ascii="Times New Roman" w:cs="Times New Roman" w:eastAsia="Times New Roman" w:hAnsi="Times New Roman"/>
          <w:sz w:val="18"/>
          <w:szCs w:val="18"/>
          <w:color w:val="auto"/>
        </w:rPr>
      </w:pPr>
    </w:p>
    <w:p>
      <w:pPr>
        <w:ind w:left="964" w:right="140" w:hanging="532"/>
        <w:spacing w:after="0" w:line="25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xml:space="preserve">. The Company shall deliver to the Participant within thirty (30) days following each Vesting Date or vesting date under Section 11.3 of the Plan, a number of shares of Common Stock equal to the number of Restricted Stock Units that vested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on such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92" w:lineRule="exact"/>
        <w:rPr>
          <w:rFonts w:ascii="Times New Roman" w:cs="Times New Roman" w:eastAsia="Times New Roman" w:hAnsi="Times New Roman"/>
          <w:sz w:val="18"/>
          <w:szCs w:val="18"/>
          <w:color w:val="auto"/>
        </w:rPr>
      </w:pPr>
    </w:p>
    <w:p>
      <w:pPr>
        <w:ind w:left="964" w:right="40" w:hanging="532"/>
        <w:spacing w:after="0" w:line="254"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shall have the right to deduct or withhold from any shares of Common Stock deliverable under this Agreement, or in its discretion to require the Participant to remit to the Company, amounts necessary to satisfy all federal, state and local taxes or to employ any other methods permitted by the Plan to satisfy all federal, state and local taxes required to be withheld in connection with the settlement of the Restricted Stock Units. In addition, to the extent permitted by the Committee in its sole discretion,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Notwithstanding the foregoing, the Participant shall be responsible for payment of, and shall hold the Company harmless for, her taxes.</w:t>
      </w:r>
    </w:p>
    <w:p>
      <w:pPr>
        <w:spacing w:after="0" w:line="34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and Non-Use of the Company’s Trade Secrets or Confidential Information</w:t>
      </w:r>
    </w:p>
    <w:p>
      <w:pPr>
        <w:spacing w:after="0" w:line="130" w:lineRule="exact"/>
        <w:rPr>
          <w:rFonts w:ascii="Times New Roman" w:cs="Times New Roman" w:eastAsia="Times New Roman" w:hAnsi="Times New Roman"/>
          <w:sz w:val="18"/>
          <w:szCs w:val="18"/>
          <w:color w:val="auto"/>
        </w:rPr>
      </w:pPr>
    </w:p>
    <w:p>
      <w:pPr>
        <w:ind w:left="964" w:hanging="532"/>
        <w:spacing w:after="0" w:line="254"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during and following Participant’s Service, Participant agrees that he or she will not, either directly or indirectly, and Participant will not permit any 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 associated, except (i) as required in connection with the performance of such</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5" w:name="page6"/>
    <w:bookmarkEnd w:id="5"/>
    <w:p>
      <w:pPr>
        <w:ind w:left="5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duties to the Company, (ii) as required to be included in any report, statement or testimony requested by any municipal, state or national regulatory body having jurisdiction over Participant or any Covered Entity which is Controlled by Participant, (iii) as required in response to any summons or subpoena or in connection with any litigation, (iv) to the extent necessary in order to comply with any law, order, regulation, ruling or governmental request applicable to Participant or any Covered Entity which is Controlled by Participant, (v) as required in connection with an audit by any taxing authority, or (vi)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post-Service use of Confidential Information for the restriction to be enforceable, then this restriction on Participant’s use of Confidential Information that is not a Trade Secret will expire two (2) years after Participant’s Service or other association with the Company ends. This time limit will not apply to Confidential Information that qualifies as a Trade Secret. The Company’s trade secrets will remain protected for as long as they qualify as trade secrets under applicable law.</w:t>
      </w:r>
    </w:p>
    <w:p>
      <w:pPr>
        <w:spacing w:after="0" w:line="96" w:lineRule="exact"/>
        <w:rPr>
          <w:sz w:val="20"/>
          <w:szCs w:val="20"/>
          <w:color w:val="auto"/>
        </w:rPr>
      </w:pPr>
    </w:p>
    <w:p>
      <w:pPr>
        <w:ind w:left="540" w:right="40" w:hanging="532"/>
        <w:spacing w:after="0" w:line="254"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Participant’s confidentiality obligations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60" w:top="270" w:right="499" w:bottom="1440" w:gutter="0" w:footer="0" w:header="0"/>
        </w:sectPr>
      </w:pPr>
    </w:p>
    <w:bookmarkStart w:id="6" w:name="page7"/>
    <w:bookmarkEnd w:id="6"/>
    <w:p>
      <w:pPr>
        <w:ind w:left="964" w:hanging="532"/>
        <w:spacing w:after="0" w:line="254"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Times New Roman" w:cs="Times New Roman" w:eastAsia="Times New Roman" w:hAnsi="Times New Roman"/>
          <w:sz w:val="18"/>
          <w:szCs w:val="18"/>
          <w:u w:val="single" w:color="auto"/>
          <w:color w:val="auto"/>
        </w:rPr>
        <w:t>Government Agency</w:t>
      </w:r>
      <w:r>
        <w:rPr>
          <w:rFonts w:ascii="Times New Roman" w:cs="Times New Roman" w:eastAsia="Times New Roman" w:hAnsi="Times New Roman"/>
          <w:sz w:val="18"/>
          <w:szCs w:val="18"/>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97" w:lineRule="exact"/>
        <w:rPr>
          <w:rFonts w:ascii="Times New Roman" w:cs="Times New Roman" w:eastAsia="Times New Roman" w:hAnsi="Times New Roman"/>
          <w:sz w:val="18"/>
          <w:szCs w:val="18"/>
          <w:color w:val="auto"/>
        </w:rPr>
      </w:pPr>
    </w:p>
    <w:p>
      <w:pPr>
        <w:ind w:left="424" w:right="26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the term of Participant’s Service and for 12 months following the termination of Participant’s Service (the “Restricted Period”):</w:t>
      </w:r>
    </w:p>
    <w:p>
      <w:pPr>
        <w:spacing w:after="0" w:line="67" w:lineRule="exact"/>
        <w:rPr>
          <w:rFonts w:ascii="Times New Roman" w:cs="Times New Roman" w:eastAsia="Times New Roman" w:hAnsi="Times New Roman"/>
          <w:sz w:val="18"/>
          <w:szCs w:val="18"/>
          <w:color w:val="auto"/>
        </w:rPr>
      </w:pPr>
    </w:p>
    <w:p>
      <w:pPr>
        <w:ind w:left="964" w:right="120" w:hanging="532"/>
        <w:spacing w:after="0" w:line="258"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88" w:lineRule="exact"/>
        <w:rPr>
          <w:rFonts w:ascii="Times New Roman" w:cs="Times New Roman" w:eastAsia="Times New Roman" w:hAnsi="Times New Roman"/>
          <w:sz w:val="18"/>
          <w:szCs w:val="18"/>
          <w:color w:val="auto"/>
        </w:rPr>
      </w:pPr>
    </w:p>
    <w:p>
      <w:pPr>
        <w:ind w:left="964" w:right="160" w:hanging="532"/>
        <w:spacing w:after="0" w:line="281" w:lineRule="auto"/>
        <w:tabs>
          <w:tab w:leader="none" w:pos="964"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69" w:lineRule="exact"/>
        <w:rPr>
          <w:rFonts w:ascii="Times New Roman" w:cs="Times New Roman" w:eastAsia="Times New Roman" w:hAnsi="Times New Roman"/>
          <w:sz w:val="17"/>
          <w:szCs w:val="17"/>
          <w:color w:val="auto"/>
        </w:rPr>
      </w:pPr>
    </w:p>
    <w:p>
      <w:pPr>
        <w:jc w:val="both"/>
        <w:ind w:left="424" w:right="4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Remedies</w:t>
      </w:r>
      <w:r>
        <w:rPr>
          <w:rFonts w:ascii="Times New Roman" w:cs="Times New Roman" w:eastAsia="Times New Roman" w:hAnsi="Times New Roman"/>
          <w:sz w:val="18"/>
          <w:szCs w:val="18"/>
          <w:color w:val="auto"/>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7" w:name="page8"/>
    <w:bookmarkEnd w:id="7"/>
    <w:p>
      <w:pPr>
        <w:ind w:left="42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Service,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Service ended, and if this extension would make the restriction unenforceable under applicable law it will not be applied (“Fairness Extension”).</w:t>
      </w:r>
    </w:p>
    <w:p>
      <w:pPr>
        <w:spacing w:after="0" w:line="343"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4" w:right="60" w:hanging="532"/>
        <w:spacing w:after="0" w:line="253"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 new products and services, including analytical data and techniques, and product, 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 is or becomes known to Participant other than through Participant’s work for the Company, or (z) is or becomes generally available to the public.</w:t>
      </w:r>
    </w:p>
    <w:p>
      <w:pPr>
        <w:spacing w:after="0" w:line="95" w:lineRule="exact"/>
        <w:rPr>
          <w:rFonts w:ascii="Times New Roman" w:cs="Times New Roman" w:eastAsia="Times New Roman" w:hAnsi="Times New Roman"/>
          <w:sz w:val="18"/>
          <w:szCs w:val="18"/>
          <w:color w:val="auto"/>
        </w:rPr>
      </w:pPr>
    </w:p>
    <w:p>
      <w:pPr>
        <w:ind w:left="964" w:hanging="532"/>
        <w:spacing w:after="0" w:line="261"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spacing w:after="0" w:line="85" w:lineRule="exact"/>
        <w:rPr>
          <w:rFonts w:ascii="Times New Roman" w:cs="Times New Roman" w:eastAsia="Times New Roman" w:hAnsi="Times New Roman"/>
          <w:sz w:val="18"/>
          <w:szCs w:val="18"/>
          <w:color w:val="auto"/>
        </w:rPr>
      </w:pPr>
    </w:p>
    <w:p>
      <w:pPr>
        <w:ind w:left="964" w:right="280" w:hanging="532"/>
        <w:spacing w:after="0" w:line="266" w:lineRule="auto"/>
        <w:tabs>
          <w:tab w:leader="none" w:pos="9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8" w:name="page9"/>
    <w:bookmarkEnd w:id="8"/>
    <w:p>
      <w:pPr>
        <w:ind w:left="984"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spacing w:after="0" w:line="93" w:lineRule="exact"/>
        <w:rPr>
          <w:sz w:val="20"/>
          <w:szCs w:val="20"/>
          <w:color w:val="auto"/>
        </w:rPr>
      </w:pPr>
    </w:p>
    <w:p>
      <w:pPr>
        <w:ind w:left="964" w:right="60" w:hanging="532"/>
        <w:spacing w:after="0" w:line="254"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spacing w:after="0" w:line="34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p>
    <w:p>
      <w:pPr>
        <w:spacing w:after="0" w:line="130"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a Shareholder; Dividend Equivalents</w:t>
      </w:r>
      <w:r>
        <w:rPr>
          <w:rFonts w:ascii="Times New Roman" w:cs="Times New Roman" w:eastAsia="Times New Roman" w:hAnsi="Times New Roman"/>
          <w:sz w:val="18"/>
          <w:szCs w:val="18"/>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the time of settlement of the Restricted Stock Units.</w:t>
      </w:r>
    </w:p>
    <w:p>
      <w:pPr>
        <w:spacing w:after="0" w:line="88" w:lineRule="exact"/>
        <w:rPr>
          <w:rFonts w:ascii="Times New Roman" w:cs="Times New Roman" w:eastAsia="Times New Roman" w:hAnsi="Times New Roman"/>
          <w:sz w:val="18"/>
          <w:szCs w:val="18"/>
          <w:color w:val="auto"/>
        </w:rPr>
      </w:pPr>
    </w:p>
    <w:p>
      <w:pPr>
        <w:ind w:left="964" w:hanging="532"/>
        <w:spacing w:after="0" w:line="258"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9" w:name="page10"/>
    <w:bookmarkEnd w:id="9"/>
    <w:p>
      <w:pPr>
        <w:ind w:left="540" w:right="100" w:hanging="532"/>
        <w:spacing w:after="0" w:line="258"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Clawback Policy</w:t>
      </w:r>
      <w:r>
        <w:rPr>
          <w:rFonts w:ascii="Times New Roman" w:cs="Times New Roman" w:eastAsia="Times New Roman" w:hAnsi="Times New Roman"/>
          <w:sz w:val="18"/>
          <w:szCs w:val="18"/>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88"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change with respect to the outstanding shares of Common Stock contemplated by Section 4.5 of the Plan, the Restricted Stock Units may be adjusted in accordance with Section 4.5 of the Plan.</w:t>
      </w:r>
    </w:p>
    <w:p>
      <w:pPr>
        <w:spacing w:after="0" w:line="67"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85"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85" w:lineRule="exact"/>
        <w:rPr>
          <w:rFonts w:ascii="Times New Roman" w:cs="Times New Roman" w:eastAsia="Times New Roman" w:hAnsi="Times New Roman"/>
          <w:sz w:val="18"/>
          <w:szCs w:val="18"/>
          <w:color w:val="auto"/>
        </w:rPr>
      </w:pPr>
    </w:p>
    <w:p>
      <w:pPr>
        <w:ind w:left="540" w:right="200" w:hanging="532"/>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67" w:lineRule="exact"/>
        <w:rPr>
          <w:rFonts w:ascii="Times New Roman" w:cs="Times New Roman" w:eastAsia="Times New Roman" w:hAnsi="Times New Roman"/>
          <w:sz w:val="18"/>
          <w:szCs w:val="18"/>
          <w:color w:val="auto"/>
        </w:rPr>
      </w:pPr>
    </w:p>
    <w:p>
      <w:pPr>
        <w:ind w:left="540" w:right="140" w:hanging="532"/>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otherwise provided in the Plan, this Agreement will not be amended unless the amendment is agreed to in writing by both the Participant and the Company.</w:t>
      </w:r>
    </w:p>
    <w:p>
      <w:pPr>
        <w:spacing w:after="0" w:line="67"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Jurisdiction</w:t>
      </w:r>
      <w:r>
        <w:rPr>
          <w:rFonts w:ascii="Times New Roman" w:cs="Times New Roman" w:eastAsia="Times New Roman" w:hAnsi="Times New Roman"/>
          <w:sz w:val="18"/>
          <w:szCs w:val="18"/>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85" w:lineRule="exact"/>
        <w:rPr>
          <w:rFonts w:ascii="Times New Roman" w:cs="Times New Roman" w:eastAsia="Times New Roman" w:hAnsi="Times New Roman"/>
          <w:sz w:val="18"/>
          <w:szCs w:val="18"/>
          <w:color w:val="auto"/>
        </w:rPr>
      </w:pPr>
    </w:p>
    <w:p>
      <w:pPr>
        <w:ind w:left="540" w:right="340" w:hanging="532"/>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Restrictive Covenants</w:t>
      </w:r>
      <w:r>
        <w:rPr>
          <w:rFonts w:ascii="Times New Roman" w:cs="Times New Roman" w:eastAsia="Times New Roman" w:hAnsi="Times New Roman"/>
          <w:sz w:val="18"/>
          <w:szCs w:val="18"/>
          <w:color w:val="auto"/>
        </w:rPr>
        <w:t>. Notwithstanding any other language in this Agreement, this Agreement does not supersede, and shall not preclude the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0"/>
          </w:cols>
          <w:pgMar w:left="860" w:top="270" w:right="459" w:bottom="1440" w:gutter="0" w:footer="0" w:header="0"/>
        </w:sectPr>
      </w:pPr>
    </w:p>
    <w:bookmarkStart w:id="10" w:name="page11"/>
    <w:bookmarkEnd w:id="10"/>
    <w:p>
      <w:pPr>
        <w:ind w:left="5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enforceability of (in addition to enforcement of this Agreement), any restrictive covenant provision contained in any prior or subsequent agreement entered into by the Participant, nor shall any subsequent agreement entered into by the Participant be construed or interpreted as amending, superseding, overriding, or otherwise precluding the enforceability of the restrictive covenants contained herein (including in Sections 4 and 5) unless such subsequent agreement specifically references the applicable covenant in this Agreement and expressly states that such covenant shall be superseded.</w:t>
      </w:r>
    </w:p>
    <w:p>
      <w:pPr>
        <w:spacing w:after="0" w:line="89" w:lineRule="exact"/>
        <w:rPr>
          <w:sz w:val="20"/>
          <w:szCs w:val="20"/>
          <w:color w:val="auto"/>
        </w:rPr>
      </w:pPr>
    </w:p>
    <w:p>
      <w:pPr>
        <w:ind w:left="540" w:right="240" w:hanging="532"/>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Agreement may be signed in counterparts, manually or electronically, each of which will be an original, with the same effect as if the signatures to each were upon the same instrument.</w:t>
      </w:r>
    </w:p>
    <w:p>
      <w:pPr>
        <w:spacing w:after="0" w:line="67" w:lineRule="exact"/>
        <w:rPr>
          <w:rFonts w:ascii="Times New Roman" w:cs="Times New Roman" w:eastAsia="Times New Roman" w:hAnsi="Times New Roman"/>
          <w:sz w:val="18"/>
          <w:szCs w:val="18"/>
          <w:color w:val="auto"/>
        </w:rPr>
      </w:pPr>
    </w:p>
    <w:p>
      <w:pPr>
        <w:ind w:left="540" w:right="240" w:hanging="532"/>
        <w:spacing w:after="0" w:line="261"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85"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60" w:top="270"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and the Participant have executed this Restricted Stock Unit Award Agreement as of the dates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DEFINITIVE HEALTHCARE CORP.</w:t>
            </w:r>
          </w:p>
        </w:tc>
      </w:tr>
      <w:tr>
        <w:trPr>
          <w:trHeight w:val="432"/>
        </w:trPr>
        <w:tc>
          <w:tcPr>
            <w:tcW w:w="5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Date:</w:t>
            </w:r>
          </w:p>
        </w:tc>
      </w:tr>
      <w:tr>
        <w:trPr>
          <w:trHeight w:val="372"/>
        </w:trPr>
        <w:tc>
          <w:tcPr>
            <w:tcW w:w="540" w:type="dxa"/>
            <w:vAlign w:val="bottom"/>
          </w:tcPr>
          <w:p>
            <w:pPr>
              <w:spacing w:after="0"/>
              <w:rPr>
                <w:sz w:val="24"/>
                <w:szCs w:val="24"/>
                <w:color w:val="auto"/>
              </w:rPr>
            </w:pPr>
          </w:p>
        </w:tc>
        <w:tc>
          <w:tcPr>
            <w:tcW w:w="4620" w:type="dxa"/>
            <w:vAlign w:val="bottom"/>
            <w:tcBorders>
              <w:top w:val="single" w:sz="8" w:color="auto"/>
            </w:tcBorders>
          </w:tcPr>
          <w:p>
            <w:pPr>
              <w:spacing w:after="0"/>
              <w:rPr>
                <w:sz w:val="24"/>
                <w:szCs w:val="24"/>
                <w:color w:val="auto"/>
              </w:rPr>
            </w:pPr>
          </w:p>
        </w:tc>
        <w:tc>
          <w:tcPr>
            <w:tcW w:w="12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9</w:t>
            </w:r>
          </w:p>
        </w:tc>
        <w:tc>
          <w:tcPr>
            <w:tcW w:w="4620" w:type="dxa"/>
            <w:vAlign w:val="bottom"/>
            <w:tcBorders>
              <w:top w:val="single" w:sz="8" w:color="auto"/>
            </w:tcBorders>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Definitive Healthcare Announces Changes to Board of Directors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Sastry Chilukuri joins Board of Directors and Randy Winn departs</w:t>
      </w:r>
    </w:p>
    <w:p>
      <w:pPr>
        <w:spacing w:after="0" w:line="22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FRAMINGHAM, MA – October 3, 2022 – </w:t>
      </w:r>
      <w:r>
        <w:rPr>
          <w:rFonts w:ascii="Times New Roman" w:cs="Times New Roman" w:eastAsia="Times New Roman" w:hAnsi="Times New Roman"/>
          <w:sz w:val="18"/>
          <w:szCs w:val="18"/>
          <w:u w:val="single" w:color="auto"/>
          <w:color w:val="auto"/>
        </w:rPr>
        <w:t>Definitive Healthcare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DH</w:t>
      </w:r>
      <w:r>
        <w:rPr>
          <w:rFonts w:ascii="Times New Roman" w:cs="Times New Roman" w:eastAsia="Times New Roman" w:hAnsi="Times New Roman"/>
          <w:sz w:val="18"/>
          <w:szCs w:val="18"/>
          <w:color w:val="auto"/>
        </w:rPr>
        <w:t>), an industry leader in healthcare commercial intelligence,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two changes to its Board of Directors. On September 30, 2022, Sastry Chilukuri, who currently serves as co-chief executive officer of Medidata, a Dassault Systèmes company, joined the Board of Directors and the audit committee of the Board, while Randy Winn, managing director of 22C Capital, stepped down from the Board of Directors.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thrilled to welcome Sastry Chilukuri to the Definitive Healthcare Board of Directors,” said Robert Musslewhite, CEO of Definitive Healthcare. “Sastry brings a wealth of knowledge and experience in the pharmaceutical, biotech, and medical device industries. Sastry will be a valuable resource for our entire leadership team as we continue to expand our presence in the life sciences industry.”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Chilukuri was named co-CEO of Medidata in 2021. Chilukuri is also the Founder &amp; President of Acorn AI, Medidata’s Data Science business. Chilukuri brings more than 22 years of expertise in healthcare technology. Before joining Medidata, Chilukuri was a partner at McKinsey &amp; Company, where he worked for 12 years advising biopharma, medical device, technology, private equity, and public sector clients around the world. Prior to that, he worked for GE Healthcare in software engineering, product development, and operations. His perspectives have been widely disseminated, including conferences, media, and numerous publications on McKinsey Insights.</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Chilukuri holds a Master of Business Administration from the Kellogg School of Management at Northwestern University, a Master of Science from The Ohio State University, and a Bachelor of Technology (B. Tech) from the Indian Institute of Technology (BHU) in Varanasi, India.</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“I’m excited to join the Definitive Healthcare Board of Directors,” said Chilukuri. “The market for healthcare commercial intelligence is large and continuing to grow. Definitive Healthcare’s innovative SaaS platform, combined with their game-changing analytics for the life sciences industries, has them perfectly positioned to be an industry leader in this important market. I look forward to bringing my decades of experience in life sciences to the team.”</w:t>
      </w:r>
    </w:p>
    <w:p>
      <w:pPr>
        <w:sectPr>
          <w:pgSz w:w="11900" w:h="16838" w:orient="portrait"/>
          <w:cols w:equalWidth="0" w:num="1">
            <w:col w:w="11020"/>
          </w:cols>
          <w:pgMar w:left="440" w:top="117"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Winn had served on the Definitive Healthcare Board of Directors since 2019.</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“Randy has been a great partner to me and the Definitive Healthcare leadership team during his three years on the board,” said Jason Krantz, Founder and Executive Chairman of Definitive Healthcare. “Randy has not only been instrumental in helping Definitive Healthcare grow to the more than 3,000 customers that we have today, but also provided insightful guidance throughout our IPO process last year. On behalf of the entire Definitive Healthcare family, I want to thank him for his service.”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Definitive Healthcare</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 Learn more at </w:t>
      </w:r>
      <w:r>
        <w:rPr>
          <w:rFonts w:ascii="Times New Roman" w:cs="Times New Roman" w:eastAsia="Times New Roman" w:hAnsi="Times New Roman"/>
          <w:sz w:val="18"/>
          <w:szCs w:val="18"/>
          <w:u w:val="single" w:color="auto"/>
          <w:color w:val="auto"/>
        </w:rPr>
        <w:t>definitivehc.com.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which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continued growth, and related plans, goals and objectives.</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w:t>
      </w:r>
    </w:p>
    <w:p>
      <w:pPr>
        <w:sectPr>
          <w:pgSz w:w="11900" w:h="16838" w:orient="portrait"/>
          <w:cols w:equalWidth="0" w:num="1">
            <w:col w:w="10960"/>
          </w:cols>
          <w:pgMar w:left="440" w:top="270" w:right="499" w:bottom="1440" w:gutter="0" w:footer="0" w:header="0"/>
        </w:sectPr>
      </w:pPr>
    </w:p>
    <w:bookmarkStart w:id="14" w:name="page15"/>
    <w:bookmarkEnd w:id="14"/>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actual results may differ materially from those contemplated by the forward-looking statements. Important factors that could cause actual results to differ materially from those in the forward-looking statements include the following: an outbreak of disease, global or localized health pandemic or epidemic, or the fear of such an event (such as the COVID-19 global pandemic), including the global economic uncertainty and measures taken in response; the short- and long-term effects of the COVID-19 global pandemic, including the pace of recovery or any future resurgence; the ongoing hostility between Russia and Ukraine and the related geopolitical tension and impact on macroeconomic conditions; the impact of inflation and rising interest rates; our inability to generate substantially all of our revenue and cash flows from sales of subscriptions to our platform and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and the possibility that our security measures are breached or unauthorized access to data is otherwise obtained.</w:t>
      </w:r>
    </w:p>
    <w:p>
      <w:pPr>
        <w:spacing w:after="0" w:line="18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For additional discussion of factors that could impact our operational and financial results, refer to our Annual Report on Form 10-K for the fiscal year ended December 31, 2021, as updated by our Quarterly Reports on Form 10-Q, Current Reports on Form 8-K and other subsequent SEC filings, which are or will be available on the Investor Relations page of our website at ir .definitivehc.com and on the SEC website at www.sec.gov.</w:t>
      </w:r>
    </w:p>
    <w:p>
      <w:pPr>
        <w:sectPr>
          <w:pgSz w:w="11900" w:h="16838" w:orient="portrait"/>
          <w:cols w:equalWidth="0" w:num="1">
            <w:col w:w="10980"/>
          </w:cols>
          <w:pgMar w:left="440" w:top="268" w:right="479" w:bottom="1440" w:gutter="0" w:footer="0" w:header="0"/>
        </w:sectPr>
      </w:pPr>
    </w:p>
    <w:bookmarkStart w:id="15" w:name="page16"/>
    <w:bookmarkEnd w:id="15"/>
    <w:p>
      <w:pPr>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information in this press release speaks only as of the date on which it is made. We undertake no obligation to publicly update this information, whether as a result of new information, future developments or otherwise, except as may be required by law.</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Denyeau</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for Definitive Healthcare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brian.denyeau@icrinc.com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646-277-1251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Danielle Johns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djohns@definitivehc.com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Highwire PR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definitivehealthcare@highwirepr.com</w:t>
      </w:r>
    </w:p>
    <w:p>
      <w:pPr>
        <w:spacing w:after="0" w:line="22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0560"/>
      </w:cols>
      <w:pgMar w:left="440" w:top="268"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lowerLetter"/>
      <w:start w:val="2"/>
    </w:lvl>
  </w:abstractNum>
  <w:abstractNum w:abstractNumId="3">
    <w:nsid w:val="7545E146"/>
    <w:multiLevelType w:val="hybridMultilevel"/>
    <w:lvl w:ilvl="0">
      <w:lvlJc w:val="left"/>
      <w:lvlText w:val="%1."/>
      <w:numFmt w:val="decimal"/>
      <w:start w:val="3"/>
    </w:lvl>
    <w:lvl w:ilvl="1">
      <w:lvlJc w:val="left"/>
      <w:lvlText w:val="(%2)"/>
      <w:numFmt w:val="lowerLetter"/>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decimal"/>
      <w:start w:val="1"/>
    </w:lvl>
    <w:lvl w:ilvl="1">
      <w:lvlJc w:val="left"/>
      <w:lvlText w:val="(%2)"/>
      <w:numFmt w:val="lowerLetter"/>
      <w:start w:val="3"/>
    </w:lvl>
  </w:abstractNum>
  <w:abstractNum w:abstractNumId="6">
    <w:nsid w:val="12200854"/>
    <w:multiLevelType w:val="hybridMultilevel"/>
    <w:lvl w:ilvl="0">
      <w:lvlJc w:val="left"/>
      <w:lvlText w:val="%1."/>
      <w:numFmt w:val="decimal"/>
      <w:start w:val="5"/>
    </w:lvl>
    <w:lvl w:ilvl="1">
      <w:lvlJc w:val="left"/>
      <w:lvlText w:val="(%2)"/>
      <w:numFmt w:val="lowerLetter"/>
      <w:start w:val="1"/>
    </w:lvl>
  </w:abstractNum>
  <w:abstractNum w:abstractNumId="7">
    <w:nsid w:val="4DB127F8"/>
    <w:multiLevelType w:val="hybridMultilevel"/>
    <w:lvl w:ilvl="0">
      <w:lvlJc w:val="left"/>
      <w:lvlText w:val="%1."/>
      <w:numFmt w:val="decimal"/>
      <w:start w:val="7"/>
    </w:lvl>
    <w:lvl w:ilvl="1">
      <w:lvlJc w:val="left"/>
      <w:lvlText w:val="(%2)"/>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4"/>
    </w:lvl>
  </w:abstractNum>
  <w:abstractNum w:abstractNumId="9">
    <w:nsid w:val="1F16E9E8"/>
    <w:multiLevelType w:val="hybridMultilevel"/>
    <w:lvl w:ilvl="0">
      <w:lvlJc w:val="left"/>
      <w:lvlText w:val="%1."/>
      <w:numFmt w:val="decimal"/>
      <w:start w:val="8"/>
    </w:lvl>
    <w:lvl w:ilvl="1">
      <w:lvlJc w:val="left"/>
      <w:lvlText w:val="(%2)"/>
      <w:numFmt w:val="lowerLetter"/>
      <w:start w:val="1"/>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2022-10-03T15:13:40Z</dcterms:created>
  <dcterms:modified xsi:type="dcterms:W3CDTF">2022-10-03T15:13:40Z</dcterms:modified>
</cp:coreProperties>
</file>