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4"/>
        </w:rPr>
      </w:pPr>
      <w:bookmarkStart w:id="0" w:name="dh-20260630.htm"/>
      <w:bookmarkStart w:id="1" w:name="ksdh20260630"/>
      <w:bookmarkEnd w:id="0"/>
      <w:bookmarkEnd w:id="1"/>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June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001-40815</w:t>
      </w:r>
    </w:p>
    <w:p>
      <w:pPr>
        <w:pStyle w:val="TextBody"/>
        <w:bidi w:val="0"/>
        <w:spacing w:before="40" w:after="283"/>
        <w:jc w:val="center"/>
        <w:rPr>
          <w:rFonts w:ascii="Times New Roman" w:hAnsi="Times New Roman"/>
          <w:sz w:val="20"/>
        </w:rPr>
      </w:pPr>
      <w:r>
        <w:rPr>
          <w:rFonts w:ascii="Times New Roman" w:hAnsi="Times New Roman"/>
          <w:b/>
          <w:color w:val="000000"/>
          <w:sz w:val="46"/>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86-3988281</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492 Old Connecticut Path, Suite 401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Framingham,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01701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(508) 720-4224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088" w:type="dxa"/>
        <w:jc w:val="left"/>
        <w:tblInd w:w="0" w:type="dxa"/>
        <w:tblLayout w:type="fixed"/>
        <w:tblCellMar>
          <w:top w:w="28" w:type="dxa"/>
          <w:left w:w="28" w:type="dxa"/>
          <w:bottom w:w="28" w:type="dxa"/>
          <w:right w:w="28" w:type="dxa"/>
        </w:tblCellMar>
      </w:tblPr>
      <w:tblGrid>
        <w:gridCol w:w="3316"/>
        <w:gridCol w:w="145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489" w:type="dxa"/>
        <w:jc w:val="left"/>
        <w:tblInd w:w="0" w:type="dxa"/>
        <w:tblLayout w:type="fixed"/>
        <w:tblCellMar>
          <w:top w:w="28" w:type="dxa"/>
          <w:left w:w="28" w:type="dxa"/>
          <w:bottom w:w="28" w:type="dxa"/>
          <w:right w:w="28" w:type="dxa"/>
        </w:tblCellMar>
      </w:tblPr>
      <w:tblGrid>
        <w:gridCol w:w="1771"/>
        <w:gridCol w:w="31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by Rule 12b-2 of the Exchange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6, 2026, the number of outstanding shares of the registrant’s Class A common stock was 106,744,713</w:t>
      </w:r>
      <w:r>
        <w:rPr>
          <w:rFonts w:ascii="Times New Roman" w:hAnsi="Times New Roman"/>
          <w:color w:val="000000"/>
          <w:sz w:val="20"/>
        </w:rPr>
        <w:t xml:space="preserve"> </w:t>
      </w:r>
      <w:r>
        <w:rPr>
          <w:rFonts w:ascii="Times New Roman" w:hAnsi="Times New Roman"/>
          <w:color w:val="000000"/>
          <w:sz w:val="18"/>
        </w:rPr>
        <w:t>shares.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Definitive Healthcare Corp.</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13" w:type="dxa"/>
        <w:jc w:val="left"/>
        <w:tblInd w:w="0" w:type="dxa"/>
        <w:tblLayout w:type="fixed"/>
        <w:tblCellMar>
          <w:top w:w="28" w:type="dxa"/>
          <w:left w:w="28" w:type="dxa"/>
          <w:bottom w:w="28" w:type="dxa"/>
          <w:right w:w="28" w:type="dxa"/>
        </w:tblCellMar>
      </w:tblPr>
      <w:tblGrid>
        <w:gridCol w:w="1051"/>
        <w:gridCol w:w="7606"/>
        <w:gridCol w:w="556"/>
      </w:tblGrid>
      <w:tr>
        <w:trPr/>
        <w:tc>
          <w:tcPr>
            <w:tcW w:w="105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05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ind w:left="0" w:right="0" w:firstLine="240"/>
              <w:jc w:val="left"/>
              <w:rPr/>
            </w:pPr>
            <w:r>
              <w:rPr/>
              <w:t> </w:t>
            </w:r>
          </w:p>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lossary">
              <w:r>
                <w:rPr>
                  <w:rStyle w:val="InternetLink"/>
                  <w:rFonts w:ascii="Times New Roman" w:hAnsi="Times New Roman"/>
                  <w:color w:val="0000FF"/>
                  <w:sz w:val="20"/>
                  <w:u w:val="single"/>
                </w:rPr>
                <w:t>Glossary</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Condensed Consolidated Balance Sheets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operations">
              <w:r>
                <w:rPr>
                  <w:rStyle w:val="InternetLink"/>
                  <w:rFonts w:ascii="Times New Roman" w:hAnsi="Times New Roman"/>
                  <w:color w:val="0000FF"/>
                  <w:sz w:val="20"/>
                  <w:u w:val="single"/>
                </w:rPr>
                <w:t>Condensed Consolidated Statements of Operations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omprehensive_loss">
              <w:r>
                <w:rPr>
                  <w:rStyle w:val="InternetLink"/>
                  <w:rFonts w:ascii="Times New Roman" w:hAnsi="Times New Roman"/>
                  <w:color w:val="0000FF"/>
                  <w:sz w:val="20"/>
                  <w:u w:val="single"/>
                </w:rPr>
                <w:t>Condensed Consolidated Statements of Comprehensive Loss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hanges_in_members_equity">
              <w:r>
                <w:rPr>
                  <w:rStyle w:val="InternetLink"/>
                  <w:rFonts w:ascii="Times New Roman" w:hAnsi="Times New Roman"/>
                  <w:color w:val="0000FF"/>
                  <w:sz w:val="20"/>
                  <w:u w:val="single"/>
                </w:rPr>
                <w:t>Condensed Consolidated Statements of Changes in Total Equity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
              <w:r>
                <w:rPr>
                  <w:rStyle w:val="InternetLink"/>
                  <w:rFonts w:ascii="Times New Roman" w:hAnsi="Times New Roman"/>
                  <w:color w:val="0000FF"/>
                  <w:sz w:val="20"/>
                  <w:u w:val="single"/>
                </w:rPr>
                <w:t>Notes to the Condensed Consolidated 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11</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and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56</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unregistered_sales_of_equity">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58</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58</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58</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59</w:t>
            </w:r>
          </w:p>
        </w:tc>
      </w:tr>
      <w:tr>
        <w:trPr/>
        <w:tc>
          <w:tcPr>
            <w:tcW w:w="86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60</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(“Quarterly Report”), the terms identified below have the meanings specified below unless otherwise noted or the context indicates otherwise. References in this Quarterly Report to “Definitive Healthcare Corp.” refer to Definitive Healthcare Corp. and not to any of its subsidiaries unless the context indicates otherwise. References in this Quarterly Report to “Definitive Healthcare,” “Definitive,” the “Company,” “we,” “us,” and “our” refer to Definitive Healthcare Corp. and its consolidated subsidiaries unless the context indicates otherwise.</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color w:val="000000"/>
          <w:sz w:val="20"/>
          <w:u w:val="single"/>
        </w:rPr>
        <w:t>Advent</w:t>
      </w:r>
      <w:r>
        <w:rPr>
          <w:color w:val="000000"/>
        </w:rPr>
        <w:t xml:space="preserve">” </w:t>
      </w:r>
      <w:r>
        <w:rPr>
          <w:rFonts w:ascii="Times New Roman" w:hAnsi="Times New Roman"/>
          <w:color w:val="000000"/>
          <w:sz w:val="20"/>
        </w:rPr>
        <w:t>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Buyer</w:t>
      </w:r>
      <w:r>
        <w:rPr>
          <w:color w:val="000000"/>
        </w:rPr>
        <w:t xml:space="preserve">” </w:t>
      </w:r>
      <w:r>
        <w:rPr>
          <w:rFonts w:ascii="Times New Roman" w:hAnsi="Times New Roman"/>
          <w:color w:val="000000"/>
          <w:sz w:val="20"/>
        </w:rPr>
        <w:t>refers to AIDH Buyer, LLC, which is a wholly owned subsidiary of Definitive OpCo (as the term is defined below)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Management Holdings, LLC</w:t>
      </w:r>
      <w:r>
        <w:rPr>
          <w:color w:val="000000"/>
        </w:rPr>
        <w:t xml:space="preserve">” </w:t>
      </w:r>
      <w:r>
        <w:rPr>
          <w:rFonts w:ascii="Times New Roman" w:hAnsi="Times New Roman"/>
          <w:color w:val="000000"/>
          <w:sz w:val="20"/>
        </w:rPr>
        <w:t>is a special purpose investment vehicle through which certain persons, primarily employees and certain legacy investors, indirectly hold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Amended LLC Agreement</w:t>
      </w:r>
      <w:r>
        <w:rPr>
          <w:color w:val="000000"/>
        </w:rPr>
        <w:t xml:space="preserve">” </w:t>
      </w:r>
      <w:r>
        <w:rPr>
          <w:rFonts w:ascii="Times New Roman" w:hAnsi="Times New Roman"/>
          <w:color w:val="000000"/>
          <w:sz w:val="20"/>
        </w:rPr>
        <w:t xml:space="preserve">refers to the second amended and restated limited liability company agreement entered into by Definitive Opco pursuant to which members have the right to exchange all or a portion of their LLC units (as the term is defined below) for newly issued shares of Class A common stock in Definitive Healthcare Corp. </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ARR</w:t>
      </w:r>
      <w:r>
        <w:rPr>
          <w:color w:val="000000"/>
        </w:rPr>
        <w:t xml:space="preserve">” </w:t>
      </w:r>
      <w:r>
        <w:rPr>
          <w:rFonts w:ascii="Times New Roman" w:hAnsi="Times New Roman"/>
          <w:color w:val="000000"/>
          <w:sz w:val="20"/>
        </w:rPr>
        <w:t>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Blocker Company</w:t>
      </w:r>
      <w:r>
        <w:rPr>
          <w:color w:val="000000"/>
        </w:rPr>
        <w:t xml:space="preserve">” </w:t>
      </w:r>
      <w:r>
        <w:rPr>
          <w:rFonts w:ascii="Times New Roman" w:hAnsi="Times New Roman"/>
          <w:color w:val="000000"/>
          <w:sz w:val="20"/>
        </w:rPr>
        <w:t>or “</w:t>
      </w:r>
      <w:r>
        <w:rPr>
          <w:rFonts w:ascii="Times New Roman" w:hAnsi="Times New Roman"/>
          <w:color w:val="000000"/>
          <w:sz w:val="20"/>
          <w:u w:val="single"/>
        </w:rPr>
        <w:t>Blocker Companies</w:t>
      </w:r>
      <w:r>
        <w:rPr>
          <w:color w:val="000000"/>
        </w:rPr>
        <w:t xml:space="preserve">” </w:t>
      </w:r>
      <w:r>
        <w:rPr>
          <w:rFonts w:ascii="Times New Roman" w:hAnsi="Times New Roman"/>
          <w:color w:val="000000"/>
          <w:sz w:val="20"/>
        </w:rPr>
        <w:t>refers to certain entities treated as corporations for U.S. federal income tax purposes that held LLC units in Definitive OpCo which, through the Reorganization Transactions (as the term is defined below), were merged into Definitive Healthcare Corp. and are now holders of Class A common stock.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Continuing Pre-IPO LLC Members</w:t>
      </w:r>
      <w:r>
        <w:rPr>
          <w:color w:val="000000"/>
        </w:rPr>
        <w:t xml:space="preserve">” </w:t>
      </w:r>
      <w:r>
        <w:rPr>
          <w:rFonts w:ascii="Times New Roman" w:hAnsi="Times New Roman"/>
          <w:color w:val="000000"/>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Definitive OpCo</w:t>
      </w:r>
      <w:r>
        <w:rPr>
          <w:color w:val="000000"/>
        </w:rPr>
        <w:t xml:space="preserve">” </w:t>
      </w:r>
      <w:r>
        <w:rPr>
          <w:rFonts w:ascii="Times New Roman" w:hAnsi="Times New Roman"/>
          <w:color w:val="000000"/>
          <w:sz w:val="20"/>
        </w:rPr>
        <w:t>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DH Holdings</w:t>
      </w:r>
      <w:r>
        <w:rPr>
          <w:color w:val="000000"/>
        </w:rPr>
        <w:t xml:space="preserve">” </w:t>
      </w:r>
      <w:r>
        <w:rPr>
          <w:rFonts w:ascii="Times New Roman" w:hAnsi="Times New Roman"/>
          <w:color w:val="000000"/>
          <w:sz w:val="20"/>
        </w:rPr>
        <w:t>refers to Definitive Healthcare Holdings, LLC, a Delaware limited liability company and wholly owned subsidiary of AIDH Buyer.</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IPO</w:t>
      </w:r>
      <w:r>
        <w:rPr>
          <w:color w:val="000000"/>
        </w:rPr>
        <w:t xml:space="preserve">” </w:t>
      </w:r>
      <w:r>
        <w:rPr>
          <w:rFonts w:ascii="Times New Roman" w:hAnsi="Times New Roman"/>
          <w:color w:val="000000"/>
          <w:sz w:val="20"/>
        </w:rPr>
        <w:t>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LLC Units</w:t>
      </w:r>
      <w:r>
        <w:rPr>
          <w:color w:val="000000"/>
        </w:rPr>
        <w:t xml:space="preserve">” </w:t>
      </w:r>
      <w:r>
        <w:rPr>
          <w:rFonts w:ascii="Times New Roman" w:hAnsi="Times New Roman"/>
          <w:color w:val="000000"/>
          <w:sz w:val="20"/>
        </w:rPr>
        <w:t>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NDR</w:t>
      </w:r>
      <w:r>
        <w:rPr>
          <w:color w:val="000000"/>
        </w:rPr>
        <w:t xml:space="preserve">” </w:t>
      </w:r>
      <w:r>
        <w:rPr>
          <w:rFonts w:ascii="Times New Roman" w:hAnsi="Times New Roman"/>
          <w:color w:val="000000"/>
          <w:sz w:val="20"/>
        </w:rPr>
        <w:t>or “</w:t>
      </w:r>
      <w:r>
        <w:rPr>
          <w:rFonts w:ascii="Times New Roman" w:hAnsi="Times New Roman"/>
          <w:color w:val="000000"/>
          <w:sz w:val="20"/>
          <w:u w:val="single"/>
        </w:rPr>
        <w:t>Net Dollar Retention Rate</w:t>
      </w:r>
      <w:r>
        <w:rPr>
          <w:color w:val="000000"/>
        </w:rPr>
        <w:t xml:space="preserve">” </w:t>
      </w:r>
      <w:r>
        <w:rPr>
          <w:rFonts w:ascii="Times New Roman" w:hAnsi="Times New Roman"/>
          <w:color w:val="000000"/>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Populi</w:t>
      </w:r>
      <w:r>
        <w:rPr>
          <w:color w:val="000000"/>
        </w:rPr>
        <w:t xml:space="preserve">” </w:t>
      </w:r>
      <w:r>
        <w:rPr>
          <w:rFonts w:ascii="Times New Roman" w:hAnsi="Times New Roman"/>
          <w:color w:val="000000"/>
          <w:sz w:val="20"/>
        </w:rPr>
        <w:t>refers to Populi, Inc., a Delaware corporation.</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Pre-IPO LLC Members</w:t>
      </w:r>
      <w:r>
        <w:rPr>
          <w:color w:val="000000"/>
        </w:rPr>
        <w:t xml:space="preserve">” </w:t>
      </w:r>
      <w:r>
        <w:rPr>
          <w:rFonts w:ascii="Times New Roman" w:hAnsi="Times New Roman"/>
          <w:color w:val="000000"/>
          <w:sz w:val="20"/>
        </w:rPr>
        <w:t>refers to certain affiliates of Spectrum Equity (as the term is defined below), Jason Krantz, DH Holdings, AIDH Management Holdings, LLC,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Parties</w:t>
      </w:r>
      <w:r>
        <w:rPr>
          <w:color w:val="000000"/>
        </w:rPr>
        <w:t xml:space="preserve">” </w:t>
      </w:r>
      <w:r>
        <w:rPr>
          <w:rFonts w:ascii="Times New Roman" w:hAnsi="Times New Roman"/>
          <w:color w:val="000000"/>
          <w:sz w:val="20"/>
        </w:rPr>
        <w:t>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Transactions</w:t>
      </w:r>
      <w:r>
        <w:rPr>
          <w:color w:val="000000"/>
        </w:rPr>
        <w:t xml:space="preserve">” </w:t>
      </w:r>
      <w:r>
        <w:rPr>
          <w:rFonts w:ascii="Times New Roman" w:hAnsi="Times New Roman"/>
          <w:color w:val="000000"/>
          <w:sz w:val="20"/>
        </w:rPr>
        <w:t xml:space="preserve">refers to transactions completed in connection with the Company’s IPO as defined within Note 1. </w:t>
      </w:r>
      <w:r>
        <w:rPr>
          <w:rFonts w:ascii="Times New Roman" w:hAnsi="Times New Roman"/>
          <w:i/>
          <w:color w:val="000000"/>
          <w:sz w:val="20"/>
        </w:rPr>
        <w:t>Organization and Basis of Presentation</w:t>
      </w:r>
      <w:r>
        <w:rPr>
          <w:color w:val="000000"/>
        </w:rPr>
        <w:t xml:space="preserve"> </w:t>
      </w:r>
      <w:r>
        <w:rPr>
          <w:rFonts w:ascii="Times New Roman" w:hAnsi="Times New Roman"/>
          <w:color w:val="000000"/>
          <w:sz w:val="20"/>
        </w:rPr>
        <w:t>included in Part I, Item 1 of this Quarterly Report.</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Spectrum Equity</w:t>
      </w:r>
      <w:r>
        <w:rPr>
          <w:color w:val="000000"/>
        </w:rPr>
        <w:t xml:space="preserve">” </w:t>
      </w:r>
      <w:r>
        <w:rPr>
          <w:rFonts w:ascii="Times New Roman" w:hAnsi="Times New Roman"/>
          <w:color w:val="000000"/>
          <w:sz w:val="20"/>
        </w:rPr>
        <w:t>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Sponsors</w:t>
      </w:r>
      <w:r>
        <w:rPr>
          <w:color w:val="000000"/>
        </w:rPr>
        <w:t xml:space="preserve">” </w:t>
      </w:r>
      <w:r>
        <w:rPr>
          <w:rFonts w:ascii="Times New Roman" w:hAnsi="Times New Roman"/>
          <w:color w:val="000000"/>
          <w:sz w:val="20"/>
        </w:rPr>
        <w:t>refers collectively to Advent and Spectrum Equity.</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TRA</w:t>
      </w:r>
      <w:r>
        <w:rPr>
          <w:color w:val="000000"/>
        </w:rPr>
        <w:t xml:space="preserve">” </w:t>
      </w:r>
      <w:r>
        <w:rPr>
          <w:rFonts w:ascii="Times New Roman" w:hAnsi="Times New Roman"/>
          <w:color w:val="000000"/>
          <w:sz w:val="20"/>
        </w:rPr>
        <w:t xml:space="preserve">refers to the Tax Receivable Agreement between Definitive Healthcare Corp., Definitive OpCo, and the TRA Parties (as the term is defined below).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color w:val="000000"/>
          <w:sz w:val="20"/>
          <w:u w:val="single"/>
        </w:rPr>
        <w:t>TRA Parties</w:t>
      </w:r>
      <w:r>
        <w:rPr>
          <w:color w:val="000000"/>
        </w:rPr>
        <w:t xml:space="preserve">” </w:t>
      </w:r>
      <w:r>
        <w:rPr>
          <w:rFonts w:ascii="Times New Roman" w:hAnsi="Times New Roman"/>
          <w:color w:val="000000"/>
          <w:sz w:val="20"/>
        </w:rPr>
        <w:t>refers to the Continuing Pre-IPO LLC Members, the Reorganization Parties, and any future party to the TRA.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(i) our dependence on third parties, including public sources, for data, information, and other services, and our relationships with such third parties; (ii) increased accessibility to free or relatively inexpensive information sources; (iii) our ability to maintain high annual renewal rates; (iv) our ability to compete in the highly competitive industry in which we operate, and potential adverse effects of this competition; (v) our ability to maintain revenues if our products and services do not achieve and maintain broad market acceptance, or if we are unable to keep pace with or adapt to rapidly changing technology, evolving industry standards, macroeconomic market conditions, and changing regulatory requirements; (vi) changes in government policy positions, including trade policy, spending priorities, or reductions in government programs, government spending, or research funding; (vii) our loss of, or inability to attract and retain, key personnel; (viii) the effectiveness of our business plans; (ix) our ability to derive fully the anticipated benefits from organic growth, existing or future acquisitions, joint ventures, investments, or dispositions; (x) our exposure to risk from having operations and employees in other countries; (xi) our exposure to risk from the international scope of our operations, including potentially adverse tax consequences from the international scope of our operations and our corporate and financing structure; (xii) the strength of our brand and reputation; (xiii) our level of indebtedness, which could adversely affect our business, financial condition, and results of operations; (xiv) the ability to obtain and/or maintain the listing of our Class A common stock on Nasdaq; (xv) our ability to obtain, protect, defend, or enforce our intellectual property rights; (xvi) our ability to leverage artificial intelligence technologies (“AI”) in our products and services, including generative AI, large language models, machine learning, and other AI tools; (xvii) any significant disruption in or unauthorized access to or breaches of our computer systems or those of third parties that we utilize in our operations, including those relating to cybersecurity or arising from cyberattacks; (xviii) our use of “open source” software in our products and services; (xix) our ability to comply with applicable data protection and privacy laws; and (xx) other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our Annual Report on Form 10-K for the year ended December 31, 2025 (the “2025 Form 10-K”) filed with the Securities and Exchange Commission (“SEC”) on February 26, 2026,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0"/>
        <w:gridCol w:w="246"/>
        <w:gridCol w:w="211"/>
        <w:gridCol w:w="931"/>
        <w:gridCol w:w="166"/>
        <w:gridCol w:w="246"/>
        <w:gridCol w:w="233"/>
        <w:gridCol w:w="1029"/>
        <w:gridCol w:w="593"/>
      </w:tblGrid>
      <w:tr>
        <w:trPr/>
        <w:tc>
          <w:tcPr>
            <w:tcW w:w="65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106,405,766 and 104,020,957 shares issued and outstanding at June 30,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38,094,660 and 38,339,076 shares issued and outstanding at June 30,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operations"/>
      <w:bookmarkEnd w:id="6"/>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amounts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1652" w:type="dxa"/>
        <w:jc w:val="left"/>
        <w:tblInd w:w="0" w:type="dxa"/>
        <w:tblLayout w:type="fixed"/>
        <w:tblCellMar>
          <w:top w:w="28" w:type="dxa"/>
          <w:left w:w="28" w:type="dxa"/>
          <w:bottom w:w="28" w:type="dxa"/>
          <w:right w:w="28" w:type="dxa"/>
        </w:tblCellMar>
      </w:tblPr>
      <w:tblGrid>
        <w:gridCol w:w="2551"/>
        <w:gridCol w:w="1346"/>
        <w:gridCol w:w="211"/>
        <w:gridCol w:w="1141"/>
        <w:gridCol w:w="266"/>
        <w:gridCol w:w="246"/>
        <w:gridCol w:w="211"/>
        <w:gridCol w:w="1141"/>
        <w:gridCol w:w="266"/>
        <w:gridCol w:w="246"/>
        <w:gridCol w:w="211"/>
        <w:gridCol w:w="1141"/>
        <w:gridCol w:w="266"/>
        <w:gridCol w:w="246"/>
        <w:gridCol w:w="211"/>
        <w:gridCol w:w="1141"/>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290,229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(208,038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Gain (loss) on remeasurement of Tax Receivable Agreement liability</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on partial extinguishment of debt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105,810,516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106,815,740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105,245,928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109,782,640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omprehensive_loss"/>
      <w:bookmarkEnd w:id="7"/>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533"/>
        <w:gridCol w:w="146"/>
        <w:gridCol w:w="230"/>
        <w:gridCol w:w="691"/>
        <w:gridCol w:w="181"/>
        <w:gridCol w:w="159"/>
        <w:gridCol w:w="230"/>
        <w:gridCol w:w="691"/>
        <w:gridCol w:w="166"/>
        <w:gridCol w:w="146"/>
        <w:gridCol w:w="211"/>
        <w:gridCol w:w="841"/>
        <w:gridCol w:w="166"/>
        <w:gridCol w:w="146"/>
        <w:gridCol w:w="211"/>
        <w:gridCol w:w="841"/>
        <w:gridCol w:w="616"/>
      </w:tblGrid>
      <w:tr>
        <w:trPr/>
        <w:tc>
          <w:tcPr>
            <w:tcW w:w="4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interest rate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(165,337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(49,831</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(115,506</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sz w:val="20"/>
        </w:rPr>
      </w:pPr>
      <w:bookmarkStart w:id="8" w:name="changes_in_members_equity"/>
      <w:bookmarkEnd w:id="8"/>
      <w:r>
        <w:rPr>
          <w:rFonts w:ascii="Times New Roman" w:hAnsi="Times New Roman"/>
          <w:b/>
          <w:color w:val="000000"/>
          <w:sz w:val="18"/>
        </w:rPr>
        <w:t>CONDENSED CONSOLIDATED STATEMENTS OF CHANGES IN TOTAL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33"/>
        <w:gridCol w:w="788"/>
        <w:gridCol w:w="16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104,020,957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38,339,076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105,263,448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38,225,333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1,065,811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(918,127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190,699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1,528,449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106,405,766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38,094,660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1,069,701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(923,549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187,865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94" w:type="dxa"/>
            <w:gridSpan w:val="2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CHANGES IN TOTAL EQUITY (CONTINUED)</w:t>
      </w:r>
    </w:p>
    <w:p>
      <w:pPr>
        <w:pStyle w:val="TextBody"/>
        <w:bidi w:val="0"/>
        <w:jc w:val="center"/>
        <w:rPr>
          <w:rFonts w:ascii="Times New Roman" w:hAnsi="Times New Roman"/>
          <w:sz w:val="20"/>
        </w:rPr>
      </w:pPr>
      <w:r>
        <w:rPr>
          <w:rFonts w:ascii="Times New Roman" w:hAnsi="Times New Roman"/>
          <w:i/>
          <w:color w:val="000000"/>
          <w:sz w:val="18"/>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25"/>
        <w:gridCol w:w="796"/>
        <w:gridCol w:w="16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113,953,554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39,439,198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(5,604,751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Forfeited unvested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109,646,157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38,997,184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1,071,732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(747,802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435,905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(5,959,137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Distributions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104,746,981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38,395,357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411,233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94" w:type="dxa"/>
            <w:gridSpan w:val="2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942"/>
        <w:gridCol w:w="946"/>
        <w:gridCol w:w="196"/>
        <w:gridCol w:w="751"/>
        <w:gridCol w:w="266"/>
        <w:gridCol w:w="246"/>
        <w:gridCol w:w="196"/>
        <w:gridCol w:w="751"/>
        <w:gridCol w:w="911"/>
      </w:tblGrid>
      <w:tr>
        <w:trPr/>
        <w:tc>
          <w:tcPr>
            <w:tcW w:w="5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(199,806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(164,358</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26,696</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7,935</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14,299</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Recovery of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(17,763</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15,874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(6,259</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(12,145</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8,003</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23,020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35,370</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property, equipment, and data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(9,999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(64,065</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147,447</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(1,318</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73,383</w:t>
            </w:r>
          </w:p>
        </w:tc>
        <w:tc>
          <w:tcPr>
            <w:tcW w:w="9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(248,438</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(2,483</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(40,231</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Member distributions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(134,406</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increase (decrease)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(25,653</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170,866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80,984</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5,201</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 net of refunds received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4,947</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10" w:name="notes_to_financial_statements"/>
      <w:bookmarkEnd w:id="10"/>
      <w:r>
        <w:rPr>
          <w:rFonts w:ascii="Times New Roman" w:hAnsi="Times New Roman"/>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 and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(“the Company”) is a leading provider of healthcare data and analytics, which provides accurate, comprehensive information on healthcare providers and their activities, enabling customers to make informed decisions across product development, go-to-market planning, and sales and marketing execution. The Company also offers claims and consumer analytics built from modeled data on millions of unique consumers to help healthcare organizations target, message, and engage specific healthcare audiences.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which is headquartered in Framingham, Massachusetts, was founded in 2011 and incorporated as Definitive Healthcare Corp. in May 2021 for the purposes of facilitating an IPO of its Class A common stock, which was completed on September 17,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 completed the following transactions (the “Reorganization Transactions”): Definitive OpCo entered into the Amended LLC Agreement pursuant to which members of Definitive OpCo prior to the IPO who continued to hold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the Company’s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the Company, and subsequently merged into the Company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The Company operates and controls all of the business and affairs of Definitive OpCo, and through Definitive OpCo and its subsidiaries, conducts its business. Accordingly, the Company consolidates the financial results of Definitive OpCo, and reports the noncontrolling interests of unexchanged LLC Unit holders on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the Company entered into a TRA.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June 30, 2026 and for the three and six months ended June 30, 2026 and 2025 are unaudited and should be read in conjunction with the Company’s audited financial statements for the year ended December 31, 2025. All adjustments, consisting of normal recurring adjustments, except as otherwise noted, considered, in the opinion of management, necessary for a fair presentation of the unaudited condensed consolidated financial statements for these interim periods have been included.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2025 Form 10-K for the Company’s significant accounting policies and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 in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18, 2026, the Company received a written notice from the Listing Qualifications Department of The Nasdaq Stock Market LLC (“Nasdaq”) indicating that the Company was not in compliance with the minimum bid price requirement for continued listing on The Nasdaq Global Select Market because the closing bid price of the Company’s common stock was below $1.00 per share for 30 consecutive business days. The notice has no immediate effect on the listing or trading of the Company’s common stock, which continues to trade under the symbol “DH.”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notice states that the Company has a compliance period of 180 calendar days, or until December 15, 2026, to regain compliance with the minimum bid price requirement. The notice further states that if the Company does not regain compliance during the initial 180-calendar-day compliance period, the Company may be eligible for an additional 180-calendar-day compliance period, provided that it meets certain listing requirements. If it appears to Nasdaq staff that the Company will not be able to cure the deficiency, or if the Company is otherwise not eligible for the additional compliance period, Nasdaq will provide notice that the Company’s securities will be subject to delisting.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intends to actively monitor the closing bid price of its common stock and consider available options to regain compliance with the minimum bid price requirement. There can be no assurance that the Company will be able to regain compliance with the minimum bid price requirement during the initial compliance period or any additional compliance period, or that the Company will otherwise maintain compliance with the other Nasdaq listing requirements.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(“ASU 2024-03”). ASU 2024-03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ASU 2024-03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Intangibles-Goodwill and Other-Internal-Use Software </w:t>
      </w:r>
      <w:r>
        <w:rPr>
          <w:rFonts w:ascii="Times New Roman" w:hAnsi="Times New Roman"/>
          <w:color w:val="000000"/>
          <w:sz w:val="20"/>
        </w:rPr>
        <w:t>(“ASU 2025-06”). ASU 2025-06 modernizes and clarifies the threshold for when an entity is required to begin capitalizing software costs and is based on when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reporting periods, with early adoption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 xml:space="preserve">Derivatives and Hedging (Topic 815) and Revenue from Contracts with Customers (Topic 606): Derivative Scope Refinements and Scope Clarification for Share-Based Noncash Consideration from a Customer in a Revenue Contract </w:t>
      </w:r>
      <w:r>
        <w:rPr>
          <w:rFonts w:ascii="Times New Roman" w:hAnsi="Times New Roman"/>
          <w:color w:val="000000"/>
          <w:sz w:val="20"/>
        </w:rPr>
        <w:t>(“ASU 2025-07”), which refines the scope Topic 815 and clarifies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new accounting pronouncements issued or effective during the first six months of the current year have had, or are expected to have, a material impact on the Company’s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from its arrangements with customers by type of service as it believes these categories best depict how the nature, amount, timing, and uncertainty of revenue and cash flows are affected by economic factors. The opening balance of accounts receivable as of January 1, 2025 was $53.2 million.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three and six months ended June 30, 2026 and 2025, respectively: </w:t>
      </w:r>
    </w:p>
    <w:tbl>
      <w:tblPr>
        <w:tblW w:w="7617" w:type="dxa"/>
        <w:jc w:val="left"/>
        <w:tblInd w:w="0" w:type="dxa"/>
        <w:tblLayout w:type="fixed"/>
        <w:tblCellMar>
          <w:top w:w="28" w:type="dxa"/>
          <w:left w:w="28" w:type="dxa"/>
          <w:bottom w:w="28" w:type="dxa"/>
          <w:right w:w="28" w:type="dxa"/>
        </w:tblCellMar>
      </w:tblPr>
      <w:tblGrid>
        <w:gridCol w:w="1946"/>
        <w:gridCol w:w="246"/>
        <w:gridCol w:w="211"/>
        <w:gridCol w:w="676"/>
        <w:gridCol w:w="246"/>
        <w:gridCol w:w="246"/>
        <w:gridCol w:w="211"/>
        <w:gridCol w:w="676"/>
        <w:gridCol w:w="246"/>
        <w:gridCol w:w="246"/>
        <w:gridCol w:w="211"/>
        <w:gridCol w:w="781"/>
        <w:gridCol w:w="246"/>
        <w:gridCol w:w="246"/>
        <w:gridCol w:w="211"/>
        <w:gridCol w:w="781"/>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for the six months ended June 30, 2026 and the year ended December 31, 2025 is presented below: </w:t>
      </w:r>
    </w:p>
    <w:tbl>
      <w:tblPr>
        <w:tblW w:w="10205" w:type="dxa"/>
        <w:jc w:val="left"/>
        <w:tblInd w:w="0" w:type="dxa"/>
        <w:tblLayout w:type="fixed"/>
        <w:tblCellMar>
          <w:top w:w="28" w:type="dxa"/>
          <w:left w:w="28" w:type="dxa"/>
          <w:bottom w:w="28" w:type="dxa"/>
          <w:right w:w="28" w:type="dxa"/>
        </w:tblCellMar>
      </w:tblPr>
      <w:tblGrid>
        <w:gridCol w:w="4013"/>
        <w:gridCol w:w="646"/>
        <w:gridCol w:w="531"/>
        <w:gridCol w:w="1706"/>
        <w:gridCol w:w="266"/>
        <w:gridCol w:w="246"/>
        <w:gridCol w:w="485"/>
        <w:gridCol w:w="1697"/>
        <w:gridCol w:w="615"/>
      </w:tblGrid>
      <w:tr>
        <w:trPr/>
        <w:tc>
          <w:tcPr>
            <w:tcW w:w="40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six months ended June 30, 2026 and for the year ended December 31, 2025 is presented below: </w:t>
      </w:r>
    </w:p>
    <w:tbl>
      <w:tblPr>
        <w:tblW w:w="8585" w:type="dxa"/>
        <w:jc w:val="left"/>
        <w:tblInd w:w="0" w:type="dxa"/>
        <w:tblLayout w:type="fixed"/>
        <w:tblCellMar>
          <w:top w:w="28" w:type="dxa"/>
          <w:left w:w="28" w:type="dxa"/>
          <w:bottom w:w="28" w:type="dxa"/>
          <w:right w:w="28" w:type="dxa"/>
        </w:tblCellMar>
      </w:tblPr>
      <w:tblGrid>
        <w:gridCol w:w="2741"/>
        <w:gridCol w:w="246"/>
        <w:gridCol w:w="496"/>
        <w:gridCol w:w="1979"/>
        <w:gridCol w:w="266"/>
        <w:gridCol w:w="246"/>
        <w:gridCol w:w="481"/>
        <w:gridCol w:w="1919"/>
        <w:gridCol w:w="211"/>
      </w:tblGrid>
      <w:tr>
        <w:trPr/>
        <w:tc>
          <w:tcPr>
            <w:tcW w:w="2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213,372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Short-Term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w:t>
      </w:r>
    </w:p>
    <w:tbl>
      <w:tblPr>
        <w:tblW w:w="8514" w:type="dxa"/>
        <w:jc w:val="left"/>
        <w:tblInd w:w="0" w:type="dxa"/>
        <w:tblLayout w:type="fixed"/>
        <w:tblCellMar>
          <w:top w:w="28" w:type="dxa"/>
          <w:left w:w="28" w:type="dxa"/>
          <w:bottom w:w="28" w:type="dxa"/>
          <w:right w:w="28" w:type="dxa"/>
        </w:tblCellMar>
      </w:tblPr>
      <w:tblGrid>
        <w:gridCol w:w="2546"/>
        <w:gridCol w:w="646"/>
        <w:gridCol w:w="296"/>
        <w:gridCol w:w="949"/>
        <w:gridCol w:w="246"/>
        <w:gridCol w:w="246"/>
        <w:gridCol w:w="686"/>
        <w:gridCol w:w="1129"/>
        <w:gridCol w:w="246"/>
        <w:gridCol w:w="246"/>
        <w:gridCol w:w="211"/>
        <w:gridCol w:w="676"/>
        <w:gridCol w:w="391"/>
      </w:tblGrid>
      <w:tr>
        <w:trPr/>
        <w:tc>
          <w:tcPr>
            <w:tcW w:w="25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14" w:type="dxa"/>
        <w:jc w:val="left"/>
        <w:tblInd w:w="0" w:type="dxa"/>
        <w:tblLayout w:type="fixed"/>
        <w:tblCellMar>
          <w:top w:w="28" w:type="dxa"/>
          <w:left w:w="28" w:type="dxa"/>
          <w:bottom w:w="28" w:type="dxa"/>
          <w:right w:w="28" w:type="dxa"/>
        </w:tblCellMar>
      </w:tblPr>
      <w:tblGrid>
        <w:gridCol w:w="2546"/>
        <w:gridCol w:w="646"/>
        <w:gridCol w:w="296"/>
        <w:gridCol w:w="949"/>
        <w:gridCol w:w="246"/>
        <w:gridCol w:w="246"/>
        <w:gridCol w:w="725"/>
        <w:gridCol w:w="1090"/>
        <w:gridCol w:w="246"/>
        <w:gridCol w:w="246"/>
        <w:gridCol w:w="211"/>
        <w:gridCol w:w="676"/>
        <w:gridCol w:w="391"/>
      </w:tblGrid>
      <w:tr>
        <w:trPr/>
        <w:tc>
          <w:tcPr>
            <w:tcW w:w="25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June 30, 2026 and December 31, 2025 is net accumulated accretion of nil and $0.3 million, respectively. Interest accretion on short-term investments was $0.1 million and $0.8 million during the three months ended June 30, 2026 and 2025, respectively, and $0.3 million and $1.9 million during the six months ended June 30,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receivable, net consisted of the following:</w:t>
      </w:r>
    </w:p>
    <w:tbl>
      <w:tblPr>
        <w:tblW w:w="6947" w:type="dxa"/>
        <w:jc w:val="left"/>
        <w:tblInd w:w="0" w:type="dxa"/>
        <w:tblLayout w:type="fixed"/>
        <w:tblCellMar>
          <w:top w:w="28" w:type="dxa"/>
          <w:left w:w="28" w:type="dxa"/>
          <w:bottom w:w="28" w:type="dxa"/>
          <w:right w:w="28" w:type="dxa"/>
        </w:tblCellMar>
      </w:tblPr>
      <w:tblGrid>
        <w:gridCol w:w="3216"/>
        <w:gridCol w:w="646"/>
        <w:gridCol w:w="211"/>
        <w:gridCol w:w="676"/>
        <w:gridCol w:w="266"/>
        <w:gridCol w:w="246"/>
        <w:gridCol w:w="260"/>
        <w:gridCol w:w="835"/>
        <w:gridCol w:w="591"/>
      </w:tblGrid>
      <w:tr>
        <w:trPr/>
        <w:tc>
          <w:tcPr>
            <w:tcW w:w="3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credit losses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Prepaid Expenses and 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assets consisted of the following:</w:t>
      </w:r>
    </w:p>
    <w:tbl>
      <w:tblPr>
        <w:tblW w:w="5847" w:type="dxa"/>
        <w:jc w:val="left"/>
        <w:tblInd w:w="0" w:type="dxa"/>
        <w:tblLayout w:type="fixed"/>
        <w:tblCellMar>
          <w:top w:w="28" w:type="dxa"/>
          <w:left w:w="28" w:type="dxa"/>
          <w:bottom w:w="28" w:type="dxa"/>
          <w:right w:w="28" w:type="dxa"/>
        </w:tblCellMar>
      </w:tblPr>
      <w:tblGrid>
        <w:gridCol w:w="2936"/>
        <w:gridCol w:w="246"/>
        <w:gridCol w:w="211"/>
        <w:gridCol w:w="676"/>
        <w:gridCol w:w="246"/>
        <w:gridCol w:w="246"/>
        <w:gridCol w:w="260"/>
        <w:gridCol w:w="835"/>
        <w:gridCol w:w="191"/>
      </w:tblGrid>
      <w:tr>
        <w:trPr/>
        <w:tc>
          <w:tcPr>
            <w:tcW w:w="29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receivables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tbl>
      <w:tblPr>
        <w:tblW w:w="8402" w:type="dxa"/>
        <w:jc w:val="left"/>
        <w:tblInd w:w="0" w:type="dxa"/>
        <w:tblLayout w:type="fixed"/>
        <w:tblCellMar>
          <w:top w:w="28" w:type="dxa"/>
          <w:left w:w="28" w:type="dxa"/>
          <w:bottom w:w="28" w:type="dxa"/>
          <w:right w:w="28" w:type="dxa"/>
        </w:tblCellMar>
      </w:tblPr>
      <w:tblGrid>
        <w:gridCol w:w="4611"/>
        <w:gridCol w:w="646"/>
        <w:gridCol w:w="211"/>
        <w:gridCol w:w="736"/>
        <w:gridCol w:w="266"/>
        <w:gridCol w:w="246"/>
        <w:gridCol w:w="260"/>
        <w:gridCol w:w="835"/>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purchased software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Internally developed software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26,145</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22,188</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associated with property and equipment was $1.1 million and $0.9 million during the three months ended June 30, 2026 and 2025, respectively, and $2.1 million and $1.5 million during the six months ended June 30,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Goodwill and Intangible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carrying amounts of goodwill and intangible assets, as of June 30, 2026 and December 31, 2025, consisted of the following: </w:t>
      </w:r>
    </w:p>
    <w:tbl>
      <w:tblPr>
        <w:tblW w:w="8405" w:type="dxa"/>
        <w:jc w:val="left"/>
        <w:tblInd w:w="0" w:type="dxa"/>
        <w:tblLayout w:type="fixed"/>
        <w:tblCellMar>
          <w:top w:w="28" w:type="dxa"/>
          <w:left w:w="28" w:type="dxa"/>
          <w:bottom w:w="28" w:type="dxa"/>
          <w:right w:w="28" w:type="dxa"/>
        </w:tblCellMar>
      </w:tblPr>
      <w:tblGrid>
        <w:gridCol w:w="3011"/>
        <w:gridCol w:w="646"/>
        <w:gridCol w:w="211"/>
        <w:gridCol w:w="781"/>
        <w:gridCol w:w="246"/>
        <w:gridCol w:w="246"/>
        <w:gridCol w:w="216"/>
        <w:gridCol w:w="865"/>
        <w:gridCol w:w="266"/>
        <w:gridCol w:w="246"/>
        <w:gridCol w:w="229"/>
        <w:gridCol w:w="851"/>
        <w:gridCol w:w="591"/>
      </w:tblGrid>
      <w:tr>
        <w:trPr/>
        <w:tc>
          <w:tcPr>
            <w:tcW w:w="30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601,805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(379,081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associated with finite-lived intangible assets was $12.8 million and $13.5 million during the three months ended June 30, 2026 and 2025, respectively, of which $5.3 million was included in cost of revenue during each period. Amortization expense associated with finite-lived intangible assets was $25.0 million and $26.7 million during the six months ended June 30, 2026 and 2025, respectively, of which $10.2 million and $10.6 million was included in cost of revenue during each respective period.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Estimated total intangible amortization expense during the next five years and thereafter is as follows:</w:t>
      </w:r>
    </w:p>
    <w:tbl>
      <w:tblPr>
        <w:tblW w:w="5740" w:type="dxa"/>
        <w:jc w:val="left"/>
        <w:tblInd w:w="0" w:type="dxa"/>
        <w:tblLayout w:type="fixed"/>
        <w:tblCellMar>
          <w:top w:w="28" w:type="dxa"/>
          <w:left w:w="28" w:type="dxa"/>
          <w:bottom w:w="28" w:type="dxa"/>
          <w:right w:w="28" w:type="dxa"/>
        </w:tblCellMar>
      </w:tblPr>
      <w:tblGrid>
        <w:gridCol w:w="4411"/>
        <w:gridCol w:w="146"/>
        <w:gridCol w:w="211"/>
        <w:gridCol w:w="78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11. </w:t>
      </w:r>
      <w:r>
        <w:rPr>
          <w:rFonts w:ascii="Times New Roman" w:hAnsi="Times New Roman"/>
          <w:i/>
          <w:color w:val="000000"/>
          <w:sz w:val="20"/>
        </w:rPr>
        <w:t>Fair Value Measurements</w:t>
      </w:r>
      <w:r>
        <w:rPr>
          <w:rFonts w:ascii="Times New Roman" w:hAnsi="Times New Roman"/>
          <w:color w:val="000000"/>
          <w:sz w:val="20"/>
        </w:rPr>
        <w:t>. The Company traditionally performs an impairment test of goodwill during the fourth quarter of each fiscal year and more frequently if indicators of potential impairment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the Company experienced declines in its market capitalization as a result of sustained decreases in the Company’s stock price, which represented a triggering event requiring management to perform a quantitative goodwill impairment test as of the end of the reporting period. As a result of the impairment test, the Company determined that the fair value of its single reporting unit was lower than its carrying value and, accordingly, recorded a non-cash, pretax, goodwill impairment charge of $197.2 million during the first quarter of 2026. The goodwill impairment charge did not affect the Company’s liquidity or the financial covenants in its outstanding debt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recorded a non-cash, pretax, goodwill impairment charge of $176.5 million during the first quarter of 2025 based on a triggering event driven by declines in its market capitalization as a result of sustained decreases in the Company’s stock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and for the periods ended June 30, 2026 and December 31, 2025, goodwill consisted of the following:</w:t>
      </w:r>
    </w:p>
    <w:tbl>
      <w:tblPr>
        <w:tblW w:w="6925" w:type="dxa"/>
        <w:jc w:val="left"/>
        <w:tblInd w:w="0" w:type="dxa"/>
        <w:tblLayout w:type="fixed"/>
        <w:tblCellMar>
          <w:top w:w="28" w:type="dxa"/>
          <w:left w:w="28" w:type="dxa"/>
          <w:bottom w:w="28" w:type="dxa"/>
          <w:right w:w="28" w:type="dxa"/>
        </w:tblCellMar>
      </w:tblPr>
      <w:tblGrid>
        <w:gridCol w:w="3166"/>
        <w:gridCol w:w="146"/>
        <w:gridCol w:w="247"/>
        <w:gridCol w:w="1163"/>
        <w:gridCol w:w="166"/>
        <w:gridCol w:w="146"/>
        <w:gridCol w:w="277"/>
        <w:gridCol w:w="122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2901"/>
        <w:gridCol w:w="146"/>
        <w:gridCol w:w="247"/>
        <w:gridCol w:w="1163"/>
        <w:gridCol w:w="166"/>
        <w:gridCol w:w="146"/>
        <w:gridCol w:w="263"/>
        <w:gridCol w:w="1237"/>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also considered its intangible assets with finite useful lives, which are amortized over their estimated useful lives, generally on a straight-line basis or using the economic consumption method if anticipated future revenues can be reasonably estimated. These assets are reviewed for impairment when facts or circumstances indicate that the carrying values may not be recoverable. The Company experienced triggering events during the first quarters of fiscal years 2026 and 2025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these triggering events.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Accrued Expenses and Other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w:t>
      </w:r>
    </w:p>
    <w:tbl>
      <w:tblPr>
        <w:tblW w:w="6867" w:type="dxa"/>
        <w:jc w:val="left"/>
        <w:tblInd w:w="0" w:type="dxa"/>
        <w:tblLayout w:type="fixed"/>
        <w:tblCellMar>
          <w:top w:w="28" w:type="dxa"/>
          <w:left w:w="28" w:type="dxa"/>
          <w:bottom w:w="28" w:type="dxa"/>
          <w:right w:w="28" w:type="dxa"/>
        </w:tblCellMar>
      </w:tblPr>
      <w:tblGrid>
        <w:gridCol w:w="3956"/>
        <w:gridCol w:w="246"/>
        <w:gridCol w:w="211"/>
        <w:gridCol w:w="676"/>
        <w:gridCol w:w="246"/>
        <w:gridCol w:w="246"/>
        <w:gridCol w:w="260"/>
        <w:gridCol w:w="835"/>
        <w:gridCol w:w="191"/>
      </w:tblGrid>
      <w:tr>
        <w:trPr/>
        <w:tc>
          <w:tcPr>
            <w:tcW w:w="39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 liability,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liability for data contract termination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matters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capital data expenditures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During the first quarter of 2026, the Company committed to a restructuring plan (the “2026 Restructuring Plan”) intended to reduce operating costs, improve operating margins, and continue advancing the Company’s ongoing commitment to profitable growth. The 2026 Restructuring Plan provided for a reduction of the Company’s current workforce by approximately 40 people. During the first quarter of 2026, the Company incurred restructuring and related charges of approximately $1.1 million, consisting of severance payments, employee benefits, and related cash expenses, which were recognized within transaction, integration, and restructuring expenses in the unaudited condensed consolidated statements of operations. No additional charges were incurred during the three months ended June 30, 2026. As of June 30, 2026, $0.1 million was included in accrued expenses and other liabilities in the unaudited condensed consolidated balance sheets. The Company expects these payments will be made over the next three months. There were no charges incurred during the three months ended June 30, 2025 related to previous restructuring plans, and charges incurred during the six months ended June 30, 2025 were not material.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sets forth the activity in the Company’s liabilities resulting from the 2026 Restructuring Plan:</w:t>
      </w:r>
    </w:p>
    <w:tbl>
      <w:tblPr>
        <w:tblW w:w="4818" w:type="dxa"/>
        <w:jc w:val="left"/>
        <w:tblInd w:w="0" w:type="dxa"/>
        <w:tblLayout w:type="fixed"/>
        <w:tblCellMar>
          <w:top w:w="28" w:type="dxa"/>
          <w:left w:w="28" w:type="dxa"/>
          <w:bottom w:w="28" w:type="dxa"/>
          <w:right w:w="28" w:type="dxa"/>
        </w:tblCellMar>
      </w:tblPr>
      <w:tblGrid>
        <w:gridCol w:w="2696"/>
        <w:gridCol w:w="246"/>
        <w:gridCol w:w="399"/>
        <w:gridCol w:w="1086"/>
        <w:gridCol w:w="391"/>
      </w:tblGrid>
      <w:tr>
        <w:trPr/>
        <w:tc>
          <w:tcPr>
            <w:tcW w:w="26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Restructuring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does not expect to incur further material restructuring and related charges associated with the 2026 Restructuring Plan during the remainder of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Regarding contingent consideration associated with a prior acquisition, the Company determined that the earn-out revenue targets were partially achieved for the calendar year 2024 performance period and were not achieved for the calendar year 2025 performance period. In May 2025, former equity holders of the acquired company delivered a notice asserting that the performance conditions for the 2024 performance period were satisfied at a higher payout tier than was calculated by the Company and that additional consideration was due. The Company disputed this assertion and believed that, based on its interpretation of the purchase agreement and its calculation of the applicable performance metrics, no additional amounts were payable. The parties subsequently engaged in litigation regarding this matter.</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Subsequent to June 30, 2026 and prior to the issuance of these financial statements, the Company entered into a settlement agreement with the former equity holders that fully resolved all claims related to the disputed earn-out arrangement. Pursuant to the settlement, the Company agreed to make a payment of $7.5 million. Management evaluated the settlement under ASC 855, </w:t>
      </w:r>
      <w:r>
        <w:rPr>
          <w:rFonts w:ascii="Times New Roman" w:hAnsi="Times New Roman"/>
          <w:i/>
          <w:color w:val="000000"/>
          <w:sz w:val="20"/>
        </w:rPr>
        <w:t>Subsequent Events</w:t>
      </w:r>
      <w:r>
        <w:rPr>
          <w:rFonts w:ascii="Times New Roman" w:hAnsi="Times New Roman"/>
          <w:color w:val="000000"/>
          <w:sz w:val="20"/>
        </w:rPr>
        <w:t xml:space="preserve"> and concluded that the settlement provided additional evidence regarding conditions that existed as of June 30, 2026. Accordingly, the Company has accounted for and disclosed the settlement amount in these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the $7.5 million liability associated with the earnout matter was included within accrued expenses and other liabilities in the accompanying unaudited condensed consolidated balance sheets. The liability consisted of $3.0 million of contingent consideration measured at fair value, which is reflected within contingent consideration, current in the table above, and $4.5 million of loss contingency and settlement-related accruals, which are reflected within accrued legal matters in the table above.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table below summarizes the components of the liability associated with the earnout matter:</w:t>
      </w:r>
    </w:p>
    <w:tbl>
      <w:tblPr>
        <w:tblW w:w="9383" w:type="dxa"/>
        <w:jc w:val="left"/>
        <w:tblInd w:w="0" w:type="dxa"/>
        <w:tblLayout w:type="fixed"/>
        <w:tblCellMar>
          <w:top w:w="28" w:type="dxa"/>
          <w:left w:w="28" w:type="dxa"/>
          <w:bottom w:w="28" w:type="dxa"/>
          <w:right w:w="28" w:type="dxa"/>
        </w:tblCellMar>
      </w:tblPr>
      <w:tblGrid>
        <w:gridCol w:w="7421"/>
        <w:gridCol w:w="646"/>
        <w:gridCol w:w="303"/>
        <w:gridCol w:w="822"/>
        <w:gridCol w:w="191"/>
      </w:tblGrid>
      <w:tr>
        <w:trPr/>
        <w:tc>
          <w:tcPr>
            <w:tcW w:w="74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Contingent consideration measured at fair value (see Note 11. </w:t>
            </w:r>
            <w:r>
              <w:rPr>
                <w:rFonts w:ascii="Times New Roman" w:hAnsi="Times New Roman"/>
                <w:i/>
                <w:color w:val="000000"/>
                <w:sz w:val="20"/>
              </w:rPr>
              <w:t>Fair Value Measurements</w:t>
            </w: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Previously recorded loss contingency</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Incremental adjustment resulting from settlement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liability associated with earnout matter</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Long-term debt consisted of the following as of June 30, 2026 and December 31, 2025, respectively: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91"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353"/>
        <w:gridCol w:w="1057"/>
        <w:gridCol w:w="166"/>
        <w:gridCol w:w="146"/>
        <w:gridCol w:w="211"/>
        <w:gridCol w:w="78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a credit agreement, as amended (the “2021 Credit Agreement”), providing for a $175.0 million term loan facility (the “2021 Term Loan”) and a $50.0 million revolving credit facility (the “Revolving Credit Facility”), each of which matures on January 16, 2030. The 2021 Term Loan and the Revolving Credit Facility bear interest at a rate per annum equal to (a) ABR (as defined in the 2021 Credit Agreement) or (b) Term SOFR (as defined in the 2021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unaudited condensed consolidated statements of operations. The obligations under the 2021 Credit Agreement are secured by pledges of assets as described in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repaid $4.4 million in outstanding principal of the 2021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no outstanding borrowings under the Revolving Credit Facility and had $49.7 million of available borrowing capacity after giving effect to $0.3 million of outstanding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in compliance with its financial covenants under the 2021 Credit Agreement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financing costs related to the Revolving Credit Facility, which were included in other assets in the unaudited condensed consolidated balance sheets, were $0.4 million and $0.5 million as of June 30, 2026 and December 31, 2025,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24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9.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swap and cap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variable-rate amounts from a counterparty if interest rates rise above the strike rate on the contract in exchange for an up-front premium. The Company’s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two interest rate cap agreements, effective March 31, 2025. The two interest rate cap agreements each have a notional value of $64.8 million as of June 30, 2026, with an interest rate cap of 4.50%. Interest payment receipts under the caps, if any, are made monthly on a net settlement basis. The Company has not recorded any amounts due to ineffectiveness for the period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derivative interest rate caps are designated and qualify as cash flow hedges. Consequently, the change in the estimated fair value of the effective portion of the derivative is recognized in accumulated other comprehensive (deficit) income (“AOCI”) on the unaudited condensed consolidated balance sheets and reclassified to interest expense, net, when the underlying transaction has an impact on earnings. The Company expects to recognize $0.5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values of the interest rate caps as of June 30, 2026 and December 31, 2025 were recorded in the Company’s unaudited condensed consolidated balance sheets as follows:</w:t>
      </w:r>
    </w:p>
    <w:tbl>
      <w:tblPr>
        <w:tblW w:w="9102" w:type="dxa"/>
        <w:jc w:val="left"/>
        <w:tblInd w:w="0" w:type="dxa"/>
        <w:tblLayout w:type="fixed"/>
        <w:tblCellMar>
          <w:top w:w="28" w:type="dxa"/>
          <w:left w:w="28" w:type="dxa"/>
          <w:bottom w:w="28" w:type="dxa"/>
          <w:right w:w="28" w:type="dxa"/>
        </w:tblCellMar>
      </w:tblPr>
      <w:tblGrid>
        <w:gridCol w:w="2381"/>
        <w:gridCol w:w="246"/>
        <w:gridCol w:w="2921"/>
        <w:gridCol w:w="246"/>
        <w:gridCol w:w="375"/>
        <w:gridCol w:w="750"/>
        <w:gridCol w:w="246"/>
        <w:gridCol w:w="246"/>
        <w:gridCol w:w="499"/>
        <w:gridCol w:w="1001"/>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Level 1 – Observable inputs (unadjusted) that reflect unadjusted quoted prices in active markets for identical assets or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accounts payable, long-term and short-term debt, derivative financial instruments, and contingent consideration payable. The estimated fair value of cash included in cash and cash equivalents, accounts receivable, and accounts payable approximates their carrying value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June 30, 2026 and December 31, 2025, based on interest rates currently available to the Company for similar borrowings.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interest rate caps and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June 30, 2026 and December 31, 2025 were classified as Level 2 in the fair value hierarchy.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consideration resulting from a previous acquisition, which was subject to meeting certain revenue metrics during calendar years 2024 and 2025, is measured at fair value on a recurring basis. At June 30, 2026, management estimated the fair value of the contingent consideration liability to be $3.0 million based on its assessment of the amount payable under the earn-out provisions of the acquisition agreement, all of which was included in accrued expenses and other liabilities in the unaudited condensed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additional information regarding this contingent consideration, including a dispute with the former equity holders and a subsequent settlement of the earnout arrangement, see Note 8. </w:t>
      </w:r>
      <w:r>
        <w:rPr>
          <w:rFonts w:ascii="Times New Roman" w:hAnsi="Times New Roman"/>
          <w:i/>
          <w:color w:val="000000"/>
          <w:sz w:val="20"/>
        </w:rPr>
        <w:t>Accrued Expenses and Other Liabilities</w:t>
      </w:r>
      <w:r>
        <w:rPr>
          <w:rFonts w:ascii="Times New Roman" w:hAnsi="Times New Roman"/>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10205" w:type="dxa"/>
        <w:jc w:val="left"/>
        <w:tblInd w:w="0" w:type="dxa"/>
        <w:tblLayout w:type="fixed"/>
        <w:tblCellMar>
          <w:top w:w="28" w:type="dxa"/>
          <w:left w:w="28" w:type="dxa"/>
          <w:bottom w:w="28" w:type="dxa"/>
          <w:right w:w="28" w:type="dxa"/>
        </w:tblCellMar>
      </w:tblPr>
      <w:tblGrid>
        <w:gridCol w:w="4115"/>
        <w:gridCol w:w="646"/>
        <w:gridCol w:w="623"/>
        <w:gridCol w:w="1687"/>
        <w:gridCol w:w="246"/>
        <w:gridCol w:w="246"/>
        <w:gridCol w:w="563"/>
        <w:gridCol w:w="1685"/>
        <w:gridCol w:w="394"/>
      </w:tblGrid>
      <w:tr>
        <w:trPr/>
        <w:tc>
          <w:tcPr>
            <w:tcW w:w="411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June 30, 2026 and December 31, 2025, assets and liabilities measured at fair value on a recurring basis were as follows:</w:t>
      </w:r>
    </w:p>
    <w:tbl>
      <w:tblPr>
        <w:tblW w:w="8927"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676"/>
        <w:gridCol w:w="146"/>
        <w:gridCol w:w="146"/>
        <w:gridCol w:w="211"/>
        <w:gridCol w:w="571"/>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22"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571"/>
        <w:gridCol w:w="146"/>
        <w:gridCol w:w="146"/>
        <w:gridCol w:w="211"/>
        <w:gridCol w:w="571"/>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and December 31, 2025, the estimated fair values of all of the Company’s financial assets and liabilities subject to the three-level fair value hierarchy approximated their carrying values due to their short-term maturities (less than 12 months).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the consolidated financial statements in the 2025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controls all of the business and affairs of Definitive OpCo, and through Definitive OpCo and its subsidiaries, conducts its business. Accordingly, the Company consolidates the financial results of Definitive OpCo, and reports the noncontrolling interests of its consolidated subsidiaries on its unaudited condensed consolidated financial statements based on the LLC Units held by Continuing Pre-IPO LLC Members other than the Company. Changes in the Company’s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244,416 LLC Units held by Continuing Pre-IPO LLC Members were exchanged for shares of Class A common stock of the Company pursuant to the terms of the Amended LLC Agreement. In addition, 3,176,112 restricted stock units (“RSUs”) vested and 1,035,719 shares of Class A common stock were withheld to cover withholding tax obligations, resulting in the net issuance of 2,140,393 shares of Class A common stock of the Company. Pursuant to the Definitive OpCo second amended and restated limited liability company agreement entered into in connection with the IPO, LLC Units were issued on a one-for-one basis in connection with the vesting of RSUs.</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and December 31, 2025, the Company held ownership interests in Definitive OpCo of 73.6% and 73.1%, respectively, and noncontrolling interests of 26.4% and 26.9%, respectively</w:t>
      </w:r>
      <w:r>
        <w:rPr>
          <w:rFonts w:ascii="Times New Roman" w:hAnsi="Times New Roman"/>
          <w:color w:val="000000"/>
          <w:sz w:val="24"/>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Accumulated Other Comprehensive (Deficit)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changes in AOCI for the three and six months ended June 30, 2026 and 2025, respectively. </w:t>
      </w:r>
    </w:p>
    <w:tbl>
      <w:tblPr>
        <w:tblW w:w="10335" w:type="dxa"/>
        <w:jc w:val="left"/>
        <w:tblInd w:w="0" w:type="dxa"/>
        <w:tblLayout w:type="fixed"/>
        <w:tblCellMar>
          <w:top w:w="28" w:type="dxa"/>
          <w:left w:w="28" w:type="dxa"/>
          <w:bottom w:w="28" w:type="dxa"/>
          <w:right w:w="28" w:type="dxa"/>
        </w:tblCellMar>
      </w:tblPr>
      <w:tblGrid>
        <w:gridCol w:w="1426"/>
        <w:gridCol w:w="222"/>
        <w:gridCol w:w="664"/>
        <w:gridCol w:w="166"/>
        <w:gridCol w:w="364"/>
        <w:gridCol w:w="597"/>
        <w:gridCol w:w="166"/>
        <w:gridCol w:w="306"/>
        <w:gridCol w:w="700"/>
        <w:gridCol w:w="166"/>
        <w:gridCol w:w="211"/>
        <w:gridCol w:w="631"/>
        <w:gridCol w:w="166"/>
        <w:gridCol w:w="146"/>
        <w:gridCol w:w="222"/>
        <w:gridCol w:w="664"/>
        <w:gridCol w:w="166"/>
        <w:gridCol w:w="345"/>
        <w:gridCol w:w="616"/>
        <w:gridCol w:w="166"/>
        <w:gridCol w:w="306"/>
        <w:gridCol w:w="700"/>
        <w:gridCol w:w="166"/>
        <w:gridCol w:w="211"/>
        <w:gridCol w:w="631"/>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335" w:type="dxa"/>
        <w:jc w:val="left"/>
        <w:tblInd w:w="0" w:type="dxa"/>
        <w:tblLayout w:type="fixed"/>
        <w:tblCellMar>
          <w:top w:w="28" w:type="dxa"/>
          <w:left w:w="28" w:type="dxa"/>
          <w:bottom w:w="28" w:type="dxa"/>
          <w:right w:w="28" w:type="dxa"/>
        </w:tblCellMar>
      </w:tblPr>
      <w:tblGrid>
        <w:gridCol w:w="1426"/>
        <w:gridCol w:w="222"/>
        <w:gridCol w:w="664"/>
        <w:gridCol w:w="166"/>
        <w:gridCol w:w="345"/>
        <w:gridCol w:w="616"/>
        <w:gridCol w:w="166"/>
        <w:gridCol w:w="306"/>
        <w:gridCol w:w="700"/>
        <w:gridCol w:w="166"/>
        <w:gridCol w:w="211"/>
        <w:gridCol w:w="631"/>
        <w:gridCol w:w="166"/>
        <w:gridCol w:w="146"/>
        <w:gridCol w:w="222"/>
        <w:gridCol w:w="664"/>
        <w:gridCol w:w="166"/>
        <w:gridCol w:w="345"/>
        <w:gridCol w:w="616"/>
        <w:gridCol w:w="166"/>
        <w:gridCol w:w="306"/>
        <w:gridCol w:w="700"/>
        <w:gridCol w:w="166"/>
        <w:gridCol w:w="211"/>
        <w:gridCol w:w="631"/>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Stockholders’ Equity and Equity-Based Compensation</w:t>
      </w:r>
      <w:r>
        <w:rPr>
          <w:rFonts w:ascii="Times New Roman" w:hAnsi="Times New Roman"/>
          <w:color w:val="000000"/>
          <w:sz w:val="20"/>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and six months ended June 30, 2026 and 2025, respectively, is provided in the following table.</w:t>
      </w:r>
    </w:p>
    <w:tbl>
      <w:tblPr>
        <w:tblW w:w="7507" w:type="dxa"/>
        <w:jc w:val="left"/>
        <w:tblInd w:w="0" w:type="dxa"/>
        <w:tblLayout w:type="fixed"/>
        <w:tblCellMar>
          <w:top w:w="28" w:type="dxa"/>
          <w:left w:w="28" w:type="dxa"/>
          <w:bottom w:w="28" w:type="dxa"/>
          <w:right w:w="28" w:type="dxa"/>
        </w:tblCellMar>
      </w:tblPr>
      <w:tblGrid>
        <w:gridCol w:w="2446"/>
        <w:gridCol w:w="246"/>
        <w:gridCol w:w="257"/>
        <w:gridCol w:w="697"/>
        <w:gridCol w:w="178"/>
        <w:gridCol w:w="178"/>
        <w:gridCol w:w="257"/>
        <w:gridCol w:w="697"/>
        <w:gridCol w:w="146"/>
        <w:gridCol w:w="146"/>
        <w:gridCol w:w="211"/>
        <w:gridCol w:w="677"/>
        <w:gridCol w:w="146"/>
        <w:gridCol w:w="146"/>
        <w:gridCol w:w="211"/>
        <w:gridCol w:w="677"/>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accelerated the vesting of 40,782 and 191,901 previously unvested time-based RSUs, respectively, in connection with the departure of executive-level employees. The remaining unvested shares held by the award holder were forfeited upon separation, and the modifications resulted in an incremental stock-based compensation charge of approximately $0.2 million during the six months ended June 30, 2026. Charges associated with the accelerated vesting during the three months ended June 30, 2026 were not material.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and six months ended June 30, 2025, the Company accelerated the vesting of 258,886 and 357,808 previously unvested time-based RSUs, respectively, in connection with the departure of certain executive-level employees. The remaining unvested shares held by the award holders were forfeited upon separation, and the modifications resulted in an incremental stock-based compensation charge of approximately $0.3 million and $0.6 million during the three and six months ended June 30, 2025, respectively.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Performance Stock Units (“PSUs”)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During the first quarter of 2026, the Company granted PSUs to certain members of its executive leadership team, pursuant to the 2021 Plan. These awards vest based on the satisfaction of certain service conditions and performance-based conditions measured over a cumulative three-year period ended December 31, 2028. The earned payout of these PSUs, if at all, will range from 0% to 200% of target, based upon achievement of certain cumulative performance goals, which include certain financial targets determined by the Company. For fiscal year 2026, the financial targets have been determined, with the fiscal year 2027 and 2028 targets to be determined within 75 days following the end of the previous applicable fiscal year, and the three-year cumulative performance targets set in 2028. In accordance with ASC 718, </w:t>
      </w:r>
      <w:r>
        <w:rPr>
          <w:rFonts w:ascii="Times New Roman" w:hAnsi="Times New Roman"/>
          <w:i/>
          <w:color w:val="000000"/>
          <w:sz w:val="20"/>
        </w:rPr>
        <w:t>Compensation - 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2028. In addition, the awards are not forfeited in the event an interim annual target for the previous fiscal years is not attained and accordingly, there is no service inception date prior to the grant date. Accordingly, measurement of stock-based compensation attributed to these PSUs will be based on the grant date fair value once the grant date is determined, with the resulting stock-based compensation expense recorded over the substantive service period in 2028.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PSUs with Market Conditions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During fiscal year 2025, the Company granted PSUs to certain executives with a relative total stockholder return (“TSR”) component, pursuant to the 2021 Plan. These awards vest based on the satisfaction of certain service conditions, market conditions, and performance-based conditions measured over a cumulative three-year period ended December 31, 2027. The earned payout of these PSUs, if at all, will range from 0% to 200% of target, based upon achievement of certain cumulative performance goals, which include revenue and adjusted EBITDA margin targets determined by the Company with a relative TSR multiplier up to plus or minus 20%. For fiscal year 2026, the revenue and adjusted EBITDA margin targets have been determined, with the fiscal year 2027 targets to be determined within 75 days following the end of the previous applicable fiscal year, and the three-year cumulative performance targets set in 2027. In accordance with ASC 718, Compensation - </w:t>
      </w:r>
      <w:r>
        <w:rPr>
          <w:rFonts w:ascii="Times New Roman" w:hAnsi="Times New Roman"/>
          <w:i/>
          <w:color w:val="000000"/>
          <w:sz w:val="20"/>
        </w:rPr>
        <w:t>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2027. In addition, the awards are not forfeited in the event an interim annual target for the previous fiscal years is not attained and accordingly, there is no service inception date prior to the grant date. Accordingly, measurement of stock-based compensation attributed to these PSUs will be based on the grant date fair value using a Monte-Carlo valuation model once the grant date is determined, with the resulting stock-based compensation expense recorded over the substantive service period in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approximately $0.7 million and $1.2 million in stock-based compensation expense associated with PSUs during the three months ended June 30, 2026 and 2025, respectively, and approximately $1.5 million and $2.4 million during the six months ended June 30, 2026 and 2025, respectively.</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management performed an assessment of the recoverability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has recorded net deferred tax liabilities of $9.5 million and $13.5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was 4.4% and (5.2)% for the three months ended June 30, 2026 and 2025, respectively, and 1.9% and 6.0% for the six months ended June 30, 2026 and 2025, respectively. The Company’s effective tax rate differs from the statutory tax rate of 21% due to the valuation allowance recorded, foreign tax rates that differ from the U.S. statutory tax rate, and partnership income that is not taxed.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Company’s election under Section 754 of the Code, the Company expects to obtain an increase in its share of the tax basis in the net assets of Definitive OpCo when LLC Units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entered into a Tax Receivable Agreement (“TRA”) among the Company, Definitive OpCo, and the TRA Parties and has recorded a liability under the TRA of $12.7 million and $27.2 million as of June 30, 2026 and December 31, 2025, respectively. The $14.5 million decrease in the TRA liability during the six months ended June 30, 2026 was primarily driven by a $6.6 million remeasurement of the liability based on future realizability of tax attributes with an offsetting adjustment to statement of operations and $8.1 million of payments to TRA Parties, while concurrently increasing $0.2 million with an offsetting adjustment to additional paid-in capital for current year exchange transactions and redemptions.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of Class A common stock is computed by dividing net income attributable to the Company by the weighted-average number of shares of Class A common stock outstanding during the period, excluding unvested equity awards and subsidiary member units not exchanged. Diluted earnings per share of Class A common stock is calculated by dividing net income attributable to the Company, adjusted for the assumed exchange of all potentially dilutive securities by the weighted-average number of shares of Class A common stock outstanding.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reconciliation of the numerator used to compute basic and diluted net loss per share of Class A common stock for the three and six months ended June 30, 2026 and 2025. </w:t>
      </w:r>
    </w:p>
    <w:tbl>
      <w:tblPr>
        <w:tblW w:w="10009" w:type="dxa"/>
        <w:jc w:val="left"/>
        <w:tblInd w:w="0" w:type="dxa"/>
        <w:tblLayout w:type="fixed"/>
        <w:tblCellMar>
          <w:top w:w="28" w:type="dxa"/>
          <w:left w:w="28" w:type="dxa"/>
          <w:bottom w:w="28" w:type="dxa"/>
          <w:right w:w="28" w:type="dxa"/>
        </w:tblCellMar>
      </w:tblPr>
      <w:tblGrid>
        <w:gridCol w:w="4426"/>
        <w:gridCol w:w="219"/>
        <w:gridCol w:w="657"/>
        <w:gridCol w:w="256"/>
        <w:gridCol w:w="256"/>
        <w:gridCol w:w="219"/>
        <w:gridCol w:w="657"/>
        <w:gridCol w:w="266"/>
        <w:gridCol w:w="246"/>
        <w:gridCol w:w="211"/>
        <w:gridCol w:w="841"/>
        <w:gridCol w:w="246"/>
        <w:gridCol w:w="246"/>
        <w:gridCol w:w="211"/>
        <w:gridCol w:w="84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 for the three and six months ended June 30, 2026 and 2025 (per share amounts unaudited).</w:t>
      </w:r>
    </w:p>
    <w:tbl>
      <w:tblPr>
        <w:tblW w:w="10205" w:type="dxa"/>
        <w:jc w:val="left"/>
        <w:tblInd w:w="0" w:type="dxa"/>
        <w:tblLayout w:type="fixed"/>
        <w:tblCellMar>
          <w:top w:w="28" w:type="dxa"/>
          <w:left w:w="28" w:type="dxa"/>
          <w:bottom w:w="28" w:type="dxa"/>
          <w:right w:w="28" w:type="dxa"/>
        </w:tblCellMar>
      </w:tblPr>
      <w:tblGrid>
        <w:gridCol w:w="3470"/>
        <w:gridCol w:w="211"/>
        <w:gridCol w:w="1141"/>
        <w:gridCol w:w="166"/>
        <w:gridCol w:w="146"/>
        <w:gridCol w:w="211"/>
        <w:gridCol w:w="1141"/>
        <w:gridCol w:w="166"/>
        <w:gridCol w:w="146"/>
        <w:gridCol w:w="211"/>
        <w:gridCol w:w="1141"/>
        <w:gridCol w:w="166"/>
        <w:gridCol w:w="146"/>
        <w:gridCol w:w="211"/>
        <w:gridCol w:w="1141"/>
        <w:gridCol w:w="391"/>
      </w:tblGrid>
      <w:tr>
        <w:trPr/>
        <w:tc>
          <w:tcPr>
            <w:tcW w:w="3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of Class A common stock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105,810,516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106,815,740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105,245,928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109,782,640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potentially dilutive securities excluded from the computation of diluted net loss per share for the period presented because their effect would have been anti-dilutive:</w:t>
      </w:r>
    </w:p>
    <w:tbl>
      <w:tblPr>
        <w:tblW w:w="7233" w:type="dxa"/>
        <w:jc w:val="left"/>
        <w:tblInd w:w="0" w:type="dxa"/>
        <w:tblLayout w:type="fixed"/>
        <w:tblCellMar>
          <w:top w:w="28" w:type="dxa"/>
          <w:left w:w="28" w:type="dxa"/>
          <w:bottom w:w="28" w:type="dxa"/>
          <w:right w:w="28" w:type="dxa"/>
        </w:tblCellMar>
      </w:tblPr>
      <w:tblGrid>
        <w:gridCol w:w="4186"/>
        <w:gridCol w:w="146"/>
        <w:gridCol w:w="1036"/>
        <w:gridCol w:w="246"/>
        <w:gridCol w:w="246"/>
        <w:gridCol w:w="146"/>
        <w:gridCol w:w="103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OpCo LLC Units (vested and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38,094,660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38,395,357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20,762,911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15,384,682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Segment Data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2025 Form 10-K.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operating financial results of our single reportable segment, including revenue, significant expenses regularly provided to the CODM, and net loss:</w:t>
      </w:r>
    </w:p>
    <w:p>
      <w:pPr>
        <w:pStyle w:val="TextBody"/>
        <w:bidi w:val="0"/>
        <w:spacing w:before="120" w:after="283"/>
        <w:jc w:val="left"/>
        <w:rPr/>
      </w:pPr>
      <w:r>
        <w:rPr/>
        <w:t> </w:t>
      </w:r>
    </w:p>
    <w:tbl>
      <w:tblPr>
        <w:tblW w:w="8995" w:type="dxa"/>
        <w:jc w:val="left"/>
        <w:tblInd w:w="0" w:type="dxa"/>
        <w:tblLayout w:type="fixed"/>
        <w:tblCellMar>
          <w:top w:w="28" w:type="dxa"/>
          <w:left w:w="28" w:type="dxa"/>
          <w:bottom w:w="28" w:type="dxa"/>
          <w:right w:w="28" w:type="dxa"/>
        </w:tblCellMar>
      </w:tblPr>
      <w:tblGrid>
        <w:gridCol w:w="3466"/>
        <w:gridCol w:w="146"/>
        <w:gridCol w:w="229"/>
        <w:gridCol w:w="734"/>
        <w:gridCol w:w="180"/>
        <w:gridCol w:w="158"/>
        <w:gridCol w:w="229"/>
        <w:gridCol w:w="734"/>
        <w:gridCol w:w="166"/>
        <w:gridCol w:w="146"/>
        <w:gridCol w:w="211"/>
        <w:gridCol w:w="841"/>
        <w:gridCol w:w="166"/>
        <w:gridCol w:w="146"/>
        <w:gridCol w:w="211"/>
        <w:gridCol w:w="84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net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For the three months ended June 30, 2026, other segment items, net includes a TRA remeasurement gain of $0.1</w:t>
      </w:r>
      <w:r>
        <w:rPr>
          <w:rFonts w:ascii="sans-serif" w:hAnsi="sans-serif"/>
          <w:color w:val="000000"/>
          <w:sz w:val="22"/>
        </w:rPr>
        <w:t xml:space="preserve"> </w:t>
      </w:r>
      <w:r>
        <w:rPr>
          <w:rFonts w:ascii="Times New Roman" w:hAnsi="Times New Roman"/>
          <w:color w:val="000000"/>
          <w:sz w:val="20"/>
        </w:rPr>
        <w:t>million, depreciation and amortization expense of $8.5</w:t>
      </w:r>
      <w:r>
        <w:rPr>
          <w:rFonts w:ascii="sans-serif" w:hAnsi="sans-serif"/>
          <w:color w:val="000000"/>
          <w:sz w:val="22"/>
        </w:rPr>
        <w:t xml:space="preserve"> </w:t>
      </w:r>
      <w:r>
        <w:rPr>
          <w:rFonts w:ascii="Times New Roman" w:hAnsi="Times New Roman"/>
          <w:color w:val="000000"/>
          <w:sz w:val="20"/>
        </w:rPr>
        <w:t>million, interest expense of $2.6</w:t>
      </w:r>
      <w:r>
        <w:rPr>
          <w:rFonts w:ascii="sans-serif" w:hAnsi="sans-serif"/>
          <w:color w:val="000000"/>
          <w:sz w:val="22"/>
        </w:rPr>
        <w:t xml:space="preserve"> </w:t>
      </w:r>
      <w:r>
        <w:rPr>
          <w:rFonts w:ascii="Times New Roman" w:hAnsi="Times New Roman"/>
          <w:color w:val="000000"/>
          <w:sz w:val="20"/>
        </w:rPr>
        <w:t>million, interest income of $1.3</w:t>
      </w:r>
      <w:r>
        <w:rPr>
          <w:rFonts w:ascii="sans-serif" w:hAnsi="sans-serif"/>
          <w:color w:val="000000"/>
          <w:sz w:val="22"/>
        </w:rPr>
        <w:t xml:space="preserve"> </w:t>
      </w:r>
      <w:r>
        <w:rPr>
          <w:rFonts w:ascii="Times New Roman" w:hAnsi="Times New Roman"/>
          <w:color w:val="000000"/>
          <w:sz w:val="20"/>
        </w:rPr>
        <w:t>million, transaction, integration, and restructuring expenses of $2.0</w:t>
      </w:r>
      <w:r>
        <w:rPr>
          <w:rFonts w:ascii="sans-serif" w:hAnsi="sans-serif"/>
          <w:color w:val="000000"/>
          <w:sz w:val="22"/>
        </w:rPr>
        <w:t xml:space="preserve"> </w:t>
      </w:r>
      <w:r>
        <w:rPr>
          <w:rFonts w:ascii="Times New Roman" w:hAnsi="Times New Roman"/>
          <w:color w:val="000000"/>
          <w:sz w:val="20"/>
        </w:rPr>
        <w:t>million, and a net foreign currency transaction gain of $0.3</w:t>
      </w:r>
      <w:r>
        <w:rPr>
          <w:rFonts w:ascii="sans-serif" w:hAnsi="sans-serif"/>
          <w:color w:val="000000"/>
          <w:sz w:val="22"/>
        </w:rPr>
        <w:t xml:space="preserve"> </w:t>
      </w:r>
      <w:r>
        <w:rPr>
          <w:rFonts w:ascii="Times New Roman" w:hAnsi="Times New Roman"/>
          <w:color w:val="000000"/>
          <w:sz w:val="20"/>
        </w:rPr>
        <w:t>million. For the three months ended June 30, 2025, other segment items, net includes a tax receivable agreement remeasurement loss of $2.9</w:t>
      </w:r>
      <w:r>
        <w:rPr>
          <w:rFonts w:ascii="sans-serif" w:hAnsi="sans-serif"/>
          <w:color w:val="000000"/>
          <w:sz w:val="22"/>
        </w:rPr>
        <w:t xml:space="preserve"> </w:t>
      </w:r>
      <w:r>
        <w:rPr>
          <w:rFonts w:ascii="Times New Roman" w:hAnsi="Times New Roman"/>
          <w:color w:val="000000"/>
          <w:sz w:val="20"/>
        </w:rPr>
        <w:t>million, depreciation and amortization expense of $9.0</w:t>
      </w:r>
      <w:r>
        <w:rPr>
          <w:rFonts w:ascii="sans-serif" w:hAnsi="sans-serif"/>
          <w:color w:val="000000"/>
          <w:sz w:val="22"/>
        </w:rPr>
        <w:t xml:space="preserve"> </w:t>
      </w:r>
      <w:r>
        <w:rPr>
          <w:rFonts w:ascii="Times New Roman" w:hAnsi="Times New Roman"/>
          <w:color w:val="000000"/>
          <w:sz w:val="20"/>
        </w:rPr>
        <w:t>million, interest expense of $3.0</w:t>
      </w:r>
      <w:r>
        <w:rPr>
          <w:rFonts w:ascii="sans-serif" w:hAnsi="sans-serif"/>
          <w:color w:val="000000"/>
          <w:sz w:val="22"/>
        </w:rPr>
        <w:t xml:space="preserve"> </w:t>
      </w:r>
      <w:r>
        <w:rPr>
          <w:rFonts w:ascii="Times New Roman" w:hAnsi="Times New Roman"/>
          <w:color w:val="000000"/>
          <w:sz w:val="20"/>
        </w:rPr>
        <w:t>million, interest income of $1.7</w:t>
      </w:r>
      <w:r>
        <w:rPr>
          <w:rFonts w:ascii="sans-serif" w:hAnsi="sans-serif"/>
          <w:color w:val="000000"/>
          <w:sz w:val="22"/>
        </w:rPr>
        <w:t xml:space="preserve"> </w:t>
      </w:r>
      <w:r>
        <w:rPr>
          <w:rFonts w:ascii="Times New Roman" w:hAnsi="Times New Roman"/>
          <w:color w:val="000000"/>
          <w:sz w:val="20"/>
        </w:rPr>
        <w:t>million, transaction, integration, and restructuring expenses of $0.7</w:t>
      </w:r>
      <w:r>
        <w:rPr>
          <w:rFonts w:ascii="sans-serif" w:hAnsi="sans-serif"/>
          <w:color w:val="000000"/>
          <w:sz w:val="22"/>
        </w:rPr>
        <w:t xml:space="preserve"> </w:t>
      </w:r>
      <w:r>
        <w:rPr>
          <w:rFonts w:ascii="Times New Roman" w:hAnsi="Times New Roman"/>
          <w:color w:val="000000"/>
          <w:sz w:val="20"/>
        </w:rPr>
        <w:t>million, and net foreign currency transaction losses of $0.5</w:t>
      </w:r>
      <w:r>
        <w:rPr>
          <w:rFonts w:ascii="sans-serif" w:hAnsi="sans-serif"/>
          <w:color w:val="000000"/>
          <w:sz w:val="22"/>
        </w:rPr>
        <w:t xml:space="preserve"> </w:t>
      </w:r>
      <w:r>
        <w:rPr>
          <w:rFonts w:ascii="Times New Roman" w:hAnsi="Times New Roman"/>
          <w:color w:val="000000"/>
          <w:sz w:val="20"/>
        </w:rPr>
        <w:t>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sans-serif" w:hAnsi="sans-serif"/>
          <w:sz w:val="22"/>
        </w:rPr>
      </w:pPr>
      <w:r>
        <w:rPr>
          <w:rFonts w:ascii="Times New Roman" w:hAnsi="Times New Roman"/>
          <w:color w:val="000000"/>
          <w:sz w:val="20"/>
        </w:rPr>
        <w:t>For the six months ended June 30, 2026, other segment items, net includes a goodwill impairment charge of $197.2</w:t>
      </w:r>
      <w:r>
        <w:rPr>
          <w:rFonts w:ascii="sans-serif" w:hAnsi="sans-serif"/>
          <w:color w:val="000000"/>
          <w:sz w:val="22"/>
        </w:rPr>
        <w:t xml:space="preserve"> </w:t>
      </w:r>
      <w:r>
        <w:rPr>
          <w:rFonts w:ascii="Times New Roman" w:hAnsi="Times New Roman"/>
          <w:color w:val="000000"/>
          <w:sz w:val="20"/>
        </w:rPr>
        <w:t>million, a TRA remeasurement gain of $6.6</w:t>
      </w:r>
      <w:r>
        <w:rPr>
          <w:rFonts w:ascii="sans-serif" w:hAnsi="sans-serif"/>
          <w:color w:val="000000"/>
          <w:sz w:val="22"/>
        </w:rPr>
        <w:t xml:space="preserve"> </w:t>
      </w:r>
      <w:r>
        <w:rPr>
          <w:rFonts w:ascii="Times New Roman" w:hAnsi="Times New Roman"/>
          <w:color w:val="000000"/>
          <w:sz w:val="20"/>
        </w:rPr>
        <w:t>million, depreciation and amortization expense of $16.9</w:t>
      </w:r>
      <w:r>
        <w:rPr>
          <w:rFonts w:ascii="sans-serif" w:hAnsi="sans-serif"/>
          <w:color w:val="000000"/>
          <w:sz w:val="22"/>
        </w:rPr>
        <w:t xml:space="preserve"> </w:t>
      </w:r>
      <w:r>
        <w:rPr>
          <w:rFonts w:ascii="Times New Roman" w:hAnsi="Times New Roman"/>
          <w:color w:val="000000"/>
          <w:sz w:val="20"/>
        </w:rPr>
        <w:t>million, interest expense of $5.3</w:t>
      </w:r>
      <w:r>
        <w:rPr>
          <w:rFonts w:ascii="sans-serif" w:hAnsi="sans-serif"/>
          <w:color w:val="000000"/>
          <w:sz w:val="22"/>
        </w:rPr>
        <w:t xml:space="preserve"> </w:t>
      </w:r>
      <w:r>
        <w:rPr>
          <w:rFonts w:ascii="Times New Roman" w:hAnsi="Times New Roman"/>
          <w:color w:val="000000"/>
          <w:sz w:val="20"/>
        </w:rPr>
        <w:t>million, interest income of $2.6</w:t>
      </w:r>
      <w:r>
        <w:rPr>
          <w:rFonts w:ascii="sans-serif" w:hAnsi="sans-serif"/>
          <w:color w:val="000000"/>
          <w:sz w:val="22"/>
        </w:rPr>
        <w:t xml:space="preserve"> </w:t>
      </w:r>
      <w:r>
        <w:rPr>
          <w:rFonts w:ascii="Times New Roman" w:hAnsi="Times New Roman"/>
          <w:color w:val="000000"/>
          <w:sz w:val="20"/>
        </w:rPr>
        <w:t>million, transaction, integration, and restructuring expenses of $1.3</w:t>
      </w:r>
      <w:r>
        <w:rPr>
          <w:rFonts w:ascii="sans-serif" w:hAnsi="sans-serif"/>
          <w:color w:val="000000"/>
          <w:sz w:val="22"/>
        </w:rPr>
        <w:t xml:space="preserve"> </w:t>
      </w:r>
      <w:r>
        <w:rPr>
          <w:rFonts w:ascii="Times New Roman" w:hAnsi="Times New Roman"/>
          <w:color w:val="000000"/>
          <w:sz w:val="20"/>
        </w:rPr>
        <w:t>million, and a net foreign currency transaction gain of $0.6</w:t>
      </w:r>
      <w:r>
        <w:rPr>
          <w:rFonts w:ascii="sans-serif" w:hAnsi="sans-serif"/>
          <w:color w:val="000000"/>
          <w:sz w:val="22"/>
        </w:rPr>
        <w:t xml:space="preserve"> </w:t>
      </w:r>
      <w:r>
        <w:rPr>
          <w:rFonts w:ascii="Times New Roman" w:hAnsi="Times New Roman"/>
          <w:color w:val="000000"/>
          <w:sz w:val="20"/>
        </w:rPr>
        <w:t>million. For the six months ended June 30, 2025, other segment items, net includes a goodwill impairment charge of $176.5</w:t>
      </w:r>
      <w:r>
        <w:rPr>
          <w:rFonts w:ascii="sans-serif" w:hAnsi="sans-serif"/>
          <w:color w:val="000000"/>
          <w:sz w:val="22"/>
        </w:rPr>
        <w:t xml:space="preserve"> </w:t>
      </w:r>
      <w:r>
        <w:rPr>
          <w:rFonts w:ascii="Times New Roman" w:hAnsi="Times New Roman"/>
          <w:color w:val="000000"/>
          <w:sz w:val="20"/>
        </w:rPr>
        <w:t>million, a tax receivable agreement remeasurement gain of $17.8</w:t>
      </w:r>
      <w:r>
        <w:rPr>
          <w:rFonts w:ascii="sans-serif" w:hAnsi="sans-serif"/>
          <w:color w:val="000000"/>
          <w:sz w:val="22"/>
        </w:rPr>
        <w:t xml:space="preserve"> </w:t>
      </w:r>
      <w:r>
        <w:rPr>
          <w:rFonts w:ascii="Times New Roman" w:hAnsi="Times New Roman"/>
          <w:color w:val="000000"/>
          <w:sz w:val="20"/>
        </w:rPr>
        <w:t>million, depreciation and amortization expense of $17.5</w:t>
      </w:r>
      <w:r>
        <w:rPr>
          <w:rFonts w:ascii="sans-serif" w:hAnsi="sans-serif"/>
          <w:color w:val="000000"/>
          <w:sz w:val="22"/>
        </w:rPr>
        <w:t xml:space="preserve"> </w:t>
      </w:r>
      <w:r>
        <w:rPr>
          <w:rFonts w:ascii="Times New Roman" w:hAnsi="Times New Roman"/>
          <w:color w:val="000000"/>
          <w:sz w:val="20"/>
        </w:rPr>
        <w:t>million, interest expense of $5.4</w:t>
      </w:r>
      <w:r>
        <w:rPr>
          <w:rFonts w:ascii="sans-serif" w:hAnsi="sans-serif"/>
          <w:color w:val="000000"/>
          <w:sz w:val="22"/>
        </w:rPr>
        <w:t xml:space="preserve"> </w:t>
      </w:r>
      <w:r>
        <w:rPr>
          <w:rFonts w:ascii="Times New Roman" w:hAnsi="Times New Roman"/>
          <w:color w:val="000000"/>
          <w:sz w:val="20"/>
        </w:rPr>
        <w:t>million, interest income of $3.8</w:t>
      </w:r>
      <w:r>
        <w:rPr>
          <w:rFonts w:ascii="sans-serif" w:hAnsi="sans-serif"/>
          <w:color w:val="000000"/>
          <w:sz w:val="22"/>
        </w:rPr>
        <w:t xml:space="preserve"> </w:t>
      </w:r>
      <w:r>
        <w:rPr>
          <w:rFonts w:ascii="Times New Roman" w:hAnsi="Times New Roman"/>
          <w:color w:val="000000"/>
          <w:sz w:val="20"/>
        </w:rPr>
        <w:t>million, transaction integration, and restructuring expenses of $1.9</w:t>
      </w:r>
      <w:r>
        <w:rPr>
          <w:rFonts w:ascii="sans-serif" w:hAnsi="sans-serif"/>
          <w:color w:val="000000"/>
          <w:sz w:val="22"/>
        </w:rPr>
        <w:t xml:space="preserve"> </w:t>
      </w:r>
      <w:r>
        <w:rPr>
          <w:rFonts w:ascii="Times New Roman" w:hAnsi="Times New Roman"/>
          <w:color w:val="000000"/>
          <w:sz w:val="20"/>
        </w:rPr>
        <w:t>million, net foreign currency transaction losses of $1.5</w:t>
      </w:r>
      <w:r>
        <w:rPr>
          <w:rFonts w:ascii="sans-serif" w:hAnsi="sans-serif"/>
          <w:color w:val="000000"/>
          <w:sz w:val="22"/>
        </w:rPr>
        <w:t xml:space="preserve"> </w:t>
      </w:r>
      <w:r>
        <w:rPr>
          <w:rFonts w:ascii="Times New Roman" w:hAnsi="Times New Roman"/>
          <w:color w:val="000000"/>
          <w:sz w:val="20"/>
        </w:rPr>
        <w:t>million, and a loss on the partial extinguishment of debt of $0.5</w:t>
      </w:r>
      <w:r>
        <w:rPr>
          <w:rFonts w:ascii="sans-serif" w:hAnsi="sans-serif"/>
          <w:color w:val="000000"/>
          <w:sz w:val="22"/>
        </w:rPr>
        <w:t xml:space="preserve"> </w:t>
      </w:r>
      <w:r>
        <w:rPr>
          <w:rFonts w:ascii="Times New Roman" w:hAnsi="Times New Roman"/>
          <w:color w:val="000000"/>
          <w:sz w:val="20"/>
        </w:rPr>
        <w:t>million.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18. Related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231F20"/>
          <w:sz w:val="20"/>
        </w:rPr>
        <w:t>The Company has engaged in revenue transactions within the ordinary course of business with entities affiliated with its Sponsors and with members of the Board. During the three months ended June 30, 2026 and 2025, the Company recorded revenue from related parties of $0.1</w:t>
      </w:r>
      <w:r>
        <w:rPr>
          <w:rFonts w:ascii="Times New Roman" w:hAnsi="Times New Roman"/>
          <w:color w:val="000000"/>
          <w:sz w:val="20"/>
        </w:rPr>
        <w:t xml:space="preserve"> million in each period</w:t>
      </w:r>
      <w:r>
        <w:rPr>
          <w:rFonts w:ascii="Times New Roman" w:hAnsi="Times New Roman"/>
          <w:color w:val="231F20"/>
          <w:sz w:val="20"/>
        </w:rPr>
        <w:t>. During the six months ended June 30, 2026 and 2025, the Company recorded revenue from related parties of $0.3 million in each period. Receivables for related party revenue transactions amounted to nil at June 30, 2026 and December 31, 2025,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During the three months ended June 30, 2026 and 2025, the Company paid $1.3 million and $0.1 million, respectively, to related parties for transactions within the ordinary course of business, and $1.9 million and $0.4 million during the six months ended June 30, 2026 and 2025, respectively. Payables to related parties amounted to $0.6 million and $0.2 million at June 30, 2026 and December 31,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2025 Form 10-K.</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2025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data and analytics. We provide accurate, comprehensive information on healthcare providers and their activities, enabling customers to make informed decisions across product development, go-to-market planning, and sales and marketing execution. We also offer claims and consumer analytics built from modeled data on millions of unique consumers to help healthcare organizations target, message, and engage specific healthcare audiences. Delivered through our software as a service products and solutions, our data is important to the commercial success of our approximately 2,200 customers as of June 30, 2026. We generally define a customer as a company that maintains one or more active paid subscriptions.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 three primary end markets: Life Sciences, Provider, and Diversified. Our Life Sciences customers comprise biopharmaceutical and medical device companies. Providers comprise hospitals, health systems, and other care delivery organizations. Diversified customers include healthcare information technology companies and other organizations operating within the healthcare market, such as staffing firms, commercial real estate firms, financial institutions, and marketing and advertising agencies. Within these organizations, our data serves a broad set of functional groups, including sales, marketing, clinical research, product development, strategy, talent acquisition, and physician network management. Customers access our data products on a subscription basis, and we generate substantially all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Jason Krantz. Mr. Krantz founded the company to provide healthcare commercial intelligence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$11 billion that includes a more focused serviceable addressable market of approximately $7 billion. In total, our target universe includes more than 100,000 potential customers that we believe could benefit from our products.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first quarter of 2026 and during fiscal year 2025, we experienced declines in our market capitalization as a result of sustained decreases in our stock price, which represented triggering events requiring management to perform quantitative goodwill impairment tests as of the end of the impacted reporting periods. As a result of the impairment tests, we determined that the fair value of our single reporting unit was lower than its carrying value and, accordingly, recorded non-cash, pretax, goodwill impairment charges of $197.2 million during the first quarter of 2026 and $196.1 million during fiscal year 2025. See Note 7. </w:t>
      </w:r>
      <w:r>
        <w:rPr>
          <w:rFonts w:ascii="Times New Roman" w:hAnsi="Times New Roman"/>
          <w:i/>
          <w:color w:val="000000"/>
          <w:sz w:val="20"/>
        </w:rPr>
        <w:t>Goodwill and Intangible Assets</w:t>
      </w:r>
      <w:r>
        <w:rPr>
          <w:rFonts w:ascii="Times New Roman" w:hAnsi="Times New Roman"/>
          <w:color w:val="000000"/>
          <w:sz w:val="20"/>
        </w:rPr>
        <w:t xml:space="preserve"> to our accompanying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goodwill impairment charges did not affect our liquidity or the financial covenants in our outstanding debt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we committed to a restructuring plan (the “2026 Restructuring Plan”) intended to reduce operating costs, improve operating margins, and continue advancing the Company’s ongoing commitment to profitable growth. The 2026 Restructuring Plan provided for a reduction of our current workforce by approximately 40 people. During the first quarter of 2026, we incurred restructuring and related charges of approximately $1.1 million, consisting of severance payments, employee benefits, and related cash expenses. No additional charges were incurred during the three months ended June 30, 2026. As of June 30, 2026, $0.1 million was included in accrued expenses and other liabilities in the unaudited condensed consolidated balance sheets. We expect these payments will be made over the next three months. In addition, we do not expect to incur further material charges associated with the 2026 Restructuring Plan. There were no charges incurred during the three months ended June 30, 2025 related to previous restructuring plans, and charges incurred during the six months ended June 30, 2025 were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second quarter of 2026, we incurred $0.2 million in impairment charges of the operating lease right-of-use assets (“ROU assets”) related to a previous consolidation of certain leased office space at our corporate headquarters. These charges were recognized within transaction, integration, and restructuring expenses in our unaudited condensed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Execution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made significant changes to our go-to-market team that reduced overlay expenses, created a separate group and sales motion for our small and medium sized customers, and allocated more resources to our Enterprise Customers (as the term is defined below). These changes created disruptions to our sales efforts beginning in 2024, impacting both new customer acquisition and upsell to existing customers. These factors, in addition to the lower than historical renewal rates we observed through fiscal year 2025, have impacted, and we expect will continue to impact, our results in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Innovation and AI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Throughout the year, we have been investing in the build of Turbo, our AI-powered healthcare intelligence platform, and we are beginning an initial pilot in the third quarter with select strategic customers. Turbo is designed to provide a conversational experience that enables customers to leverage our proprietary healthcare intelligence and data assets to support commercial, strategic and product decision-making. We expect customer feedback from the pilot program to inform the platform's broader market launch.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Non-Compliance with Nasdaq’s Minimum Bid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18, 2026, we received a written notice from the Listing Qualifications Department of The Nasdaq Stock Market LLC (“Nasdaq”) indicating that we were not in compliance with the minimum bid price requirement for continued listing on The Nasdaq Global Select Market because the closing bid price of our common stock was below $1.00 per share for 30 consecutive business days. The notice has no immediate effect on the listing or trading of our common stock, which continues to trade under the symbol “DH.”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notice states that we have a compliance period of 180 calendar days, or until December 15, 2026, to regain compliance with the minimum bid price requirement. The notice further states that if we do not regain compliance during the initial 180-calendar-day compliance period, we may be eligible for an additional 180-calendar-day compliance period, provided that we meet certain listing requirements. If it appears to Nasdaq staff that we will not be able to cure the deficiency, or if we are otherwise not eligible for the additional compliance period, Nasdaq will provide notice that our securities will be subject to delisting.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actively monitor the closing bid price of our common stock and consider available options to regain compliance with the minimum bid price requirement. There can be no assurance that we will be able to regain compliance with the minimum bid price requirement during the initial compliance period or any additional compliance period, or that we will otherwise maintain compliance with the other Nasdaq listing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2022, our current and prospective customers, along with their business spending, have been affected by challenging macroeconomic conditions to varying degrees. This has contributed to heightened customer churn relative to historical levels. These trends have been particularly pronounced for smaller customers and in the Life Sciences market. The elevated churn has impacted our revenue growth since 2023, and we expect this will continue to have an impact on our growth in 2026. However, late in 2025 and through the first half of 2026, we have been seeing modest signs of improvement in the macroeconomic backdrop, with healthier demand trends, more normalized procurement cycles, improving customer retention dynamics, and increased visibility into customer budgets, all of which are encouraging signs we will continue to monitor.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 in Ukraine and the regional instability in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 We worked throughout 2025 to mitigate potential risk through renegotiation of select existing agreements and the addition of new data sources, which includes new data sources introduced into our offerings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total customer count, which includes smaller customers, was approximately 2,200 as of June 30, 2026, compared with approximately 2,400 customers as of June 30, 2025. Our Enterprise Customer accounts have decreased by 33 to 477 customers as of June 30, 2026 compared with 510 customers as of June 30, 2025. Our smaller customers have churned at disproportionately higher rates year-over-year, primarily due to current macroeconomic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w:t>
      </w:r>
    </w:p>
    <w:p>
      <w:pPr>
        <w:pStyle w:val="TextBody"/>
        <w:bidi w:val="0"/>
        <w:spacing w:before="24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opportunity to generate additional revenue from our existing customer base of approximately 2,200 customers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expanding usage of our platform with our existing customers is demonstrated by our NDR, which is further described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is driven in part by our ability to apply our deep healthcare domain expertise to innovate and expand our platform. We have continually created new products since our founding in 2011. We have and plan to continue to invest significantly into our engineering and research and development efforts to enhance our capabilities and functionality and facilitate the expansion of our integrated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sz w:val="20"/>
        </w:rPr>
      </w:pPr>
      <w:r>
        <w:rPr>
          <w:rFonts w:ascii="Times New Roman" w:hAnsi="Times New Roman"/>
          <w:b/>
          <w:i/>
          <w:color w:val="000000"/>
          <w:sz w:val="20"/>
        </w:rPr>
        <w:t>Net Dollar Retention Rate (“NDR”)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Remaining Performance Obligations (“cRPO”)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2026 relative to 2025. In addition, we experienced a drop in the mix of new customers committing to multi-year subscriptions versus single-year subscriptions, resulting in reductions to cRPO and total remaining performance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our current and total remaining performance obligations as of June 30, 2026 and December 31, 2025: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213,372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we derived approximately 96%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execution challenges, as previously mentioned, coupled with sustained macroeconomic headwinds, continue to negatively impact our sales efforts. Accordingly, we expect our revenue to decline in 2026 compared with 2025.</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including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Includes amortization expense for technology and data acquired in business combinations and asset purchase agreements. We anticipate that amortization will only increase if we make additional acquisitions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 We worked throughout 2025 to mitigate potential risk through the renegotiation of select existing agreements and the addition of new data sources, which includes new data sources introduced into our offerings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declines, in combination with our largely fixed cost structure, are expected to result in a decrease in gross profit margin in 2026. Additionally, we received one-time credits during fiscal year 2025 resulting from renegotiations on existing data contracts, which will not repeat and will contribute to a year-over-year decrease in gross profit margins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make targeted investments in growth areas like enhancing our digital marketing capabilities.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 In fiscal year 2025, we made investments in software application development tools and have shifted more development efforts to innovation and growth initiatives, both of which have been resulted in increases to capitalized software and payroll.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business combinations, and purchases of data assets, as well as depreciation of property and equipment. We anticipate depreciation of property and equipment as a percentage of revenue to moderately increase as we continue to make investments in internal software development.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strategic partnership, and integration activities we have undertaken, primarily accounting, legal due diligence, consulting, and advisory fees, restructuring initiatives, and office relocations and consolidations.</w:t>
      </w:r>
    </w:p>
    <w:p>
      <w:pPr>
        <w:pStyle w:val="TextBody"/>
        <w:bidi w:val="0"/>
        <w:spacing w:before="120" w:after="283"/>
        <w:jc w:val="left"/>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Goodwill represents the excess of consideration transferred over the fair value of tangible and identifiable intangible net assets acquired and the liabilities assumed in a business combination. Substantially all of our goodwill was recognized in the purchase price allocations when we were acquired in 2019 by Advent (the “Advent Acquisition”), with smaller incremental amounts recognized in subsequent business combinations. Goodwill is not amortized but is rather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In the first quarter of 2026 and during fiscal year 2025, we experienced declines in our market capitalization as a result of sustained decreases in our stock price, which represented triggering events requiring our management to perform quantitative goodwill impairment tests as of the end of each impacted reporting period. As a result of the impairment tests, we determined that the fair value of our single reporting unit was lower than its carrying value and, accordingly, recorded non-cash, pre-tax, goodwill impairment charges of $197.2 million in the first quarter of 2026 and $196.1 million during fiscal year 2025. The goodwill impairment charges did not affect our liquidity or the financial covenants in our outstanding debt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consists of interest expense on our debt obligations and the amortization of debt discounts and debt issuance costs.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consists of earnings resulting from our cash and cash equivalents and short-term investments.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consists primarily of the revaluation of TRA liabilities, realized and unrealized gains and losses related to the impact of transactions denominated in a foreign currency, and the loss on partial extinguishment of debt resulting from the refinancing of our credit agreement in fiscal year 2025. Significant changes in the projected liability resulting from the TRA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a summary of our unaudited condensed consolidated statements of operations for the periods presented: </w:t>
      </w:r>
    </w:p>
    <w:tbl>
      <w:tblPr>
        <w:tblW w:w="12122" w:type="dxa"/>
        <w:jc w:val="left"/>
        <w:tblInd w:w="0" w:type="dxa"/>
        <w:tblLayout w:type="fixed"/>
        <w:tblCellMar>
          <w:top w:w="28" w:type="dxa"/>
          <w:left w:w="28" w:type="dxa"/>
          <w:bottom w:w="28" w:type="dxa"/>
          <w:right w:w="28" w:type="dxa"/>
        </w:tblCellMar>
      </w:tblPr>
      <w:tblGrid>
        <w:gridCol w:w="2551"/>
        <w:gridCol w:w="1346"/>
        <w:gridCol w:w="211"/>
        <w:gridCol w:w="676"/>
        <w:gridCol w:w="266"/>
        <w:gridCol w:w="246"/>
        <w:gridCol w:w="211"/>
        <w:gridCol w:w="676"/>
        <w:gridCol w:w="1266"/>
        <w:gridCol w:w="1246"/>
        <w:gridCol w:w="211"/>
        <w:gridCol w:w="841"/>
        <w:gridCol w:w="266"/>
        <w:gridCol w:w="246"/>
        <w:gridCol w:w="211"/>
        <w:gridCol w:w="841"/>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46,613</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290,229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279,329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(208,038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br/>
        <w:t>Three Months Ended June 30, 2026 compared to Three Months Ended June 30, 2025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$5.6 million, or 9%, in the three months ended June 30, 2026 compared with the same period in the prior year due to lower subscription revenue of $5.4 million and lower professional services revenue of $0.2 million. Revenue attributable to customers that existed prior to the start of 2026 decreased $7.8 million, which was partially offset by a $2.2 million increase in revenue from new customers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$0.5 million, or 4%, in the three months ended June 30, 2026 compared with the same period in the prior year. The increase was primarily due to a $1.0 million increase in hosting fees and data subscription and collection costs, driven by expanded customer usage of our platform, and a $0.2 million increase in revenue sharing costs aimed at growing the activation line of our business. Also contributing to the year-over-year increase were one-time credits received in the prior year period from data contract renegotiations that did not repeat in the current period. These increases were partially offset by a decrease of $0.6 million in personnel costs resulting from a decrease in headcount and a $0.1 million decrease in amortization expense resulting primarily from certain data assets that were fully amortized during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decreased $3.5 million, or 7%, during the three months ended June 30, 2026 compared with the same period in the prior year. The decrease was primarily due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$1.3 million for the three months ended June 30, 2026, primarily driven by lower personnel costs, including stock-based compensation expense, resulting from reduced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$1.2 million for the three months ended June 30, 2026, primarily driven by lower personnel costs, including stock-based compensation expense, resulting from the 2026 Restructuring Plan and the departure of certain executive-level employees, combined with increased capitalized labor and overhead relating to product development initiatives, partially offset by an increase in recruiting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general and administrative expense of $1.9 million for the three months ended June 30, 2026, primarily driven by lower personnel costs, including stock-based compensation expense, resulting from a decrease in headcount and equity grants issued at lower stock prices, lower franchise taxes, lower recruiting fees, and the absence of consulting fees and severance costs, which were incurred in the prior year period, associated with strategic transition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$0.5 million for the three months ended June 30, 2026, primarily as a result of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transaction, integration, and restructuring expenses of $1.4 million for the three months ended June 30, 2026, primarily driven by the settlement of an earnout matter in the current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net was $1.1 million for the three months ended June 30, 2026 compared to $4.6 million in the same period in the prior year, primarily due to variability in the remeasurement of the TRA liability, which is driven by future realizability of tax attributes payable under the TRA.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(Provision For)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Benefit from income taxes was $0.3 million for the three months ended June 30, 2026 compared to a provision for income taxes of $0.5 million in the comparable prior year period. There were no individually significant drivers that contributed to the change from the comparable period in the prior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Six Months Ended June 30, 2026 compared to Six Months Ended June 30, 2025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$8.8 million, or 7%, in the six months ended June 30, 2026 compared with the same period in the prior year due to lower subscription revenue of $9.1 million, partially offset by higher professional services revenue of $0.3 million. Revenue attributable to customers that existed prior to the start of 2026 decreased $12.0 million, which was partially offset by a $3.2 million increase in revenue from new customers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decreased $0.6 million, or 2%, in the six months ended June 30, 2026 compared with the same period in the prior year. The decrease was driven primarily by a $0.9 million decrease in data subscription and collection costs, primarily as a result of favorable renegotiations on and exits from major data contracts during the prior year. We also experienced a $0.5 million decrease in amortization expense resulting primarily from certain data assets that were fully amortized during 2025, along with a decrease of $0.8 million in personnel costs resulting from a decrease in headcount. These decreases were partially offset by a $1.1 million increase in hosting fees driven by expanded customer usage of our platform, and a $0.5 million increase in revenue sharing costs aimed at growing the activation line of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increased $10.9 million, or 4%, during the six months ended June 30, 2026 compared with the same period in the prior year. The increase was primarily due to a goodwill impairment charge of $197.2 million incurred in the current year period, compared to $176.5 million incurred in the prior year period,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$2.4 million for the six months ended June 30, 2026, primarily due to lower personnel costs in the current period, including stock-based compensation expense, resulting from reduced headcount, lower costs associated with new software applications compared with the prior year, and lower consulting fees, partially offset by increased costs associated with certain sales and marketing events and campaigns in the current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$4.0 million for the six months ended June 30, 2026, primarily driven by lower personnel costs, including stock-based compensation expense, resulting from the 2026 Restructuring Plan and the departure of certain executive-level employees, combined with increased capitalized labor and overhead relating to product development initiatives, partially offset by increased costs associated with new software applications and an increase in recruiting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general and administrative expense of $2.1 million for the six months ended June 30, 2026, primarily driven by lower personnel costs, including stock-based compensation expense, resulting from a decrease in headcount and equity grants issued at lower stock prices, lower franchise taxes, lower recruiting fees, and the absence of consulting fees and severance costs, which were incurred in the prior year period, associated with strategic transition initiatives, partially offset by an increase in professional fees in connection with the evaluation of strategic, financial, tax, and capital structure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$0.7 million for the six months ended June 30, 2026, primarily driven by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transaction, integration, and restructuring expenses of $0.7 million for the six months ended June 30, 2026, primarily driven by an adjustment in the current period for a favorable settlement of a major data contract that was terminated in 2025 while integrating a prior acquisition, partially offset by the settlement of an earnout matter in the current period and restructuring costs incurred associated with the 2026 Restructuring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$4.5 million for the six months ended June 30, 2026 compared to $14.2 million in the same period in the prior year, primarily due to variability in the remeasurement of the TRA liability resulting primarily from goodwill impairment activity during the respective periods, which can affect the expected amount and timing of future TRA payments. While overall goodwill impairment levels were somewhat comparable year over year, the impact on the TRA liability in the current period was more limited, resulting in a smaller remeasurement gain compared to the prior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Benefit from income taxes was $3.8 million for the six months ended June 30, 2026 compared to $10.4 million in the comparable prior year period. Benefits from income taxes were primarily driven by goodwill impairments in both periods, resulting in reductions of indefinite-lived deferred tax liabilities. The decrease in the benefit from income taxes year-over-year was primarily driven by variability in the allocation of the goodwill impairment charges to applicable subsidiaries.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measures to Adjusted EBITDA and Adjusted EBITDA Margin are GAAP net loss and GAAP net loss margin,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Gross Profit and Adjusted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Adjusted Gross Margin is defined as Adjusted Gross Profit as a percentage of revenue. These are key metrics used by management and our Board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respectively, for the periods presented: </w:t>
      </w:r>
    </w:p>
    <w:tbl>
      <w:tblPr>
        <w:tblW w:w="10964" w:type="dxa"/>
        <w:jc w:val="left"/>
        <w:tblInd w:w="0" w:type="dxa"/>
        <w:tblLayout w:type="fixed"/>
        <w:tblCellMar>
          <w:top w:w="28" w:type="dxa"/>
          <w:left w:w="28" w:type="dxa"/>
          <w:bottom w:w="28" w:type="dxa"/>
          <w:right w:w="28" w:type="dxa"/>
        </w:tblCellMar>
      </w:tblPr>
      <w:tblGrid>
        <w:gridCol w:w="1651"/>
        <w:gridCol w:w="146"/>
        <w:gridCol w:w="211"/>
        <w:gridCol w:w="676"/>
        <w:gridCol w:w="146"/>
        <w:gridCol w:w="146"/>
        <w:gridCol w:w="227"/>
        <w:gridCol w:w="494"/>
        <w:gridCol w:w="271"/>
        <w:gridCol w:w="146"/>
        <w:gridCol w:w="211"/>
        <w:gridCol w:w="676"/>
        <w:gridCol w:w="146"/>
        <w:gridCol w:w="146"/>
        <w:gridCol w:w="227"/>
        <w:gridCol w:w="494"/>
        <w:gridCol w:w="271"/>
        <w:gridCol w:w="146"/>
        <w:gridCol w:w="211"/>
        <w:gridCol w:w="676"/>
        <w:gridCol w:w="146"/>
        <w:gridCol w:w="146"/>
        <w:gridCol w:w="227"/>
        <w:gridCol w:w="494"/>
        <w:gridCol w:w="271"/>
        <w:gridCol w:w="146"/>
        <w:gridCol w:w="211"/>
        <w:gridCol w:w="676"/>
        <w:gridCol w:w="146"/>
        <w:gridCol w:w="146"/>
        <w:gridCol w:w="227"/>
        <w:gridCol w:w="49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Amortization of intangible assets resulting from acquisition-related purchase accounting adjustments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resulting from purchase accounting adjustments represents non-cash amortization of acquired intangibles, primarily resulting from the Advent Acquisition.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net and loss on partial extinguishment of debt, (ii) benefit from income taxes, and (iii) depreciation and amortization. Management further adjusts EBITDA in its presentation of Adjusted EBITDA to exclude (i) other income, net,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respectively, for the periods presented: </w:t>
      </w:r>
    </w:p>
    <w:tbl>
      <w:tblPr>
        <w:tblW w:w="11999" w:type="dxa"/>
        <w:jc w:val="left"/>
        <w:tblInd w:w="0" w:type="dxa"/>
        <w:tblLayout w:type="fixed"/>
        <w:tblCellMar>
          <w:top w:w="28" w:type="dxa"/>
          <w:left w:w="28" w:type="dxa"/>
          <w:bottom w:w="28" w:type="dxa"/>
          <w:right w:w="28" w:type="dxa"/>
        </w:tblCellMar>
      </w:tblPr>
      <w:tblGrid>
        <w:gridCol w:w="1286"/>
        <w:gridCol w:w="246"/>
        <w:gridCol w:w="196"/>
        <w:gridCol w:w="601"/>
        <w:gridCol w:w="266"/>
        <w:gridCol w:w="246"/>
        <w:gridCol w:w="213"/>
        <w:gridCol w:w="508"/>
        <w:gridCol w:w="341"/>
        <w:gridCol w:w="246"/>
        <w:gridCol w:w="196"/>
        <w:gridCol w:w="601"/>
        <w:gridCol w:w="266"/>
        <w:gridCol w:w="246"/>
        <w:gridCol w:w="213"/>
        <w:gridCol w:w="508"/>
        <w:gridCol w:w="341"/>
        <w:gridCol w:w="246"/>
        <w:gridCol w:w="196"/>
        <w:gridCol w:w="751"/>
        <w:gridCol w:w="266"/>
        <w:gridCol w:w="246"/>
        <w:gridCol w:w="180"/>
        <w:gridCol w:w="541"/>
        <w:gridCol w:w="341"/>
        <w:gridCol w:w="246"/>
        <w:gridCol w:w="196"/>
        <w:gridCol w:w="751"/>
        <w:gridCol w:w="266"/>
        <w:gridCol w:w="246"/>
        <w:gridCol w:w="180"/>
        <w:gridCol w:w="541"/>
        <w:gridCol w:w="286"/>
      </w:tblGrid>
      <w:tr>
        <w:trPr/>
        <w:tc>
          <w:tcPr>
            <w:tcW w:w="1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Net loss</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(199,806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(164,358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(Benefit from) provision for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partial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Depreciation &amp;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13,778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14,338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28,155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(173,852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(144,504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Other (income) expense, net </w:t>
            </w:r>
            <w:r>
              <w:rPr>
                <w:rFonts w:ascii="Times New Roman" w:hAnsi="Times New Roman"/>
                <w:color w:val="000000"/>
                <w:sz w:val="11"/>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Equity-based compensation </w:t>
            </w:r>
            <w:r>
              <w:rPr>
                <w:rFonts w:ascii="Times New Roman" w:hAnsi="Times New Roman"/>
                <w:color w:val="000000"/>
                <w:sz w:val="11"/>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Transaction, integration, and restructuring expenses </w:t>
            </w:r>
            <w:r>
              <w:rPr>
                <w:rFonts w:ascii="Times New Roman" w:hAnsi="Times New Roman"/>
                <w:color w:val="000000"/>
                <w:sz w:val="11"/>
              </w:rPr>
              <w:t>(c)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Goodwill impairment </w:t>
            </w:r>
            <w:r>
              <w:rPr>
                <w:rFonts w:ascii="Times New Roman" w:hAnsi="Times New Roman"/>
                <w:color w:val="000000"/>
                <w:sz w:val="11"/>
              </w:rPr>
              <w:t>(d)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Other non-core items </w:t>
            </w:r>
            <w:r>
              <w:rPr>
                <w:rFonts w:ascii="Times New Roman" w:hAnsi="Times New Roman"/>
                <w:color w:val="000000"/>
                <w:sz w:val="11"/>
              </w:rPr>
              <w: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Adjusted 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29,947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Primarily represents foreign exchange and TRA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and integration expenses consist primarily of legal, accounting, consulting, and other costs incurred in connection with acquisitions and strategic partnerships, including fair value adjustments related to contingent consideration. For the periods presented, these expenses include a first quarter 2026 adjustment from the favorable settlement of a significant data contract terminated in 2025 in connection with the integration of a prior acquisition, and a second quarter 2026 adjustment related to the settlement of an earnout matter. Restructuring expenses consist primarily of severance and other employee separation benefits under the Company’s restructuring plans, as well as impairment and other charges related to office closures, relocations, and consolidations.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6"/>
        <w:gridCol w:w="546"/>
        <w:gridCol w:w="231"/>
        <w:gridCol w:w="627"/>
        <w:gridCol w:w="270"/>
        <w:gridCol w:w="270"/>
        <w:gridCol w:w="231"/>
        <w:gridCol w:w="462"/>
        <w:gridCol w:w="646"/>
        <w:gridCol w:w="646"/>
        <w:gridCol w:w="211"/>
        <w:gridCol w:w="631"/>
        <w:gridCol w:w="266"/>
        <w:gridCol w:w="246"/>
        <w:gridCol w:w="211"/>
        <w:gridCol w:w="571"/>
        <w:gridCol w:w="214"/>
      </w:tblGrid>
      <w:tr>
        <w:trPr/>
        <w:tc>
          <w:tcPr>
            <w:tcW w:w="39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quarters of 2026 and 2025. As a result of the impairment tests conducted, we determined that the fair value of our single reporting unit was lower than its carrying value and, accordingly, recorded the impairment charges.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regulatory and advisory costs isolated to unique and extraordinary litigation, legal, regulatory, and other matters that are not considered normal and recurring business activity, including professional fees in connection with the evaluation of strategic, financial, tax, and capital structure alternatives. Other non-core items also include consulting fees and severance costs associated with strategic transition initiatives, as well as other non-core items.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50"/>
        <w:gridCol w:w="546"/>
        <w:gridCol w:w="247"/>
        <w:gridCol w:w="494"/>
        <w:gridCol w:w="288"/>
        <w:gridCol w:w="288"/>
        <w:gridCol w:w="247"/>
        <w:gridCol w:w="494"/>
        <w:gridCol w:w="646"/>
        <w:gridCol w:w="646"/>
        <w:gridCol w:w="211"/>
        <w:gridCol w:w="573"/>
        <w:gridCol w:w="246"/>
        <w:gridCol w:w="246"/>
        <w:gridCol w:w="211"/>
        <w:gridCol w:w="573"/>
        <w:gridCol w:w="199"/>
      </w:tblGrid>
      <w:tr>
        <w:trPr/>
        <w:tc>
          <w:tcPr>
            <w:tcW w:w="405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regulatory, and advisory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June 30, 2026, we had $170.9 million of cash and cash equivalents, $12.7 million of short-term investments, and $49.7 million available under our Revolving Credit Facility (as the term is defined below). Our principal sources of liquidity are cash and cash equivalents and short-term investments on hand, as well as the cash flows we generate from operations. Our principal uses of liquidity have been, and are expected to continue to be, primarily for investment in long-term growth of the business through capital expenditures and acquisitions, as well as for various other financing activities, including debt services (see Note 9. </w:t>
      </w:r>
      <w:r>
        <w:rPr>
          <w:rFonts w:ascii="Times New Roman" w:hAnsi="Times New Roman"/>
          <w:i/>
          <w:color w:val="000000"/>
          <w:sz w:val="20"/>
        </w:rPr>
        <w:t>Long-Term Debt</w:t>
      </w:r>
      <w:r>
        <w:rPr>
          <w:rFonts w:ascii="Times New Roman" w:hAnsi="Times New Roman"/>
          <w:color w:val="000000"/>
          <w:sz w:val="20"/>
        </w:rPr>
        <w:t xml:space="preserve"> to our accompanying unaudited condensed consolidated financial statements for further details), repurchases of our Class A common stock, distributions to members of Definitive OpCo, and payments under our TRA liability. </w:t>
      </w:r>
    </w:p>
    <w:p>
      <w:pPr>
        <w:pStyle w:val="TextBody"/>
        <w:bidi w:val="0"/>
        <w:spacing w:before="120" w:after="283"/>
        <w:jc w:val="left"/>
        <w:rPr>
          <w:rFonts w:ascii="Times New Roman" w:hAnsi="Times New Roman"/>
          <w:sz w:val="20"/>
        </w:rPr>
      </w:pPr>
      <w:r>
        <w:rPr>
          <w:rFonts w:ascii="Times New Roman" w:hAnsi="Times New Roman"/>
          <w:color w:val="000000"/>
          <w:sz w:val="20"/>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hAnsi="Times New Roman"/>
          <w:color w:val="231F20"/>
          <w:sz w:val="20"/>
        </w:rPr>
        <w:t>’</w:t>
      </w:r>
      <w:r>
        <w:rPr>
          <w:rFonts w:ascii="Times New Roman" w:hAnsi="Times New Roman"/>
          <w:color w:val="000000"/>
          <w:sz w:val="20"/>
        </w:rPr>
        <w:t xml:space="preserve">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and in the long term.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2025 Form 10-K and the factors described elsewhere in this “Management’s Discussion and Analysis of Financial Condition and Results of Operations.” Macroeconomic conditions, including fluctuating inflation and high interest rates,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 In addition, if we are unable to regain compliance with Nasdaq’s continued listing requirements, our ability to access capital markets and raise additional financing on favorable terms could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our financial instruments approximate fair value.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tbl>
      <w:tblPr>
        <w:tblW w:w="10205" w:type="dxa"/>
        <w:jc w:val="left"/>
        <w:tblInd w:w="0" w:type="dxa"/>
        <w:tblLayout w:type="fixed"/>
        <w:tblCellMar>
          <w:top w:w="28" w:type="dxa"/>
          <w:left w:w="28" w:type="dxa"/>
          <w:bottom w:w="28" w:type="dxa"/>
          <w:right w:w="28" w:type="dxa"/>
        </w:tblCellMar>
      </w:tblPr>
      <w:tblGrid>
        <w:gridCol w:w="6557"/>
        <w:gridCol w:w="546"/>
        <w:gridCol w:w="211"/>
        <w:gridCol w:w="736"/>
        <w:gridCol w:w="266"/>
        <w:gridCol w:w="246"/>
        <w:gridCol w:w="211"/>
        <w:gridCol w:w="841"/>
        <w:gridCol w:w="591"/>
      </w:tblGrid>
      <w:tr>
        <w:trPr/>
        <w:tc>
          <w:tcPr>
            <w:tcW w:w="655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$23.0 million during the six months ended June 30, 2026, primarily as a result of a net loss of $199.8 million, offset by non-cash charges of $231.9 million. The non-cash charges were primarily comprised of $197.2 million in goodwill impairment charges recorded during the six months ended June 30, 2026, a gain on remeasurement of the TRA of $6.6 million, amortization of intangible assets of $25.0 million, equity compensation costs of $10.5 million, amortization of deferred contract costs of $7.4 million, and a decrease in deferred taxes of $4.0 million. The net decrease in operating assets and liabilities of $9.1 million for the six months ended June 30, 2026 was primarily driven by cash outflows resulting from lower accounts payable, accrued expenses, and other liabilities, collectively, of $13.5 million, an increase in deferred contract costs of $5.8 million, an increase in prepaid expenses and other assets of $0.9 million, and a decrease in deferred revenue of $10.0 million due to the timing of billings and cash received in advance of revenue recognition for subscription services. These factors were partially offset by cash inflows resulting from a decrease in accounts receivable of $21.2 million.</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six months ended June 30, 2026 was $1.3 million, driven primarily by $12.5 million in purchases of short-term investments and $6.1 million in purchases of property (including software), equipment, and data assets, partially offset by $17.3 million in maturities of short-term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six months ended June 30, 2026 was $13.9 million, driven by payments of $8.1 million under the TRA, net repayments of the 2021 Term Loan (as defined below) of $4.4 million, and taxes paid related to the net share settlement of equity awards of $1.4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a credit agreement, as amended (the “2021 Credit Agreement”), providing for a $175.0 million term loan facility (the “2021 Term Loan”) and a $50.0 million revolving credit facility (the “Revolving Credit Facility”), each of which matures on January 16, 2030. The obligations under the 2021 Credit Agreement are secured by pledges of assets as described in the 2025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repaid $4.4 million in outstanding principal of the 2021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no outstanding borrowings under the Revolving Credit Facility and had $49.7 million of available borrowing capacity after giving effect to $0.3 million of outstanding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 compliance with our financial covenants under the 2021 Credit Agreement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financing costs related to the Revolving Credit Facility, which were included in other assets in the unaudited condensed consolidated balance sheets, were $0.4 million and $0.5 million as of June 30,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the 2021 Term Loan, lease payments, and purchase obligations. There have been no material changes to our financing obligations during the six months ended June 30, 2026. Refer to Note 5. </w:t>
      </w:r>
      <w:r>
        <w:rPr>
          <w:rFonts w:ascii="Times New Roman" w:hAnsi="Times New Roman"/>
          <w:i/>
          <w:color w:val="000000"/>
          <w:sz w:val="20"/>
        </w:rPr>
        <w:t>Leases</w:t>
      </w:r>
      <w:r>
        <w:rPr>
          <w:rFonts w:ascii="Times New Roman" w:hAnsi="Times New Roman"/>
          <w:color w:val="000000"/>
          <w:sz w:val="20"/>
        </w:rPr>
        <w:t xml:space="preserve"> and Note 14. </w:t>
      </w:r>
      <w:r>
        <w:rPr>
          <w:rFonts w:ascii="Times New Roman" w:hAnsi="Times New Roman"/>
          <w:i/>
          <w:color w:val="000000"/>
          <w:sz w:val="20"/>
        </w:rPr>
        <w:t>Commitments and Contingencies</w:t>
      </w:r>
      <w:r>
        <w:rPr>
          <w:rFonts w:ascii="Times New Roman" w:hAnsi="Times New Roman"/>
          <w:color w:val="000000"/>
          <w:sz w:val="20"/>
        </w:rPr>
        <w:t xml:space="preserve"> to our consolidated financial statements included in our 2025 Form 10-K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our Board authorized a stock repurchase program of up to $20.0 million of our Class A common stock, which expired on December 31, 2024 (the “2024 Repurchase Program”). In November 2024, our Board announced a new stock repurchase program (the “2025 Repurchase Program” and, together with the 2024 Repurchase Program, the “Repurchase Programs”) of our Class A common stock authorizing up to $100.0 million in share repurchases. The 2025 Repurchase Program expired on December 31, 2025. In total, 13,880,866 shares of our Class A common stock were repurchased under the Repurchase Programs from May 2024 through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hAnsi="Times New Roman"/>
          <w:i/>
          <w:color w:val="000000"/>
          <w:sz w:val="20"/>
        </w:rPr>
        <w:t>Income Taxes</w:t>
      </w:r>
      <w:r>
        <w:rPr>
          <w:rFonts w:ascii="Times New Roman" w:hAnsi="Times New Roman"/>
          <w:color w:val="000000"/>
          <w:sz w:val="20"/>
        </w:rPr>
        <w:t xml:space="preserve"> to our accompanying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requirement of our lease agreement for our corporate headquarters, in lieu of a security deposit, we provided a standby letter of credit of $0.3 million, which is effective through March 2038. </w:t>
      </w:r>
    </w:p>
    <w:p>
      <w:pPr>
        <w:pStyle w:val="TextBody"/>
        <w:bidi w:val="0"/>
        <w:spacing w:before="24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decreased by $3.9 million to $6.1 million for the six months ended June 30, 2026 compared to $10.0 million for the same period in the prior year, primarily driven by lower spend on software, using both internal and third-party resources, and data assets in the current year compared with the comparable prior year period.</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2025 included in our 2025 Form 10-K. There have been no material changes to these policies or estimates as of June 30, 2026. </w:t>
      </w:r>
    </w:p>
    <w:p>
      <w:pPr>
        <w:pStyle w:val="TextBody"/>
        <w:bidi w:val="0"/>
        <w:spacing w:before="240" w:after="283"/>
        <w:jc w:val="left"/>
        <w:rPr>
          <w:rFonts w:ascii="Times New Roman" w:hAnsi="Times New Roman"/>
          <w:sz w:val="20"/>
        </w:rPr>
      </w:pPr>
      <w:r>
        <w:rPr>
          <w:rFonts w:ascii="Times New Roman" w:hAnsi="Times New Roman"/>
          <w:b/>
          <w:i/>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new accounting pronouncements described under “—Recently Issued Accounting Pronouncements Not Yet Adopted” within Note 1. </w:t>
      </w:r>
      <w:r>
        <w:rPr>
          <w:rFonts w:ascii="Times New Roman" w:hAnsi="Times New Roman"/>
          <w:i/>
          <w:color w:val="000000"/>
          <w:sz w:val="20"/>
        </w:rPr>
        <w:t>Organization and Basis of Presentation</w:t>
      </w:r>
      <w:r>
        <w:rPr>
          <w:rFonts w:ascii="Times New Roman" w:hAnsi="Times New Roman"/>
          <w:color w:val="000000"/>
          <w:sz w:val="20"/>
        </w:rPr>
        <w:t xml:space="preserve"> to our accompanying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condition due to adverse changes in financial market prices and rates. Our market risk exposure is primarily a result of exposure due to potential changes in inflation, interest rates, or currency rates. There have been no material changes to our quantitative and qualitative disclosures about market risk as compared to the quantitative and qualitative disclosures about market risk described in our 2025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its objectives, and management necessarily applies its judgment in evaluating the cost-benefit relationship of possible controls and procedures. Based on such evaluation, our Chief Executive Officer and Chief Financial Officer have concluded that our disclosure controls and procedures were effective as of June 30, 2026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fiscal quarter ended June 30, 2026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the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addition to the matter discussed in Part I, 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 </w:t>
      </w:r>
    </w:p>
    <w:p>
      <w:pPr>
        <w:pStyle w:val="TextBody"/>
        <w:bidi w:val="0"/>
        <w:spacing w:before="20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Other than described below, management believes that there have been no significant changes to the risk factors associated with our business as compared to those disclosed in Part 1, Item 1A of our 2025 Form 10-K.</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We have received a notice of delisting or failure to satisfy a continued listing rule from Nasdaq. If we are unable to regain or maintain compliance, our Class A common stock could be delisted, which could adversely affect our stock price, liquidity, and ability to raise capital.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18, 2026, we received a letter from the Listing Qualifications Department of The Nasdaq Stock Market LLC (“Nasdaq”) providing notification that, for the 30 consecutive business days ended June 17, 2026, the bid price for our Class A common stock had closed below the minimum $1.00 per share requirement for continued listing on The Nasdaq Global Select Market under Nasdaq Listing Rule 5450(a)(1). In accordance with Nasdaq Listing Rule 5810(c)(3)(A), we have been provided an initial period of 180 calendar days, or until December 15, 2026, to regain compliance. To regain compliance, the closing bid price of our Class A common stock must be $1.00 per share or more for a minimum of 10 consecutive business days at any time before December 15,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notice has no immediate effect on the listing of the Class A common stock, which continues to trade on The Nasdaq Global Select Market under symbol “DH,” or on our business operations or reporting obligations with the SEC. If we regain compliance, Nasdaq will provide us with written confirmation and will close the matter.</w:t>
      </w:r>
    </w:p>
    <w:p>
      <w:pPr>
        <w:pStyle w:val="TextBody"/>
        <w:bidi w:val="0"/>
        <w:spacing w:before="0" w:after="160"/>
        <w:jc w:val="left"/>
        <w:rPr>
          <w:rFonts w:ascii="Times New Roman" w:hAnsi="Times New Roman"/>
          <w:sz w:val="20"/>
        </w:rPr>
      </w:pPr>
      <w:r>
        <w:rPr>
          <w:rFonts w:ascii="Times New Roman" w:hAnsi="Times New Roman"/>
          <w:color w:val="000000"/>
          <w:sz w:val="20"/>
        </w:rPr>
        <w:t>If we do not regain compliance during the initial compliance period, Nasdaq may issue a delisting determination with respect to our Class A common stock, which could result in the delisting of our Class A common stock from Nasdaq. We intend to monitor the bid price of the Class A common stock and will consider options available to us to achieve compliance. However, there can be no assurance that we will regain compliance within the applicable compliance period or otherwise maintain compliance with Nasdaq’s continued listing requirements. If our Class A common stock is delisted from Nasdaq, the market liquidity for our Class A common stock could be adversely affected and the trading price of our Class A common stock could decline. A delisting could also make it more difficult for us to raise additional capital on acceptable terms, or at all, which could adversely affect our business, financial condition and results of operations.</w:t>
      </w:r>
      <w:r>
        <w:rPr>
          <w:rFonts w:ascii="Times New Roman" w:hAnsi="Times New Roman"/>
          <w:color w:val="000000"/>
          <w:sz w:val="24"/>
        </w:rPr>
        <w:br/>
      </w:r>
      <w:r>
        <w:rPr>
          <w:rFonts w:ascii="Times New Roman" w:hAnsi="Times New Roman"/>
          <w:color w:val="000000"/>
          <w:sz w:val="20"/>
        </w:rPr>
        <w:t> </w:t>
      </w:r>
    </w:p>
    <w:p>
      <w:pPr>
        <w:pStyle w:val="TextBody"/>
        <w:bidi w:val="0"/>
        <w:spacing w:before="80" w:after="283"/>
        <w:jc w:val="left"/>
        <w:rPr>
          <w:rFonts w:ascii="Times New Roman" w:hAnsi="Times New Roman"/>
          <w:b/>
          <w:color w:val="000000"/>
          <w:sz w:val="20"/>
        </w:rPr>
      </w:pPr>
      <w:bookmarkStart w:id="17" w:name="item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June 30, 2026 are as follows:</w:t>
      </w:r>
    </w:p>
    <w:tbl>
      <w:tblPr>
        <w:tblW w:w="4553" w:type="dxa"/>
        <w:jc w:val="left"/>
        <w:tblInd w:w="0" w:type="dxa"/>
        <w:tblLayout w:type="fixed"/>
        <w:tblCellMar>
          <w:top w:w="28" w:type="dxa"/>
          <w:left w:w="28" w:type="dxa"/>
          <w:bottom w:w="28" w:type="dxa"/>
          <w:right w:w="28" w:type="dxa"/>
        </w:tblCellMar>
      </w:tblPr>
      <w:tblGrid>
        <w:gridCol w:w="1606"/>
        <w:gridCol w:w="146"/>
        <w:gridCol w:w="409"/>
        <w:gridCol w:w="220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Exchange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Exchanged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5_othe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57"/>
        <w:gridCol w:w="146"/>
        <w:gridCol w:w="9302"/>
      </w:tblGrid>
      <w:tr>
        <w:trPr/>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2" w:type="dxa"/>
            <w:tcBorders/>
            <w:vAlign w:val="center"/>
          </w:tcPr>
          <w:p>
            <w:pPr>
              <w:pStyle w:val="TableContents"/>
              <w:bidi w:val="0"/>
              <w:spacing w:before="0" w:after="283"/>
              <w:jc w:val="left"/>
              <w:rPr>
                <w:sz w:val="4"/>
                <w:szCs w:val="4"/>
              </w:rPr>
            </w:pPr>
            <w:r>
              <w:rPr>
                <w:sz w:val="4"/>
                <w:szCs w:val="4"/>
              </w:rPr>
            </w:r>
          </w:p>
        </w:tc>
      </w:tr>
      <w:tr>
        <w:trPr/>
        <w:tc>
          <w:tcPr>
            <w:tcW w:w="75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Reorganization Agreement, dated September 14, 2021, between Definitive Healthcare Corp., AIDH TopCo, LLC and the parties named therein (incorporated by reference to Exhibit 10.8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7125" w:type="dxa"/>
        <w:jc w:val="left"/>
        <w:tblInd w:w="0" w:type="dxa"/>
        <w:tblLayout w:type="fixed"/>
        <w:tblCellMar>
          <w:top w:w="28" w:type="dxa"/>
          <w:left w:w="28" w:type="dxa"/>
          <w:bottom w:w="28" w:type="dxa"/>
          <w:right w:w="28" w:type="dxa"/>
        </w:tblCellMar>
      </w:tblPr>
      <w:tblGrid>
        <w:gridCol w:w="1471"/>
        <w:gridCol w:w="146"/>
        <w:gridCol w:w="406"/>
        <w:gridCol w:w="631"/>
        <w:gridCol w:w="4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Executive Officer (</w:t>
            </w:r>
            <w:r>
              <w:rPr>
                <w:rFonts w:ascii="Times New Roman" w:hAnsi="Times New Roman"/>
                <w:i/>
                <w:color w:val="000000"/>
                <w:sz w:val="20"/>
              </w:rPr>
              <w:t>Principal Executive Officer</w:t>
            </w:r>
            <w:r>
              <w:rPr>
                <w:rFonts w:ascii="Times New Roman" w:hAnsi="Times New Roman"/>
                <w:color w:val="000000"/>
                <w:sz w:val="20"/>
              </w:rPr>
              <w:t>)</w:t>
            </w:r>
          </w:p>
        </w:tc>
      </w:tr>
    </w:tbl>
    <w:tbl>
      <w:tblPr>
        <w:tblW w:w="7080" w:type="dxa"/>
        <w:jc w:val="left"/>
        <w:tblInd w:w="0" w:type="dxa"/>
        <w:tblLayout w:type="fixed"/>
        <w:tblCellMar>
          <w:top w:w="28" w:type="dxa"/>
          <w:left w:w="28" w:type="dxa"/>
          <w:bottom w:w="28" w:type="dxa"/>
          <w:right w:w="28" w:type="dxa"/>
        </w:tblCellMar>
      </w:tblPr>
      <w:tblGrid>
        <w:gridCol w:w="1471"/>
        <w:gridCol w:w="146"/>
        <w:gridCol w:w="406"/>
        <w:gridCol w:w="631"/>
        <w:gridCol w:w="442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dh-ex31_1.htm"/>
      <w:bookmarkStart w:id="24" w:name="ksdhex31_1"/>
      <w:bookmarkEnd w:id="23"/>
      <w:bookmarkEnd w:id="24"/>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Kevin Coop,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870" w:type="dxa"/>
        <w:jc w:val="left"/>
        <w:tblInd w:w="0" w:type="dxa"/>
        <w:tblLayout w:type="fixed"/>
        <w:tblCellMar>
          <w:top w:w="28" w:type="dxa"/>
          <w:left w:w="28" w:type="dxa"/>
          <w:bottom w:w="28" w:type="dxa"/>
          <w:right w:w="28" w:type="dxa"/>
        </w:tblCellMar>
      </w:tblPr>
      <w:tblGrid>
        <w:gridCol w:w="556"/>
        <w:gridCol w:w="1516"/>
        <w:gridCol w:w="146"/>
        <w:gridCol w:w="14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August 10,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dh-ex31_2.htm"/>
      <w:bookmarkStart w:id="26" w:name="ksdhex31_2"/>
      <w:bookmarkEnd w:id="25"/>
      <w:bookmarkEnd w:id="26"/>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Casey Heller,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739" w:type="dxa"/>
        <w:jc w:val="left"/>
        <w:tblInd w:w="0" w:type="dxa"/>
        <w:tblLayout w:type="fixed"/>
        <w:tblCellMar>
          <w:top w:w="28" w:type="dxa"/>
          <w:left w:w="28" w:type="dxa"/>
          <w:bottom w:w="28" w:type="dxa"/>
          <w:right w:w="28" w:type="dxa"/>
        </w:tblCellMar>
      </w:tblPr>
      <w:tblGrid>
        <w:gridCol w:w="556"/>
        <w:gridCol w:w="1516"/>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August 10,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dh-ex32_1.htm"/>
      <w:bookmarkStart w:id="28" w:name="ksdhex32_1"/>
      <w:bookmarkEnd w:id="27"/>
      <w:bookmarkEnd w:id="28"/>
      <w:r>
        <w:rPr>
          <w:rFonts w:ascii="Times New Roman" w:hAnsi="Times New Roman"/>
          <w:b/>
          <w:color w:val="000000"/>
          <w:sz w:val="20"/>
        </w:rPr>
        <w:t>Exhibit 32.1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Definitive Healthcare Corp. (the “Company”) for the quarterly period ended June 30, 2026 as filed with the Securities and Exchange Commission on the date hereof (the “Report”), Kevin Coop, Chief Executive Officer of the Company, and Casey Heller,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their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10, 2026</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10_8.htm" TargetMode="External"/><Relationship Id="rId3" Type="http://schemas.openxmlformats.org/officeDocument/2006/relationships/hyperlink" Target="https://www.sec.gov/Archives/edgar/data/1861795/000095017021003484/dh-ex3_1.htm" TargetMode="External"/><Relationship Id="rId4" Type="http://schemas.openxmlformats.org/officeDocument/2006/relationships/hyperlink" Target="https://www.sec.gov/Archives/edgar/data/1861795/000095017021003484/dh-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25059</Words>
  <Characters>139536</Characters>
  <CharactersWithSpaces>165658</CharactersWithSpaces>
  <Paragraphs>7134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