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Musslewhite Robert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11/04/2023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667"/>
        <w:gridCol w:w="1275"/>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12,656</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7.27</w:t>
            </w:r>
            <w:r>
              <w:rPr/>
              <w:t xml:space="preserve"> </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1,215,845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represents the withholding of shares by the issuer to satisfy the reporting person's tax withholding obligations in connection with the vesting and settlement of previously reported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Ruderman,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90194" TargetMode="External"/><Relationship Id="rId4" Type="http://schemas.openxmlformats.org/officeDocument/2006/relationships/hyperlink" Target="http://www.sec.gov/cgi-bin/browse-edgar?action=getcompany&amp;CIK=000186179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3315</Characters>
  <CharactersWithSpaces>3851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