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27, 2025</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ectPr>
          <w:pgSz w:w="11900" w:h="16838" w:orient="portrait"/>
          <w:cols w:equalWidth="0" w:num="1">
            <w:col w:w="11100"/>
          </w:cols>
          <w:pgMar w:left="320" w:top="873" w:right="479" w:bottom="1440" w:gutter="0" w:footer="0" w:header="0"/>
        </w:sectPr>
      </w:pPr>
    </w:p>
    <w:p>
      <w:pPr>
        <w:spacing w:after="0" w:line="2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138430</wp:posOffset>
            </wp:positionV>
            <wp:extent cx="2374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81" w:lineRule="exact"/>
        <w:rPr>
          <w:sz w:val="24"/>
          <w:szCs w:val="24"/>
          <w:color w:val="auto"/>
        </w:rPr>
      </w:pPr>
    </w:p>
    <w:p>
      <w:pPr>
        <w:jc w:val="center"/>
        <w:ind w:left="3260"/>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9" w:lineRule="exact"/>
        <w:rPr>
          <w:sz w:val="24"/>
          <w:szCs w:val="24"/>
          <w:color w:val="auto"/>
        </w:rPr>
      </w:pPr>
    </w:p>
    <w:p>
      <w:pPr>
        <w:jc w:val="center"/>
        <w:ind w:left="3240"/>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23" w:lineRule="exact"/>
        <w:rPr>
          <w:sz w:val="24"/>
          <w:szCs w:val="24"/>
          <w:color w:val="auto"/>
        </w:rPr>
      </w:pPr>
    </w:p>
    <w:p>
      <w:pPr>
        <w:jc w:val="center"/>
        <w:ind w:left="3280"/>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spacing w:after="0" w:line="6" w:lineRule="exact"/>
        <w:rPr>
          <w:sz w:val="24"/>
          <w:szCs w:val="24"/>
          <w:color w:val="auto"/>
        </w:rPr>
      </w:pPr>
    </w:p>
    <w:p>
      <w:pPr>
        <w:jc w:val="center"/>
        <w:ind w:left="3220"/>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141605</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11" w:lineRule="exact"/>
        <w:rPr>
          <w:sz w:val="24"/>
          <w:szCs w:val="24"/>
          <w:color w:val="auto"/>
        </w:rPr>
      </w:pPr>
    </w:p>
    <w:p>
      <w:pPr>
        <w:jc w:val="center"/>
        <w:ind w:left="3220"/>
        <w:spacing w:after="0"/>
        <w:rPr>
          <w:sz w:val="20"/>
          <w:szCs w:val="20"/>
          <w:color w:val="auto"/>
        </w:rPr>
      </w:pPr>
      <w:r>
        <w:rPr>
          <w:rFonts w:ascii="Times New Roman" w:cs="Times New Roman" w:eastAsia="Times New Roman" w:hAnsi="Times New Roman"/>
          <w:sz w:val="39"/>
          <w:szCs w:val="39"/>
          <w:b w:val="1"/>
          <w:bCs w:val="1"/>
          <w:color w:val="auto"/>
        </w:rPr>
        <w:t>Definitive Healthcare Corp.</w:t>
      </w:r>
    </w:p>
    <w:p>
      <w:pPr>
        <w:spacing w:after="0" w:line="7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152400</wp:posOffset>
            </wp:positionV>
            <wp:extent cx="2374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26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6"/>
          <w:szCs w:val="16"/>
          <w:b w:val="1"/>
          <w:bCs w:val="1"/>
          <w:color w:val="auto"/>
        </w:rPr>
        <w:t>81-3988281</w:t>
      </w:r>
    </w:p>
    <w:p>
      <w:pPr>
        <w:spacing w:after="0" w:line="12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11" w:lineRule="exact"/>
        <w:rPr>
          <w:sz w:val="24"/>
          <w:szCs w:val="24"/>
          <w:color w:val="auto"/>
        </w:rPr>
      </w:pPr>
    </w:p>
    <w:p>
      <w:pPr>
        <w:sectPr>
          <w:pgSz w:w="11900" w:h="16838" w:orient="portrait"/>
          <w:cols w:equalWidth="0" w:num="2">
            <w:col w:w="7920" w:space="180"/>
            <w:col w:w="3000"/>
          </w:cols>
          <w:pgMar w:left="320" w:top="873" w:right="479" w:bottom="1440" w:gutter="0" w:footer="0" w:header="0"/>
          <w:type w:val="continuous"/>
        </w:sectPr>
      </w:pPr>
    </w:p>
    <w:p>
      <w:pPr>
        <w:spacing w:after="0" w:line="17" w:lineRule="exact"/>
        <w:rPr>
          <w:sz w:val="24"/>
          <w:szCs w:val="24"/>
          <w:color w:val="auto"/>
        </w:rPr>
      </w:pPr>
    </w:p>
    <w:tbl>
      <w:tblPr>
        <w:tblLayout w:type="fixed"/>
        <w:tblInd w:w="1400" w:type="dxa"/>
        <w:tblCellMar>
          <w:top w:w="0" w:type="dxa"/>
          <w:left w:w="0" w:type="dxa"/>
          <w:bottom w:w="0" w:type="dxa"/>
          <w:right w:w="0" w:type="dxa"/>
        </w:tblCellMar>
      </w:tblPr>
      <w:tr>
        <w:trPr>
          <w:trHeight w:val="203"/>
        </w:trPr>
        <w:tc>
          <w:tcPr>
            <w:tcW w:w="6540" w:type="dxa"/>
            <w:vAlign w:val="bottom"/>
          </w:tcPr>
          <w:p>
            <w:pPr>
              <w:jc w:val="center"/>
              <w:ind w:right="3945"/>
              <w:spacing w:after="0"/>
              <w:rPr>
                <w:sz w:val="20"/>
                <w:szCs w:val="20"/>
                <w:color w:val="auto"/>
              </w:rPr>
            </w:pPr>
            <w:r>
              <w:rPr>
                <w:rFonts w:ascii="Times New Roman" w:cs="Times New Roman" w:eastAsia="Times New Roman" w:hAnsi="Times New Roman"/>
                <w:sz w:val="16"/>
                <w:szCs w:val="16"/>
                <w:b w:val="1"/>
                <w:bCs w:val="1"/>
                <w:color w:val="auto"/>
              </w:rPr>
              <w:t>492 Old Connecticut Path, Suite 401</w:t>
            </w:r>
          </w:p>
        </w:tc>
        <w:tc>
          <w:tcPr>
            <w:tcW w:w="1000" w:type="dxa"/>
            <w:vAlign w:val="bottom"/>
          </w:tcPr>
          <w:p>
            <w:pPr>
              <w:spacing w:after="0"/>
              <w:rPr>
                <w:sz w:val="17"/>
                <w:szCs w:val="17"/>
                <w:color w:val="auto"/>
              </w:rPr>
            </w:pPr>
          </w:p>
        </w:tc>
      </w:tr>
      <w:tr>
        <w:trPr>
          <w:trHeight w:val="212"/>
        </w:trPr>
        <w:tc>
          <w:tcPr>
            <w:tcW w:w="6540" w:type="dxa"/>
            <w:vAlign w:val="bottom"/>
          </w:tcPr>
          <w:p>
            <w:pPr>
              <w:jc w:val="center"/>
              <w:ind w:right="3925"/>
              <w:spacing w:after="0"/>
              <w:rPr>
                <w:sz w:val="20"/>
                <w:szCs w:val="20"/>
                <w:color w:val="auto"/>
              </w:rPr>
            </w:pPr>
            <w:r>
              <w:rPr>
                <w:rFonts w:ascii="Times New Roman" w:cs="Times New Roman" w:eastAsia="Times New Roman" w:hAnsi="Times New Roman"/>
                <w:sz w:val="16"/>
                <w:szCs w:val="16"/>
                <w:b w:val="1"/>
                <w:bCs w:val="1"/>
                <w:color w:val="auto"/>
              </w:rPr>
              <w:t>Framingham, MA</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01701</w:t>
            </w:r>
          </w:p>
        </w:tc>
      </w:tr>
      <w:tr>
        <w:trPr>
          <w:trHeight w:val="166"/>
        </w:trPr>
        <w:tc>
          <w:tcPr>
            <w:tcW w:w="6540" w:type="dxa"/>
            <w:vAlign w:val="bottom"/>
          </w:tcPr>
          <w:p>
            <w:pPr>
              <w:jc w:val="center"/>
              <w:ind w:right="3945"/>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000" w:type="dxa"/>
            <w:vAlign w:val="bottom"/>
          </w:tcPr>
          <w:p>
            <w:pPr>
              <w:jc w:val="center"/>
              <w:ind w:left="34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284"/>
        </w:trPr>
        <w:tc>
          <w:tcPr>
            <w:tcW w:w="6540" w:type="dxa"/>
            <w:vAlign w:val="bottom"/>
          </w:tcPr>
          <w:p>
            <w:pPr>
              <w:jc w:val="center"/>
              <w:ind w:left="1785"/>
              <w:spacing w:after="0"/>
              <w:rPr>
                <w:sz w:val="20"/>
                <w:szCs w:val="20"/>
                <w:color w:val="auto"/>
              </w:rPr>
            </w:pPr>
            <w:r>
              <w:rPr>
                <w:rFonts w:ascii="Times New Roman" w:cs="Times New Roman" w:eastAsia="Times New Roman" w:hAnsi="Times New Roman"/>
                <w:sz w:val="16"/>
                <w:szCs w:val="16"/>
                <w:b w:val="1"/>
                <w:bCs w:val="1"/>
                <w:color w:val="auto"/>
              </w:rPr>
              <w:t>Definitive Healthcare Corp. 2021 Equity Incentive Plan</w:t>
            </w:r>
          </w:p>
        </w:tc>
        <w:tc>
          <w:tcPr>
            <w:tcW w:w="1000" w:type="dxa"/>
            <w:vAlign w:val="bottom"/>
          </w:tcPr>
          <w:p>
            <w:pPr>
              <w:spacing w:after="0"/>
              <w:rPr>
                <w:sz w:val="24"/>
                <w:szCs w:val="24"/>
                <w:color w:val="auto"/>
              </w:rPr>
            </w:pPr>
          </w:p>
        </w:tc>
      </w:tr>
      <w:tr>
        <w:trPr>
          <w:trHeight w:val="198"/>
        </w:trPr>
        <w:tc>
          <w:tcPr>
            <w:tcW w:w="6540" w:type="dxa"/>
            <w:vAlign w:val="bottom"/>
          </w:tcPr>
          <w:p>
            <w:pPr>
              <w:jc w:val="center"/>
              <w:ind w:left="1785"/>
              <w:spacing w:after="0"/>
              <w:rPr>
                <w:sz w:val="20"/>
                <w:szCs w:val="20"/>
                <w:color w:val="auto"/>
              </w:rPr>
            </w:pPr>
            <w:r>
              <w:rPr>
                <w:rFonts w:ascii="Times New Roman" w:cs="Times New Roman" w:eastAsia="Times New Roman" w:hAnsi="Times New Roman"/>
                <w:sz w:val="16"/>
                <w:szCs w:val="16"/>
                <w:b w:val="1"/>
                <w:bCs w:val="1"/>
                <w:color w:val="auto"/>
              </w:rPr>
              <w:t>Definitive Healthcare Corp. 2023 Inducement Plan</w:t>
            </w:r>
          </w:p>
        </w:tc>
        <w:tc>
          <w:tcPr>
            <w:tcW w:w="1000" w:type="dxa"/>
            <w:vAlign w:val="bottom"/>
          </w:tcPr>
          <w:p>
            <w:pPr>
              <w:spacing w:after="0"/>
              <w:rPr>
                <w:sz w:val="17"/>
                <w:szCs w:val="17"/>
                <w:color w:val="auto"/>
              </w:rPr>
            </w:pPr>
          </w:p>
        </w:tc>
      </w:tr>
      <w:tr>
        <w:trPr>
          <w:trHeight w:val="166"/>
        </w:trPr>
        <w:tc>
          <w:tcPr>
            <w:tcW w:w="6540" w:type="dxa"/>
            <w:vAlign w:val="bottom"/>
          </w:tcPr>
          <w:p>
            <w:pPr>
              <w:jc w:val="center"/>
              <w:ind w:left="1805"/>
              <w:spacing w:after="0"/>
              <w:rPr>
                <w:sz w:val="20"/>
                <w:szCs w:val="20"/>
                <w:color w:val="auto"/>
              </w:rPr>
            </w:pPr>
            <w:r>
              <w:rPr>
                <w:rFonts w:ascii="Times New Roman" w:cs="Times New Roman" w:eastAsia="Times New Roman" w:hAnsi="Times New Roman"/>
                <w:sz w:val="13"/>
                <w:szCs w:val="13"/>
                <w:b w:val="1"/>
                <w:bCs w:val="1"/>
                <w:color w:val="auto"/>
                <w:w w:val="98"/>
              </w:rPr>
              <w:t>(Full Title of Plans)</w:t>
            </w:r>
          </w:p>
        </w:tc>
        <w:tc>
          <w:tcPr>
            <w:tcW w:w="1000" w:type="dxa"/>
            <w:vAlign w:val="bottom"/>
          </w:tcPr>
          <w:p>
            <w:pPr>
              <w:spacing w:after="0"/>
              <w:rPr>
                <w:sz w:val="14"/>
                <w:szCs w:val="14"/>
                <w:color w:val="auto"/>
              </w:rPr>
            </w:pPr>
          </w:p>
        </w:tc>
      </w:tr>
    </w:tbl>
    <w:p>
      <w:pPr>
        <w:spacing w:after="0" w:line="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Matthew W. Ruderman</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Chief Legal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492 Old Connecticut Path, Suite 401</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Framingham, MA 01701</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(508) 720-4224</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132080</wp:posOffset>
            </wp:positionV>
            <wp:extent cx="2374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Jean Park</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Julia Boesch</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Cooley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55 Hudson Yards</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New York, NY 10001</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(212) 479-6000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153035</wp:posOffset>
            </wp:positionV>
            <wp:extent cx="2374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351" w:lineRule="exact"/>
        <w:rPr>
          <w:sz w:val="24"/>
          <w:szCs w:val="24"/>
          <w:color w:val="auto"/>
        </w:rPr>
      </w:pPr>
    </w:p>
    <w:p>
      <w:pPr>
        <w:ind w:right="120" w:firstLine="5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1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80" w:type="dxa"/>
            <w:vAlign w:val="bottom"/>
          </w:tcPr>
          <w:p>
            <w:pPr>
              <w:ind w:left="1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73"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This Registration Statement is being filed for the purpose of increasing the number of securities of the same class as other securities for which Registration Statements of Definitive Healthcare Corp. (the “Registrant”) on Form S-8 relating to the same employee benefit plan are effective. Pursuant to General Instruction E of Form S-8, the Registrant is filing this Registration Statement with the Securities and Exchange Commission (the “Commission”) to register (i) 5,697,677 additional shares of its Class A Common Stock, par value $0.001 per share (“Common Stock”), that were automatically added to the shares authorized for issuance under the Registrant’s 2021 Equity Incentive Plan (“2021 Plan”) and (ii) 2,117,650 additional shares of its Common Stock that were added to the shares authorized for issuance under the Registrant’s 2023 Inducement Plan (“2023 Inducement Plan”) as inducement grants under Nasdaq Listing Rule 5635(c)(4) pursuant to an amendment and restatement of the 2023 Inducement Plan approved by the Human Capital Management and Compensation Committee of the Board of Directors of the Registrant.</w:t>
      </w:r>
    </w:p>
    <w:p>
      <w:pPr>
        <w:spacing w:after="0" w:line="192" w:lineRule="exact"/>
        <w:rPr>
          <w:sz w:val="20"/>
          <w:szCs w:val="20"/>
          <w:color w:val="auto"/>
        </w:rPr>
      </w:pPr>
    </w:p>
    <w:p>
      <w:pPr>
        <w:ind w:right="80" w:firstLine="50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previously registered shares of its Common Stock for issuance under the (i) 2021 Plan under Registration Statements on Form S-8 filed with the Commission on </w:t>
      </w:r>
      <w:hyperlink r:id="rId16">
        <w:r>
          <w:rPr>
            <w:rFonts w:ascii="Times New Roman" w:cs="Times New Roman" w:eastAsia="Times New Roman" w:hAnsi="Times New Roman"/>
            <w:sz w:val="18"/>
            <w:szCs w:val="18"/>
            <w:u w:val="single" w:color="auto"/>
            <w:color w:val="0000FF"/>
          </w:rPr>
          <w:t>September 14,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333-259535), </w:t>
      </w:r>
      <w:hyperlink r:id="rId17">
        <w:r>
          <w:rPr>
            <w:rFonts w:ascii="Times New Roman" w:cs="Times New Roman" w:eastAsia="Times New Roman" w:hAnsi="Times New Roman"/>
            <w:sz w:val="18"/>
            <w:szCs w:val="18"/>
            <w:u w:val="single" w:color="auto"/>
            <w:color w:val="0000FF"/>
          </w:rPr>
          <w:t>February 27,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333-270059) and </w:t>
      </w:r>
      <w:hyperlink r:id="rId18">
        <w:r>
          <w:rPr>
            <w:rFonts w:ascii="Times New Roman" w:cs="Times New Roman" w:eastAsia="Times New Roman" w:hAnsi="Times New Roman"/>
            <w:sz w:val="18"/>
            <w:szCs w:val="18"/>
            <w:u w:val="single" w:color="auto"/>
            <w:color w:val="0000FF"/>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333-277492) (collectively, the “Prior 2021 Plan Registration Statements”) and (ii) 2023 Inducement Plan under Registration Statements on Form S-8 filed with the Commission on </w:t>
      </w:r>
      <w:hyperlink r:id="rId19">
        <w:r>
          <w:rPr>
            <w:rFonts w:ascii="Times New Roman" w:cs="Times New Roman" w:eastAsia="Times New Roman" w:hAnsi="Times New Roman"/>
            <w:sz w:val="18"/>
            <w:szCs w:val="18"/>
            <w:u w:val="single" w:color="auto"/>
            <w:color w:val="0000EE"/>
          </w:rPr>
          <w:t>September 6,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333-274370) and </w:t>
      </w:r>
      <w:hyperlink r:id="rId20">
        <w:r>
          <w:rPr>
            <w:rFonts w:ascii="Times New Roman" w:cs="Times New Roman" w:eastAsia="Times New Roman" w:hAnsi="Times New Roman"/>
            <w:sz w:val="18"/>
            <w:szCs w:val="18"/>
            <w:u w:val="single" w:color="auto"/>
            <w:color w:val="0000FF"/>
          </w:rPr>
          <w:t>June 12,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333-280140) (together with the “Prior 2021 Plan Registration Statements,” the “Prior Registration Statements”). Pursuant to General Instruction E to Form S-8, this Registration Statement hereby incorporates by reference the contents of the Prior Registration Statements.</w:t>
      </w:r>
    </w:p>
    <w:p>
      <w:pPr>
        <w:spacing w:after="0" w:line="399"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rFonts w:ascii="Times New Roman" w:cs="Times New Roman" w:eastAsia="Times New Roman" w:hAnsi="Times New Roman"/>
          <w:sz w:val="18"/>
          <w:szCs w:val="18"/>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documents, which have been filed with the Commission by the Registrant, pursuant to the Securities Act, and the Securities Exchange Act of 1934, as amended (the “Exchange Act”), as applicable, are hereby incorporated by reference in, and shall be deemed to be a part of, this Registration Statement:</w:t>
      </w:r>
    </w:p>
    <w:p>
      <w:pPr>
        <w:spacing w:after="0" w:line="176" w:lineRule="exact"/>
        <w:rPr>
          <w:rFonts w:ascii="Times New Roman" w:cs="Times New Roman" w:eastAsia="Times New Roman" w:hAnsi="Times New Roman"/>
          <w:sz w:val="18"/>
          <w:szCs w:val="18"/>
          <w:color w:val="auto"/>
        </w:rPr>
      </w:pPr>
    </w:p>
    <w:p>
      <w:pPr>
        <w:ind w:right="200" w:firstLine="517"/>
        <w:spacing w:after="0" w:line="282" w:lineRule="auto"/>
        <w:tabs>
          <w:tab w:leader="none" w:pos="7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1">
        <w:r>
          <w:rPr>
            <w:rFonts w:ascii="Times New Roman" w:cs="Times New Roman" w:eastAsia="Times New Roman" w:hAnsi="Times New Roman"/>
            <w:sz w:val="18"/>
            <w:szCs w:val="18"/>
            <w:color w:val="0000FF"/>
          </w:rPr>
          <w:t>Form 10-K</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February 27, 2025, which includes audited financial statements for the Registrant’s latest fiscal year.</w:t>
      </w:r>
    </w:p>
    <w:p>
      <w:pPr>
        <w:spacing w:after="0" w:line="53" w:lineRule="exact"/>
        <w:rPr>
          <w:rFonts w:ascii="Times New Roman" w:cs="Times New Roman" w:eastAsia="Times New Roman" w:hAnsi="Times New Roman"/>
          <w:sz w:val="18"/>
          <w:szCs w:val="18"/>
          <w:color w:val="auto"/>
        </w:rPr>
      </w:pPr>
    </w:p>
    <w:p>
      <w:pPr>
        <w:ind w:right="80" w:firstLine="517"/>
        <w:spacing w:after="0" w:line="282" w:lineRule="auto"/>
        <w:tabs>
          <w:tab w:leader="none" w:pos="77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2">
        <w:r>
          <w:rPr>
            <w:rFonts w:ascii="Times New Roman" w:cs="Times New Roman" w:eastAsia="Times New Roman" w:hAnsi="Times New Roman"/>
            <w:sz w:val="18"/>
            <w:szCs w:val="18"/>
            <w:u w:val="single" w:color="auto"/>
            <w:color w:val="0000EE"/>
          </w:rPr>
          <w:t>January 16,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w:t>
      </w:r>
      <w:hyperlink r:id="rId23">
        <w:r>
          <w:rPr>
            <w:rFonts w:ascii="Times New Roman" w:cs="Times New Roman" w:eastAsia="Times New Roman" w:hAnsi="Times New Roman"/>
            <w:sz w:val="18"/>
            <w:szCs w:val="18"/>
            <w:u w:val="single" w:color="auto"/>
            <w:color w:val="0000FF"/>
          </w:rPr>
          <w:t>February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(solely with regard to Item 5.02 and the exhibit that relates to such item).</w:t>
      </w:r>
    </w:p>
    <w:p>
      <w:pPr>
        <w:spacing w:after="0" w:line="53" w:lineRule="exact"/>
        <w:rPr>
          <w:rFonts w:ascii="Times New Roman" w:cs="Times New Roman" w:eastAsia="Times New Roman" w:hAnsi="Times New Roman"/>
          <w:sz w:val="18"/>
          <w:szCs w:val="18"/>
          <w:color w:val="auto"/>
        </w:rPr>
      </w:pPr>
    </w:p>
    <w:p>
      <w:pPr>
        <w:ind w:right="160" w:firstLine="517"/>
        <w:spacing w:after="0" w:line="261" w:lineRule="auto"/>
        <w:tabs>
          <w:tab w:leader="none" w:pos="7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Registrant’s Registration Statement on </w:t>
      </w:r>
      <w:hyperlink r:id="rId24">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September 15, 2021 (File No. 001-40815) under the Exchange Act, including any amendment or report filed for the purpose of updating such description, including </w:t>
      </w:r>
      <w:hyperlink r:id="rId25">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for the fiscal year ended December 31, 2021, filed with the Commission on March 15, 2022, including any amendment or report filed for the purpose of updating such description.</w:t>
      </w:r>
    </w:p>
    <w:p>
      <w:pPr>
        <w:spacing w:after="0" w:line="71" w:lineRule="exact"/>
        <w:rPr>
          <w:rFonts w:ascii="Times New Roman" w:cs="Times New Roman" w:eastAsia="Times New Roman" w:hAnsi="Times New Roman"/>
          <w:sz w:val="18"/>
          <w:szCs w:val="18"/>
          <w:color w:val="auto"/>
        </w:rPr>
      </w:pPr>
    </w:p>
    <w:p>
      <w:pPr>
        <w:ind w:right="40" w:firstLine="517"/>
        <w:spacing w:after="0" w:line="252" w:lineRule="auto"/>
        <w:tabs>
          <w:tab w:leader="none" w:pos="77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2124075</wp:posOffset>
            </wp:positionH>
            <wp:positionV relativeFrom="paragraph">
              <wp:posOffset>-2283460</wp:posOffset>
            </wp:positionV>
            <wp:extent cx="511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511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400" w:type="dxa"/>
            <w:vAlign w:val="bottom"/>
            <w:gridSpan w:val="11"/>
          </w:tcPr>
          <w:p>
            <w:pPr>
              <w:jc w:val="center"/>
              <w:ind w:right="488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0" w:type="dxa"/>
            <w:vAlign w:val="bottom"/>
          </w:tcPr>
          <w:p>
            <w:pPr>
              <w:spacing w:after="0"/>
              <w:rPr>
                <w:sz w:val="1"/>
                <w:szCs w:val="1"/>
                <w:color w:val="auto"/>
              </w:rPr>
            </w:pPr>
          </w:p>
        </w:tc>
      </w:tr>
      <w:tr>
        <w:trPr>
          <w:trHeight w:val="20"/>
        </w:trPr>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60" w:type="dxa"/>
            <w:vAlign w:val="bottom"/>
            <w:gridSpan w:val="10"/>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6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16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102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Amended and Restated Certificate of Incorporation of Definitive Healthcare Corp. (incorporated by reference to Exhibit 3.1 to the Company’s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Quarterly Report on Form 10-Q (File No. 001-40815) filed with the SEC on November 8, 2021).</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10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Amended and Restated Bylaws of Definitive Healthcare Corp. (incorporated by reference to Exhibit 3.2 to the Company’s Quarterly Report</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on Form 10-Q (File No. 001-40815) filed with the SEC on November 8, 2021).</w:t>
              </w:r>
            </w:hyperlink>
          </w:p>
        </w:tc>
        <w:tc>
          <w:tcPr>
            <w:tcW w:w="4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4"/>
                <w:szCs w:val="24"/>
                <w:color w:val="auto"/>
              </w:rPr>
            </w:pP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Opinion of Cooley LLP.</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 Accounting Firm</w:t>
            </w:r>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24"/>
                <w:szCs w:val="24"/>
                <w:color w:val="auto"/>
              </w:rPr>
            </w:pPr>
          </w:p>
        </w:tc>
        <w:tc>
          <w:tcPr>
            <w:tcW w:w="61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Consent of Cooley LLP (included in Exhibit No. 5.1).</w:t>
            </w:r>
          </w:p>
        </w:tc>
        <w:tc>
          <w:tcPr>
            <w:tcW w:w="4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24"/>
                <w:szCs w:val="24"/>
                <w:color w:val="auto"/>
              </w:rPr>
            </w:pPr>
          </w:p>
        </w:tc>
        <w:tc>
          <w:tcPr>
            <w:tcW w:w="102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 to this Registration Statement).</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4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102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The Definitive Healthcare Corp. 2021 Equity Incentive Plan (incorporated by reference to Exhibit 10.12 of the Registrant’s Annual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Form 10-K (File No. 001-40815) filed with the SEC on March 15, 2022).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60" w:type="dxa"/>
            <w:vAlign w:val="bottom"/>
          </w:tcPr>
          <w:p>
            <w:pPr>
              <w:spacing w:after="0"/>
              <w:rPr>
                <w:sz w:val="21"/>
                <w:szCs w:val="21"/>
                <w:color w:val="auto"/>
              </w:rPr>
            </w:pPr>
          </w:p>
        </w:tc>
        <w:tc>
          <w:tcPr>
            <w:tcW w:w="10280" w:type="dxa"/>
            <w:vAlign w:val="bottom"/>
            <w:tcBorders>
              <w:bottom w:val="single" w:sz="8" w:color="0000EE"/>
            </w:tcBorders>
            <w:gridSpan w:val="14"/>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The Amended and Restated Definitive Healthcare Corp. 2023 Inducement Plan (incorporated by reference to Exhibit 10.29 of the Registrant’s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80" w:type="dxa"/>
            <w:vAlign w:val="bottom"/>
            <w:gridSpan w:val="14"/>
          </w:tcPr>
          <w:p>
            <w:pPr>
              <w:spacing w:after="0" w:line="19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Annual Report on Form 10-K (File No. 001-40815) filed with the SEC on February 27, 2025).</w:t>
              </w:r>
            </w:hyperlink>
          </w:p>
        </w:tc>
        <w:tc>
          <w:tcPr>
            <w:tcW w:w="0" w:type="dxa"/>
            <w:vAlign w:val="bottom"/>
          </w:tcPr>
          <w:p>
            <w:pPr>
              <w:spacing w:after="0"/>
              <w:rPr>
                <w:sz w:val="1"/>
                <w:szCs w:val="1"/>
                <w:color w:val="auto"/>
              </w:rPr>
            </w:pPr>
          </w:p>
        </w:tc>
      </w:tr>
      <w:tr>
        <w:trPr>
          <w:trHeight w:val="304"/>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68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34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40" w:type="dxa"/>
            <w:vAlign w:val="bottom"/>
            <w:gridSpan w:val="15"/>
          </w:tcPr>
          <w:p>
            <w:pPr>
              <w:ind w:left="1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403"/>
        </w:trPr>
        <w:tc>
          <w:tcPr>
            <w:tcW w:w="800" w:type="dxa"/>
            <w:vAlign w:val="bottom"/>
          </w:tcPr>
          <w:p>
            <w:pPr>
              <w:spacing w:after="0"/>
              <w:rPr>
                <w:sz w:val="24"/>
                <w:szCs w:val="24"/>
                <w:color w:val="auto"/>
              </w:rPr>
            </w:pPr>
          </w:p>
        </w:tc>
        <w:tc>
          <w:tcPr>
            <w:tcW w:w="5320" w:type="dxa"/>
            <w:vAlign w:val="bottom"/>
            <w:gridSpan w:val="6"/>
          </w:tcPr>
          <w:p>
            <w:pPr>
              <w:jc w:val="right"/>
              <w:ind w:right="368"/>
              <w:spacing w:after="0"/>
              <w:rPr>
                <w:sz w:val="20"/>
                <w:szCs w:val="20"/>
                <w:color w:val="auto"/>
              </w:rPr>
            </w:pPr>
            <w:r>
              <w:rPr>
                <w:rFonts w:ascii="Times New Roman" w:cs="Times New Roman" w:eastAsia="Times New Roman" w:hAnsi="Times New Roman"/>
                <w:sz w:val="22"/>
                <w:szCs w:val="22"/>
                <w:color w:val="auto"/>
              </w:rPr>
              <w:t>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-2759710</wp:posOffset>
            </wp:positionV>
            <wp:extent cx="28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4500880</wp:posOffset>
            </wp:positionH>
            <wp:positionV relativeFrom="paragraph">
              <wp:posOffset>-2553970</wp:posOffset>
            </wp:positionV>
            <wp:extent cx="28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4208780</wp:posOffset>
            </wp:positionH>
            <wp:positionV relativeFrom="paragraph">
              <wp:posOffset>-2142490</wp:posOffset>
            </wp:positionV>
            <wp:extent cx="285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Framingham, Commonwealth of Massachusetts, on February 27, 2025.</w:t>
      </w:r>
    </w:p>
    <w:p>
      <w:pPr>
        <w:spacing w:after="0" w:line="200" w:lineRule="exact"/>
        <w:rPr>
          <w:sz w:val="20"/>
          <w:szCs w:val="20"/>
          <w:color w:val="auto"/>
        </w:rPr>
      </w:pPr>
    </w:p>
    <w:p>
      <w:pPr>
        <w:spacing w:after="0" w:line="21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9"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191"/>
        </w:trPr>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of the undersigned constitutes and appoints each of Kevin Coop and Richard Booth, or any of them, each acting alone, his or her true and lawful attorney-in-fact and agent, with full power of substitution and resubstitution, for such person and in his or her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371" w:lineRule="exact"/>
        <w:rPr>
          <w:sz w:val="20"/>
          <w:szCs w:val="20"/>
          <w:color w:val="auto"/>
        </w:rPr>
      </w:pPr>
    </w:p>
    <w:p>
      <w:pPr>
        <w:ind w:left="1700"/>
        <w:spacing w:after="0"/>
        <w:tabs>
          <w:tab w:leader="none" w:pos="6160" w:val="left"/>
          <w:tab w:leader="none" w:pos="988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Coop</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Kevin Coop</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7"/>
        </w:trPr>
        <w:tc>
          <w:tcPr>
            <w:tcW w:w="3760" w:type="dxa"/>
            <w:vAlign w:val="bottom"/>
          </w:tcPr>
          <w:p>
            <w:pPr>
              <w:spacing w:after="0"/>
              <w:rPr>
                <w:sz w:val="20"/>
                <w:szCs w:val="20"/>
                <w:color w:val="auto"/>
              </w:rPr>
            </w:pP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tc>
        <w:tc>
          <w:tcPr>
            <w:tcW w:w="1400" w:type="dxa"/>
            <w:vAlign w:val="bottom"/>
          </w:tcPr>
          <w:p>
            <w:pPr>
              <w:spacing w:after="0"/>
              <w:rPr>
                <w:sz w:val="20"/>
                <w:szCs w:val="20"/>
                <w:color w:val="auto"/>
              </w:rPr>
            </w:pPr>
          </w:p>
        </w:tc>
      </w:tr>
      <w:tr>
        <w:trPr>
          <w:trHeight w:val="234"/>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Booth</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Officer)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Richard Booth</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Krantz</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Chairman</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Jason Krantz</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Sastry Chilukuri</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Sastry Chilukuri</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Egan</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 Egan</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Samuel A. Hamood</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Samuel A. Hamood</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 Haywood</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Jeff Haywood</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Jill Larsen</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Jill Larsen</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Stephenson</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Scott Stephenson</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Kathleen A. Winters</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Kathleen A. Winters</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5"/>
        </w:trPr>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 Young</w:t>
            </w:r>
          </w:p>
        </w:tc>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4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February 27, 2025</w:t>
            </w:r>
          </w:p>
        </w:tc>
      </w:tr>
      <w:tr>
        <w:trPr>
          <w:trHeight w:val="184"/>
        </w:trPr>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Lauren Young</w:t>
            </w:r>
          </w:p>
        </w:tc>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116586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Julia Boesch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+1 415 693 2326</w:t>
      </w:r>
    </w:p>
    <w:p>
      <w:pPr>
        <w:spacing w:after="0"/>
        <w:rPr>
          <w:sz w:val="20"/>
          <w:szCs w:val="20"/>
          <w:color w:val="auto"/>
        </w:rPr>
      </w:pPr>
      <w:r>
        <w:rPr>
          <w:rFonts w:ascii="Times New Roman" w:cs="Times New Roman" w:eastAsia="Times New Roman" w:hAnsi="Times New Roman"/>
          <w:sz w:val="20"/>
          <w:szCs w:val="20"/>
          <w:color w:val="auto"/>
        </w:rPr>
        <w:t>jboesch@cooley.com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Definitive Healthcare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492 Old Connecticut Path, Suite 401</w:t>
      </w:r>
    </w:p>
    <w:p>
      <w:pPr>
        <w:spacing w:after="0"/>
        <w:rPr>
          <w:sz w:val="20"/>
          <w:szCs w:val="20"/>
          <w:color w:val="auto"/>
        </w:rPr>
      </w:pPr>
      <w:r>
        <w:rPr>
          <w:rFonts w:ascii="Times New Roman" w:cs="Times New Roman" w:eastAsia="Times New Roman" w:hAnsi="Times New Roman"/>
          <w:sz w:val="20"/>
          <w:szCs w:val="20"/>
          <w:color w:val="auto"/>
        </w:rPr>
        <w:t>Framingham, MA 01701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25"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20"/>
          <w:szCs w:val="20"/>
          <w:color w:val="auto"/>
        </w:rPr>
        <w:t>We have acted as counsel to Definitive Healthcare Corp.,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connection with the filing by the Company of a Registration Statement on Form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(the “</w:t>
      </w:r>
      <w:r>
        <w:rPr>
          <w:rFonts w:ascii="Times New Roman" w:cs="Times New Roman" w:eastAsia="Times New Roman" w:hAnsi="Times New Roman"/>
          <w:sz w:val="20"/>
          <w:szCs w:val="20"/>
          <w:b w:val="1"/>
          <w:bCs w:val="1"/>
          <w:i w:val="1"/>
          <w:iCs w:val="1"/>
          <w:color w:val="auto"/>
        </w:rPr>
        <w:t>Registration Statement</w:t>
      </w:r>
      <w:r>
        <w:rPr>
          <w:rFonts w:ascii="Times New Roman" w:cs="Times New Roman" w:eastAsia="Times New Roman" w:hAnsi="Times New Roman"/>
          <w:sz w:val="20"/>
          <w:szCs w:val="20"/>
          <w:color w:val="auto"/>
        </w:rPr>
        <w:t>”) with the Securities and Exchange Commission (the “</w:t>
      </w:r>
      <w:r>
        <w:rPr>
          <w:rFonts w:ascii="Times New Roman" w:cs="Times New Roman" w:eastAsia="Times New Roman" w:hAnsi="Times New Roman"/>
          <w:sz w:val="20"/>
          <w:szCs w:val="20"/>
          <w:b w:val="1"/>
          <w:bCs w:val="1"/>
          <w:i w:val="1"/>
          <w:iCs w:val="1"/>
          <w:color w:val="auto"/>
        </w:rPr>
        <w:t>Commission</w:t>
      </w:r>
      <w:r>
        <w:rPr>
          <w:rFonts w:ascii="Times New Roman" w:cs="Times New Roman" w:eastAsia="Times New Roman" w:hAnsi="Times New Roman"/>
          <w:sz w:val="20"/>
          <w:szCs w:val="20"/>
          <w:color w:val="auto"/>
        </w:rPr>
        <w:t xml:space="preserve">”), covering the offering of up to 7,815,327 shares (the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of the Company’s Class A Common Stock, $0.001 par value per share (the “</w:t>
      </w:r>
      <w:r>
        <w:rPr>
          <w:rFonts w:ascii="Times New Roman" w:cs="Times New Roman" w:eastAsia="Times New Roman" w:hAnsi="Times New Roman"/>
          <w:sz w:val="20"/>
          <w:szCs w:val="20"/>
          <w:b w:val="1"/>
          <w:bCs w:val="1"/>
          <w:i w:val="1"/>
          <w:iCs w:val="1"/>
          <w:color w:val="auto"/>
        </w:rPr>
        <w:t>Class A Common Stock</w:t>
      </w:r>
      <w:r>
        <w:rPr>
          <w:rFonts w:ascii="Times New Roman" w:cs="Times New Roman" w:eastAsia="Times New Roman" w:hAnsi="Times New Roman"/>
          <w:sz w:val="20"/>
          <w:szCs w:val="20"/>
          <w:color w:val="auto"/>
        </w:rPr>
        <w:t>”), consisting of (a) 5,697,677 shares of Class A Common Stock, issuable pursuant to the Company’s 2021 Equity Incentive Plan (the “</w:t>
      </w:r>
      <w:r>
        <w:rPr>
          <w:rFonts w:ascii="Times New Roman" w:cs="Times New Roman" w:eastAsia="Times New Roman" w:hAnsi="Times New Roman"/>
          <w:sz w:val="20"/>
          <w:szCs w:val="20"/>
          <w:b w:val="1"/>
          <w:bCs w:val="1"/>
          <w:i w:val="1"/>
          <w:iCs w:val="1"/>
          <w:color w:val="auto"/>
        </w:rPr>
        <w:t>2021 Plan</w:t>
      </w:r>
      <w:r>
        <w:rPr>
          <w:rFonts w:ascii="Times New Roman" w:cs="Times New Roman" w:eastAsia="Times New Roman" w:hAnsi="Times New Roman"/>
          <w:sz w:val="20"/>
          <w:szCs w:val="20"/>
          <w:color w:val="auto"/>
        </w:rPr>
        <w:t>”) and (b) 2,117,650 shares of Class A Common Stock, issuable pursuant to the Company’s 2023 Inducement Plan (together with the 2021 Plan, the “</w:t>
      </w:r>
      <w:r>
        <w:rPr>
          <w:rFonts w:ascii="Times New Roman" w:cs="Times New Roman" w:eastAsia="Times New Roman" w:hAnsi="Times New Roman"/>
          <w:sz w:val="20"/>
          <w:szCs w:val="20"/>
          <w:b w:val="1"/>
          <w:bCs w:val="1"/>
          <w:i w:val="1"/>
          <w:iCs w:val="1"/>
          <w:color w:val="auto"/>
        </w:rPr>
        <w:t>Plans</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connection with this opinion, we have examined and relied upon (a) the Registration Statement and the related prospectuses, (b) the Company’s certificate of incorporation and bylaws, each as currently in effect, (c) the Plans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On the basis of the foregoing, and in reliance thereon, we are of the opinion that the Shares, when sold and issued in accordance with the Plans, the Registration Statement and the related prospectuses, will be validly issued, fully paid and nonassessable (except as to shares issued pursuant to deferred payment arrangements, which will be fully paid and nonassessable when such deferred payments are made in full).</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Cooley LLP  3 Embarcadero Center 20th Floor San Francisco, California 94111-4004</w:t>
      </w:r>
    </w:p>
    <w:p>
      <w:pPr>
        <w:jc w:val="center"/>
        <w:spacing w:after="0"/>
        <w:rPr>
          <w:sz w:val="20"/>
          <w:szCs w:val="20"/>
          <w:color w:val="auto"/>
        </w:rPr>
      </w:pPr>
      <w:r>
        <w:rPr>
          <w:rFonts w:ascii="Times New Roman" w:cs="Times New Roman" w:eastAsia="Times New Roman" w:hAnsi="Times New Roman"/>
          <w:sz w:val="13"/>
          <w:szCs w:val="13"/>
          <w:color w:val="auto"/>
        </w:rPr>
        <w:t>t: (414)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1165860" cy="3771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Page Two</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supplement this opinion to reflect any facts or circumstances that may hereafter come to our attention or any changes in law that may hereafter occur.</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3"/>
          <w:szCs w:val="13"/>
          <w:color w:val="auto"/>
        </w:rPr>
        <w:t>ooley</w:t>
      </w:r>
      <w:r>
        <w:rPr>
          <w:rFonts w:ascii="Times New Roman" w:cs="Times New Roman" w:eastAsia="Times New Roman" w:hAnsi="Times New Roman"/>
          <w:sz w:val="20"/>
          <w:szCs w:val="20"/>
          <w:color w:val="auto"/>
        </w:rPr>
        <w:t xml:space="preserve"> LLP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Julia Boesch</w:t>
      </w:r>
    </w:p>
    <w:p>
      <w:pPr>
        <w:spacing w:after="0" w:line="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Julia Boesch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Cooley LLP  3 Embarcadero Center 20th Floor San Francisco, California 94111-4004</w:t>
      </w:r>
    </w:p>
    <w:p>
      <w:pPr>
        <w:jc w:val="center"/>
        <w:ind w:right="-19"/>
        <w:spacing w:after="0"/>
        <w:rPr>
          <w:sz w:val="20"/>
          <w:szCs w:val="20"/>
          <w:color w:val="auto"/>
        </w:rPr>
      </w:pPr>
      <w:r>
        <w:rPr>
          <w:rFonts w:ascii="Times New Roman" w:cs="Times New Roman" w:eastAsia="Times New Roman" w:hAnsi="Times New Roman"/>
          <w:sz w:val="13"/>
          <w:szCs w:val="13"/>
          <w:color w:val="auto"/>
        </w:rPr>
        <w:t>t: (414)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152" w:lineRule="exact"/>
        <w:rPr>
          <w:sz w:val="20"/>
          <w:szCs w:val="20"/>
          <w:color w:val="auto"/>
        </w:rPr>
      </w:pPr>
    </w:p>
    <w:p>
      <w:pPr>
        <w:jc w:val="both"/>
        <w:ind w:right="200"/>
        <w:spacing w:after="0" w:line="254" w:lineRule="auto"/>
        <w:rPr>
          <w:sz w:val="20"/>
          <w:szCs w:val="20"/>
          <w:color w:val="auto"/>
        </w:rPr>
      </w:pPr>
      <w:r>
        <w:rPr>
          <w:rFonts w:ascii="Times New Roman" w:cs="Times New Roman" w:eastAsia="Times New Roman" w:hAnsi="Times New Roman"/>
          <w:sz w:val="20"/>
          <w:szCs w:val="20"/>
          <w:color w:val="auto"/>
        </w:rPr>
        <w:t>We consent to the incorporation by reference in this Registration Statement on Form S-8 of our reports dated February 27, 2025 relating to the financial statements of Definitive Healthcare Corp. and the effectiveness of Definitive Healthcare Corp.'s internal control over financial reporting, appearing in the Annual Report on Form 10-K of Definitive Healthcare Corp. for the year ended December 31, 2024.</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1218565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(Form Type)</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1140" w:type="dxa"/>
            <w:vAlign w:val="bottom"/>
            <w:tcBorders>
              <w:top w:val="single" w:sz="8" w:color="auto"/>
              <w:left w:val="single" w:sz="8" w:color="auto"/>
              <w:right w:val="single" w:sz="8" w:color="auto"/>
            </w:tcBorders>
          </w:tcPr>
          <w:p>
            <w:pPr>
              <w:spacing w:after="0"/>
              <w:rPr>
                <w:sz w:val="11"/>
                <w:szCs w:val="11"/>
                <w:color w:val="auto"/>
              </w:rPr>
            </w:pPr>
          </w:p>
        </w:tc>
        <w:tc>
          <w:tcPr>
            <w:tcW w:w="1660" w:type="dxa"/>
            <w:vAlign w:val="bottom"/>
            <w:tcBorders>
              <w:top w:val="single" w:sz="8" w:color="auto"/>
              <w:right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spacing w:after="0"/>
              <w:rPr>
                <w:sz w:val="11"/>
                <w:szCs w:val="11"/>
                <w:color w:val="auto"/>
              </w:rPr>
            </w:pPr>
          </w:p>
        </w:tc>
        <w:tc>
          <w:tcPr>
            <w:tcW w:w="1580" w:type="dxa"/>
            <w:vAlign w:val="bottom"/>
            <w:tcBorders>
              <w:top w:val="single" w:sz="8" w:color="auto"/>
              <w:right w:val="single" w:sz="8" w:color="auto"/>
            </w:tcBorders>
          </w:tcPr>
          <w:p>
            <w:pPr>
              <w:spacing w:after="0"/>
              <w:rPr>
                <w:sz w:val="11"/>
                <w:szCs w:val="11"/>
                <w:color w:val="auto"/>
              </w:rPr>
            </w:pPr>
          </w:p>
        </w:tc>
        <w:tc>
          <w:tcPr>
            <w:tcW w:w="136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680" w:type="dxa"/>
            <w:vAlign w:val="bottom"/>
            <w:tcBorders>
              <w:top w:val="single" w:sz="8" w:color="auto"/>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3"/>
              </w:rPr>
              <w:t>Maximum</w:t>
            </w:r>
          </w:p>
        </w:tc>
        <w:tc>
          <w:tcPr>
            <w:tcW w:w="1360" w:type="dxa"/>
            <w:vAlign w:val="bottom"/>
            <w:tcBorders>
              <w:top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Borders>
              <w:left w:val="single" w:sz="8" w:color="auto"/>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158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3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28"/>
        </w:trPr>
        <w:tc>
          <w:tcPr>
            <w:tcW w:w="1140" w:type="dxa"/>
            <w:vAlign w:val="bottom"/>
            <w:tcBorders>
              <w:left w:val="single" w:sz="8" w:color="auto"/>
              <w:right w:val="single" w:sz="8" w:color="auto"/>
            </w:tcBorders>
          </w:tcPr>
          <w:p>
            <w:pPr>
              <w:jc w:val="center"/>
              <w:ind w:left="4"/>
              <w:spacing w:after="0" w:line="128"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16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Security Class</w:t>
            </w:r>
          </w:p>
        </w:tc>
        <w:tc>
          <w:tcPr>
            <w:tcW w:w="11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580" w:type="dxa"/>
            <w:vAlign w:val="bottom"/>
            <w:tcBorders>
              <w:right w:val="single" w:sz="8" w:color="auto"/>
            </w:tcBorders>
          </w:tcPr>
          <w:p>
            <w:pPr>
              <w:jc w:val="right"/>
              <w:ind w:right="484"/>
              <w:spacing w:after="0" w:line="12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3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Offering Price</w:t>
            </w:r>
          </w:p>
        </w:tc>
        <w:tc>
          <w:tcPr>
            <w:tcW w:w="168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36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76"/>
        </w:trPr>
        <w:tc>
          <w:tcPr>
            <w:tcW w:w="1140" w:type="dxa"/>
            <w:vAlign w:val="bottom"/>
            <w:tcBorders>
              <w:left w:val="single" w:sz="8" w:color="auto"/>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1580" w:type="dxa"/>
            <w:vAlign w:val="bottom"/>
            <w:tcBorders>
              <w:bottom w:val="single" w:sz="8" w:color="auto"/>
              <w:right w:val="single" w:sz="8" w:color="auto"/>
            </w:tcBorders>
          </w:tcPr>
          <w:p>
            <w:pPr>
              <w:jc w:val="right"/>
              <w:ind w:right="364"/>
              <w:spacing w:after="0" w:line="175" w:lineRule="exact"/>
              <w:rPr>
                <w:sz w:val="20"/>
                <w:szCs w:val="20"/>
                <w:color w:val="auto"/>
              </w:rPr>
            </w:pP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16"/>
                <w:szCs w:val="16"/>
                <w:b w:val="1"/>
                <w:bCs w:val="1"/>
                <w:color w:val="auto"/>
                <w:vertAlign w:val="superscript"/>
              </w:rPr>
              <w:t>(1)</w:t>
            </w:r>
          </w:p>
        </w:tc>
        <w:tc>
          <w:tcPr>
            <w:tcW w:w="1360" w:type="dxa"/>
            <w:vAlign w:val="bottom"/>
            <w:tcBorders>
              <w:bottom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0"/>
              </w:rPr>
              <w:t>Per Unit</w:t>
            </w:r>
            <w:r>
              <w:rPr>
                <w:rFonts w:ascii="Times New Roman" w:cs="Times New Roman" w:eastAsia="Times New Roman" w:hAnsi="Times New Roman"/>
                <w:sz w:val="16"/>
                <w:szCs w:val="16"/>
                <w:b w:val="1"/>
                <w:bCs w:val="1"/>
                <w:color w:val="auto"/>
                <w:w w:val="90"/>
                <w:vertAlign w:val="superscript"/>
              </w:rPr>
              <w:t>(2)</w:t>
            </w:r>
          </w:p>
        </w:tc>
        <w:tc>
          <w:tcPr>
            <w:tcW w:w="1680" w:type="dxa"/>
            <w:vAlign w:val="bottom"/>
            <w:tcBorders>
              <w:bottom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1"/>
              </w:rPr>
              <w:t>Price</w:t>
            </w:r>
            <w:r>
              <w:rPr>
                <w:rFonts w:ascii="Times New Roman" w:cs="Times New Roman" w:eastAsia="Times New Roman" w:hAnsi="Times New Roman"/>
                <w:sz w:val="16"/>
                <w:szCs w:val="16"/>
                <w:b w:val="1"/>
                <w:bCs w:val="1"/>
                <w:color w:val="auto"/>
                <w:w w:val="91"/>
                <w:vertAlign w:val="superscript"/>
              </w:rPr>
              <w:t>(2)</w:t>
            </w:r>
          </w:p>
        </w:tc>
        <w:tc>
          <w:tcPr>
            <w:tcW w:w="1360" w:type="dxa"/>
            <w:vAlign w:val="bottom"/>
            <w:tcBorders>
              <w:bottom w:val="single" w:sz="8" w:color="auto"/>
              <w:right w:val="single" w:sz="8" w:color="auto"/>
            </w:tcBorders>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Fee Rate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191"/>
        </w:trPr>
        <w:tc>
          <w:tcPr>
            <w:tcW w:w="1140" w:type="dxa"/>
            <w:vAlign w:val="bottom"/>
            <w:tcBorders>
              <w:left w:val="single" w:sz="8" w:color="auto"/>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w:t>
            </w:r>
          </w:p>
        </w:tc>
        <w:tc>
          <w:tcPr>
            <w:tcW w:w="11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vMerge w:val="restart"/>
          </w:tcPr>
          <w:p>
            <w:pPr>
              <w:jc w:val="right"/>
              <w:ind w:right="244"/>
              <w:spacing w:after="0"/>
              <w:rPr>
                <w:sz w:val="20"/>
                <w:szCs w:val="20"/>
                <w:color w:val="auto"/>
              </w:rPr>
            </w:pPr>
            <w:r>
              <w:rPr>
                <w:rFonts w:ascii="Times New Roman" w:cs="Times New Roman" w:eastAsia="Times New Roman" w:hAnsi="Times New Roman"/>
                <w:sz w:val="18"/>
                <w:szCs w:val="18"/>
                <w:color w:val="auto"/>
              </w:rPr>
              <w:t>5,697,677</w:t>
            </w:r>
            <w:r>
              <w:rPr>
                <w:rFonts w:ascii="Times New Roman" w:cs="Times New Roman" w:eastAsia="Times New Roman" w:hAnsi="Times New Roman"/>
                <w:sz w:val="24"/>
                <w:szCs w:val="24"/>
                <w:color w:val="auto"/>
                <w:vertAlign w:val="superscript"/>
              </w:rPr>
              <w:t>(3)</w:t>
            </w:r>
          </w:p>
        </w:tc>
        <w:tc>
          <w:tcPr>
            <w:tcW w:w="13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9"/>
              </w:rPr>
              <w:t>Equity</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1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right w:val="single" w:sz="8" w:color="auto"/>
            </w:tcBorders>
            <w:vMerge w:val="continue"/>
          </w:tcPr>
          <w:p>
            <w:pPr>
              <w:spacing w:after="0"/>
              <w:rPr>
                <w:sz w:val="18"/>
                <w:szCs w:val="18"/>
                <w:color w:val="auto"/>
              </w:rPr>
            </w:pPr>
          </w:p>
        </w:tc>
        <w:tc>
          <w:tcPr>
            <w:tcW w:w="136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8"/>
                <w:szCs w:val="18"/>
                <w:color w:val="auto"/>
              </w:rPr>
              <w:t>$4.94</w:t>
            </w:r>
          </w:p>
        </w:tc>
        <w:tc>
          <w:tcPr>
            <w:tcW w:w="1680" w:type="dxa"/>
            <w:vAlign w:val="bottom"/>
            <w:tcBorders>
              <w:right w:val="single" w:sz="8" w:color="auto"/>
            </w:tcBorders>
          </w:tcPr>
          <w:p>
            <w:pPr>
              <w:jc w:val="right"/>
              <w:ind w:right="165"/>
              <w:spacing w:after="0"/>
              <w:rPr>
                <w:sz w:val="20"/>
                <w:szCs w:val="20"/>
                <w:color w:val="auto"/>
              </w:rPr>
            </w:pPr>
            <w:r>
              <w:rPr>
                <w:rFonts w:ascii="Times New Roman" w:cs="Times New Roman" w:eastAsia="Times New Roman" w:hAnsi="Times New Roman"/>
                <w:sz w:val="18"/>
                <w:szCs w:val="18"/>
                <w:color w:val="auto"/>
              </w:rPr>
              <w:t>$28,146,524.38</w:t>
            </w:r>
          </w:p>
        </w:tc>
        <w:tc>
          <w:tcPr>
            <w:tcW w:w="13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0.00015310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$4,309.23</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w:t>
            </w: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40" w:type="dxa"/>
            <w:vAlign w:val="bottom"/>
            <w:tcBorders>
              <w:left w:val="single" w:sz="8" w:color="auto"/>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w:t>
            </w:r>
          </w:p>
        </w:tc>
        <w:tc>
          <w:tcPr>
            <w:tcW w:w="112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68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vMerge w:val="restart"/>
          </w:tcPr>
          <w:p>
            <w:pPr>
              <w:jc w:val="right"/>
              <w:ind w:right="244"/>
              <w:spacing w:after="0"/>
              <w:rPr>
                <w:sz w:val="20"/>
                <w:szCs w:val="20"/>
                <w:color w:val="auto"/>
              </w:rPr>
            </w:pPr>
            <w:r>
              <w:rPr>
                <w:rFonts w:ascii="Times New Roman" w:cs="Times New Roman" w:eastAsia="Times New Roman" w:hAnsi="Times New Roman"/>
                <w:sz w:val="18"/>
                <w:szCs w:val="18"/>
                <w:color w:val="auto"/>
              </w:rPr>
              <w:t>2,117,650</w:t>
            </w:r>
            <w:r>
              <w:rPr>
                <w:rFonts w:ascii="Times New Roman" w:cs="Times New Roman" w:eastAsia="Times New Roman" w:hAnsi="Times New Roman"/>
                <w:sz w:val="24"/>
                <w:szCs w:val="24"/>
                <w:color w:val="auto"/>
                <w:vertAlign w:val="superscript"/>
              </w:rPr>
              <w:t>(4)</w:t>
            </w:r>
          </w:p>
        </w:tc>
        <w:tc>
          <w:tcPr>
            <w:tcW w:w="13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9"/>
              </w:rPr>
              <w:t>Equity</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12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tcBorders>
              <w:right w:val="single" w:sz="8" w:color="auto"/>
            </w:tcBorders>
            <w:vMerge w:val="continue"/>
          </w:tcPr>
          <w:p>
            <w:pPr>
              <w:spacing w:after="0"/>
              <w:rPr>
                <w:sz w:val="18"/>
                <w:szCs w:val="18"/>
                <w:color w:val="auto"/>
              </w:rPr>
            </w:pPr>
          </w:p>
        </w:tc>
        <w:tc>
          <w:tcPr>
            <w:tcW w:w="1360" w:type="dxa"/>
            <w:vAlign w:val="bottom"/>
            <w:tcBorders>
              <w:right w:val="single" w:sz="8" w:color="auto"/>
            </w:tcBorders>
          </w:tcPr>
          <w:p>
            <w:pPr>
              <w:jc w:val="right"/>
              <w:ind w:right="368"/>
              <w:spacing w:after="0"/>
              <w:rPr>
                <w:sz w:val="20"/>
                <w:szCs w:val="20"/>
                <w:color w:val="auto"/>
              </w:rPr>
            </w:pPr>
            <w:r>
              <w:rPr>
                <w:rFonts w:ascii="Times New Roman" w:cs="Times New Roman" w:eastAsia="Times New Roman" w:hAnsi="Times New Roman"/>
                <w:sz w:val="18"/>
                <w:szCs w:val="18"/>
                <w:color w:val="auto"/>
              </w:rPr>
              <w:t>$4.94</w:t>
            </w:r>
          </w:p>
        </w:tc>
        <w:tc>
          <w:tcPr>
            <w:tcW w:w="1680" w:type="dxa"/>
            <w:vAlign w:val="bottom"/>
            <w:tcBorders>
              <w:right w:val="single" w:sz="8" w:color="auto"/>
            </w:tcBorders>
          </w:tcPr>
          <w:p>
            <w:pPr>
              <w:jc w:val="right"/>
              <w:ind w:right="165"/>
              <w:spacing w:after="0"/>
              <w:rPr>
                <w:sz w:val="20"/>
                <w:szCs w:val="20"/>
                <w:color w:val="auto"/>
              </w:rPr>
            </w:pPr>
            <w:r>
              <w:rPr>
                <w:rFonts w:ascii="Times New Roman" w:cs="Times New Roman" w:eastAsia="Times New Roman" w:hAnsi="Times New Roman"/>
                <w:sz w:val="18"/>
                <w:szCs w:val="18"/>
                <w:color w:val="auto"/>
              </w:rPr>
              <w:t>$10,461,191.00</w:t>
            </w:r>
          </w:p>
        </w:tc>
        <w:tc>
          <w:tcPr>
            <w:tcW w:w="1360" w:type="dxa"/>
            <w:vAlign w:val="bottom"/>
            <w:tcBorders>
              <w:right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0.00015310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$1,601.61</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 per</w:t>
            </w:r>
          </w:p>
        </w:tc>
        <w:tc>
          <w:tcPr>
            <w:tcW w:w="1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1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8"/>
                <w:szCs w:val="18"/>
                <w:color w:val="auto"/>
              </w:rPr>
              <w:t>Total Offering Amounts</w:t>
            </w:r>
          </w:p>
        </w:tc>
        <w:tc>
          <w:tcPr>
            <w:tcW w:w="15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jc w:val="right"/>
              <w:ind w:right="165"/>
              <w:spacing w:after="0"/>
              <w:rPr>
                <w:sz w:val="20"/>
                <w:szCs w:val="20"/>
                <w:color w:val="auto"/>
              </w:rPr>
            </w:pPr>
            <w:r>
              <w:rPr>
                <w:rFonts w:ascii="Times New Roman" w:cs="Times New Roman" w:eastAsia="Times New Roman" w:hAnsi="Times New Roman"/>
                <w:sz w:val="18"/>
                <w:szCs w:val="18"/>
                <w:color w:val="auto"/>
              </w:rPr>
              <w:t>$38,607,715.38</w:t>
            </w: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$5,910.84</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5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tcBorders>
          </w:tcPr>
          <w:p>
            <w:pPr>
              <w:spacing w:after="0"/>
              <w:rPr>
                <w:sz w:val="18"/>
                <w:szCs w:val="18"/>
                <w:color w:val="auto"/>
              </w:rPr>
            </w:pPr>
          </w:p>
        </w:tc>
        <w:tc>
          <w:tcPr>
            <w:tcW w:w="2780" w:type="dxa"/>
            <w:vAlign w:val="bottom"/>
            <w:tcBorders>
              <w:bottom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8"/>
                <w:szCs w:val="18"/>
                <w:color w:val="auto"/>
              </w:rPr>
              <w:t>Net Fee Due</w:t>
            </w:r>
          </w:p>
        </w:tc>
        <w:tc>
          <w:tcPr>
            <w:tcW w:w="15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$5,910.84</w:t>
            </w:r>
          </w:p>
        </w:tc>
        <w:tc>
          <w:tcPr>
            <w:tcW w:w="0" w:type="dxa"/>
            <w:vAlign w:val="bottom"/>
          </w:tcPr>
          <w:p>
            <w:pPr>
              <w:spacing w:after="0"/>
              <w:rPr>
                <w:sz w:val="1"/>
                <w:szCs w:val="1"/>
                <w:color w:val="auto"/>
              </w:rPr>
            </w:pPr>
          </w:p>
        </w:tc>
      </w:tr>
    </w:tbl>
    <w:p>
      <w:pPr>
        <w:ind w:left="20"/>
        <w:spacing w:after="0" w:line="214" w:lineRule="auto"/>
        <w:rPr>
          <w:sz w:val="20"/>
          <w:szCs w:val="20"/>
          <w:color w:val="auto"/>
        </w:rPr>
      </w:pPr>
      <w:r>
        <w:rPr>
          <w:rFonts w:ascii="Times New Roman" w:cs="Times New Roman" w:eastAsia="Times New Roman" w:hAnsi="Times New Roman"/>
          <w:sz w:val="12"/>
          <w:szCs w:val="12"/>
          <w:color w:val="auto"/>
        </w:rPr>
        <w:t>(1)</w:t>
      </w:r>
    </w:p>
    <w:p>
      <w:pPr>
        <w:ind w:left="460" w:right="360"/>
        <w:spacing w:after="0" w:line="253" w:lineRule="auto"/>
        <w:rPr>
          <w:sz w:val="20"/>
          <w:szCs w:val="20"/>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the Registrant’s Class A common stock, par value $0.001 per share (“Common Stock”), which become issuable under the Registrant’s 2021 Equity Incentive Plan (the “2021 Plan”) and 2023 Inducement Plan (the “2023 Inducement Plan”) by reason of any stock split, stock dividend, recapitalization, or other similar transaction.</w:t>
      </w:r>
    </w:p>
    <w:p>
      <w:pPr>
        <w:ind w:left="20"/>
        <w:spacing w:after="0" w:line="196" w:lineRule="auto"/>
        <w:rPr>
          <w:sz w:val="20"/>
          <w:szCs w:val="20"/>
          <w:color w:val="auto"/>
        </w:rPr>
      </w:pPr>
      <w:r>
        <w:rPr>
          <w:rFonts w:ascii="Times New Roman" w:cs="Times New Roman" w:eastAsia="Times New Roman" w:hAnsi="Times New Roman"/>
          <w:sz w:val="12"/>
          <w:szCs w:val="12"/>
          <w:color w:val="auto"/>
        </w:rPr>
        <w:t>(2)</w:t>
      </w:r>
    </w:p>
    <w:p>
      <w:pPr>
        <w:ind w:left="460" w:right="80"/>
        <w:spacing w:after="0" w:line="258" w:lineRule="auto"/>
        <w:rPr>
          <w:sz w:val="20"/>
          <w:szCs w:val="20"/>
          <w:color w:val="auto"/>
        </w:rPr>
      </w:pPr>
      <w:r>
        <w:rPr>
          <w:rFonts w:ascii="Times New Roman" w:cs="Times New Roman" w:eastAsia="Times New Roman" w:hAnsi="Times New Roman"/>
          <w:sz w:val="18"/>
          <w:szCs w:val="18"/>
          <w:color w:val="auto"/>
        </w:rPr>
        <w:t>Estimated in accordance with Rule 457(h) and Rule 457(c) of the Securities Act. The price per share and aggregate offering price are based upon the average of the high and low prices of the Registrant’s Common Stock on February 21, 2025, as reported on the Nasdaq Global Select Market.</w:t>
      </w:r>
    </w:p>
    <w:p>
      <w:pPr>
        <w:ind w:left="20"/>
        <w:spacing w:after="0" w:line="188" w:lineRule="auto"/>
        <w:rPr>
          <w:sz w:val="20"/>
          <w:szCs w:val="20"/>
          <w:color w:val="auto"/>
        </w:rPr>
      </w:pPr>
      <w:r>
        <w:rPr>
          <w:rFonts w:ascii="Times New Roman" w:cs="Times New Roman" w:eastAsia="Times New Roman" w:hAnsi="Times New Roman"/>
          <w:sz w:val="12"/>
          <w:szCs w:val="12"/>
          <w:color w:val="auto"/>
        </w:rPr>
        <w:t>(3)</w:t>
      </w:r>
    </w:p>
    <w:p>
      <w:pPr>
        <w:ind w:left="460" w:right="120"/>
        <w:spacing w:after="0" w:line="258" w:lineRule="auto"/>
        <w:rPr>
          <w:sz w:val="20"/>
          <w:szCs w:val="20"/>
          <w:color w:val="auto"/>
        </w:rPr>
      </w:pPr>
      <w:r>
        <w:rPr>
          <w:rFonts w:ascii="Times New Roman" w:cs="Times New Roman" w:eastAsia="Times New Roman" w:hAnsi="Times New Roman"/>
          <w:sz w:val="18"/>
          <w:szCs w:val="18"/>
          <w:color w:val="auto"/>
        </w:rPr>
        <w:t>Represents the number of additional shares of Common Stock available for issuance as a result of the annual evergreen increase on January 1, 2025, under the 2021 Plan.</w:t>
      </w:r>
    </w:p>
    <w:p>
      <w:pPr>
        <w:ind w:left="20"/>
        <w:spacing w:after="0" w:line="188" w:lineRule="auto"/>
        <w:rPr>
          <w:sz w:val="20"/>
          <w:szCs w:val="20"/>
          <w:color w:val="auto"/>
        </w:rPr>
      </w:pPr>
      <w:r>
        <w:rPr>
          <w:rFonts w:ascii="Times New Roman" w:cs="Times New Roman" w:eastAsia="Times New Roman" w:hAnsi="Times New Roman"/>
          <w:sz w:val="12"/>
          <w:szCs w:val="12"/>
          <w:color w:val="auto"/>
        </w:rPr>
        <w:t>(4)</w:t>
      </w:r>
    </w:p>
    <w:p>
      <w:pPr>
        <w:ind w:left="460"/>
        <w:spacing w:after="0"/>
        <w:rPr>
          <w:sz w:val="20"/>
          <w:szCs w:val="20"/>
          <w:color w:val="auto"/>
        </w:rPr>
      </w:pPr>
      <w:r>
        <w:rPr>
          <w:rFonts w:ascii="Times New Roman" w:cs="Times New Roman" w:eastAsia="Times New Roman" w:hAnsi="Times New Roman"/>
          <w:sz w:val="18"/>
          <w:szCs w:val="18"/>
          <w:color w:val="auto"/>
        </w:rPr>
        <w:t>Represents the number of additional shares of Common Stock that were reserved for issuance under the 2023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1020445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jpeg"/><Relationship Id="rId40" Type="http://schemas.openxmlformats.org/officeDocument/2006/relationships/image" Target="media/image19.png"/><Relationship Id="rId41" Type="http://schemas.openxmlformats.org/officeDocument/2006/relationships/image" Target="media/image20.jpe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16" Type="http://schemas.openxmlformats.org/officeDocument/2006/relationships/hyperlink" Target="https://www.sec.gov/Archives/edgar/data/1861795/000119312521273190/d204559ds8.htm" TargetMode="External"/><Relationship Id="rId17" Type="http://schemas.openxmlformats.org/officeDocument/2006/relationships/hyperlink" Target="https://www.sec.gov/Archives/edgar/data/1861795/000119312523050866/d458388ds8.htm" TargetMode="External"/><Relationship Id="rId18" Type="http://schemas.openxmlformats.org/officeDocument/2006/relationships/hyperlink" Target="https://www.sec.gov/Archives/edgar/data/1861795/000119312524051102/d769495ds8.htm" TargetMode="External"/><Relationship Id="rId19" Type="http://schemas.openxmlformats.org/officeDocument/2006/relationships/hyperlink" Target="https://www.sec.gov/Archives/edgar/data/1861795/000119312523229619/d501211ds8.htm" TargetMode="External"/><Relationship Id="rId20" Type="http://schemas.openxmlformats.org/officeDocument/2006/relationships/hyperlink" Target="https://www.sec.gov/Archives/edgar/data/1861795/000119312524159932/d589818ds8.htm" TargetMode="External"/><Relationship Id="rId21" Type="http://schemas.openxmlformats.org/officeDocument/2006/relationships/hyperlink" Target="https://www.sec.gov/Archives/edgar/data/1861795/000095017025029086/dh-20241231.htm" TargetMode="External"/><Relationship Id="rId22" Type="http://schemas.openxmlformats.org/officeDocument/2006/relationships/hyperlink" Target="https://www.sec.gov/ix?doc=/Archives/edgar/data/1861795/000095017025006199/dh-20250116.htm" TargetMode="External"/><Relationship Id="rId23" Type="http://schemas.openxmlformats.org/officeDocument/2006/relationships/hyperlink" Target="https://www.sec.gov/Archives/edgar/data/1861795/000095017025029049/dh-20250224.htm" TargetMode="External"/><Relationship Id="rId24" Type="http://schemas.openxmlformats.org/officeDocument/2006/relationships/hyperlink" Target="https://www.sec.gov/Archives/edgar/data/1861795/000119312521273352/d208467d8a12b.htm" TargetMode="External"/><Relationship Id="rId25" Type="http://schemas.openxmlformats.org/officeDocument/2006/relationships/hyperlink" Target="https://www.sec.gov/Archives/edgar/data/1861795/000095017022003770/dh-ex4_1.htm" TargetMode="External"/><Relationship Id="rId28" Type="http://schemas.openxmlformats.org/officeDocument/2006/relationships/hyperlink" Target="https://www.sec.gov/Archives/edgar/data/1861795/000095017021003484/dh-ex3_1.htm" TargetMode="External"/><Relationship Id="rId29" Type="http://schemas.openxmlformats.org/officeDocument/2006/relationships/hyperlink" Target="https://www.sec.gov/Archives/edgar/data/1861795/000095017021003484/dh-ex3_2.htm" TargetMode="External"/><Relationship Id="rId30" Type="http://schemas.openxmlformats.org/officeDocument/2006/relationships/hyperlink" Target="https://www.sec.gov/Archives/edgar/data/1861795/000095017022003770/dh-ex10_12.htm" TargetMode="External"/><Relationship Id="rId31" Type="http://schemas.openxmlformats.org/officeDocument/2006/relationships/hyperlink" Target="https://www.sec.gov/Archives/edgar/data/1861795/000095017025029086/dh-ex10_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2025-02-27T17:13:54Z</dcterms:created>
  <dcterms:modified xsi:type="dcterms:W3CDTF">2025-02-27T17:13:54Z</dcterms:modified>
</cp:coreProperties>
</file>