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135255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9"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2"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25"/>
        </w:trPr>
        <w:tc>
          <w:tcPr>
            <w:tcW w:w="326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Commission File Number 001-40815</w:t>
            </w:r>
          </w:p>
        </w:tc>
      </w:tr>
    </w:tbl>
    <w:p>
      <w:pPr>
        <w:spacing w:after="0" w:line="17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-295910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7600" w:type="dxa"/>
            <w:vAlign w:val="bottom"/>
            <w:gridSpan w:val="7"/>
          </w:tcPr>
          <w:p>
            <w:pPr>
              <w:jc w:val="center"/>
              <w:ind w:left="350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480" w:type="dxa"/>
            <w:vAlign w:val="bottom"/>
            <w:gridSpan w:val="3"/>
            <w:vMerge w:val="restart"/>
          </w:tcPr>
          <w:p>
            <w:pPr>
              <w:jc w:val="center"/>
              <w:ind w:left="102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0" w:type="dxa"/>
            <w:vAlign w:val="bottom"/>
            <w:vMerge w:val="restart"/>
          </w:tcPr>
          <w:p>
            <w:pPr>
              <w:jc w:val="right"/>
              <w:ind w:right="2324"/>
              <w:spacing w:after="0"/>
              <w:rPr>
                <w:sz w:val="20"/>
                <w:szCs w:val="20"/>
                <w:color w:val="auto"/>
              </w:rPr>
            </w:pPr>
            <w:r>
              <w:rPr>
                <w:rFonts w:ascii="Times New Roman" w:cs="Times New Roman" w:eastAsia="Times New Roman" w:hAnsi="Times New Roman"/>
                <w:sz w:val="16"/>
                <w:szCs w:val="16"/>
                <w:b w:val="1"/>
                <w:bCs w:val="1"/>
                <w:color w:val="auto"/>
              </w:rPr>
              <w:t>86-3988281</w:t>
            </w:r>
          </w:p>
        </w:tc>
        <w:tc>
          <w:tcPr>
            <w:tcW w:w="0" w:type="dxa"/>
            <w:vAlign w:val="bottom"/>
          </w:tcPr>
          <w:p>
            <w:pPr>
              <w:spacing w:after="0"/>
              <w:rPr>
                <w:sz w:val="1"/>
                <w:szCs w:val="1"/>
                <w:color w:val="auto"/>
              </w:rPr>
            </w:pPr>
          </w:p>
        </w:tc>
      </w:tr>
      <w:tr>
        <w:trPr>
          <w:trHeight w:val="325"/>
        </w:trPr>
        <w:tc>
          <w:tcPr>
            <w:tcW w:w="448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480" w:type="dxa"/>
            <w:vAlign w:val="bottom"/>
            <w:gridSpan w:val="3"/>
          </w:tcPr>
          <w:p>
            <w:pPr>
              <w:jc w:val="center"/>
              <w:ind w:left="1043"/>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0" w:type="dxa"/>
            <w:vAlign w:val="bottom"/>
          </w:tcPr>
          <w:p>
            <w:pPr>
              <w:jc w:val="center"/>
              <w:ind w:right="1884"/>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480" w:type="dxa"/>
            <w:vAlign w:val="bottom"/>
            <w:gridSpan w:val="3"/>
          </w:tcPr>
          <w:p>
            <w:pPr>
              <w:jc w:val="center"/>
              <w:ind w:left="104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0" w:type="dxa"/>
            <w:vAlign w:val="bottom"/>
          </w:tcPr>
          <w:p>
            <w:pPr>
              <w:jc w:val="center"/>
              <w:ind w:right="190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59"/>
        </w:trPr>
        <w:tc>
          <w:tcPr>
            <w:tcW w:w="4480" w:type="dxa"/>
            <w:vAlign w:val="bottom"/>
            <w:gridSpan w:val="3"/>
          </w:tcPr>
          <w:p>
            <w:pPr>
              <w:jc w:val="center"/>
              <w:ind w:left="1023"/>
              <w:spacing w:after="0"/>
              <w:rPr>
                <w:sz w:val="20"/>
                <w:szCs w:val="20"/>
                <w:color w:val="auto"/>
              </w:rPr>
            </w:pPr>
            <w:r>
              <w:rPr>
                <w:rFonts w:ascii="Times New Roman" w:cs="Times New Roman" w:eastAsia="Times New Roman" w:hAnsi="Times New Roman"/>
                <w:sz w:val="16"/>
                <w:szCs w:val="16"/>
                <w:b w:val="1"/>
                <w:bCs w:val="1"/>
                <w:color w:val="auto"/>
              </w:rPr>
              <w:t>492 Old Connecticut Path, Suite 401</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80" w:type="dxa"/>
            <w:vAlign w:val="bottom"/>
            <w:gridSpan w:val="3"/>
          </w:tcPr>
          <w:p>
            <w:pPr>
              <w:jc w:val="center"/>
              <w:ind w:left="1023"/>
              <w:spacing w:after="0"/>
              <w:rPr>
                <w:sz w:val="20"/>
                <w:szCs w:val="20"/>
                <w:color w:val="auto"/>
              </w:rPr>
            </w:pPr>
            <w:r>
              <w:rPr>
                <w:rFonts w:ascii="Times New Roman" w:cs="Times New Roman" w:eastAsia="Times New Roman" w:hAnsi="Times New Roman"/>
                <w:sz w:val="16"/>
                <w:szCs w:val="16"/>
                <w:b w:val="1"/>
                <w:bCs w:val="1"/>
                <w:color w:val="auto"/>
              </w:rPr>
              <w:t>Framingham, MA</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0" w:type="dxa"/>
            <w:vAlign w:val="bottom"/>
          </w:tcPr>
          <w:p>
            <w:pPr>
              <w:jc w:val="right"/>
              <w:ind w:right="2504"/>
              <w:spacing w:after="0"/>
              <w:rPr>
                <w:sz w:val="20"/>
                <w:szCs w:val="20"/>
                <w:color w:val="auto"/>
              </w:rPr>
            </w:pPr>
            <w:r>
              <w:rPr>
                <w:rFonts w:ascii="Times New Roman" w:cs="Times New Roman" w:eastAsia="Times New Roman" w:hAnsi="Times New Roman"/>
                <w:sz w:val="16"/>
                <w:szCs w:val="16"/>
                <w:b w:val="1"/>
                <w:bCs w:val="1"/>
                <w:color w:val="auto"/>
              </w:rPr>
              <w:t>01701</w:t>
            </w:r>
          </w:p>
        </w:tc>
        <w:tc>
          <w:tcPr>
            <w:tcW w:w="0" w:type="dxa"/>
            <w:vAlign w:val="bottom"/>
          </w:tcPr>
          <w:p>
            <w:pPr>
              <w:spacing w:after="0"/>
              <w:rPr>
                <w:sz w:val="1"/>
                <w:szCs w:val="1"/>
                <w:color w:val="auto"/>
              </w:rPr>
            </w:pPr>
          </w:p>
        </w:tc>
      </w:tr>
      <w:tr>
        <w:trPr>
          <w:trHeight w:val="199"/>
        </w:trPr>
        <w:tc>
          <w:tcPr>
            <w:tcW w:w="4480" w:type="dxa"/>
            <w:vAlign w:val="bottom"/>
            <w:gridSpan w:val="3"/>
          </w:tcPr>
          <w:p>
            <w:pPr>
              <w:jc w:val="center"/>
              <w:ind w:left="102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0" w:type="dxa"/>
            <w:vAlign w:val="bottom"/>
          </w:tcPr>
          <w:p>
            <w:pPr>
              <w:jc w:val="center"/>
              <w:ind w:right="190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23"/>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(508) 720-4224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600" w:type="dxa"/>
            <w:vAlign w:val="bottom"/>
            <w:gridSpan w:val="7"/>
          </w:tcPr>
          <w:p>
            <w:pPr>
              <w:jc w:val="center"/>
              <w:ind w:left="348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4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448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92"/>
        </w:trPr>
        <w:tc>
          <w:tcPr>
            <w:tcW w:w="44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Class A Common Stock, $0.001 par value</w:t>
            </w:r>
          </w:p>
        </w:tc>
        <w:tc>
          <w:tcPr>
            <w:tcW w:w="3120" w:type="dxa"/>
            <w:vAlign w:val="bottom"/>
            <w:gridSpan w:val="4"/>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DH</w:t>
            </w:r>
          </w:p>
        </w:tc>
        <w:tc>
          <w:tcPr>
            <w:tcW w:w="36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14"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6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ind w:right="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2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4, 2024, the number of outstanding shares of the registrant’s Class A Common Stock was 115,522,829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634365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9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Glossary</w:t>
            </w:r>
          </w:p>
        </w:tc>
        <w:tc>
          <w:tcPr>
            <w:tcW w:w="20" w:type="dxa"/>
            <w:vAlign w:val="bottom"/>
            <w:tcBorders>
              <w:bottom w:val="single" w:sz="8" w:color="0000EE"/>
            </w:tcBorders>
          </w:tcPr>
          <w:p>
            <w:pPr>
              <w:spacing w:after="0"/>
              <w:rPr>
                <w:sz w:val="24"/>
                <w:szCs w:val="24"/>
                <w:color w:val="auto"/>
              </w:rPr>
            </w:pPr>
          </w:p>
        </w:tc>
        <w:tc>
          <w:tcPr>
            <w:tcW w:w="8600" w:type="dxa"/>
            <w:vAlign w:val="bottom"/>
            <w:gridSpan w:val="20"/>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1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120" w:type="dxa"/>
            <w:vAlign w:val="bottom"/>
            <w:gridSpan w:val="10"/>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(Unaudited)</w:t>
            </w:r>
          </w:p>
        </w:tc>
        <w:tc>
          <w:tcPr>
            <w:tcW w:w="20" w:type="dxa"/>
            <w:vAlign w:val="bottom"/>
            <w:tcBorders>
              <w:bottom w:val="single" w:sz="8" w:color="0000EE"/>
            </w:tcBorders>
          </w:tcPr>
          <w:p>
            <w:pPr>
              <w:spacing w:after="0"/>
              <w:rPr>
                <w:sz w:val="24"/>
                <w:szCs w:val="24"/>
                <w:color w:val="auto"/>
              </w:rPr>
            </w:pPr>
          </w:p>
        </w:tc>
        <w:tc>
          <w:tcPr>
            <w:tcW w:w="3940" w:type="dxa"/>
            <w:vAlign w:val="bottom"/>
            <w:gridSpan w:val="3"/>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Total Equity (Unaudited)</w:t>
            </w:r>
          </w:p>
        </w:tc>
        <w:tc>
          <w:tcPr>
            <w:tcW w:w="3740" w:type="dxa"/>
            <w:vAlign w:val="bottom"/>
            <w:gridSpan w:val="2"/>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60" w:type="dxa"/>
            <w:vAlign w:val="bottom"/>
            <w:gridSpan w:val="9"/>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3"/>
            <w:vMerge w:val="continue"/>
          </w:tcPr>
          <w:p>
            <w:pPr>
              <w:spacing w:after="0"/>
              <w:rPr>
                <w:sz w:val="24"/>
                <w:szCs w:val="24"/>
                <w:color w:val="auto"/>
              </w:rPr>
            </w:pPr>
          </w:p>
        </w:tc>
        <w:tc>
          <w:tcPr>
            <w:tcW w:w="1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380" w:type="dxa"/>
            <w:vAlign w:val="bottom"/>
            <w:gridSpan w:val="14"/>
          </w:tcPr>
          <w:p>
            <w:pPr>
              <w:spacing w:after="0"/>
              <w:rPr>
                <w:sz w:val="24"/>
                <w:szCs w:val="24"/>
                <w:color w:val="auto"/>
              </w:rPr>
            </w:pPr>
          </w:p>
        </w:tc>
        <w:tc>
          <w:tcPr>
            <w:tcW w:w="9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2"/>
          </w:tcPr>
          <w:p>
            <w:pPr>
              <w:spacing w:after="0"/>
              <w:rPr>
                <w:sz w:val="24"/>
                <w:szCs w:val="24"/>
                <w:color w:val="auto"/>
              </w:rPr>
            </w:pPr>
          </w:p>
        </w:tc>
        <w:tc>
          <w:tcPr>
            <w:tcW w:w="7940" w:type="dxa"/>
            <w:vAlign w:val="bottom"/>
            <w:gridSpan w:val="16"/>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4"/>
          </w:tcPr>
          <w:p>
            <w:pPr>
              <w:spacing w:after="0"/>
              <w:rPr>
                <w:sz w:val="24"/>
                <w:szCs w:val="24"/>
                <w:color w:val="auto"/>
              </w:rPr>
            </w:pPr>
          </w:p>
        </w:tc>
        <w:tc>
          <w:tcPr>
            <w:tcW w:w="4920" w:type="dxa"/>
            <w:vAlign w:val="bottom"/>
            <w:gridSpan w:val="8"/>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80" w:type="dxa"/>
            <w:vAlign w:val="bottom"/>
            <w:gridSpan w:val="15"/>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60" w:type="dxa"/>
            <w:vAlign w:val="bottom"/>
            <w:gridSpan w:val="17"/>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4"/>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gridSpan w:val="18"/>
          </w:tcPr>
          <w:p>
            <w:pPr>
              <w:ind w:left="45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33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used in this Quarterly Report on Form 10-Q, the terms identified below have the meanings specified below unless otherwise noted or the context indicates otherwise. References in this Form 10-Q to “Definitive Healthcare Corp.” refer to Definitive Healthcare Corp. and not to any of its subsidiaries unless the context indicates otherwise. References in this Form 10-Q to “Definitive Healthcare”, “Definitive”, the “Company”, “we”, “us”, and “our” refer to Definitive Healthcare Corp. and its consolidated subsidiaries unless the context indicates otherwise.</w:t>
      </w:r>
    </w:p>
    <w:p>
      <w:pPr>
        <w:spacing w:after="0" w:line="396" w:lineRule="exact"/>
        <w:rPr>
          <w:sz w:val="20"/>
          <w:szCs w:val="20"/>
          <w:color w:val="auto"/>
        </w:rPr>
      </w:pPr>
    </w:p>
    <w:p>
      <w:pPr>
        <w:ind w:left="1020" w:right="24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AIDH Buyer</w:t>
      </w:r>
      <w:r>
        <w:rPr>
          <w:rFonts w:ascii="Times New Roman" w:cs="Times New Roman" w:eastAsia="Times New Roman" w:hAnsi="Times New Roman"/>
          <w:sz w:val="18"/>
          <w:szCs w:val="18"/>
          <w:color w:val="auto"/>
        </w:rPr>
        <w:t>” refers to AIDH Buyer, LLC, which is a wholly owned subsidiary of Definitive OpCo and the direct parent company of DH Holdings.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Advent</w:t>
      </w:r>
      <w:r>
        <w:rPr>
          <w:rFonts w:ascii="Times New Roman" w:cs="Times New Roman" w:eastAsia="Times New Roman" w:hAnsi="Times New Roman"/>
          <w:sz w:val="18"/>
          <w:szCs w:val="18"/>
          <w:color w:val="auto"/>
        </w:rPr>
        <w:t>” refers to funds affiliated with Advent International, a global private equity firm.</w:t>
      </w:r>
    </w:p>
    <w:p>
      <w:pPr>
        <w:spacing w:after="0" w:line="9"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AIDH Management Holdings, LLC</w:t>
      </w:r>
      <w:r>
        <w:rPr>
          <w:rFonts w:ascii="Times New Roman" w:cs="Times New Roman" w:eastAsia="Times New Roman" w:hAnsi="Times New Roman"/>
          <w:sz w:val="18"/>
          <w:szCs w:val="18"/>
          <w:color w:val="auto"/>
        </w:rPr>
        <w:t>” is a special purpose investment vehicle through which certain persons, primarily employees and certain legacy investors, indirectly hold interests in Definitive OpCo.</w:t>
      </w:r>
    </w:p>
    <w:p>
      <w:pPr>
        <w:jc w:val="both"/>
        <w:ind w:left="1020" w:right="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LLC Agreement</w:t>
      </w:r>
      <w:r>
        <w:rPr>
          <w:rFonts w:ascii="Times New Roman" w:cs="Times New Roman" w:eastAsia="Times New Roman" w:hAnsi="Times New Roman"/>
          <w:sz w:val="18"/>
          <w:szCs w:val="18"/>
          <w:color w:val="auto"/>
        </w:rPr>
        <w:t>” refers to the second amended and restated limited liability company agreement entered into by Definitive Opco pursuant to which members have the right to exchange all or a portion of their LLC units for newly issued shares of Class A Common Stock in Definitive Healthcare Corp.</w:t>
      </w:r>
    </w:p>
    <w:p>
      <w:pPr>
        <w:spacing w:after="0" w:line="1"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w:t>
      </w:r>
      <w:r>
        <w:rPr>
          <w:rFonts w:ascii="Times New Roman" w:cs="Times New Roman" w:eastAsia="Times New Roman" w:hAnsi="Times New Roman"/>
          <w:sz w:val="18"/>
          <w:szCs w:val="18"/>
          <w:color w:val="auto"/>
        </w:rPr>
        <w:t>” refers to annual recurring revenue as of period end, which is calculated by aggregating annual subscription revenue from committed contractual amounts for all existing customers during that period. ARR may also include, in rare circumstances, existing customers with expired contracts who have provided oral or written commitments to renew.</w:t>
      </w:r>
    </w:p>
    <w:p>
      <w:pPr>
        <w:spacing w:after="0" w:line="1"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Blocker Companies</w:t>
      </w:r>
      <w:r>
        <w:rPr>
          <w:rFonts w:ascii="Times New Roman" w:cs="Times New Roman" w:eastAsia="Times New Roman" w:hAnsi="Times New Roman"/>
          <w:sz w:val="18"/>
          <w:szCs w:val="18"/>
          <w:color w:val="auto"/>
        </w:rPr>
        <w:t>” refers to certain entities treated as corporations for U.S. federal income tax purposes that held LLC units in Definitive OpCo which, through the Reorganization Transactions, were merged into Definitive Healthcare Corp. and are now holders of Class A Common Stock.</w:t>
      </w:r>
    </w:p>
    <w:p>
      <w:pPr>
        <w:spacing w:after="0" w:line="1"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Pre-IPO LLC Members</w:t>
      </w:r>
      <w:r>
        <w:rPr>
          <w:rFonts w:ascii="Times New Roman" w:cs="Times New Roman" w:eastAsia="Times New Roman" w:hAnsi="Times New Roman"/>
          <w:sz w:val="18"/>
          <w:szCs w:val="18"/>
          <w:color w:val="auto"/>
        </w:rPr>
        <w:t>” refers to certain Pre-IPO LLC Members who retained their equity ownership in Definitive OpCo in the form of LLC Units immediately following the consummation of the Reorganization Transactions.</w:t>
      </w:r>
    </w:p>
    <w:p>
      <w:pPr>
        <w:ind w:left="1020" w:right="46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OpCo</w:t>
      </w:r>
      <w:r>
        <w:rPr>
          <w:rFonts w:ascii="Times New Roman" w:cs="Times New Roman" w:eastAsia="Times New Roman" w:hAnsi="Times New Roman"/>
          <w:sz w:val="18"/>
          <w:szCs w:val="18"/>
          <w:color w:val="auto"/>
        </w:rPr>
        <w:t>” refers to AIDH TopCo, LLC, a Delaware limited liability company, and a subsidiary of Definitive Healthcare Corp., following the Reorganization Transactions.</w:t>
      </w:r>
    </w:p>
    <w:p>
      <w:pPr>
        <w:ind w:left="1020" w:right="1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DH Holdings</w:t>
      </w:r>
      <w:r>
        <w:rPr>
          <w:rFonts w:ascii="Times New Roman" w:cs="Times New Roman" w:eastAsia="Times New Roman" w:hAnsi="Times New Roman"/>
          <w:sz w:val="18"/>
          <w:szCs w:val="18"/>
          <w:color w:val="auto"/>
        </w:rPr>
        <w:t>” refers to Definitive Healthcare Holdings, LLC, a Delaware limited liability company and wholly owned subsidiary of AIDH Buyer.</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refers to the initial public offering of Class A Common Stock of Definitive Healthcare Corp.</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Units</w:t>
      </w:r>
      <w:r>
        <w:rPr>
          <w:rFonts w:ascii="Times New Roman" w:cs="Times New Roman" w:eastAsia="Times New Roman" w:hAnsi="Times New Roman"/>
          <w:sz w:val="18"/>
          <w:szCs w:val="18"/>
          <w:color w:val="auto"/>
        </w:rPr>
        <w:t>” refers to limited liability company interests in Definitive OpCo.</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Net Dollar Retention Rate</w:t>
      </w:r>
      <w:r>
        <w:rPr>
          <w:rFonts w:ascii="Times New Roman" w:cs="Times New Roman" w:eastAsia="Times New Roman" w:hAnsi="Times New Roman"/>
          <w:sz w:val="18"/>
          <w:szCs w:val="18"/>
          <w:color w:val="auto"/>
        </w:rPr>
        <w:t>”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the same period.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Populi</w:t>
      </w:r>
      <w:r>
        <w:rPr>
          <w:rFonts w:ascii="Times New Roman" w:cs="Times New Roman" w:eastAsia="Times New Roman" w:hAnsi="Times New Roman"/>
          <w:sz w:val="18"/>
          <w:szCs w:val="18"/>
          <w:color w:val="auto"/>
        </w:rPr>
        <w:t>” refers to Populi, Inc., a Delaware corporation.</w:t>
      </w:r>
    </w:p>
    <w:p>
      <w:pPr>
        <w:spacing w:after="0" w:line="9"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LLC Members</w:t>
      </w:r>
      <w:r>
        <w:rPr>
          <w:rFonts w:ascii="Times New Roman" w:cs="Times New Roman" w:eastAsia="Times New Roman" w:hAnsi="Times New Roman"/>
          <w:sz w:val="18"/>
          <w:szCs w:val="18"/>
          <w:color w:val="auto"/>
        </w:rPr>
        <w:t>” refers to certain affiliates of Spectrum Equity, Jason Krantz, DH Holdings, AIDH Management Holdings, LLC, certain affiliates of Advent, and certain other minority equity holders of Definitive OpCo prior to the Reorganization Transactions.</w:t>
      </w:r>
    </w:p>
    <w:p>
      <w:pPr>
        <w:ind w:left="1020" w:right="2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Parties</w:t>
      </w:r>
      <w:r>
        <w:rPr>
          <w:rFonts w:ascii="Times New Roman" w:cs="Times New Roman" w:eastAsia="Times New Roman" w:hAnsi="Times New Roman"/>
          <w:sz w:val="18"/>
          <w:szCs w:val="18"/>
          <w:color w:val="auto"/>
        </w:rPr>
        <w:t>” refers to the shareholders of the Blocker Companies prior to the merger of the Blocker Companies into Definitive Healthcare Corp.</w:t>
      </w:r>
    </w:p>
    <w:p>
      <w:pPr>
        <w:ind w:left="1020" w:right="5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Transactions</w:t>
      </w:r>
      <w:r>
        <w:rPr>
          <w:rFonts w:ascii="Times New Roman" w:cs="Times New Roman" w:eastAsia="Times New Roman" w:hAnsi="Times New Roman"/>
          <w:sz w:val="18"/>
          <w:szCs w:val="18"/>
          <w:color w:val="auto"/>
        </w:rPr>
        <w:t>” refers to transactions completed in connection with the Company’s IPO as defined within Note 1 to our unaudited condensed consolidated financial statements included in Part I, Item 1 of this Form 10-Q.</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Spectrum Equity</w:t>
      </w:r>
      <w:r>
        <w:rPr>
          <w:rFonts w:ascii="Times New Roman" w:cs="Times New Roman" w:eastAsia="Times New Roman" w:hAnsi="Times New Roman"/>
          <w:sz w:val="18"/>
          <w:szCs w:val="18"/>
          <w:color w:val="auto"/>
        </w:rPr>
        <w:t>” refers to investment funds associated with Spectrum Equity Management, L.P., a private equity firm.</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refers collectively to Advent and Spectrum Equity.</w:t>
      </w:r>
    </w:p>
    <w:p>
      <w:pPr>
        <w:spacing w:after="0" w:line="9" w:lineRule="exact"/>
        <w:rPr>
          <w:rFonts w:ascii="Times New Roman" w:cs="Times New Roman" w:eastAsia="Times New Roman" w:hAnsi="Times New Roman"/>
          <w:sz w:val="18"/>
          <w:szCs w:val="18"/>
          <w:color w:val="auto"/>
        </w:rPr>
      </w:pPr>
    </w:p>
    <w:p>
      <w:pPr>
        <w:ind w:left="1020" w:right="4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refers to the Tax Receivable Agreement, dated September 14, 2021, between Definitive Healthcare Corp., Definitive OpCo, and the TRA Parties.</w:t>
      </w:r>
    </w:p>
    <w:p>
      <w:pPr>
        <w:ind w:left="1020" w:right="5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 Parties</w:t>
      </w:r>
      <w:r>
        <w:rPr>
          <w:rFonts w:ascii="Times New Roman" w:cs="Times New Roman" w:eastAsia="Times New Roman" w:hAnsi="Times New Roman"/>
          <w:sz w:val="18"/>
          <w:szCs w:val="18"/>
          <w:color w:val="auto"/>
        </w:rPr>
        <w:t>” refers to the Continuing Pre-IPO LLC Members, the Reorganization Parties, and any future party to the Tax Receivable Agreement.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This Quarterly Report on Form 10-Q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5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regional, national, or global political, economic, business, competitive, market, and regulatory conditions.</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Part I, Item 1A, “Risk Factors,” in our Annual Report on Form 10-K for the year ended December 31, 2023 (the “2023 Form 10-K”) filed with the Securities and Exchange Commission (“SEC”) on February 28, 2024,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and par value)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137,609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130,976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167,779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contract costs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368,677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393,927</w:t>
            </w: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294,530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323,121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490,343</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Pr>
          <w:p>
            <w:pPr>
              <w:spacing w:after="0"/>
              <w:rPr>
                <w:sz w:val="20"/>
                <w:szCs w:val="20"/>
                <w:color w:val="auto"/>
              </w:rPr>
            </w:pPr>
          </w:p>
        </w:tc>
      </w:tr>
      <w:tr>
        <w:trPr>
          <w:trHeight w:val="281"/>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1,181,653</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1,825,901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148,176</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170,682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232,668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242,567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receivable agreements liability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tcPr>
          <w:p>
            <w:pPr>
              <w:spacing w:after="0"/>
              <w:rPr>
                <w:sz w:val="20"/>
                <w:szCs w:val="20"/>
                <w:color w:val="auto"/>
              </w:rPr>
            </w:pPr>
          </w:p>
        </w:tc>
      </w:tr>
      <w:tr>
        <w:trPr>
          <w:trHeight w:val="238"/>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486,093</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Common Stock, par value $0.001, 600,000,000 shares authorized, 115,443,795 and</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116,562,252 shares issued and outstanding at September 30, 2024 and December 31, 2023,</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 par value $0.00001, 65,000,000 shares authorized, 39,460,224 and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39,393,407 shares issued and outstanding, respectively, at September 30, 2024, and 39,762,700 and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39,168,047 shares issued and outstanding, respectively, at December 31, 2023</w:t>
            </w:r>
          </w:p>
        </w:tc>
        <w:tc>
          <w:tcPr>
            <w:tcW w:w="16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1,087,555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1,086,581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(581,499 )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(227,450 )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189,045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337,817</w:t>
            </w:r>
          </w:p>
        </w:tc>
        <w:tc>
          <w:tcPr>
            <w:tcW w:w="100" w:type="dxa"/>
            <w:vAlign w:val="bottom"/>
          </w:tcPr>
          <w:p>
            <w:pPr>
              <w:spacing w:after="0"/>
              <w:rPr>
                <w:sz w:val="20"/>
                <w:szCs w:val="20"/>
                <w:color w:val="auto"/>
              </w:rPr>
            </w:pPr>
          </w:p>
        </w:tc>
      </w:tr>
      <w:tr>
        <w:trPr>
          <w:trHeight w:val="238"/>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695,560</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1,199,174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1,181,653</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1,825,901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-5905500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-4653915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-4636770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-4653915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-4636770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-2142490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amounts and per share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6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3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65,325</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189,914</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185,483</w:t>
            </w:r>
          </w:p>
        </w:tc>
        <w:tc>
          <w:tcPr>
            <w:tcW w:w="100" w:type="dxa"/>
            <w:vAlign w:val="bottom"/>
            <w:shd w:val="clear" w:color="auto" w:fill="CFF0FC"/>
          </w:tcPr>
          <w:p>
            <w:pPr>
              <w:spacing w:after="0"/>
              <w:rPr>
                <w:sz w:val="20"/>
                <w:szCs w:val="20"/>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exclusive of amortization</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100" w:type="dxa"/>
            <w:vAlign w:val="bottom"/>
            <w:shd w:val="clear" w:color="auto" w:fill="CFF0FC"/>
          </w:tcPr>
          <w:p>
            <w:pPr>
              <w:spacing w:after="0"/>
              <w:rPr>
                <w:sz w:val="21"/>
                <w:szCs w:val="2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00" w:type="dxa"/>
            <w:vAlign w:val="bottom"/>
          </w:tcPr>
          <w:p>
            <w:pPr>
              <w:spacing w:after="0"/>
              <w:rPr>
                <w:sz w:val="20"/>
                <w:szCs w:val="20"/>
                <w:color w:val="auto"/>
              </w:rPr>
            </w:pPr>
          </w:p>
        </w:tc>
      </w:tr>
      <w:tr>
        <w:trPr>
          <w:trHeight w:val="237"/>
        </w:trPr>
        <w:tc>
          <w:tcPr>
            <w:tcW w:w="5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53,430</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149,867</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70,929</w:t>
            </w:r>
          </w:p>
        </w:tc>
        <w:tc>
          <w:tcPr>
            <w:tcW w:w="100" w:type="dxa"/>
            <w:vAlign w:val="bottom"/>
            <w:shd w:val="clear" w:color="auto" w:fill="CFF0FC"/>
          </w:tcPr>
          <w:p>
            <w:pPr>
              <w:spacing w:after="0"/>
              <w:rPr>
                <w:sz w:val="21"/>
                <w:szCs w:val="2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30,872</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42,294</w:t>
            </w:r>
          </w:p>
        </w:tc>
        <w:tc>
          <w:tcPr>
            <w:tcW w:w="100" w:type="dxa"/>
            <w:vAlign w:val="bottom"/>
            <w:shd w:val="clear" w:color="auto" w:fill="CFF0FC"/>
          </w:tcPr>
          <w:p>
            <w:pPr>
              <w:spacing w:after="0"/>
              <w:rPr>
                <w:sz w:val="21"/>
                <w:szCs w:val="2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29,073</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(1,995 )</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00" w:type="dxa"/>
            <w:vAlign w:val="bottom"/>
            <w:shd w:val="clear" w:color="auto" w:fill="CFF0FC"/>
          </w:tcPr>
          <w:p>
            <w:pPr>
              <w:spacing w:after="0"/>
              <w:rPr>
                <w:sz w:val="21"/>
                <w:szCs w:val="2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228,153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591,794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100" w:type="dxa"/>
            <w:vAlign w:val="bottom"/>
          </w:tcPr>
          <w:p>
            <w:pPr>
              <w:spacing w:after="0"/>
              <w:rPr>
                <w:sz w:val="20"/>
                <w:szCs w:val="20"/>
                <w:color w:val="auto"/>
              </w:rPr>
            </w:pPr>
          </w:p>
        </w:tc>
      </w:tr>
      <w:tr>
        <w:trPr>
          <w:trHeight w:val="237"/>
        </w:trPr>
        <w:tc>
          <w:tcPr>
            <w:tcW w:w="5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274,398</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348,808</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761,124</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(225,367 )</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(295,378 )</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(611,257 )</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(319,720 )</w:t>
            </w: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(3,749 )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(3,897 )</w:t>
            </w:r>
          </w:p>
        </w:tc>
        <w:tc>
          <w:tcPr>
            <w:tcW w:w="2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(11,328 )</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(11,304 )</w:t>
            </w: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remeasurement of tax receivable agreement liability</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24,977</w:t>
            </w:r>
          </w:p>
        </w:tc>
        <w:tc>
          <w:tcPr>
            <w:tcW w:w="100" w:type="dxa"/>
            <w:vAlign w:val="bottom"/>
          </w:tcPr>
          <w:p>
            <w:pPr>
              <w:spacing w:after="0"/>
              <w:rPr>
                <w:sz w:val="20"/>
                <w:szCs w:val="20"/>
                <w:color w:val="auto"/>
              </w:rPr>
            </w:pPr>
          </w:p>
        </w:tc>
      </w:tr>
      <w:tr>
        <w:trPr>
          <w:trHeight w:val="243"/>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(357 )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(86 )</w:t>
            </w:r>
          </w:p>
        </w:tc>
        <w:tc>
          <w:tcPr>
            <w:tcW w:w="2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(85 )</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21"/>
                <w:szCs w:val="21"/>
                <w:color w:val="auto"/>
              </w:rPr>
            </w:pPr>
          </w:p>
        </w:tc>
      </w:tr>
      <w:tr>
        <w:trPr>
          <w:trHeight w:val="237"/>
        </w:trPr>
        <w:tc>
          <w:tcPr>
            <w:tcW w:w="53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1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23,819</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29,156</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68,124</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23,727</w:t>
            </w:r>
          </w:p>
        </w:tc>
        <w:tc>
          <w:tcPr>
            <w:tcW w:w="100" w:type="dxa"/>
            <w:vAlign w:val="bottom"/>
            <w:tcBorders>
              <w:top w:val="single" w:sz="8" w:color="CFF0FC"/>
            </w:tcBorders>
          </w:tcPr>
          <w:p>
            <w:pPr>
              <w:spacing w:after="0"/>
              <w:rPr>
                <w:sz w:val="20"/>
                <w:szCs w:val="20"/>
                <w:color w:val="auto"/>
              </w:rPr>
            </w:pPr>
          </w:p>
        </w:tc>
      </w:tr>
      <w:tr>
        <w:trPr>
          <w:trHeight w:val="241"/>
        </w:trPr>
        <w:tc>
          <w:tcPr>
            <w:tcW w:w="5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(201,548 )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(266,222 )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(543,133 )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(295,993 )</w:t>
            </w:r>
          </w:p>
        </w:tc>
      </w:tr>
      <w:tr>
        <w:trPr>
          <w:trHeight w:val="239"/>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19,728</w:t>
            </w:r>
          </w:p>
        </w:tc>
        <w:tc>
          <w:tcPr>
            <w:tcW w:w="100" w:type="dxa"/>
            <w:vAlign w:val="bottom"/>
          </w:tcPr>
          <w:p>
            <w:pPr>
              <w:spacing w:after="0"/>
              <w:rPr>
                <w:sz w:val="20"/>
                <w:szCs w:val="20"/>
                <w:color w:val="auto"/>
              </w:rPr>
            </w:pPr>
          </w:p>
        </w:tc>
      </w:tr>
      <w:tr>
        <w:trPr>
          <w:trHeight w:val="236"/>
        </w:trPr>
        <w:tc>
          <w:tcPr>
            <w:tcW w:w="5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(187,824 )</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(248,688 )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(506,729 )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(276,265 )</w:t>
            </w:r>
          </w:p>
        </w:tc>
      </w:tr>
      <w:tr>
        <w:trPr>
          <w:trHeight w:val="20"/>
        </w:trPr>
        <w:tc>
          <w:tcPr>
            <w:tcW w:w="5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8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(56,928 )</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(77,162 )</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(152,680 )</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(84,110 )</w:t>
            </w:r>
          </w:p>
        </w:tc>
      </w:tr>
      <w:tr>
        <w:trPr>
          <w:trHeight w:val="20"/>
        </w:trPr>
        <w:tc>
          <w:tcPr>
            <w:tcW w:w="5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5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(130,896 )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(171,526 )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(354,049 )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(192,155 )</w:t>
            </w:r>
          </w:p>
        </w:tc>
      </w:tr>
      <w:tr>
        <w:trPr>
          <w:trHeight w:val="219"/>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Common Stock:</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7"/>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(3.02 )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(1.72 )</w:t>
            </w:r>
          </w:p>
        </w:tc>
      </w:tr>
      <w:tr>
        <w:trPr>
          <w:trHeight w:val="219"/>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Class A Common Stock outstanding:</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7"/>
        </w:trPr>
        <w:tc>
          <w:tcPr>
            <w:tcW w:w="5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116,382,021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114,527,514</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117,185,701</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111,533,166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-3848100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-3848100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-3848100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-3848100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-2596515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-2596515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-2596515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-2596515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-1662430</wp:posOffset>
            </wp:positionV>
            <wp:extent cx="76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-1662430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-1662430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-1662430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-1019810</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-1019810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-1019810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-1019810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-694055</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-676910</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-694055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-676910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-694055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-676910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-694055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-676910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-359410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-342265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-359410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-342265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-359410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-342265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-359410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-342265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-25400</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8" w:right="4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6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4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(187,824 )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(248,688 )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(506,729 )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(276,265 )</w:t>
            </w: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(30 )</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(134 )</w:t>
            </w: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(59 )</w:t>
            </w:r>
          </w:p>
        </w:tc>
      </w:tr>
      <w:tr>
        <w:trPr>
          <w:trHeight w:val="243"/>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on interest rate hedging instruments</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(1,459 )</w:t>
            </w: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(442 )</w:t>
            </w:r>
          </w:p>
        </w:tc>
        <w:tc>
          <w:tcPr>
            <w:tcW w:w="2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(2,508 )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(686 )</w:t>
            </w:r>
          </w:p>
        </w:tc>
      </w:tr>
      <w:tr>
        <w:trPr>
          <w:trHeight w:val="20"/>
        </w:trPr>
        <w:tc>
          <w:tcPr>
            <w:tcW w:w="54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(188,785 )</w:t>
            </w:r>
          </w:p>
        </w:tc>
        <w:tc>
          <w:tcPr>
            <w:tcW w:w="3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(248,955 )</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(509,074 )</w:t>
            </w: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(277,144 )</w:t>
            </w:r>
          </w:p>
        </w:tc>
      </w:tr>
      <w:tr>
        <w:trPr>
          <w:trHeight w:val="243"/>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(57,176 )</w:t>
            </w: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(77,228 )</w:t>
            </w:r>
          </w:p>
        </w:tc>
        <w:tc>
          <w:tcPr>
            <w:tcW w:w="2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(153,260 )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(84,372 )</w:t>
            </w:r>
          </w:p>
        </w:tc>
      </w:tr>
      <w:tr>
        <w:trPr>
          <w:trHeight w:val="20"/>
        </w:trPr>
        <w:tc>
          <w:tcPr>
            <w:tcW w:w="54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5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 attributable to Definitive Healthcare Corp.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(131,609 )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(171,727 )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(355,814 )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(192,772 )</w:t>
            </w:r>
          </w:p>
        </w:tc>
      </w:tr>
      <w:tr>
        <w:trPr>
          <w:trHeight w:val="20"/>
        </w:trPr>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-505460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-505460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-505460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-187960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DEFINITIVE HEALTHCARE CORP.</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TOTAL EQUITY</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w:t>
            </w:r>
          </w:p>
        </w:tc>
        <w:tc>
          <w:tcPr>
            <w:tcW w:w="92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87"/>
              </w:rPr>
              <w:t>ive</w:t>
            </w:r>
          </w:p>
        </w:tc>
        <w:tc>
          <w:tcPr>
            <w:tcW w:w="140" w:type="dxa"/>
            <w:vAlign w:val="bottom"/>
          </w:tcPr>
          <w:p>
            <w:pPr>
              <w:spacing w:after="0"/>
              <w:rPr>
                <w:sz w:val="14"/>
                <w:szCs w:val="14"/>
                <w:color w:val="auto"/>
              </w:rPr>
            </w:pPr>
          </w:p>
        </w:tc>
        <w:tc>
          <w:tcPr>
            <w:tcW w:w="7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g</w:t>
            </w:r>
          </w:p>
        </w:tc>
        <w:tc>
          <w:tcPr>
            <w:tcW w:w="1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7"/>
        </w:trPr>
        <w:tc>
          <w:tcPr>
            <w:tcW w:w="2420" w:type="dxa"/>
            <w:vAlign w:val="bottom"/>
          </w:tcPr>
          <w:p>
            <w:pPr>
              <w:spacing w:after="0"/>
              <w:rPr>
                <w:sz w:val="14"/>
                <w:szCs w:val="14"/>
                <w:color w:val="auto"/>
              </w:rPr>
            </w:pPr>
          </w:p>
        </w:tc>
        <w:tc>
          <w:tcPr>
            <w:tcW w:w="11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January 1, 2024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116,562,252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39,762,700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1,086,581</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(227,450 ) $</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2,109</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337,817</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1,199,174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(9,518 )</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(3,200 )</w:t>
            </w:r>
          </w:p>
        </w:tc>
        <w:tc>
          <w:tcPr>
            <w:tcW w:w="1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(12,718 )</w:t>
            </w:r>
          </w:p>
        </w:tc>
        <w:tc>
          <w:tcPr>
            <w:tcW w:w="0" w:type="dxa"/>
            <w:vAlign w:val="bottom"/>
          </w:tcPr>
          <w:p>
            <w:pPr>
              <w:spacing w:after="0"/>
              <w:rPr>
                <w:sz w:val="1"/>
                <w:szCs w:val="1"/>
                <w:color w:val="auto"/>
              </w:rPr>
            </w:pPr>
          </w:p>
        </w:tc>
      </w:tr>
      <w:tr>
        <w:trPr>
          <w:trHeight w:val="18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(451 )</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(134 )</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(585 )</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Vested incentive units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(784 )</w:t>
            </w:r>
          </w:p>
        </w:tc>
        <w:tc>
          <w:tcPr>
            <w:tcW w:w="160" w:type="dxa"/>
            <w:vAlign w:val="bottom"/>
          </w:tcPr>
          <w:p>
            <w:pPr>
              <w:spacing w:after="0"/>
              <w:rPr>
                <w:sz w:val="16"/>
                <w:szCs w:val="16"/>
                <w:color w:val="auto"/>
              </w:rPr>
            </w:pPr>
          </w:p>
        </w:tc>
        <w:tc>
          <w:tcPr>
            <w:tcW w:w="880" w:type="dxa"/>
            <w:vAlign w:val="bottom"/>
            <w:gridSpan w:val="3"/>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42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Class A Common Stock</w:t>
            </w: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upon vesting of RSUs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1,822,506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2,532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(2,534 )</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42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Shares withheld related to net share</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settlement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(646,041 )</w:t>
            </w: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(1 )</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(5,805 )</w:t>
            </w:r>
          </w:p>
        </w:tc>
        <w:tc>
          <w:tcPr>
            <w:tcW w:w="160" w:type="dxa"/>
            <w:vAlign w:val="bottom"/>
          </w:tcPr>
          <w:p>
            <w:pPr>
              <w:spacing w:after="0"/>
              <w:rPr>
                <w:sz w:val="16"/>
                <w:szCs w:val="16"/>
                <w:color w:val="auto"/>
              </w:rPr>
            </w:pPr>
          </w:p>
        </w:tc>
        <w:tc>
          <w:tcPr>
            <w:tcW w:w="880" w:type="dxa"/>
            <w:vAlign w:val="bottom"/>
            <w:gridSpan w:val="3"/>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(5,806 )</w:t>
            </w:r>
          </w:p>
        </w:tc>
        <w:tc>
          <w:tcPr>
            <w:tcW w:w="0" w:type="dxa"/>
            <w:vAlign w:val="bottom"/>
          </w:tcPr>
          <w:p>
            <w:pPr>
              <w:spacing w:after="0"/>
              <w:rPr>
                <w:sz w:val="1"/>
                <w:szCs w:val="1"/>
                <w:color w:val="auto"/>
              </w:rPr>
            </w:pPr>
          </w:p>
        </w:tc>
      </w:tr>
      <w:tr>
        <w:trPr>
          <w:trHeight w:val="158"/>
        </w:trPr>
        <w:tc>
          <w:tcPr>
            <w:tcW w:w="242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Effect of changes in LLC ownership,</w:t>
            </w: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including LLC unit exchanges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51,308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(51,308 )</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1,276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(1,892 )</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(616 )</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Forfeited unvested incentive units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(47,388 )</w:t>
            </w:r>
          </w:p>
        </w:tc>
        <w:tc>
          <w:tcPr>
            <w:tcW w:w="14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80" w:type="dxa"/>
            <w:vAlign w:val="bottom"/>
            <w:gridSpan w:val="3"/>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Equity-based compensation</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11,682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3,900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15,582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2024</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117,790,025</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2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39,664,004</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1,095,482</w:t>
            </w:r>
          </w:p>
        </w:tc>
        <w:tc>
          <w:tcPr>
            <w:tcW w:w="10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(236,968</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1,658</w:t>
            </w:r>
          </w:p>
        </w:tc>
        <w:tc>
          <w:tcPr>
            <w:tcW w:w="10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334,741</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1,195,031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(213,635 )</w:t>
            </w: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(92,552 )</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(306,187 )</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80" w:type="dxa"/>
            <w:vAlign w:val="bottom"/>
            <w:gridSpan w:val="3"/>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(601 )</w:t>
            </w:r>
          </w:p>
        </w:tc>
        <w:tc>
          <w:tcPr>
            <w:tcW w:w="1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(198 )</w:t>
            </w:r>
          </w:p>
        </w:tc>
        <w:tc>
          <w:tcPr>
            <w:tcW w:w="1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(799 )</w:t>
            </w:r>
          </w:p>
        </w:tc>
        <w:tc>
          <w:tcPr>
            <w:tcW w:w="0" w:type="dxa"/>
            <w:vAlign w:val="bottom"/>
          </w:tcPr>
          <w:p>
            <w:pPr>
              <w:spacing w:after="0"/>
              <w:rPr>
                <w:sz w:val="1"/>
                <w:szCs w:val="1"/>
                <w:color w:val="auto"/>
              </w:rPr>
            </w:pPr>
          </w:p>
        </w:tc>
      </w:tr>
      <w:tr>
        <w:trPr>
          <w:trHeight w:val="18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Vested incentive units</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(91 )</w:t>
            </w:r>
          </w:p>
        </w:tc>
        <w:tc>
          <w:tcPr>
            <w:tcW w:w="16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42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Class A Common Stock</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upon vesting of RSUs</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513,252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(742 )</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42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Shares withheld related to net share</w:t>
            </w: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settlement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(161,854 )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(969 )</w:t>
            </w:r>
          </w:p>
        </w:tc>
        <w:tc>
          <w:tcPr>
            <w:tcW w:w="16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(969 )</w:t>
            </w:r>
          </w:p>
        </w:tc>
        <w:tc>
          <w:tcPr>
            <w:tcW w:w="0" w:type="dxa"/>
            <w:vAlign w:val="bottom"/>
          </w:tcPr>
          <w:p>
            <w:pPr>
              <w:spacing w:after="0"/>
              <w:rPr>
                <w:sz w:val="1"/>
                <w:szCs w:val="1"/>
                <w:color w:val="auto"/>
              </w:rPr>
            </w:pPr>
          </w:p>
        </w:tc>
      </w:tr>
      <w:tr>
        <w:trPr>
          <w:trHeight w:val="158"/>
        </w:trPr>
        <w:tc>
          <w:tcPr>
            <w:tcW w:w="242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Repurchases of Class A Common</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(1,258,565 )</w:t>
            </w: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(1 )</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(9,667 )</w:t>
            </w:r>
          </w:p>
        </w:tc>
        <w:tc>
          <w:tcPr>
            <w:tcW w:w="160" w:type="dxa"/>
            <w:vAlign w:val="bottom"/>
          </w:tcPr>
          <w:p>
            <w:pPr>
              <w:spacing w:after="0"/>
              <w:rPr>
                <w:sz w:val="16"/>
                <w:szCs w:val="16"/>
                <w:color w:val="auto"/>
              </w:rPr>
            </w:pPr>
          </w:p>
        </w:tc>
        <w:tc>
          <w:tcPr>
            <w:tcW w:w="880" w:type="dxa"/>
            <w:vAlign w:val="bottom"/>
            <w:gridSpan w:val="3"/>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(7,003 )</w:t>
            </w:r>
          </w:p>
        </w:tc>
        <w:tc>
          <w:tcPr>
            <w:tcW w:w="0" w:type="dxa"/>
            <w:vAlign w:val="bottom"/>
          </w:tcPr>
          <w:p>
            <w:pPr>
              <w:spacing w:after="0"/>
              <w:rPr>
                <w:sz w:val="1"/>
                <w:szCs w:val="1"/>
                <w:color w:val="auto"/>
              </w:rPr>
            </w:pPr>
          </w:p>
        </w:tc>
      </w:tr>
      <w:tr>
        <w:trPr>
          <w:trHeight w:val="158"/>
        </w:trPr>
        <w:tc>
          <w:tcPr>
            <w:tcW w:w="242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Effect of changes in LLC ownership,</w:t>
            </w: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including LLC unit exchanges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170,481</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(170,481 )</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2,083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(1,997 )</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Forfeited unvested incentive units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(4,277 )</w:t>
            </w:r>
          </w:p>
        </w:tc>
        <w:tc>
          <w:tcPr>
            <w:tcW w:w="14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80" w:type="dxa"/>
            <w:vAlign w:val="bottom"/>
            <w:gridSpan w:val="3"/>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Equity-based compensation</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6,637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2,205</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8,842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2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Distributions to noncontrolling</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(2,713 )</w:t>
            </w:r>
          </w:p>
        </w:tc>
        <w:tc>
          <w:tcPr>
            <w:tcW w:w="180" w:type="dxa"/>
            <w:vAlign w:val="bottom"/>
          </w:tcPr>
          <w:p>
            <w:pPr>
              <w:spacing w:after="0"/>
              <w:rPr>
                <w:sz w:val="13"/>
                <w:szCs w:val="13"/>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(2,713 )</w:t>
            </w:r>
          </w:p>
        </w:tc>
        <w:tc>
          <w:tcPr>
            <w:tcW w:w="0" w:type="dxa"/>
            <w:vAlign w:val="bottom"/>
          </w:tcPr>
          <w:p>
            <w:pPr>
              <w:spacing w:after="0"/>
              <w:rPr>
                <w:sz w:val="1"/>
                <w:szCs w:val="1"/>
                <w:color w:val="auto"/>
              </w:rPr>
            </w:pPr>
          </w:p>
        </w:tc>
      </w:tr>
      <w:tr>
        <w:trPr>
          <w:trHeight w:val="179"/>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interests</w:t>
            </w:r>
          </w:p>
        </w:tc>
        <w:tc>
          <w:tcPr>
            <w:tcW w:w="11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June 30, 2024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117,053,339</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39,489,246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1,094,217</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(450,603 ) $</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1,057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241,500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886,288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(130,896 )</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(56,928 )</w:t>
            </w:r>
          </w:p>
        </w:tc>
        <w:tc>
          <w:tcPr>
            <w:tcW w:w="1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(187,824 )</w:t>
            </w:r>
          </w:p>
        </w:tc>
        <w:tc>
          <w:tcPr>
            <w:tcW w:w="0" w:type="dxa"/>
            <w:vAlign w:val="bottom"/>
          </w:tcPr>
          <w:p>
            <w:pPr>
              <w:spacing w:after="0"/>
              <w:rPr>
                <w:sz w:val="1"/>
                <w:szCs w:val="1"/>
                <w:color w:val="auto"/>
              </w:rPr>
            </w:pPr>
          </w:p>
        </w:tc>
      </w:tr>
      <w:tr>
        <w:trPr>
          <w:trHeight w:val="18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(713 )</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(248 )</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(961 )</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Vested incentive units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(1,581 )</w:t>
            </w:r>
          </w:p>
        </w:tc>
        <w:tc>
          <w:tcPr>
            <w:tcW w:w="160" w:type="dxa"/>
            <w:vAlign w:val="bottom"/>
          </w:tcPr>
          <w:p>
            <w:pPr>
              <w:spacing w:after="0"/>
              <w:rPr>
                <w:sz w:val="16"/>
                <w:szCs w:val="16"/>
                <w:color w:val="auto"/>
              </w:rPr>
            </w:pPr>
          </w:p>
        </w:tc>
        <w:tc>
          <w:tcPr>
            <w:tcW w:w="880" w:type="dxa"/>
            <w:vAlign w:val="bottom"/>
            <w:gridSpan w:val="3"/>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42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Class A Common Stock</w:t>
            </w: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upon vesting of RSUs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359,130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(390 )</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42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Shares withheld related to net share</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settlement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(110,159 )</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(495 )</w:t>
            </w:r>
          </w:p>
        </w:tc>
        <w:tc>
          <w:tcPr>
            <w:tcW w:w="160" w:type="dxa"/>
            <w:vAlign w:val="bottom"/>
          </w:tcPr>
          <w:p>
            <w:pPr>
              <w:spacing w:after="0"/>
              <w:rPr>
                <w:sz w:val="16"/>
                <w:szCs w:val="16"/>
                <w:color w:val="auto"/>
              </w:rPr>
            </w:pPr>
          </w:p>
        </w:tc>
        <w:tc>
          <w:tcPr>
            <w:tcW w:w="880" w:type="dxa"/>
            <w:vAlign w:val="bottom"/>
            <w:gridSpan w:val="3"/>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(495 )</w:t>
            </w:r>
          </w:p>
        </w:tc>
        <w:tc>
          <w:tcPr>
            <w:tcW w:w="0" w:type="dxa"/>
            <w:vAlign w:val="bottom"/>
          </w:tcPr>
          <w:p>
            <w:pPr>
              <w:spacing w:after="0"/>
              <w:rPr>
                <w:sz w:val="1"/>
                <w:szCs w:val="1"/>
                <w:color w:val="auto"/>
              </w:rPr>
            </w:pPr>
          </w:p>
        </w:tc>
      </w:tr>
      <w:tr>
        <w:trPr>
          <w:trHeight w:val="158"/>
        </w:trPr>
        <w:tc>
          <w:tcPr>
            <w:tcW w:w="242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Repurchases of Class A Common</w:t>
            </w: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Stock</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(1,885,951 )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(2 )</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(10,985 )</w:t>
            </w:r>
          </w:p>
        </w:tc>
        <w:tc>
          <w:tcPr>
            <w:tcW w:w="16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2,953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(8,034 )</w:t>
            </w:r>
          </w:p>
        </w:tc>
        <w:tc>
          <w:tcPr>
            <w:tcW w:w="0" w:type="dxa"/>
            <w:vAlign w:val="bottom"/>
          </w:tcPr>
          <w:p>
            <w:pPr>
              <w:spacing w:after="0"/>
              <w:rPr>
                <w:sz w:val="1"/>
                <w:szCs w:val="1"/>
                <w:color w:val="auto"/>
              </w:rPr>
            </w:pPr>
          </w:p>
        </w:tc>
      </w:tr>
      <w:tr>
        <w:trPr>
          <w:trHeight w:val="158"/>
        </w:trPr>
        <w:tc>
          <w:tcPr>
            <w:tcW w:w="242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Effect of changes in LLC ownership,</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including LLC unit exchanges</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(27,436 )</w:t>
            </w:r>
          </w:p>
        </w:tc>
        <w:tc>
          <w:tcPr>
            <w:tcW w:w="14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(909 )</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Forfeited unvested incentive units</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(1,586 )</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Equity-based compensation</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2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Distributions to noncontrolling</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FF0FC"/>
          </w:tcPr>
          <w:p>
            <w:pPr>
              <w:spacing w:after="0"/>
              <w:rPr>
                <w:sz w:val="13"/>
                <w:szCs w:val="13"/>
                <w:color w:val="auto"/>
              </w:rPr>
            </w:pPr>
          </w:p>
        </w:tc>
        <w:tc>
          <w:tcPr>
            <w:tcW w:w="140" w:type="dxa"/>
            <w:vAlign w:val="bottom"/>
            <w:vMerge w:val="restart"/>
            <w:shd w:val="clear" w:color="auto" w:fill="CFF0FC"/>
          </w:tcPr>
          <w:p>
            <w:pPr>
              <w:spacing w:after="0"/>
              <w:rPr>
                <w:sz w:val="13"/>
                <w:szCs w:val="13"/>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(98 )</w:t>
            </w:r>
          </w:p>
        </w:tc>
        <w:tc>
          <w:tcPr>
            <w:tcW w:w="180" w:type="dxa"/>
            <w:vAlign w:val="bottom"/>
            <w:shd w:val="clear" w:color="auto" w:fill="CFF0FC"/>
          </w:tcPr>
          <w:p>
            <w:pPr>
              <w:spacing w:after="0"/>
              <w:rPr>
                <w:sz w:val="13"/>
                <w:szCs w:val="13"/>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(98 )</w:t>
            </w:r>
          </w:p>
        </w:tc>
        <w:tc>
          <w:tcPr>
            <w:tcW w:w="0" w:type="dxa"/>
            <w:vAlign w:val="bottom"/>
          </w:tcPr>
          <w:p>
            <w:pPr>
              <w:spacing w:after="0"/>
              <w:rPr>
                <w:sz w:val="1"/>
                <w:szCs w:val="1"/>
                <w:color w:val="auto"/>
              </w:rPr>
            </w:pPr>
          </w:p>
        </w:tc>
      </w:tr>
      <w:tr>
        <w:trPr>
          <w:trHeight w:val="179"/>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interests</w:t>
            </w:r>
          </w:p>
        </w:tc>
        <w:tc>
          <w:tcPr>
            <w:tcW w:w="116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90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September 30,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115,443,795</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39,460,224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1,087,555</w:t>
            </w:r>
          </w:p>
        </w:tc>
        <w:tc>
          <w:tcPr>
            <w:tcW w:w="1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(581,499 ) $</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w:t>
            </w:r>
          </w:p>
        </w:tc>
        <w:tc>
          <w:tcPr>
            <w:tcW w:w="1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189,045</w:t>
            </w:r>
          </w:p>
        </w:tc>
        <w:tc>
          <w:tcPr>
            <w:tcW w:w="100" w:type="dxa"/>
            <w:vAlign w:val="bottom"/>
          </w:tcPr>
          <w:p>
            <w:pPr>
              <w:spacing w:after="0"/>
              <w:rPr>
                <w:sz w:val="15"/>
                <w:szCs w:val="15"/>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695,560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-153670</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-153670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-153670</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-153670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-153670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-153670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-153670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-153670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DEFINITIVE HEALTHCARE CORP.</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TOTAL EQUITY (CONTINUED)</w:t>
      </w:r>
    </w:p>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86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Noncontrolli</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60" w:type="dxa"/>
            <w:vAlign w:val="bottom"/>
          </w:tcPr>
          <w:p>
            <w:pPr>
              <w:spacing w:after="0"/>
              <w:rPr>
                <w:sz w:val="14"/>
                <w:szCs w:val="14"/>
                <w:color w:val="auto"/>
              </w:rPr>
            </w:pPr>
          </w:p>
        </w:tc>
        <w:tc>
          <w:tcPr>
            <w:tcW w:w="74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6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40" w:type="dxa"/>
            <w:vAlign w:val="bottom"/>
            <w:gridSpan w:val="4"/>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w:t>
            </w: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ng</w:t>
            </w: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10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at January 1, 2023</w:t>
            </w: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5"/>
                <w:szCs w:val="15"/>
                <w:color w:val="auto"/>
              </w:rPr>
              <w:t>50,433,10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00" w:type="dxa"/>
            <w:vAlign w:val="bottom"/>
            <w:vMerge w:val="continue"/>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105,138,273</w:t>
            </w: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970,207</w:t>
            </w:r>
          </w:p>
        </w:tc>
        <w:tc>
          <w:tcPr>
            <w:tcW w:w="12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(25,062 ) $</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3,668</w:t>
            </w:r>
          </w:p>
        </w:tc>
        <w:tc>
          <w:tcPr>
            <w:tcW w:w="1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533,027</w:t>
            </w:r>
          </w:p>
        </w:tc>
        <w:tc>
          <w:tcPr>
            <w:tcW w:w="8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1,481,945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100" w:type="dxa"/>
            <w:vAlign w:val="bottom"/>
            <w:shd w:val="clear" w:color="auto" w:fill="CFF0FC"/>
          </w:tcPr>
          <w:p>
            <w:pPr>
              <w:spacing w:after="0"/>
              <w:rPr>
                <w:sz w:val="6"/>
                <w:szCs w:val="6"/>
                <w:color w:val="auto"/>
              </w:rPr>
            </w:pPr>
          </w:p>
        </w:tc>
        <w:tc>
          <w:tcPr>
            <w:tcW w:w="102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vMerge w:val="continue"/>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9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0" w:type="dxa"/>
            <w:vAlign w:val="bottom"/>
            <w:vMerge w:val="continue"/>
            <w:shd w:val="clear" w:color="auto" w:fill="CFF0FC"/>
          </w:tcPr>
          <w:p>
            <w:pPr>
              <w:spacing w:after="0"/>
              <w:rPr>
                <w:sz w:val="6"/>
                <w:szCs w:val="6"/>
                <w:color w:val="auto"/>
              </w:rPr>
            </w:pPr>
          </w:p>
        </w:tc>
        <w:tc>
          <w:tcPr>
            <w:tcW w:w="760" w:type="dxa"/>
            <w:vAlign w:val="bottom"/>
            <w:vMerge w:val="continue"/>
            <w:shd w:val="clear" w:color="auto" w:fill="CFF0FC"/>
          </w:tcPr>
          <w:p>
            <w:pPr>
              <w:spacing w:after="0"/>
              <w:rPr>
                <w:sz w:val="6"/>
                <w:szCs w:val="6"/>
                <w:color w:val="auto"/>
              </w:rPr>
            </w:pPr>
          </w:p>
        </w:tc>
        <w:tc>
          <w:tcPr>
            <w:tcW w:w="200" w:type="dxa"/>
            <w:vAlign w:val="bottom"/>
            <w:gridSpan w:val="2"/>
            <w:vMerge w:val="continue"/>
            <w:shd w:val="clear" w:color="auto" w:fill="CFF0FC"/>
          </w:tcPr>
          <w:p>
            <w:pPr>
              <w:spacing w:after="0"/>
              <w:rPr>
                <w:sz w:val="6"/>
                <w:szCs w:val="6"/>
                <w:color w:val="auto"/>
              </w:rPr>
            </w:pPr>
          </w:p>
        </w:tc>
        <w:tc>
          <w:tcPr>
            <w:tcW w:w="70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900" w:type="dxa"/>
            <w:vAlign w:val="bottom"/>
            <w:gridSpan w:val="3"/>
            <w:vMerge w:val="continue"/>
            <w:shd w:val="clear" w:color="auto" w:fill="CFF0FC"/>
          </w:tcPr>
          <w:p>
            <w:pPr>
              <w:spacing w:after="0"/>
              <w:rPr>
                <w:sz w:val="6"/>
                <w:szCs w:val="6"/>
                <w:color w:val="auto"/>
              </w:rPr>
            </w:pPr>
          </w:p>
        </w:tc>
        <w:tc>
          <w:tcPr>
            <w:tcW w:w="66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vMerge w:val="continue"/>
            <w:shd w:val="clear" w:color="auto" w:fill="CFF0FC"/>
          </w:tcPr>
          <w:p>
            <w:pPr>
              <w:spacing w:after="0"/>
              <w:rPr>
                <w:sz w:val="6"/>
                <w:szCs w:val="6"/>
                <w:color w:val="auto"/>
              </w:rPr>
            </w:pPr>
          </w:p>
        </w:tc>
        <w:tc>
          <w:tcPr>
            <w:tcW w:w="66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66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(12,063 )</w:t>
            </w:r>
          </w:p>
        </w:tc>
        <w:tc>
          <w:tcPr>
            <w:tcW w:w="1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(3,909 )</w:t>
            </w:r>
          </w:p>
        </w:tc>
        <w:tc>
          <w:tcPr>
            <w:tcW w:w="14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(15,972 )</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comprehensive loss</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(875 )</w:t>
            </w: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(372 )</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(1,247 )</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Vested incentive units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(505 )</w:t>
            </w:r>
          </w:p>
        </w:tc>
        <w:tc>
          <w:tcPr>
            <w:tcW w:w="140" w:type="dxa"/>
            <w:vAlign w:val="bottom"/>
          </w:tcPr>
          <w:p>
            <w:pPr>
              <w:spacing w:after="0"/>
              <w:rPr>
                <w:sz w:val="16"/>
                <w:szCs w:val="16"/>
                <w:color w:val="auto"/>
              </w:rPr>
            </w:pPr>
          </w:p>
        </w:tc>
        <w:tc>
          <w:tcPr>
            <w:tcW w:w="900" w:type="dxa"/>
            <w:vAlign w:val="bottom"/>
            <w:gridSpan w:val="3"/>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1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Issuance of Class A Common</w:t>
            </w: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 upon vesting of RSUs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380,676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(828 )</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10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Shares withheld related to net</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share settlement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(127,829 )</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(1,530 )</w:t>
            </w:r>
          </w:p>
        </w:tc>
        <w:tc>
          <w:tcPr>
            <w:tcW w:w="140" w:type="dxa"/>
            <w:vAlign w:val="bottom"/>
          </w:tcPr>
          <w:p>
            <w:pPr>
              <w:spacing w:after="0"/>
              <w:rPr>
                <w:sz w:val="16"/>
                <w:szCs w:val="16"/>
                <w:color w:val="auto"/>
              </w:rPr>
            </w:pPr>
          </w:p>
        </w:tc>
        <w:tc>
          <w:tcPr>
            <w:tcW w:w="900" w:type="dxa"/>
            <w:vAlign w:val="bottom"/>
            <w:gridSpan w:val="3"/>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(1,530 )</w:t>
            </w:r>
          </w:p>
        </w:tc>
        <w:tc>
          <w:tcPr>
            <w:tcW w:w="0" w:type="dxa"/>
            <w:vAlign w:val="bottom"/>
          </w:tcPr>
          <w:p>
            <w:pPr>
              <w:spacing w:after="0"/>
              <w:rPr>
                <w:sz w:val="1"/>
                <w:szCs w:val="1"/>
                <w:color w:val="auto"/>
              </w:rPr>
            </w:pPr>
          </w:p>
        </w:tc>
      </w:tr>
      <w:tr>
        <w:trPr>
          <w:trHeight w:val="158"/>
        </w:trPr>
        <w:tc>
          <w:tcPr>
            <w:tcW w:w="2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Effect of LLC unit exchanges</w:t>
            </w: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5"/>
                <w:szCs w:val="15"/>
                <w:color w:val="auto"/>
              </w:rPr>
              <w:t>(4,771,54</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00" w:type="dxa"/>
            <w:vAlign w:val="bottom"/>
            <w:vMerge w:val="continue"/>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4,771,545</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2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5 )</w:t>
            </w:r>
          </w:p>
        </w:tc>
        <w:tc>
          <w:tcPr>
            <w:tcW w:w="16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41,881</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gridSpan w:val="3"/>
            <w:vMerge w:val="restart"/>
            <w:shd w:val="clear" w:color="auto" w:fill="CFF0FC"/>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(52,352 )</w:t>
            </w:r>
          </w:p>
        </w:tc>
        <w:tc>
          <w:tcPr>
            <w:tcW w:w="14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(10,466 )</w:t>
            </w:r>
          </w:p>
        </w:tc>
        <w:tc>
          <w:tcPr>
            <w:tcW w:w="0" w:type="dxa"/>
            <w:vAlign w:val="bottom"/>
          </w:tcPr>
          <w:p>
            <w:pPr>
              <w:spacing w:after="0"/>
              <w:rPr>
                <w:sz w:val="1"/>
                <w:szCs w:val="1"/>
                <w:color w:val="auto"/>
              </w:rPr>
            </w:pPr>
          </w:p>
        </w:tc>
      </w:tr>
      <w:tr>
        <w:trPr>
          <w:trHeight w:val="76"/>
        </w:trPr>
        <w:tc>
          <w:tcPr>
            <w:tcW w:w="2100" w:type="dxa"/>
            <w:vAlign w:val="bottom"/>
            <w:shd w:val="clear" w:color="auto" w:fill="CFF0FC"/>
          </w:tcPr>
          <w:p>
            <w:pPr>
              <w:spacing w:after="0"/>
              <w:rPr>
                <w:sz w:val="6"/>
                <w:szCs w:val="6"/>
                <w:color w:val="auto"/>
              </w:rPr>
            </w:pPr>
          </w:p>
        </w:tc>
        <w:tc>
          <w:tcPr>
            <w:tcW w:w="102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40" w:type="dxa"/>
            <w:vAlign w:val="bottom"/>
            <w:vMerge w:val="continue"/>
            <w:shd w:val="clear" w:color="auto" w:fill="CFF0FC"/>
          </w:tcPr>
          <w:p>
            <w:pPr>
              <w:spacing w:after="0"/>
              <w:rPr>
                <w:sz w:val="6"/>
                <w:szCs w:val="6"/>
                <w:color w:val="auto"/>
              </w:rPr>
            </w:pPr>
          </w:p>
        </w:tc>
        <w:tc>
          <w:tcPr>
            <w:tcW w:w="1020" w:type="dxa"/>
            <w:vAlign w:val="bottom"/>
            <w:gridSpan w:val="3"/>
            <w:vMerge w:val="continue"/>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6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0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900" w:type="dxa"/>
            <w:vAlign w:val="bottom"/>
            <w:gridSpan w:val="3"/>
            <w:vMerge w:val="continue"/>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Forfeited unvested incentive units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(34,623 )</w:t>
            </w:r>
          </w:p>
        </w:tc>
        <w:tc>
          <w:tcPr>
            <w:tcW w:w="16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Equity-based compensation</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7,811</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3,317</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11,128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Balance at March 31, 2023</w:t>
            </w: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5"/>
                <w:szCs w:val="15"/>
                <w:color w:val="auto"/>
              </w:rPr>
              <w:t>45,626,93</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100" w:type="dxa"/>
            <w:vAlign w:val="bottom"/>
            <w:vMerge w:val="continue"/>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110,162,665</w:t>
            </w:r>
          </w:p>
        </w:tc>
        <w:tc>
          <w:tcPr>
            <w:tcW w:w="120" w:type="dxa"/>
            <w:vAlign w:val="bottom"/>
          </w:tcPr>
          <w:p>
            <w:pPr>
              <w:spacing w:after="0"/>
              <w:rPr>
                <w:sz w:val="9"/>
                <w:szCs w:val="9"/>
                <w:color w:val="auto"/>
              </w:rPr>
            </w:pPr>
          </w:p>
        </w:tc>
        <w:tc>
          <w:tcPr>
            <w:tcW w:w="16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1,018,692</w:t>
            </w:r>
          </w:p>
        </w:tc>
        <w:tc>
          <w:tcPr>
            <w:tcW w:w="12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(37,125 ) $</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2,793</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479,388</w:t>
            </w:r>
          </w:p>
        </w:tc>
        <w:tc>
          <w:tcPr>
            <w:tcW w:w="8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1,463,858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1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(8,566 )</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(3,039 )</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(11,605 )</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Vested incentive units</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(390 )</w:t>
            </w:r>
          </w:p>
        </w:tc>
        <w:tc>
          <w:tcPr>
            <w:tcW w:w="14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10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Issuance of Class A Common</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Stock upon vesting of RSUs</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309,694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(620 )</w:t>
            </w: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1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Shares withheld related to net</w:t>
            </w: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share settlement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(105,249 )</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(1,085 )</w:t>
            </w:r>
          </w:p>
        </w:tc>
        <w:tc>
          <w:tcPr>
            <w:tcW w:w="14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(1,085 )</w:t>
            </w:r>
          </w:p>
        </w:tc>
        <w:tc>
          <w:tcPr>
            <w:tcW w:w="0" w:type="dxa"/>
            <w:vAlign w:val="bottom"/>
          </w:tcPr>
          <w:p>
            <w:pPr>
              <w:spacing w:after="0"/>
              <w:rPr>
                <w:sz w:val="1"/>
                <w:szCs w:val="1"/>
                <w:color w:val="auto"/>
              </w:rPr>
            </w:pPr>
          </w:p>
        </w:tc>
      </w:tr>
      <w:tr>
        <w:trPr>
          <w:trHeight w:val="158"/>
        </w:trPr>
        <w:tc>
          <w:tcPr>
            <w:tcW w:w="210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Effect of LLC unit exchanges, as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(2,718,05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restated</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2,718,054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4 )</w:t>
            </w:r>
          </w:p>
        </w:tc>
        <w:tc>
          <w:tcPr>
            <w:tcW w:w="16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(29,817 )</w:t>
            </w:r>
          </w:p>
        </w:tc>
        <w:tc>
          <w:tcPr>
            <w:tcW w:w="14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(5,880 )</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Forfeited unvested incentive units</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(47,267 )</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Equity-based compensation</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Distributions to noncontrolling</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FF0FC"/>
          </w:tcPr>
          <w:p>
            <w:pPr>
              <w:spacing w:after="0"/>
              <w:rPr>
                <w:sz w:val="13"/>
                <w:szCs w:val="13"/>
                <w:color w:val="auto"/>
              </w:rPr>
            </w:pPr>
          </w:p>
        </w:tc>
        <w:tc>
          <w:tcPr>
            <w:tcW w:w="140" w:type="dxa"/>
            <w:vAlign w:val="bottom"/>
            <w:vMerge w:val="restart"/>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(2,827 )</w:t>
            </w:r>
          </w:p>
        </w:tc>
        <w:tc>
          <w:tcPr>
            <w:tcW w:w="140" w:type="dxa"/>
            <w:vAlign w:val="bottom"/>
            <w:shd w:val="clear" w:color="auto" w:fill="CFF0FC"/>
          </w:tcPr>
          <w:p>
            <w:pPr>
              <w:spacing w:after="0"/>
              <w:rPr>
                <w:sz w:val="13"/>
                <w:szCs w:val="13"/>
                <w:color w:val="auto"/>
              </w:rPr>
            </w:pPr>
          </w:p>
        </w:tc>
        <w:tc>
          <w:tcPr>
            <w:tcW w:w="7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(2,827 )</w:t>
            </w:r>
          </w:p>
        </w:tc>
        <w:tc>
          <w:tcPr>
            <w:tcW w:w="0" w:type="dxa"/>
            <w:vAlign w:val="bottom"/>
          </w:tcPr>
          <w:p>
            <w:pPr>
              <w:spacing w:after="0"/>
              <w:rPr>
                <w:sz w:val="1"/>
                <w:szCs w:val="1"/>
                <w:color w:val="auto"/>
              </w:rPr>
            </w:pPr>
          </w:p>
        </w:tc>
      </w:tr>
      <w:tr>
        <w:trPr>
          <w:trHeight w:val="17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interests</w:t>
            </w:r>
          </w:p>
        </w:tc>
        <w:tc>
          <w:tcPr>
            <w:tcW w:w="102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10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Balance at June 30, 2023</w:t>
            </w: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5"/>
                <w:szCs w:val="15"/>
                <w:color w:val="auto"/>
              </w:rPr>
              <w:t>42,861,61</w:t>
            </w: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00" w:type="dxa"/>
            <w:vAlign w:val="bottom"/>
            <w:vMerge w:val="continue"/>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113,085,164</w:t>
            </w:r>
          </w:p>
        </w:tc>
        <w:tc>
          <w:tcPr>
            <w:tcW w:w="120" w:type="dxa"/>
            <w:vAlign w:val="bottom"/>
          </w:tcPr>
          <w:p>
            <w:pPr>
              <w:spacing w:after="0"/>
              <w:rPr>
                <w:sz w:val="10"/>
                <w:szCs w:val="10"/>
                <w:color w:val="auto"/>
              </w:rPr>
            </w:pPr>
          </w:p>
        </w:tc>
        <w:tc>
          <w:tcPr>
            <w:tcW w:w="16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1,050,714</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(45,691 ) $</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3,252</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447,071</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1,455,459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(171,526 )</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(77,162 )</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(248,688 )</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900" w:type="dxa"/>
            <w:vAlign w:val="bottom"/>
            <w:gridSpan w:val="3"/>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(201 )</w:t>
            </w:r>
          </w:p>
        </w:tc>
        <w:tc>
          <w:tcPr>
            <w:tcW w:w="12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(66 )</w:t>
            </w:r>
          </w:p>
        </w:tc>
        <w:tc>
          <w:tcPr>
            <w:tcW w:w="14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(267 )</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Vested incentive units</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(5,086 )</w:t>
            </w:r>
          </w:p>
        </w:tc>
        <w:tc>
          <w:tcPr>
            <w:tcW w:w="14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5,086</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10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Issuance of Class A Common</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Stock upon vesting of RSUs</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214,549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(391 )</w:t>
            </w: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1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Shares withheld related to net</w:t>
            </w: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share settlement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(75,217 )</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(782 )</w:t>
            </w:r>
          </w:p>
        </w:tc>
        <w:tc>
          <w:tcPr>
            <w:tcW w:w="14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(782 )</w:t>
            </w:r>
          </w:p>
        </w:tc>
        <w:tc>
          <w:tcPr>
            <w:tcW w:w="0" w:type="dxa"/>
            <w:vAlign w:val="bottom"/>
          </w:tcPr>
          <w:p>
            <w:pPr>
              <w:spacing w:after="0"/>
              <w:rPr>
                <w:sz w:val="1"/>
                <w:szCs w:val="1"/>
                <w:color w:val="auto"/>
              </w:rPr>
            </w:pPr>
          </w:p>
        </w:tc>
      </w:tr>
      <w:tr>
        <w:trPr>
          <w:trHeight w:val="158"/>
        </w:trPr>
        <w:tc>
          <w:tcPr>
            <w:tcW w:w="2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Effect of LLC unit exchanges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(3,057,46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00" w:type="dxa"/>
            <w:vAlign w:val="bottom"/>
            <w:vMerge w:val="continue"/>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3,057,466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6 )</w:t>
            </w:r>
          </w:p>
        </w:tc>
        <w:tc>
          <w:tcPr>
            <w:tcW w:w="160" w:type="dxa"/>
            <w:vAlign w:val="bottom"/>
          </w:tcPr>
          <w:p>
            <w:pPr>
              <w:spacing w:after="0"/>
              <w:rPr>
                <w:sz w:val="10"/>
                <w:szCs w:val="10"/>
                <w:color w:val="auto"/>
              </w:rPr>
            </w:pPr>
          </w:p>
        </w:tc>
        <w:tc>
          <w:tcPr>
            <w:tcW w:w="760" w:type="dxa"/>
            <w:vAlign w:val="bottom"/>
            <w:vMerge w:val="restart"/>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23,231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vMerge w:val="restart"/>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(29,634 )</w:t>
            </w:r>
          </w:p>
        </w:tc>
        <w:tc>
          <w:tcPr>
            <w:tcW w:w="140" w:type="dxa"/>
            <w:vAlign w:val="bottom"/>
          </w:tcPr>
          <w:p>
            <w:pPr>
              <w:spacing w:after="0"/>
              <w:rPr>
                <w:sz w:val="10"/>
                <w:szCs w:val="10"/>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(6,400 )</w:t>
            </w:r>
          </w:p>
        </w:tc>
        <w:tc>
          <w:tcPr>
            <w:tcW w:w="0" w:type="dxa"/>
            <w:vAlign w:val="bottom"/>
          </w:tcPr>
          <w:p>
            <w:pPr>
              <w:spacing w:after="0"/>
              <w:rPr>
                <w:sz w:val="1"/>
                <w:szCs w:val="1"/>
                <w:color w:val="auto"/>
              </w:rPr>
            </w:pPr>
          </w:p>
        </w:tc>
      </w:tr>
      <w:tr>
        <w:trPr>
          <w:trHeight w:val="76"/>
        </w:trPr>
        <w:tc>
          <w:tcPr>
            <w:tcW w:w="2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Forfeited unvested incentive units</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(22,200 )</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900" w:type="dxa"/>
            <w:vAlign w:val="bottom"/>
            <w:gridSpan w:val="3"/>
            <w:shd w:val="clear" w:color="auto" w:fill="CFF0FC"/>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Equity-based compensation</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jc w:val="right"/>
              <w:ind w:right="19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Distributions to noncontrolling</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vMerge w:val="restart"/>
            <w:shd w:val="clear" w:color="auto" w:fill="CFF0FC"/>
          </w:tcPr>
          <w:p>
            <w:pPr>
              <w:spacing w:after="0"/>
              <w:rPr>
                <w:sz w:val="13"/>
                <w:szCs w:val="13"/>
                <w:color w:val="auto"/>
              </w:rPr>
            </w:pPr>
          </w:p>
        </w:tc>
        <w:tc>
          <w:tcPr>
            <w:tcW w:w="140" w:type="dxa"/>
            <w:vAlign w:val="bottom"/>
            <w:vMerge w:val="restart"/>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(7,866 )</w:t>
            </w:r>
          </w:p>
        </w:tc>
        <w:tc>
          <w:tcPr>
            <w:tcW w:w="140" w:type="dxa"/>
            <w:vAlign w:val="bottom"/>
            <w:shd w:val="clear" w:color="auto" w:fill="CFF0FC"/>
          </w:tcPr>
          <w:p>
            <w:pPr>
              <w:spacing w:after="0"/>
              <w:rPr>
                <w:sz w:val="13"/>
                <w:szCs w:val="13"/>
                <w:color w:val="auto"/>
              </w:rPr>
            </w:pPr>
          </w:p>
        </w:tc>
        <w:tc>
          <w:tcPr>
            <w:tcW w:w="7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(7,866 )</w:t>
            </w:r>
          </w:p>
        </w:tc>
        <w:tc>
          <w:tcPr>
            <w:tcW w:w="0" w:type="dxa"/>
            <w:vAlign w:val="bottom"/>
          </w:tcPr>
          <w:p>
            <w:pPr>
              <w:spacing w:after="0"/>
              <w:rPr>
                <w:sz w:val="1"/>
                <w:szCs w:val="1"/>
                <w:color w:val="auto"/>
              </w:rPr>
            </w:pPr>
          </w:p>
        </w:tc>
      </w:tr>
      <w:tr>
        <w:trPr>
          <w:trHeight w:val="17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interests</w:t>
            </w:r>
          </w:p>
        </w:tc>
        <w:tc>
          <w:tcPr>
            <w:tcW w:w="102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10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Balance at September 30, 2023</w:t>
            </w: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5"/>
                <w:szCs w:val="15"/>
                <w:color w:val="auto"/>
              </w:rPr>
              <w:t>39,781,94</w:t>
            </w: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100" w:type="dxa"/>
            <w:vAlign w:val="bottom"/>
            <w:vMerge w:val="continue"/>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116,281,962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ind w:left="6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1,077,332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(217,217 )</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3,051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340,168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1,203,450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-1971040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-1971040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-1971040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-1971040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-1971040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-1971040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-1971040</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-1971040</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-1971040</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-256540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-256540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3209290</wp:posOffset>
            </wp:positionH>
            <wp:positionV relativeFrom="paragraph">
              <wp:posOffset>-256540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-256540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-256540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-256540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-256540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-256540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-256540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1015" w:right="619" w:bottom="1440" w:gutter="0" w:footer="0" w:header="0"/>
        </w:sectPr>
      </w:pPr>
    </w:p>
    <w:bookmarkStart w:id="9" w:name="page10"/>
    <w:bookmarkEnd w:id="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1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9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8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Cash flows provided by (used in) operating activities:</w:t>
            </w:r>
          </w:p>
        </w:tc>
        <w:tc>
          <w:tcPr>
            <w:tcW w:w="8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loss</w:t>
            </w:r>
          </w:p>
        </w:tc>
        <w:tc>
          <w:tcPr>
            <w:tcW w:w="840" w:type="dxa"/>
            <w:vAlign w:val="bottom"/>
          </w:tcPr>
          <w:p>
            <w:pPr>
              <w:jc w:val="right"/>
              <w:ind w:right="68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9"/>
              </w:rPr>
              <w:t>(506,729 )</w:t>
            </w:r>
          </w:p>
        </w:tc>
        <w:tc>
          <w:tcPr>
            <w:tcW w:w="3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(276,265 )</w:t>
            </w:r>
          </w:p>
        </w:tc>
      </w:tr>
      <w:tr>
        <w:trPr>
          <w:trHeight w:val="18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8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1,391</w:t>
            </w: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8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36,816</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37,358</w:t>
            </w: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Amortization of deferred contract costs</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11,463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9,475</w:t>
            </w: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Equity-based compensation</w:t>
            </w:r>
          </w:p>
        </w:tc>
        <w:tc>
          <w:tcPr>
            <w:tcW w:w="8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30,720</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35,485</w:t>
            </w: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w:t>
            </w: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Provision for doubtful accounts receivable</w:t>
            </w:r>
          </w:p>
        </w:tc>
        <w:tc>
          <w:tcPr>
            <w:tcW w:w="8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947</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820</w:t>
            </w: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Non-cash impairment charges related to office leases</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Goodwill impairment charges</w:t>
            </w:r>
          </w:p>
        </w:tc>
        <w:tc>
          <w:tcPr>
            <w:tcW w:w="8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591,794</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287,400</w:t>
            </w: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Tax receivable agreement remeasurement</w:t>
            </w:r>
          </w:p>
        </w:tc>
        <w:tc>
          <w:tcPr>
            <w:tcW w:w="8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(68,151 )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(24,977 )</w:t>
            </w:r>
          </w:p>
        </w:tc>
      </w:tr>
      <w:tr>
        <w:trPr>
          <w:trHeight w:val="189"/>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Changes in fair value of contingent consideration</w:t>
            </w: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(3,240 )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Deferred income taxes</w:t>
            </w:r>
          </w:p>
        </w:tc>
        <w:tc>
          <w:tcPr>
            <w:tcW w:w="8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(36,609 )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(19,728 )</w:t>
            </w:r>
          </w:p>
        </w:tc>
      </w:tr>
      <w:tr>
        <w:trPr>
          <w:trHeight w:val="18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Accounts receivable</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23,148</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19,370</w:t>
            </w: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(7,205 )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(5,808 )</w:t>
            </w:r>
          </w:p>
        </w:tc>
      </w:tr>
      <w:tr>
        <w:trPr>
          <w:trHeight w:val="189"/>
        </w:trPr>
        <w:tc>
          <w:tcPr>
            <w:tcW w:w="69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Deferred contract costs</w:t>
            </w:r>
          </w:p>
        </w:tc>
        <w:tc>
          <w:tcPr>
            <w:tcW w:w="8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(8,275 )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(13,020 )</w:t>
            </w:r>
          </w:p>
        </w:tc>
      </w:tr>
      <w:tr>
        <w:trPr>
          <w:trHeight w:val="189"/>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Contingent consideration</w:t>
            </w: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(602 )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8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(5,173 )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(1,589 )</w:t>
            </w:r>
          </w:p>
        </w:tc>
      </w:tr>
      <w:tr>
        <w:trPr>
          <w:trHeight w:val="189"/>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5"/>
                <w:szCs w:val="15"/>
                <w:color w:val="auto"/>
              </w:rPr>
              <w:t>Deferred revenue</w:t>
            </w: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(12,136 )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(14,113 )</w:t>
            </w:r>
          </w:p>
        </w:tc>
      </w:tr>
      <w:tr>
        <w:trPr>
          <w:trHeight w:val="183"/>
        </w:trPr>
        <w:tc>
          <w:tcPr>
            <w:tcW w:w="6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8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50,061</w:t>
            </w: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36,481</w:t>
            </w:r>
          </w:p>
        </w:tc>
        <w:tc>
          <w:tcPr>
            <w:tcW w:w="100" w:type="dxa"/>
            <w:vAlign w:val="bottom"/>
            <w:tcBorders>
              <w:top w:val="single" w:sz="8" w:color="CFF0FC"/>
            </w:tcBorders>
          </w:tcPr>
          <w:p>
            <w:pPr>
              <w:spacing w:after="0"/>
              <w:rPr>
                <w:sz w:val="15"/>
                <w:szCs w:val="15"/>
                <w:color w:val="auto"/>
              </w:rPr>
            </w:pPr>
          </w:p>
        </w:tc>
      </w:tr>
      <w:tr>
        <w:trPr>
          <w:trHeight w:val="18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Cash flows (used in) provided by investing activities:</w:t>
            </w:r>
          </w:p>
        </w:tc>
        <w:tc>
          <w:tcPr>
            <w:tcW w:w="8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Purchases of property, equipment, and other assets</w:t>
            </w:r>
          </w:p>
        </w:tc>
        <w:tc>
          <w:tcPr>
            <w:tcW w:w="8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(1,443 )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(2,383 )</w:t>
            </w:r>
          </w:p>
        </w:tc>
      </w:tr>
      <w:tr>
        <w:trPr>
          <w:trHeight w:val="18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Purchases of short-term investments</w:t>
            </w: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w w:val="99"/>
              </w:rPr>
              <w:t>(192,670 )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(213,613 )</w:t>
            </w:r>
          </w:p>
        </w:tc>
      </w:tr>
      <w:tr>
        <w:trPr>
          <w:trHeight w:val="189"/>
        </w:trPr>
        <w:tc>
          <w:tcPr>
            <w:tcW w:w="6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Maturities of short-term investments</w:t>
            </w:r>
          </w:p>
        </w:tc>
        <w:tc>
          <w:tcPr>
            <w:tcW w:w="8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207,504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174,830</w:t>
            </w: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(13,530 )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(45,023 )</w:t>
            </w:r>
          </w:p>
        </w:tc>
      </w:tr>
      <w:tr>
        <w:trPr>
          <w:trHeight w:val="20"/>
        </w:trPr>
        <w:tc>
          <w:tcPr>
            <w:tcW w:w="69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94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8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(139 )</w:t>
            </w:r>
          </w:p>
        </w:tc>
        <w:tc>
          <w:tcPr>
            <w:tcW w:w="3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(86,189 )</w:t>
            </w:r>
          </w:p>
        </w:tc>
      </w:tr>
      <w:tr>
        <w:trPr>
          <w:trHeight w:val="18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Cash flows used in financing activities:</w:t>
            </w:r>
          </w:p>
        </w:tc>
        <w:tc>
          <w:tcPr>
            <w:tcW w:w="8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Repayments of term loans</w:t>
            </w:r>
          </w:p>
        </w:tc>
        <w:tc>
          <w:tcPr>
            <w:tcW w:w="8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(10,313 )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(5,156 )</w:t>
            </w:r>
          </w:p>
        </w:tc>
      </w:tr>
      <w:tr>
        <w:trPr>
          <w:trHeight w:val="18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Taxes paid related to net share settlement of equity awards</w:t>
            </w: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(7,270 )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(3,397 )</w:t>
            </w:r>
          </w:p>
        </w:tc>
      </w:tr>
      <w:tr>
        <w:trPr>
          <w:trHeight w:val="189"/>
        </w:trPr>
        <w:tc>
          <w:tcPr>
            <w:tcW w:w="6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Repurchases of Class A Common Stock</w:t>
            </w:r>
          </w:p>
        </w:tc>
        <w:tc>
          <w:tcPr>
            <w:tcW w:w="8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(15,037 )</w:t>
            </w:r>
          </w:p>
        </w:tc>
        <w:tc>
          <w:tcPr>
            <w:tcW w:w="3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Payments of contingent consideration</w:t>
            </w: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(1,000 )</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Payments under tax receivable agreement</w:t>
            </w:r>
          </w:p>
        </w:tc>
        <w:tc>
          <w:tcPr>
            <w:tcW w:w="8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(6,950 )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(246 )</w:t>
            </w:r>
          </w:p>
        </w:tc>
      </w:tr>
      <w:tr>
        <w:trPr>
          <w:trHeight w:val="18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Payments of equity offering issuance costs</w:t>
            </w: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(30 )</w:t>
            </w:r>
          </w:p>
        </w:tc>
      </w:tr>
      <w:tr>
        <w:trPr>
          <w:trHeight w:val="189"/>
        </w:trPr>
        <w:tc>
          <w:tcPr>
            <w:tcW w:w="6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Member distributions</w:t>
            </w:r>
          </w:p>
        </w:tc>
        <w:tc>
          <w:tcPr>
            <w:tcW w:w="8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(2,811 )</w:t>
            </w:r>
          </w:p>
        </w:tc>
        <w:tc>
          <w:tcPr>
            <w:tcW w:w="3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(10,693 )</w:t>
            </w:r>
          </w:p>
        </w:tc>
      </w:tr>
      <w:tr>
        <w:trPr>
          <w:trHeight w:val="20"/>
        </w:trPr>
        <w:tc>
          <w:tcPr>
            <w:tcW w:w="6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8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(43,381 )</w:t>
            </w:r>
          </w:p>
        </w:tc>
        <w:tc>
          <w:tcPr>
            <w:tcW w:w="3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(19,522 )</w:t>
            </w:r>
          </w:p>
        </w:tc>
      </w:tr>
      <w:tr>
        <w:trPr>
          <w:trHeight w:val="20"/>
        </w:trPr>
        <w:tc>
          <w:tcPr>
            <w:tcW w:w="69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940" w:type="dxa"/>
            <w:vAlign w:val="bottom"/>
          </w:tcPr>
          <w:p>
            <w:pPr>
              <w:spacing w:after="0"/>
              <w:rPr>
                <w:sz w:val="20"/>
                <w:szCs w:val="20"/>
                <w:color w:val="auto"/>
              </w:rPr>
            </w:pPr>
            <w:r>
              <w:rPr>
                <w:rFonts w:ascii="Times New Roman" w:cs="Times New Roman" w:eastAsia="Times New Roman" w:hAnsi="Times New Roman"/>
                <w:sz w:val="15"/>
                <w:szCs w:val="15"/>
                <w:color w:val="auto"/>
              </w:rPr>
              <w:t>Net decrease in cash and cash equivalents</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6,541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(69,230 )</w:t>
            </w:r>
          </w:p>
        </w:tc>
      </w:tr>
      <w:tr>
        <w:trPr>
          <w:trHeight w:val="18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8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(244 )</w:t>
            </w:r>
          </w:p>
        </w:tc>
      </w:tr>
      <w:tr>
        <w:trPr>
          <w:trHeight w:val="189"/>
        </w:trPr>
        <w:tc>
          <w:tcPr>
            <w:tcW w:w="6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8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130,976</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146,934</w:t>
            </w:r>
          </w:p>
        </w:tc>
        <w:tc>
          <w:tcPr>
            <w:tcW w:w="100" w:type="dxa"/>
            <w:vAlign w:val="bottom"/>
          </w:tcPr>
          <w:p>
            <w:pPr>
              <w:spacing w:after="0"/>
              <w:rPr>
                <w:sz w:val="16"/>
                <w:szCs w:val="16"/>
                <w:color w:val="auto"/>
              </w:rPr>
            </w:pPr>
          </w:p>
        </w:tc>
      </w:tr>
      <w:tr>
        <w:trPr>
          <w:trHeight w:val="223"/>
        </w:trPr>
        <w:tc>
          <w:tcPr>
            <w:tcW w:w="6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840" w:type="dxa"/>
            <w:vAlign w:val="bottom"/>
            <w:tcBorders>
              <w:bottom w:val="single" w:sz="8" w:color="auto"/>
            </w:tcBorders>
            <w:shd w:val="clear" w:color="auto" w:fill="CFF0FC"/>
          </w:tcPr>
          <w:p>
            <w:pPr>
              <w:jc w:val="right"/>
              <w:ind w:right="685"/>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137,609</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77,460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694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cash flow disclosures:</w:t>
            </w: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Cash paid during the period for:</w:t>
            </w:r>
          </w:p>
        </w:tc>
        <w:tc>
          <w:tcPr>
            <w:tcW w:w="8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Interest</w:t>
            </w:r>
          </w:p>
        </w:tc>
        <w:tc>
          <w:tcPr>
            <w:tcW w:w="840" w:type="dxa"/>
            <w:vAlign w:val="bottom"/>
          </w:tcPr>
          <w:p>
            <w:pPr>
              <w:jc w:val="right"/>
              <w:ind w:right="685"/>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10,886</w:t>
            </w:r>
          </w:p>
        </w:tc>
        <w:tc>
          <w:tcPr>
            <w:tcW w:w="240" w:type="dxa"/>
            <w:vAlign w:val="bottom"/>
          </w:tcPr>
          <w:p>
            <w:pPr>
              <w:spacing w:after="0"/>
              <w:rPr>
                <w:sz w:val="16"/>
                <w:szCs w:val="16"/>
                <w:color w:val="auto"/>
              </w:rPr>
            </w:pPr>
          </w:p>
        </w:tc>
        <w:tc>
          <w:tcPr>
            <w:tcW w:w="3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10,772</w:t>
            </w: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Income taxes</w:t>
            </w:r>
          </w:p>
        </w:tc>
        <w:tc>
          <w:tcPr>
            <w:tcW w:w="840" w:type="dxa"/>
            <w:vAlign w:val="bottom"/>
            <w:shd w:val="clear" w:color="auto" w:fill="CFF0FC"/>
          </w:tcPr>
          <w:p>
            <w:pPr>
              <w:jc w:val="right"/>
              <w:ind w:right="68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Acquisitions:</w:t>
            </w: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5"/>
                <w:szCs w:val="15"/>
                <w:color w:val="auto"/>
              </w:rPr>
              <w:t>Net assets acquired, net of cash acquired</w:t>
            </w:r>
          </w:p>
        </w:tc>
        <w:tc>
          <w:tcPr>
            <w:tcW w:w="840" w:type="dxa"/>
            <w:vAlign w:val="bottom"/>
            <w:shd w:val="clear" w:color="auto" w:fill="CFF0FC"/>
          </w:tcPr>
          <w:p>
            <w:pPr>
              <w:jc w:val="right"/>
              <w:ind w:right="685"/>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13,675</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52,659</w:t>
            </w: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Working capital adjustment receivable</w:t>
            </w:r>
          </w:p>
        </w:tc>
        <w:tc>
          <w:tcPr>
            <w:tcW w:w="8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(145 )</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(7,800 )</w:t>
            </w:r>
          </w:p>
        </w:tc>
      </w:tr>
      <w:tr>
        <w:trPr>
          <w:trHeight w:val="183"/>
        </w:trPr>
        <w:tc>
          <w:tcPr>
            <w:tcW w:w="6940" w:type="dxa"/>
            <w:vAlign w:val="bottom"/>
            <w:tcBorders>
              <w:top w:val="single" w:sz="8" w:color="CFF0FC"/>
            </w:tcBorders>
          </w:tcPr>
          <w:p>
            <w:pPr>
              <w:ind w:left="900"/>
              <w:spacing w:after="0"/>
              <w:rPr>
                <w:sz w:val="20"/>
                <w:szCs w:val="20"/>
                <w:color w:val="auto"/>
              </w:rPr>
            </w:pPr>
            <w:r>
              <w:rPr>
                <w:rFonts w:ascii="Times New Roman" w:cs="Times New Roman" w:eastAsia="Times New Roman" w:hAnsi="Times New Roman"/>
                <w:sz w:val="15"/>
                <w:szCs w:val="15"/>
                <w:color w:val="auto"/>
              </w:rPr>
              <w:t>Net cash paid for acquisitions</w:t>
            </w: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13,530</w:t>
            </w: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45,023</w:t>
            </w:r>
          </w:p>
        </w:tc>
        <w:tc>
          <w:tcPr>
            <w:tcW w:w="100" w:type="dxa"/>
            <w:vAlign w:val="bottom"/>
            <w:tcBorders>
              <w:top w:val="single" w:sz="8" w:color="CFF0FC"/>
            </w:tcBorders>
          </w:tcPr>
          <w:p>
            <w:pPr>
              <w:spacing w:after="0"/>
              <w:rPr>
                <w:sz w:val="15"/>
                <w:szCs w:val="15"/>
                <w:color w:val="auto"/>
              </w:rPr>
            </w:pPr>
          </w:p>
        </w:tc>
      </w:tr>
      <w:tr>
        <w:trPr>
          <w:trHeight w:val="20"/>
        </w:trPr>
        <w:tc>
          <w:tcPr>
            <w:tcW w:w="6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9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activities:</w:t>
            </w:r>
          </w:p>
        </w:tc>
        <w:tc>
          <w:tcPr>
            <w:tcW w:w="8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8"/>
        </w:trPr>
        <w:tc>
          <w:tcPr>
            <w:tcW w:w="6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Capital expenditures included in accounts payable and accrued expenses and other liabilities</w:t>
            </w:r>
          </w:p>
        </w:tc>
        <w:tc>
          <w:tcPr>
            <w:tcW w:w="840" w:type="dxa"/>
            <w:vAlign w:val="bottom"/>
          </w:tcPr>
          <w:p>
            <w:pPr>
              <w:jc w:val="right"/>
              <w:ind w:right="685"/>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w:t>
            </w:r>
          </w:p>
        </w:tc>
        <w:tc>
          <w:tcPr>
            <w:tcW w:w="24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-3845560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-3845560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-3108325</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-3108325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-1882775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-1882775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-1385570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-1368425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-1385570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-1368425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-399415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-399415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008" w:right="8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Organization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Definitive Healthcare Corp. (the “Company”) was formed on May 5, 2021 as a Delaware corporation to facilitate an initial public offering (“IPO”) and other related transactions to carry on the business of AIDH TopCo, LLC (“Definitive OpCo”). Following consummation of the Reorganization Transactions as described below, Definitive OpCo became a subsidiary of Definitive Healthcare Corp. The Company, through its operating subsidiaries, provides comprehensive and up-to-date hospital and healthcare-related information and insight across the entire healthcare continuum via a multi-tenant software-as-a-service (“SaaS”) platform which combines proprietary and public sources to deliver insights. The Company is headquartered in Framingham, Massachusetts.</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limited liability company interests (“LLC Units”) in Definitive OpCo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unaudited condensed consolidated financial statements.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Reorganization Transactions and the IPO, Definitive Healthcare Corp entered into a tax receivable agreement. See Note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unaudited condensed consolidated financial statements as of September 30, 2024 and for the three and nine months ended September 30, 2024 and 2023 are unaudited and should be read in conjunction with the Company’s audited financial statements for the year ended December 31, 2023. All adjustments, consisting of normal recurring adjustments, except as otherwise noted, considered, in the opinion of management, necessary for a fair presentation of the unaudited condensed consolidated financial statements for these interim periods have been included.</w:t>
      </w:r>
    </w:p>
    <w:p>
      <w:pPr>
        <w:spacing w:after="0" w:line="82" w:lineRule="exact"/>
        <w:rPr>
          <w:sz w:val="20"/>
          <w:szCs w:val="20"/>
          <w:color w:val="auto"/>
        </w:rPr>
      </w:pPr>
    </w:p>
    <w:p>
      <w:pPr>
        <w:ind w:right="3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 the 2023 Form 10-K for the Company’s significant accounting policies and estimates.</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useful lives of intangible assets acquired in business combinations, equity-based compensation, and income taxes. Actual results could differ from those estimates.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No.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(“ASU 2023-07”), which expands annual and interim disclosure requirements for reportable segments, primarily through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These disclosures are required for entities with a single reportable segment. ASU 2023-07 is effective for annual filings for the Company’s fiscal year beginning January 1, 2024, and interim filings for the fiscal year beginning January 1, 2025, and should be applied on a retrospective basis to all periods presented. The Company is currently evaluating the effect of adopting ASU 2023-07 on its unaudited condensed consolidated financial statement disclosures.</w:t>
      </w:r>
    </w:p>
    <w:p>
      <w:pPr>
        <w:spacing w:after="0" w:line="7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the first nine months of the current year have had, or are expected to have, a material impact on the Company’s unaudited condensed consolidated financial statements.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Carevoyance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January 16, 2024, the Company completed the purchase of assets comprising the Carevoyance business line of H1 Insights, Inc. (“Carevoyance”), a product that helps medical technology (“MedTech”) customers to improve segmentation, targeting, and prospect engagement, for $13.7 million in cash consideration. The Carevoyance assets meet the definition of a business and accordingly, the Company has accounted for the Carevoyance transaction under the acquisition method. The assets acquired and liabilities assumed were recorded at their estimated fair values and the results of operations were included in the Company’s consolidated results prospectively from the acquisition date.</w:t>
      </w:r>
    </w:p>
    <w:p>
      <w:pPr>
        <w:spacing w:after="0" w:line="75"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purchase price allocations for the Carevoyance acquisition are provisional and are based on the information that was available as of the acquisition date to estimate the fair values of assets acquired and liabilities assumed. The Company is gathering and reviewing additional information necessary to finalize the values assigned to the acquired assets and liabilities assumed, as well as acquired identified intangible assets and goodwill. Therefore, the provisional measurements of fair values reported as of September 30, 2024 are subject to change. The Company is expected to finalize the purchase price allocations as soon as practicable, but no later than one year from the acquisition date. Acquisition-date fair values of assets and liabilities pertaining to this business combination have been allocated as follows:</w:t>
      </w:r>
    </w:p>
    <w:p>
      <w:pPr>
        <w:spacing w:after="0" w:line="327" w:lineRule="exact"/>
        <w:rPr>
          <w:sz w:val="20"/>
          <w:szCs w:val="20"/>
          <w:color w:val="auto"/>
        </w:rPr>
      </w:pPr>
    </w:p>
    <w:tbl>
      <w:tblPr>
        <w:tblLayout w:type="fixed"/>
        <w:tblInd w:w="300" w:type="dxa"/>
        <w:tblCellMar>
          <w:top w:w="0" w:type="dxa"/>
          <w:left w:w="0" w:type="dxa"/>
          <w:bottom w:w="0" w:type="dxa"/>
          <w:right w:w="0" w:type="dxa"/>
        </w:tblCellMar>
      </w:tblPr>
      <w:tr>
        <w:trPr>
          <w:trHeight w:val="191"/>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6"/>
                <w:szCs w:val="16"/>
                <w:color w:val="auto"/>
              </w:rPr>
            </w:pPr>
          </w:p>
        </w:tc>
        <w:tc>
          <w:tcPr>
            <w:tcW w:w="202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0" w:type="dxa"/>
            <w:vAlign w:val="bottom"/>
          </w:tcPr>
          <w:p>
            <w:pPr>
              <w:spacing w:after="0"/>
              <w:rPr>
                <w:sz w:val="1"/>
                <w:szCs w:val="1"/>
                <w:color w:val="auto"/>
              </w:rPr>
            </w:pPr>
          </w:p>
        </w:tc>
      </w:tr>
      <w:tr>
        <w:trPr>
          <w:trHeight w:val="173"/>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46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(987 )</w:t>
            </w:r>
          </w:p>
        </w:tc>
        <w:tc>
          <w:tcPr>
            <w:tcW w:w="0" w:type="dxa"/>
            <w:vAlign w:val="bottom"/>
          </w:tcPr>
          <w:p>
            <w:pPr>
              <w:spacing w:after="0"/>
              <w:rPr>
                <w:sz w:val="1"/>
                <w:szCs w:val="1"/>
                <w:color w:val="auto"/>
              </w:rPr>
            </w:pPr>
          </w:p>
        </w:tc>
      </w:tr>
      <w:tr>
        <w:trPr>
          <w:trHeight w:val="2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4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Borders>
              <w:bottom w:val="single" w:sz="8" w:color="auto"/>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price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6897370</wp:posOffset>
            </wp:positionH>
            <wp:positionV relativeFrom="paragraph">
              <wp:posOffset>-187960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Carevoyance acquisition, the Company recorded goodwill, developed technology, customer relationships, and tradename of $7.1 million, $6.8 million, $0.2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deductible for tax purposes. All goodwill has been allocated to the Company’s one reportable segment.</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developed technology represents Carevoyance’s proprietary solutions that are designed to assist MedTech customers with improving segmentation, targeting, and prospect engagement. The Company used the income approach, specifically the multi-period excess earnings method, to determine the value of developed technology. Significant assumptions include an obsolescence factor, tax rate, and discount rate. The developed technology was valued at $6.8 million and is amortized using the economic value method, which represents the pattern of cash flows over the estimated 7-year life of this asset.</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$0.2 million and is amortized using the straight-line method over the estimated remaining useful life of 5 years.</w:t>
      </w:r>
    </w:p>
    <w:p>
      <w:pPr>
        <w:spacing w:after="0" w:line="72"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tradename represents the estimated fair value of the registered trade name associated with the Carevoyance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2 years.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total, intangible assets acquired in the Carevoyance acquisition are estimated to be amortized over a weighted average of 6.9 years. See Note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for the estimated total intangible amortization expense during the next five years.</w:t>
      </w:r>
    </w:p>
    <w:p>
      <w:pPr>
        <w:spacing w:after="0" w:line="9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Pro forma results of operation for this acquisition have not been presented because the effects were not material to the Company’s unaudited condensed consolidated financial results.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Populi, Inc.</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July 21, 2023, the Company completed the acquisition of Populi, Inc. (“Populi”), a provider-focused data and analytics company that works with healthcare organizations to optimize physician relationships, reduce network leakage, and expand market share, for total estimated consideration of $54.1 million, consisting of approximately $46.4 million of cash paid at closing, $0.1 reimbursement from sellers for working capital adjustments, and up to $28.0 million of contingent consideration, with an initial estimated fair value of $7.8 million. The contingent consideration relates to earn-out payments that may be paid subject to meeting certain revenue metrics during calendar years 2024 and 2025. In addition to the purchase consideration and pursuant to holdback agreements with certain key Populi employees, the Company agreed to pay $4.8 million to certain key Populi employees in quarterly installments beginning on December 31, 2023, and continuing through September 30, 2025. The payout of the holdback is subject to continued employment, and therefore recognized as compensation expense over the requisite service period as a component of transaction, integration and restructuring expenses in the accompanying unaudited condensed consolidated statements of operations. The assets acquired and liabilities assumed were recorded at their estimated fair values and the results of operations were included in the Company’s consolidated results as of the acquisition date.</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consideration transferred for the transaction is summarized as follows:</w:t>
      </w:r>
    </w:p>
    <w:p>
      <w:pPr>
        <w:spacing w:after="0" w:line="325"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8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 paid at closing</w:t>
            </w:r>
          </w:p>
        </w:tc>
        <w:tc>
          <w:tcPr>
            <w:tcW w:w="70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46,446</w:t>
            </w:r>
          </w:p>
        </w:tc>
        <w:tc>
          <w:tcPr>
            <w:tcW w:w="100" w:type="dxa"/>
            <w:vAlign w:val="bottom"/>
            <w:shd w:val="clear" w:color="auto" w:fill="CFF0FC"/>
          </w:tcPr>
          <w:p>
            <w:pPr>
              <w:spacing w:after="0"/>
              <w:rPr>
                <w:sz w:val="21"/>
                <w:szCs w:val="21"/>
                <w:color w:val="auto"/>
              </w:rPr>
            </w:pPr>
          </w:p>
        </w:tc>
      </w:tr>
      <w:tr>
        <w:trPr>
          <w:trHeight w:val="239"/>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7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(145 )</w:t>
            </w:r>
          </w:p>
        </w:tc>
      </w:tr>
      <w:tr>
        <w:trPr>
          <w:trHeight w:val="243"/>
        </w:trPr>
        <w:tc>
          <w:tcPr>
            <w:tcW w:w="8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7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price</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54,101</w:t>
            </w:r>
          </w:p>
        </w:tc>
        <w:tc>
          <w:tcPr>
            <w:tcW w:w="100" w:type="dxa"/>
            <w:vAlign w:val="bottom"/>
          </w:tcPr>
          <w:p>
            <w:pPr>
              <w:spacing w:after="0"/>
              <w:rPr>
                <w:sz w:val="20"/>
                <w:szCs w:val="20"/>
                <w:color w:val="auto"/>
              </w:rPr>
            </w:pPr>
          </w:p>
        </w:tc>
      </w:tr>
      <w:tr>
        <w:trPr>
          <w:trHeight w:val="20"/>
        </w:trPr>
        <w:tc>
          <w:tcPr>
            <w:tcW w:w="8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6897370</wp:posOffset>
            </wp:positionH>
            <wp:positionV relativeFrom="paragraph">
              <wp:posOffset>-187960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contingent consideration is based on the achievement of certain revenue metrics during the two-year period following the acquisition date, with potential earn-out payouts ranging from $0 to $28.0 million. The Company estimated the fair value of the contingent consideration to be $7.8 million as of July 21, 2023, based on the estimated achievement of the revenue metrics and time to payment. The contingent consideration was recorded in Other liabilities in the accompanying unaudited condensed consolidated balance sheets as of September 30, 2024. Refer to Note 11.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finalized the purchase price allocations of the Populi acquisition during the first quarter of 2024. Acquisition-date fair values of assets and liabilities pertaining to this business combination have been allocated as follows: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5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6"/>
                <w:szCs w:val="16"/>
                <w:color w:val="auto"/>
              </w:rPr>
            </w:pPr>
          </w:p>
        </w:tc>
        <w:tc>
          <w:tcPr>
            <w:tcW w:w="14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Preliminary, as</w:t>
            </w:r>
          </w:p>
        </w:tc>
        <w:tc>
          <w:tcPr>
            <w:tcW w:w="16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originally reported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22,830</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(3,316 )</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(3,316 )</w:t>
            </w:r>
          </w:p>
        </w:tc>
        <w:tc>
          <w:tcPr>
            <w:tcW w:w="0" w:type="dxa"/>
            <w:vAlign w:val="bottom"/>
          </w:tcPr>
          <w:p>
            <w:pPr>
              <w:spacing w:after="0"/>
              <w:rPr>
                <w:sz w:val="1"/>
                <w:szCs w:val="1"/>
                <w:color w:val="auto"/>
              </w:rPr>
            </w:pPr>
          </w:p>
        </w:tc>
      </w:tr>
      <w:tr>
        <w:trPr>
          <w:trHeight w:val="24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(4,010 )</w:t>
            </w: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(4,010 )</w:t>
            </w:r>
          </w:p>
        </w:tc>
        <w:tc>
          <w:tcPr>
            <w:tcW w:w="0" w:type="dxa"/>
            <w:vAlign w:val="bottom"/>
          </w:tcPr>
          <w:p>
            <w:pPr>
              <w:spacing w:after="0"/>
              <w:rPr>
                <w:sz w:val="1"/>
                <w:szCs w:val="1"/>
                <w:color w:val="auto"/>
              </w:rPr>
            </w:pPr>
          </w:p>
        </w:tc>
      </w:tr>
      <w:tr>
        <w:trPr>
          <w:trHeight w:val="23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(2,354 )</w:t>
            </w:r>
          </w:p>
        </w:tc>
        <w:tc>
          <w:tcPr>
            <w:tcW w:w="2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(576 )</w:t>
            </w: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(2,930 )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(1,076 )</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8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Purchase price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54,082</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54,101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Populi acquisition, the Company recorded goodwill, developed software, customer relationships, and tradename of $37.7 million, $21.4 million, $0.8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developed software represents Populi’s proprietary solutions that are designed to assist organizations in optimizing physician relationships, reducing network leakage, and expanding market share. The Company used the income approach, specifically the multi-period excess earnings method, to determine the value of developed software. Significant assumptions include an obsolescence factor, tax rate, and discount rate. The developed software was valued at $21.4 million and is amortized using the economic value method, which represents the pattern of cash flows over the estimated 7-year life of this asset.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4" w:name="page15"/>
    <w:bookmarkEnd w:id="14"/>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$0.8 million and is amortized using the straight-line method over the estimated remaining useful life of 15 years.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tradename represents the estimated fair value of the registered trade name associated with the Populi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1 year.</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total, intangible assets acquired in the Populi acquisition are estimated to be amortized over a weighted average of 7.2 years. See Note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for the estimated total intangible amortization expense during the next five years.</w:t>
      </w:r>
    </w:p>
    <w:p>
      <w:pPr>
        <w:spacing w:after="0" w:line="9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the Company recognized acquisition related costs of $0.6 million and $1.7 million for the three and nine months ended September 30, 2024, respectively, which were recorded within transaction, integration, and restructuring expenses in the accompanying unaudited condensed consolidated statements of operations.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Unaudited Pro Forma Supplementary Data as if the Populi acquisition had occurred on January 1, 2023:</w:t>
      </w:r>
    </w:p>
    <w:p>
      <w:pPr>
        <w:spacing w:after="0" w:line="22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69"/>
        </w:trPr>
        <w:tc>
          <w:tcPr>
            <w:tcW w:w="616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66,225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(248,940 )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(280,870 )</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These pro forma results have been prepared for comparative purposes only and do not purport to be indicative of the operating results of the Company that would have been achieved had the acquisition actually taken place on January 1, 2023.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54" w:lineRule="exact"/>
        <w:rPr>
          <w:sz w:val="20"/>
          <w:szCs w:val="20"/>
          <w:color w:val="auto"/>
        </w:rPr>
      </w:pPr>
    </w:p>
    <w:p>
      <w:pPr>
        <w:ind w:right="220" w:firstLine="509"/>
        <w:spacing w:after="0" w:line="313" w:lineRule="auto"/>
        <w:rPr>
          <w:sz w:val="20"/>
          <w:szCs w:val="20"/>
          <w:color w:val="auto"/>
        </w:rPr>
      </w:pPr>
      <w:r>
        <w:rPr>
          <w:rFonts w:ascii="Times New Roman" w:cs="Times New Roman" w:eastAsia="Times New Roman" w:hAnsi="Times New Roman"/>
          <w:sz w:val="18"/>
          <w:szCs w:val="18"/>
          <w:color w:val="auto"/>
        </w:rPr>
        <w:t>The following table represents a disaggregation of revenue from arrangements with customers for the three and nine months ended September 30, 2024 and 2023, respectively:</w:t>
      </w:r>
    </w:p>
    <w:p>
      <w:pPr>
        <w:spacing w:after="0" w:line="3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3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60,897</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62,568</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184,645</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180,358</w:t>
            </w: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tcPr>
          <w:p>
            <w:pPr>
              <w:spacing w:after="0"/>
              <w:rPr>
                <w:sz w:val="20"/>
                <w:szCs w:val="20"/>
                <w:color w:val="auto"/>
              </w:rPr>
            </w:pPr>
          </w:p>
        </w:tc>
      </w:tr>
      <w:tr>
        <w:trPr>
          <w:trHeight w:val="281"/>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62,697</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65,325</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189,914</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185,483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activity impacting the deferred contract costs for the nine months ended September 30, 2024 and the year ended December 31,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is presented below:</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7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7"/>
        </w:trPr>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7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60" w:type="dxa"/>
            <w:vAlign w:val="bottom"/>
            <w:tcBorders>
              <w:top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100" w:type="dxa"/>
            <w:vAlign w:val="bottom"/>
            <w:shd w:val="clear" w:color="auto" w:fill="CFF0FC"/>
          </w:tcPr>
          <w:p>
            <w:pPr>
              <w:spacing w:after="0"/>
              <w:rPr>
                <w:sz w:val="20"/>
                <w:szCs w:val="20"/>
                <w:color w:val="auto"/>
              </w:rPr>
            </w:pPr>
          </w:p>
        </w:tc>
      </w:tr>
      <w:tr>
        <w:trPr>
          <w:trHeight w:val="23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amortized</w:t>
            </w:r>
          </w:p>
        </w:tc>
        <w:tc>
          <w:tcPr>
            <w:tcW w:w="4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(11,463 )</w:t>
            </w:r>
          </w:p>
        </w:tc>
        <w:tc>
          <w:tcPr>
            <w:tcW w:w="14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(12,963 )</w:t>
            </w:r>
          </w:p>
        </w:tc>
      </w:tr>
      <w:tr>
        <w:trPr>
          <w:trHeight w:val="243"/>
        </w:trPr>
        <w:tc>
          <w:tcPr>
            <w:tcW w:w="6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4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27,622</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100" w:type="dxa"/>
            <w:vAlign w:val="bottom"/>
          </w:tcPr>
          <w:p>
            <w:pPr>
              <w:spacing w:after="0"/>
              <w:rPr>
                <w:sz w:val="20"/>
                <w:szCs w:val="20"/>
                <w:color w:val="auto"/>
              </w:rPr>
            </w:pPr>
          </w:p>
        </w:tc>
      </w:tr>
      <w:tr>
        <w:trPr>
          <w:trHeight w:val="241"/>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4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Pr>
          <w:p>
            <w:pPr>
              <w:spacing w:after="0"/>
              <w:rPr>
                <w:sz w:val="20"/>
                <w:szCs w:val="20"/>
                <w:color w:val="auto"/>
              </w:rPr>
            </w:pPr>
          </w:p>
        </w:tc>
      </w:tr>
      <w:tr>
        <w:trPr>
          <w:trHeight w:val="243"/>
        </w:trPr>
        <w:tc>
          <w:tcPr>
            <w:tcW w:w="6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Non-current</w:t>
            </w:r>
          </w:p>
        </w:tc>
        <w:tc>
          <w:tcPr>
            <w:tcW w:w="4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contract costs (deferred commissions)</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27,622</w:t>
            </w:r>
          </w:p>
        </w:tc>
        <w:tc>
          <w:tcPr>
            <w:tcW w:w="3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100" w:type="dxa"/>
            <w:vAlign w:val="bottom"/>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-822325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-822325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ind w:right="40" w:firstLine="509"/>
        <w:spacing w:after="0" w:line="313" w:lineRule="auto"/>
        <w:rPr>
          <w:sz w:val="20"/>
          <w:szCs w:val="20"/>
          <w:color w:val="auto"/>
        </w:rPr>
      </w:pPr>
      <w:r>
        <w:rPr>
          <w:rFonts w:ascii="Times New Roman" w:cs="Times New Roman" w:eastAsia="Times New Roman" w:hAnsi="Times New Roman"/>
          <w:sz w:val="18"/>
          <w:szCs w:val="18"/>
          <w:color w:val="auto"/>
        </w:rPr>
        <w:t>A summary of the activity impacting deferred revenue balances during the nine months ended September 30, 2024 and for the year ended December 31, 2023 is presented below:</w:t>
      </w:r>
    </w:p>
    <w:p>
      <w:pPr>
        <w:spacing w:after="0" w:line="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7"/>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97,386</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99,928</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0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(189,914 )</w:t>
            </w:r>
          </w:p>
        </w:tc>
        <w:tc>
          <w:tcPr>
            <w:tcW w:w="12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(251,415 )</w:t>
            </w:r>
          </w:p>
        </w:tc>
      </w:tr>
      <w:tr>
        <w:trPr>
          <w:trHeight w:val="243"/>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1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178,768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86,240</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97,386</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-187960</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The Company’s backlog represents installment billings for periods beyond the current billing cycle. The majority of the Company’s noncurrent remaining performance obligations will be recognized in the next 13 to 36 months.</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3"/>
                <w:szCs w:val="13"/>
                <w:color w:val="auto"/>
              </w:rPr>
            </w:pPr>
          </w:p>
        </w:tc>
      </w:tr>
      <w:tr>
        <w:trPr>
          <w:trHeight w:val="187"/>
        </w:trPr>
        <w:tc>
          <w:tcPr>
            <w:tcW w:w="58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4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163,692</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187,331</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4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1"/>
        </w:trPr>
        <w:tc>
          <w:tcPr>
            <w:tcW w:w="580" w:type="dxa"/>
            <w:vAlign w:val="bottom"/>
          </w:tcPr>
          <w:p>
            <w:pPr>
              <w:spacing w:after="0"/>
              <w:rPr>
                <w:sz w:val="24"/>
                <w:szCs w:val="24"/>
                <w:color w:val="auto"/>
              </w:rPr>
            </w:pPr>
          </w:p>
        </w:tc>
        <w:tc>
          <w:tcPr>
            <w:tcW w:w="2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244,873</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276,967</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2920" w:type="dxa"/>
            <w:vAlign w:val="bottom"/>
            <w:tcBorders>
              <w:top w:val="single" w:sz="8" w:color="CFF0FC"/>
            </w:tcBorders>
          </w:tcPr>
          <w:p>
            <w:pPr>
              <w:spacing w:after="0"/>
              <w:rPr>
                <w:sz w:val="24"/>
                <w:szCs w:val="24"/>
                <w:color w:val="auto"/>
              </w:rPr>
            </w:pPr>
          </w:p>
        </w:tc>
        <w:tc>
          <w:tcPr>
            <w:tcW w:w="402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-864870</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-847725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-864870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-847725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4. Short-Term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Short-term investments classified as available-for-sale consisted of the following:</w:t>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4"/>
                <w:szCs w:val="14"/>
                <w:color w:val="auto"/>
              </w:rPr>
            </w:pPr>
          </w:p>
        </w:tc>
        <w:tc>
          <w:tcPr>
            <w:tcW w:w="13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30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4"/>
                <w:szCs w:val="14"/>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7"/>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25,402</w:t>
            </w:r>
          </w:p>
        </w:tc>
        <w:tc>
          <w:tcPr>
            <w:tcW w:w="880" w:type="dxa"/>
            <w:vAlign w:val="bottom"/>
            <w:gridSpan w:val="2"/>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25,411</w:t>
            </w: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109,143</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109,277</w:t>
            </w:r>
          </w:p>
        </w:tc>
        <w:tc>
          <w:tcPr>
            <w:tcW w:w="100" w:type="dxa"/>
            <w:vAlign w:val="bottom"/>
            <w:shd w:val="clear" w:color="auto" w:fill="CFF0FC"/>
          </w:tcPr>
          <w:p>
            <w:pPr>
              <w:spacing w:after="0"/>
              <w:rPr>
                <w:sz w:val="21"/>
                <w:szCs w:val="21"/>
                <w:color w:val="auto"/>
              </w:rPr>
            </w:pPr>
          </w:p>
        </w:tc>
      </w:tr>
      <w:tr>
        <w:trPr>
          <w:trHeight w:val="239"/>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33,055</w:t>
            </w:r>
          </w:p>
        </w:tc>
        <w:tc>
          <w:tcPr>
            <w:tcW w:w="3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33,091</w:t>
            </w:r>
          </w:p>
        </w:tc>
        <w:tc>
          <w:tcPr>
            <w:tcW w:w="100" w:type="dxa"/>
            <w:vAlign w:val="bottom"/>
          </w:tcPr>
          <w:p>
            <w:pPr>
              <w:spacing w:after="0"/>
              <w:rPr>
                <w:sz w:val="20"/>
                <w:szCs w:val="20"/>
                <w:color w:val="auto"/>
              </w:rPr>
            </w:pPr>
          </w:p>
        </w:tc>
      </w:tr>
      <w:tr>
        <w:trPr>
          <w:trHeight w:val="261"/>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167,600</w:t>
            </w:r>
          </w:p>
        </w:tc>
        <w:tc>
          <w:tcPr>
            <w:tcW w:w="30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shd w:val="clear" w:color="auto" w:fill="CFF0FC"/>
          </w:tcPr>
          <w:p>
            <w:pPr>
              <w:spacing w:after="0"/>
              <w:rPr>
                <w:sz w:val="22"/>
                <w:szCs w:val="22"/>
                <w:color w:val="auto"/>
              </w:rPr>
            </w:pP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167,779</w:t>
            </w:r>
          </w:p>
        </w:tc>
        <w:tc>
          <w:tcPr>
            <w:tcW w:w="100" w:type="dxa"/>
            <w:vAlign w:val="bottom"/>
            <w:shd w:val="clear" w:color="auto" w:fill="CFF0FC"/>
          </w:tcPr>
          <w:p>
            <w:pPr>
              <w:spacing w:after="0"/>
              <w:rPr>
                <w:sz w:val="22"/>
                <w:szCs w:val="22"/>
                <w:color w:val="auto"/>
              </w:rPr>
            </w:pP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72"/>
        </w:trPr>
        <w:tc>
          <w:tcPr>
            <w:tcW w:w="3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4"/>
                <w:szCs w:val="14"/>
                <w:color w:val="auto"/>
              </w:rPr>
            </w:pPr>
          </w:p>
        </w:tc>
        <w:tc>
          <w:tcPr>
            <w:tcW w:w="13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30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4"/>
                <w:szCs w:val="14"/>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7"/>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62,486</w:t>
            </w:r>
          </w:p>
        </w:tc>
        <w:tc>
          <w:tcPr>
            <w:tcW w:w="880" w:type="dxa"/>
            <w:vAlign w:val="bottom"/>
            <w:gridSpan w:val="2"/>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shd w:val="clear" w:color="auto" w:fill="CFF0FC"/>
          </w:tcPr>
          <w:p>
            <w:pPr>
              <w:spacing w:after="0"/>
              <w:rPr>
                <w:sz w:val="21"/>
                <w:szCs w:val="21"/>
                <w:color w:val="auto"/>
              </w:rPr>
            </w:pPr>
          </w:p>
        </w:tc>
      </w:tr>
      <w:tr>
        <w:trPr>
          <w:trHeight w:val="239"/>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94,269</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(18 )</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94,336</w:t>
            </w:r>
          </w:p>
        </w:tc>
        <w:tc>
          <w:tcPr>
            <w:tcW w:w="100" w:type="dxa"/>
            <w:vAlign w:val="bottom"/>
          </w:tcPr>
          <w:p>
            <w:pPr>
              <w:spacing w:after="0"/>
              <w:rPr>
                <w:sz w:val="20"/>
                <w:szCs w:val="20"/>
                <w:color w:val="auto"/>
              </w:rPr>
            </w:pPr>
          </w:p>
        </w:tc>
      </w:tr>
      <w:tr>
        <w:trPr>
          <w:trHeight w:val="243"/>
        </w:trPr>
        <w:tc>
          <w:tcPr>
            <w:tcW w:w="3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100" w:type="dxa"/>
            <w:vAlign w:val="bottom"/>
            <w:shd w:val="clear" w:color="auto" w:fill="CFF0FC"/>
          </w:tcPr>
          <w:p>
            <w:pPr>
              <w:spacing w:after="0"/>
              <w:rPr>
                <w:sz w:val="21"/>
                <w:szCs w:val="2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177,023</w:t>
            </w:r>
          </w:p>
        </w:tc>
        <w:tc>
          <w:tcPr>
            <w:tcW w:w="30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177,092</w:t>
            </w:r>
          </w:p>
        </w:tc>
        <w:tc>
          <w:tcPr>
            <w:tcW w:w="100" w:type="dxa"/>
            <w:vAlign w:val="bottom"/>
          </w:tcPr>
          <w:p>
            <w:pPr>
              <w:spacing w:after="0"/>
              <w:rPr>
                <w:sz w:val="20"/>
                <w:szCs w:val="20"/>
                <w:color w:val="auto"/>
              </w:rPr>
            </w:pPr>
          </w:p>
        </w:tc>
      </w:tr>
      <w:tr>
        <w:trPr>
          <w:trHeight w:val="20"/>
        </w:trPr>
        <w:tc>
          <w:tcPr>
            <w:tcW w:w="3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-1362075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-1344930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-1362075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-1344930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-1362075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-1344930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-1362075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-1344930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-187960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-187960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short-term investments had stated maturity dates of less than one year. Included in the amortized cost as of September 30, 2024 and December 31, 2023 is net accumulated accretion of $1.8 million and $2.8 million, respectively. Interest accretion on short-term investments was $1.6 million and $2.1 million during the three months ended September 30, 2024 and 2023, respectively, and $5.4 million and $5.8 million during the nine months ended September 30, 2024 and 2023, respectively.</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5. Accounts Receivable,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80" w:type="dxa"/>
            <w:vAlign w:val="bottom"/>
          </w:tcPr>
          <w:p>
            <w:pPr>
              <w:spacing w:after="0"/>
              <w:rPr>
                <w:sz w:val="16"/>
                <w:szCs w:val="16"/>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60,206</w:t>
            </w:r>
          </w:p>
        </w:tc>
        <w:tc>
          <w:tcPr>
            <w:tcW w:w="100" w:type="dxa"/>
            <w:vAlign w:val="bottom"/>
            <w:shd w:val="clear" w:color="auto" w:fill="CFF0FC"/>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61,552</w:t>
            </w:r>
          </w:p>
        </w:tc>
        <w:tc>
          <w:tcPr>
            <w:tcW w:w="100" w:type="dxa"/>
            <w:vAlign w:val="bottom"/>
            <w:shd w:val="clear" w:color="auto" w:fill="CFF0FC"/>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(2,385 )</w:t>
            </w: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(2,303 )</w:t>
            </w:r>
          </w:p>
        </w:tc>
      </w:tr>
      <w:tr>
        <w:trPr>
          <w:trHeight w:val="281"/>
        </w:trPr>
        <w:tc>
          <w:tcPr>
            <w:tcW w:w="580" w:type="dxa"/>
            <w:vAlign w:val="bottom"/>
          </w:tcPr>
          <w:p>
            <w:pPr>
              <w:spacing w:after="0"/>
              <w:rPr>
                <w:sz w:val="24"/>
                <w:szCs w:val="24"/>
                <w:color w:val="auto"/>
              </w:rPr>
            </w:pPr>
          </w:p>
        </w:tc>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6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5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80" w:type="dxa"/>
            <w:vAlign w:val="bottom"/>
          </w:tcPr>
          <w:p>
            <w:pPr>
              <w:spacing w:after="0"/>
              <w:rPr>
                <w:sz w:val="16"/>
                <w:szCs w:val="16"/>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shd w:val="clear" w:color="auto" w:fill="CFF0FC"/>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FF0FC"/>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and software development in process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58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00" w:type="dxa"/>
            <w:vAlign w:val="bottom"/>
            <w:shd w:val="clear" w:color="auto" w:fill="CFF0FC"/>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(6,990 )</w:t>
            </w: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(5,960 )</w:t>
            </w:r>
          </w:p>
        </w:tc>
      </w:tr>
      <w:tr>
        <w:trPr>
          <w:trHeight w:val="281"/>
        </w:trPr>
        <w:tc>
          <w:tcPr>
            <w:tcW w:w="580" w:type="dxa"/>
            <w:vAlign w:val="bottom"/>
          </w:tcPr>
          <w:p>
            <w:pPr>
              <w:spacing w:after="0"/>
              <w:rPr>
                <w:sz w:val="24"/>
                <w:szCs w:val="24"/>
                <w:color w:val="auto"/>
              </w:rPr>
            </w:pPr>
          </w:p>
        </w:tc>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-2134235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-2116455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-2134235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-2116455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jc w:val="both"/>
        <w:ind w:right="440" w:firstLine="509"/>
        <w:spacing w:after="0" w:line="312" w:lineRule="auto"/>
        <w:rPr>
          <w:sz w:val="20"/>
          <w:szCs w:val="20"/>
          <w:color w:val="auto"/>
        </w:rPr>
      </w:pPr>
      <w:r>
        <w:rPr>
          <w:rFonts w:ascii="Times New Roman" w:cs="Times New Roman" w:eastAsia="Times New Roman" w:hAnsi="Times New Roman"/>
          <w:sz w:val="17"/>
          <w:szCs w:val="17"/>
          <w:color w:val="auto"/>
        </w:rPr>
        <w:t>Depreciation and amortization expense associated with property and equipment was $0.5 million and $0.4 million for the three months ended September 30, 2024 and 2023, respectively, and $1.7 million and $1.3 million for the nine months ended September 30, 2024 and 2023, respectively.</w:t>
      </w:r>
    </w:p>
    <w:p>
      <w:pPr>
        <w:spacing w:after="0" w:line="3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the Company consolidated certain leased office space at its corporate headquarters and, as a result, recorded an impairment charge of $1.0 million, comprised of $0.7 million related to the operating lease right-of-use asset, and $0.3 million related to leasehold improvements. These non-cash charges were recognized within transaction, integration, and restructuring expenses in the Company’s unaudited condensed consolidated statements of operations. The Company also recorded accelerated depreciation of furniture and fixtures of $0.1 million and disposed of $1.0 million of fully depreciated property and equipment in connection with the office consolidation during the second quarter of 2024.</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32"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of goodwill and intangible assets, as of September 30, 2024 and December 31, 2023, consisted of the following:</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15"/>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9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7"/>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410,390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(188,358 )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Developed technologies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(41,157 )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(11,095 )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Database</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(48,019 )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583,159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(288,629 )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490,343</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1,073,502</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(288,629 )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15"/>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9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7"/>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410,210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(163,586 )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Developed technologies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78,434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(33,769 )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(9,379 )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Database</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(45,072 )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574,927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(251,806 )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(251,806 )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-2365375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-2365375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-2365375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-2047875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-2047875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-2047875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-504825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-504825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-187960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Amortization expense associated with finite-lived intangible assets was $12.5 million and $12.6 million for the three months ended September 30, 2024 and 2023, respectively, of which $3.6 million and $3.2 million was included in cost of revenue for each respective period. Amortization expense associated with finite-lived intangible assets was $36.8 million and $37.4 million for the nine months ended September 30, 2024 and 2023, respectively, of which $10.3 million and $9.7 million was included in cost of revenue for each respective period.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total intangible amortization expense during the next five years and thereafter is as follows: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8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excluding the nine months ended September 30, 2024</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100" w:type="dxa"/>
            <w:vAlign w:val="bottom"/>
            <w:shd w:val="clear" w:color="auto" w:fill="CFF0FC"/>
          </w:tcPr>
          <w:p>
            <w:pPr>
              <w:spacing w:after="0"/>
              <w:rPr>
                <w:sz w:val="21"/>
                <w:szCs w:val="21"/>
                <w:color w:val="auto"/>
              </w:rPr>
            </w:pP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47,425</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shd w:val="clear" w:color="auto" w:fill="CFF0FC"/>
          </w:tcPr>
          <w:p>
            <w:pPr>
              <w:spacing w:after="0"/>
              <w:rPr>
                <w:sz w:val="21"/>
                <w:szCs w:val="21"/>
                <w:color w:val="auto"/>
              </w:rPr>
            </w:pP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30,778</w:t>
            </w:r>
          </w:p>
        </w:tc>
        <w:tc>
          <w:tcPr>
            <w:tcW w:w="100" w:type="dxa"/>
            <w:vAlign w:val="bottom"/>
            <w:shd w:val="clear" w:color="auto" w:fill="CFF0FC"/>
          </w:tcPr>
          <w:p>
            <w:pPr>
              <w:spacing w:after="0"/>
              <w:rPr>
                <w:sz w:val="21"/>
                <w:szCs w:val="21"/>
                <w:color w:val="auto"/>
              </w:rPr>
            </w:pP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127,819</w:t>
            </w:r>
          </w:p>
        </w:tc>
        <w:tc>
          <w:tcPr>
            <w:tcW w:w="100" w:type="dxa"/>
            <w:vAlign w:val="bottom"/>
          </w:tcPr>
          <w:p>
            <w:pPr>
              <w:spacing w:after="0"/>
              <w:rPr>
                <w:sz w:val="20"/>
                <w:szCs w:val="20"/>
                <w:color w:val="auto"/>
              </w:rPr>
            </w:pPr>
          </w:p>
        </w:tc>
      </w:tr>
      <w:tr>
        <w:trPr>
          <w:trHeight w:val="276"/>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determined it had one reporting unit.</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32"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Goodwill and acquired intangible assets are initially recorded at fair value and tested periodically for impairment. The Company estimates the fair value of these assets using primarily unobservable inputs, which are considered Level 3 fair value measurements as defined in Note 11.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The Company performs an impairment test of goodwill during the fourth quarter of each fiscal year and more frequently if indicators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impairment arise.</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Though the Company traditionally performs its annual impairment assessment in the first month of the fourth quarter of each calendar year, during the second and third quarters of 2024, the Company experienced declines in its market capitalization as a result of sustained decreases in the Company’s stock price, which represented triggering events in both periods, requiring management to perform a quantitative goodwill impairment test as of the end of each respective reporting period. As a result of the impairment tests, the Company determined that the fair value of its single reporting unit was lower than its carrying value and, accordingly, recorded non-cash, pretax, goodwill impairment charges of $228.2 million and $363.6 million during the three months ended September 30, 2024 and June 30, 2024, respectively. The goodwill impairment charges did not affect the Company’s liquidity or the financial covenants in its outstanding debt agreement.</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calculating the goodwill impairment charges, the Company estimated the fair value of its single reporting unit based on its market capitalization and an appropriate control premium. Market capitalization is determined by multiplying the number of shares of Class A Common Stock outstanding by the market price of its Class A Common Stock. The control premium, or the amount paid by a new controlling shareholder for the benefits resulting from synergies and other potential benefits derived from controlling the acquired company, is determined by utilizing data from publicly available premium studies for similarly situated public company transactions. A goodwill impairment loss is recognized for the difference between the carrying value of the reporting unit and the fair value.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and for the periods ended September 30, 2024 and December 31, 2023, goodwill consisted of the following:</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7"/>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gross -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1,362,480</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1,324,733</w:t>
            </w:r>
          </w:p>
        </w:tc>
        <w:tc>
          <w:tcPr>
            <w:tcW w:w="100" w:type="dxa"/>
            <w:vAlign w:val="bottom"/>
            <w:shd w:val="clear" w:color="auto" w:fill="CFF0FC"/>
          </w:tcPr>
          <w:p>
            <w:pPr>
              <w:spacing w:after="0"/>
              <w:rPr>
                <w:sz w:val="20"/>
                <w:szCs w:val="20"/>
                <w:color w:val="auto"/>
              </w:rPr>
            </w:pPr>
          </w:p>
        </w:tc>
      </w:tr>
      <w:tr>
        <w:trPr>
          <w:trHeight w:val="239"/>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2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(287,400 )</w:t>
            </w:r>
          </w:p>
        </w:tc>
        <w:tc>
          <w:tcPr>
            <w:tcW w:w="1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net - beginning of period</w:t>
            </w:r>
          </w:p>
        </w:tc>
        <w:tc>
          <w:tcPr>
            <w:tcW w:w="12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1,324,733</w:t>
            </w:r>
          </w:p>
        </w:tc>
        <w:tc>
          <w:tcPr>
            <w:tcW w:w="100" w:type="dxa"/>
            <w:vAlign w:val="bottom"/>
            <w:shd w:val="clear" w:color="auto" w:fill="CFF0FC"/>
          </w:tcPr>
          <w:p>
            <w:pPr>
              <w:spacing w:after="0"/>
              <w:rPr>
                <w:sz w:val="20"/>
                <w:szCs w:val="20"/>
                <w:color w:val="auto"/>
              </w:rPr>
            </w:pPr>
          </w:p>
        </w:tc>
      </w:tr>
      <w:tr>
        <w:trPr>
          <w:trHeight w:val="239"/>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acquired during period</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37,747</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impairment loss</w:t>
            </w:r>
          </w:p>
        </w:tc>
        <w:tc>
          <w:tcPr>
            <w:tcW w:w="1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(591,794 )</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(287,400 )</w:t>
            </w:r>
          </w:p>
        </w:tc>
      </w:tr>
      <w:tr>
        <w:trPr>
          <w:trHeight w:val="232"/>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490,343</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8"/>
        </w:trPr>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7"/>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gross - end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1,369,537</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1,362,480</w:t>
            </w:r>
          </w:p>
        </w:tc>
        <w:tc>
          <w:tcPr>
            <w:tcW w:w="100" w:type="dxa"/>
            <w:vAlign w:val="bottom"/>
            <w:shd w:val="clear" w:color="auto" w:fill="CFF0FC"/>
          </w:tcPr>
          <w:p>
            <w:pPr>
              <w:spacing w:after="0"/>
              <w:rPr>
                <w:sz w:val="20"/>
                <w:szCs w:val="20"/>
                <w:color w:val="auto"/>
              </w:rPr>
            </w:pPr>
          </w:p>
        </w:tc>
      </w:tr>
      <w:tr>
        <w:trPr>
          <w:trHeight w:val="239"/>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2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(879,194 )</w:t>
            </w:r>
          </w:p>
        </w:tc>
        <w:tc>
          <w:tcPr>
            <w:tcW w:w="16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(287,400 )</w:t>
            </w:r>
          </w:p>
        </w:tc>
      </w:tr>
      <w:tr>
        <w:trPr>
          <w:trHeight w:val="277"/>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net -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490,343</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59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also considered its intangible assets with finite useful lives, which are amortized over their estimated useful lives, generally on a straight-line basis. These assets are reviewed for impairment when facts or circumstances indicate that the carrying values may not be recoverable. The Company experienced two separate triggering events in the nine months ended September 30, 2024 resulting from declines in the Company’s market capitalization driven by sustained decreases in the Company’s stock price. In each case, the Company’s intangible assets were reviewed for impairment. Based on quantitative and qualitative analyses performed, management concluded the assets were recoverable and no impairment charges were recorded as a result of either triggering event.</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4"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10,516</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current portion</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20,095</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Sales, franchise, and other taxes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35,751</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51,529</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January 3, 2024, the Company committed to a restructuring plan (the “2024 Restructuring Plan”) intended to reduce operating costs, improve operating margins, and continue advancing the Company’s ongoing commitment to profitable growth. The 2024 Restructuring Plan provided for a reduction of the Company’s current workforce by approximately 150 people. During the three and nine months ended September 30, 2024, the Company incurred restructuring and related charges of $0.2 million and $8.0 million, respectively, consisting of severance payments, employee benefits, and related cash expenses. As of September 30, 2024, $0.5 million of severance and separation benefits is included in accrued expenses and other liabilities in the unaudited condensed consolidated balance sheets and the Company expects these payments will be made over the next six to nine months. The Company does not expect to incur any additional material charges associated with the 2024 Restructuring Plan.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activity in the Company’s liabilities resulting from the 2024 Restructuring Plan:</w:t>
      </w:r>
    </w:p>
    <w:p>
      <w:pPr>
        <w:sectPr>
          <w:pgSz w:w="11900" w:h="16838" w:orient="portrait"/>
          <w:cols w:equalWidth="0" w:num="1">
            <w:col w:w="11100"/>
          </w:cols>
          <w:pgMar w:left="320" w:top="1332" w:right="479" w:bottom="1440" w:gutter="0" w:footer="0" w:header="0"/>
        </w:sectPr>
      </w:pPr>
    </w:p>
    <w:p>
      <w:pPr>
        <w:spacing w:after="0" w:line="2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17780</wp:posOffset>
            </wp:positionV>
            <wp:extent cx="641223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Charges incurred</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Cash 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September 30, 2024</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Employee termination</w:t>
      </w:r>
    </w:p>
    <w:p>
      <w:pPr>
        <w:spacing w:after="0" w:line="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0712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ind w:left="1400" w:hanging="1396"/>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w:t>
      </w:r>
    </w:p>
    <w:p>
      <w:pPr>
        <w:spacing w:after="0" w:line="36"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8,009</w:t>
      </w:r>
    </w:p>
    <w:p>
      <w:pPr>
        <w:spacing w:after="0" w:line="36"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8"/>
          <w:szCs w:val="18"/>
          <w:color w:val="auto"/>
        </w:rPr>
        <w:t>(7,677 )</w:t>
      </w:r>
    </w:p>
    <w:p>
      <w:pPr>
        <w:spacing w:after="0" w:line="50" w:lineRule="exact"/>
        <w:rPr>
          <w:sz w:val="20"/>
          <w:szCs w:val="20"/>
          <w:color w:val="auto"/>
        </w:rPr>
      </w:pPr>
    </w:p>
    <w:p>
      <w:pPr>
        <w:ind w:left="1400" w:hanging="1396"/>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0712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10712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180" w:space="720"/>
            <w:col w:w="2200"/>
          </w:cols>
          <w:pgMar w:left="320" w:top="1332" w:right="479" w:bottom="1440" w:gutter="0" w:footer="0" w:header="0"/>
          <w:type w:val="continuous"/>
        </w:sectPr>
      </w:pPr>
    </w:p>
    <w:p>
      <w:pPr>
        <w:spacing w:after="0" w:line="1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32" w:right="4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consisted of the following as of September 30, 2024 and December 31, 2023, respectively:</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20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issuance costs /</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247,500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(1,082 )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20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issuance costs /</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257,813</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(1,496 )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242,567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-1028065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-1010920</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repaid $10.3 million in outstanding principal of the 2021 Term Loan (as defined below).</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2021 Credit Agreement</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September 2021, DH Holdings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a previous credit agreement. Both the 2021 Term Loan and the 2021 Revolving Line of Credit mature on September 17, 2026. The 2021 Credit Facilities include customary affirmative, negative, and financial covenants.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$247.5 million outstanding on the 2021 Term Loan at September 30, 2024.</w:t>
      </w:r>
    </w:p>
    <w:p>
      <w:pPr>
        <w:spacing w:after="0" w:line="75"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September 30, 2024. In September 2023, the lessor of the Company’s corporate headquarters transitioned from one entity to another. As a result, in December 2023, in lieu of a security deposit, the Company provided a standby letter of credit of $0.6 million, which reduced the amount available under our revolving credit facility to $74.4 million as of September 30, 2024.</w:t>
      </w:r>
    </w:p>
    <w:p>
      <w:pPr>
        <w:spacing w:after="0" w:line="7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For both the 2021 Term Loan and 2021 Revolving Line of Credit, DH Holdings may elect from several interest rate options based on the Term Secured Overnight Financing Rate (“SOFR”) or the Base Rate plus an applicable margin. The applicable margin is based on the total leverage ratio beginning in the fiscal year ended December 31, 2022. As of September 30, 2024, the effective interest rate was 6.70%.</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2021 Credit Agreement, the Company capitalized financing costs totaling $3.5 million, $2.8 million for the 2021 Term Loan facility and $0.8 million for the 2021 Revolving Line of Credit. The financing costs associated with the 2021 Term Loan facility are recorded as a contra-debt balance in Term loan, net of current portion in the unaudited condensed consolidated balance sheets and are amortized over the remaining life of the loan using the effective interest method. The financing costs associated with the 2021 Revolving Line of Credit are recorded in other assets in the unaudited condensed consolidated balance sheet are amortized over the life of the arrangement. At September 30, 2024 and December 31, 2023, the unamortized financing costs were $0.3 million and $0.4 million, respectively.</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10. Derivative Instruments and Hedging Activities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 of Using Derivatives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is exposed to risks from changes in interest rates related to the 2021 Term Loan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21" w:lineRule="exact"/>
        <w:rPr>
          <w:sz w:val="20"/>
          <w:szCs w:val="20"/>
          <w:color w:val="auto"/>
        </w:rPr>
      </w:pPr>
    </w:p>
    <w:p>
      <w:pPr>
        <w:jc w:val="both"/>
        <w:ind w:firstLine="698"/>
        <w:spacing w:after="0" w:line="258" w:lineRule="auto"/>
        <w:rPr>
          <w:sz w:val="20"/>
          <w:szCs w:val="20"/>
          <w:color w:val="auto"/>
        </w:rPr>
      </w:pPr>
      <w:r>
        <w:rPr>
          <w:rFonts w:ascii="Times New Roman" w:cs="Times New Roman" w:eastAsia="Times New Roman" w:hAnsi="Times New Roman"/>
          <w:sz w:val="18"/>
          <w:szCs w:val="18"/>
          <w:color w:val="auto"/>
        </w:rPr>
        <w:t xml:space="preserve">The Company entered into two interest rate swap agreements, effective on March 31, 2022. Until October 31, 2022, the counterparties to each of the agreements paid the Company interest at a floating rate on the notional amounts based on the one-month USD-LIBO swap rate. On October 31, 2022, in conjunction with the amendment to the 2021 Credit Agreement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the Company amended the two interest rate swap agreements to replace the LIBO rate with Term SOFR. As a result, subsequent to October 31, 2022, the counterparties paid and will continue to pay interest at a floating rate based on Term SOFR.</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2024, the two outstanding interest rate swap agreements each had a notional value of $61.9 million with fixed interest rates of 1.90650% and 1.90900%. Interest payments under the swaps are made monthly on a net settlement basis. The Company has not recorded any amounts due to ineffectiveness for the period ended September 30, 2024 or year ended December 31, 2023. The notional value of each interest rate swap agreement is expected to match the corresponding principal amount of a portion of our borrowings under the 2021 Term Loan. The swap agreements mature on March 31, 2025.</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derivative interest rate swaps are designated and qualify as cash flow hedges. Consequently, the change in the estimated fair value of the effective portion of the derivative is recognized in accumulated other comprehensive income (“AOCI”) on our consolidated balance sheets and reclassified to interest expense, net, when the underlying transaction has an impact on earnings. The Company expects to recognize approximately $1.4 million of net pre-tax gains from accumulated other comprehensive income as a reduction of interest expense in the next twelve months associated with its interest rate swaps.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fair values of the interest rate swaps and their respective locations in our unaudited condensed consolidated balance sheets at September 30, 2024 and December 31, 2023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7"/>
        </w:trPr>
        <w:tc>
          <w:tcPr>
            <w:tcW w:w="580" w:type="dxa"/>
            <w:vAlign w:val="bottom"/>
          </w:tcPr>
          <w:p>
            <w:pPr>
              <w:spacing w:after="0"/>
              <w:rPr>
                <w:sz w:val="16"/>
                <w:szCs w:val="16"/>
                <w:color w:val="auto"/>
              </w:rPr>
            </w:pPr>
          </w:p>
        </w:tc>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38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derivative asset</w:t>
            </w:r>
          </w:p>
        </w:tc>
        <w:tc>
          <w:tcPr>
            <w:tcW w:w="160" w:type="dxa"/>
            <w:vAlign w:val="bottom"/>
            <w:shd w:val="clear" w:color="auto" w:fill="CFF0FC"/>
          </w:tcPr>
          <w:p>
            <w:pPr>
              <w:spacing w:after="0"/>
              <w:rPr>
                <w:sz w:val="20"/>
                <w:szCs w:val="20"/>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82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derivative asset</w:t>
            </w:r>
          </w:p>
        </w:tc>
        <w:tc>
          <w:tcPr>
            <w:tcW w:w="16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765"/>
        </w:trPr>
        <w:tc>
          <w:tcPr>
            <w:tcW w:w="5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960" w:type="dxa"/>
            <w:vAlign w:val="bottom"/>
            <w:gridSpan w:val="2"/>
          </w:tcPr>
          <w:p>
            <w:pPr>
              <w:jc w:val="right"/>
              <w:ind w:right="1516"/>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19" w:lineRule="exact"/>
        <w:rPr>
          <w:sz w:val="20"/>
          <w:szCs w:val="20"/>
          <w:color w:val="auto"/>
        </w:rPr>
      </w:pPr>
    </w:p>
    <w:p>
      <w:pPr>
        <w:jc w:val="both"/>
        <w:ind w:right="3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Observable inputs (unadjusted) that reflect unadjusted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17" w:lineRule="exact"/>
        <w:rPr>
          <w:sz w:val="20"/>
          <w:szCs w:val="20"/>
          <w:color w:val="auto"/>
        </w:rPr>
      </w:pPr>
    </w:p>
    <w:p>
      <w:pPr>
        <w:ind w:left="520" w:right="44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subject to the three-level fair value hierarchy consist principally of cash and equivalents, short-term investments, accounts receivable, accounts payable, long-term and short-term debt, and contingent consideration payable. The estimated fair value of cash included in cash and cash equivalents, accounts receivable, and accounts payable approximates their carrying value due to due to their short maturities (less than 12 months).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Company’s short- and long-term debt are recorded at their carrying values in the unaudited condensed consolidated balance sheets, which may differ from their respective fair values. The estimated fair values of the Company’s short- and long-term debt approximate their carrying values as of September 30, 2024 and December 31, 2023, based on interest rates currently available to the Company for similar borrowings.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 (included in 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Money market funds are recorded at fair value using quoted market prices in active markets and are classified as Level 1 in the fair value hierarchy.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values of investments in U.S. treasuries, agency bond securities, commercial paper, and certificates of deposit using level 2 inputs,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Currently, the Company uses interest rate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p>
    <w:p>
      <w:pPr>
        <w:spacing w:after="0" w:line="68"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To comply with the provisions of ASC 820, the Company incorporates credit valuation adjustments to appropriately reflect both its own nonperformance risk and the respective counterparty’s nonperformance risk in the fair value measurements.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4" w:name="page25"/>
    <w:bookmarkEnd w:id="24"/>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September 30, 2024 and December 31, 2023 were classified as Level 2 in the fair value hierarchy.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deferred consideration resulting from the acquisition of Populi in the third quarter of 2023, which is subject to meeting certain revenue metrics during calendar years 2024 and 2025, is measured at fair value on a recurring basis. The fair value was estimated based on the present value of the amount expected to be paid at the end of the measurement period. At September 30, 2024, the fair value of the contingent consideration associated with this acquisition was estimated to be $5.5 million and was included in other long-term liabilities on the unaudited condensed consolidated balance sheets.</w:t>
      </w:r>
    </w:p>
    <w:p>
      <w:pPr>
        <w:spacing w:after="0" w:line="7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contingent consideration that resulted from the earnout associated with the acquisition of Analytical Wizards Inc. in February 2022, which was included in accrued expenses and other liabilities in the condensed consolidated balance sheets as of December 31, 2023, was paid during the nine months ended September 30, 2024.</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6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0" w:type="dxa"/>
            <w:vAlign w:val="bottom"/>
          </w:tcPr>
          <w:p>
            <w:pPr>
              <w:spacing w:after="0"/>
              <w:rPr>
                <w:sz w:val="1"/>
                <w:szCs w:val="1"/>
                <w:color w:val="auto"/>
              </w:rPr>
            </w:pPr>
          </w:p>
        </w:tc>
      </w:tr>
      <w:tr>
        <w:trPr>
          <w:trHeight w:val="68"/>
        </w:trPr>
        <w:tc>
          <w:tcPr>
            <w:tcW w:w="6940" w:type="dxa"/>
            <w:vAlign w:val="bottom"/>
          </w:tcPr>
          <w:p>
            <w:pPr>
              <w:spacing w:after="0"/>
              <w:rPr>
                <w:sz w:val="5"/>
                <w:szCs w:val="5"/>
                <w:color w:val="auto"/>
              </w:rPr>
            </w:pPr>
          </w:p>
        </w:tc>
        <w:tc>
          <w:tcPr>
            <w:tcW w:w="1660" w:type="dxa"/>
            <w:vAlign w:val="bottom"/>
            <w:gridSpan w:val="3"/>
            <w:vMerge w:val="continue"/>
          </w:tcPr>
          <w:p>
            <w:pPr>
              <w:spacing w:after="0"/>
              <w:rPr>
                <w:sz w:val="5"/>
                <w:szCs w:val="5"/>
                <w:color w:val="auto"/>
              </w:rPr>
            </w:pPr>
          </w:p>
        </w:tc>
        <w:tc>
          <w:tcPr>
            <w:tcW w:w="150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0" w:type="dxa"/>
            <w:vAlign w:val="bottom"/>
          </w:tcPr>
          <w:p>
            <w:pPr>
              <w:spacing w:after="0"/>
              <w:rPr>
                <w:sz w:val="1"/>
                <w:szCs w:val="1"/>
                <w:color w:val="auto"/>
              </w:rPr>
            </w:pPr>
          </w:p>
        </w:tc>
      </w:tr>
      <w:tr>
        <w:trPr>
          <w:trHeight w:val="81"/>
        </w:trPr>
        <w:tc>
          <w:tcPr>
            <w:tcW w:w="6940" w:type="dxa"/>
            <w:vAlign w:val="bottom"/>
          </w:tcPr>
          <w:p>
            <w:pPr>
              <w:spacing w:after="0"/>
              <w:rPr>
                <w:sz w:val="7"/>
                <w:szCs w:val="7"/>
                <w:color w:val="auto"/>
              </w:rPr>
            </w:pPr>
          </w:p>
        </w:tc>
        <w:tc>
          <w:tcPr>
            <w:tcW w:w="16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5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6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94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5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change in fair value and other adjustments</w:t>
            </w:r>
          </w:p>
        </w:tc>
        <w:tc>
          <w:tcPr>
            <w:tcW w:w="5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(3,240 )</w:t>
            </w: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5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(1,602 )</w:t>
            </w:r>
          </w:p>
        </w:tc>
        <w:tc>
          <w:tcPr>
            <w:tcW w:w="1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1"/>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0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unaudited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Significant Accounting Policies </w:t>
      </w:r>
      <w:r>
        <w:rPr>
          <w:rFonts w:ascii="Times New Roman" w:cs="Times New Roman" w:eastAsia="Times New Roman" w:hAnsi="Times New Roman"/>
          <w:sz w:val="18"/>
          <w:szCs w:val="18"/>
          <w:color w:val="auto"/>
        </w:rPr>
        <w:t>of the notes to the consolidated financial statements in the Company’s 2023 Form 10-K.</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2024 and December 31, 2023, assets and liabilities measured at fair value on a recurring basis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30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37"/>
        </w:trPr>
        <w:tc>
          <w:tcPr>
            <w:tcW w:w="300" w:type="dxa"/>
            <w:vAlign w:val="bottom"/>
          </w:tcPr>
          <w:p>
            <w:pPr>
              <w:spacing w:after="0"/>
              <w:rPr>
                <w:sz w:val="20"/>
                <w:szCs w:val="20"/>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Pr>
          <w:p>
            <w:pPr>
              <w:spacing w:after="0"/>
              <w:rPr>
                <w:sz w:val="20"/>
                <w:szCs w:val="20"/>
                <w:color w:val="auto"/>
              </w:rPr>
            </w:pPr>
          </w:p>
        </w:tc>
      </w:tr>
      <w:tr>
        <w:trPr>
          <w:trHeight w:val="239"/>
        </w:trPr>
        <w:tc>
          <w:tcPr>
            <w:tcW w:w="30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107,711</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107,711</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r>
      <w:tr>
        <w:trPr>
          <w:trHeight w:val="239"/>
        </w:trPr>
        <w:tc>
          <w:tcPr>
            <w:tcW w:w="30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r>
      <w:tr>
        <w:trPr>
          <w:trHeight w:val="239"/>
        </w:trPr>
        <w:tc>
          <w:tcPr>
            <w:tcW w:w="30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109,277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109,277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r>
      <w:tr>
        <w:trPr>
          <w:trHeight w:val="239"/>
        </w:trPr>
        <w:tc>
          <w:tcPr>
            <w:tcW w:w="30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r>
      <w:tr>
        <w:trPr>
          <w:trHeight w:val="239"/>
        </w:trPr>
        <w:tc>
          <w:tcPr>
            <w:tcW w:w="3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540"/>
        </w:trPr>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tbl>
      <w:tblPr>
        <w:tblLayout w:type="fixed"/>
        <w:tblInd w:w="300" w:type="dxa"/>
        <w:tblCellMar>
          <w:top w:w="0" w:type="dxa"/>
          <w:left w:w="0" w:type="dxa"/>
          <w:bottom w:w="0" w:type="dxa"/>
          <w:right w:w="0" w:type="dxa"/>
        </w:tblCellMar>
      </w:tblPr>
      <w:tr>
        <w:trPr>
          <w:trHeight w:val="187"/>
        </w:trPr>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87,869</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87,869</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 (maturities less than 90 days)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Certificates of deposit (maturities less than 90 days)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94,336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94,336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At September 30, 2024 and December 31, 2023, except for the contingent consideration noted above, the estimated fair values of all of the Company’s financial assets and liabilities subject to the three-level fair value hierarchy approximated their carrying values due to their short-term maturities (less than 12 months).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12. Noncontrolling Interest</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unaudited condensed consolidated financial statements based on the LLC Units held by Continuing Pre-IPO LLC Members other than Definitive Healthcare Corp. Changes in Definitive Healthcare Corp.’s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unaudited condensed consolidated balance sheets.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2024, 249,225 LLC Units held by Continuing Pre-IPO LLC Members were exchanged for shares of Class A Common Stock of Definitive Healthcare Corp. pursuant to the terms of the Amended LLC Agreement. In addition, 2,694,888 restricted stock units (“RSUs”) vested and 918,054 shares of Class A Common Stock were withheld to cover withholding tax obligations, resulting in the net issuance of 1,776,834 shares of Class A Common Stock of Definitive Healthcare Corp. Furthermore, 3,144,516 shares of Class A Common Stock have been repurchased and subsequently retired under a stock repurchase program authorized by the Company’s Board of Directors. Pursuant to the Definitive OpCo second amended and restated limited liability company agreement entered into in connection with the IPO, LLC Units were issued on a one-for-one basis in connection with the vesting of RSUs and LLC Units were cancelled on a one-for-one basis in connection with the repurchases of shares of the Company’s Class A Common Stock.</w:t>
      </w:r>
    </w:p>
    <w:p>
      <w:pPr>
        <w:spacing w:after="0" w:line="84" w:lineRule="exact"/>
        <w:rPr>
          <w:sz w:val="20"/>
          <w:szCs w:val="20"/>
          <w:color w:val="auto"/>
        </w:rPr>
      </w:pPr>
    </w:p>
    <w:p>
      <w:pPr>
        <w:ind w:right="200" w:firstLine="509"/>
        <w:spacing w:after="0" w:line="280" w:lineRule="auto"/>
        <w:rPr>
          <w:sz w:val="20"/>
          <w:szCs w:val="20"/>
          <w:color w:val="auto"/>
        </w:rPr>
      </w:pPr>
      <w:r>
        <w:rPr>
          <w:rFonts w:ascii="Times New Roman" w:cs="Times New Roman" w:eastAsia="Times New Roman" w:hAnsi="Times New Roman"/>
          <w:sz w:val="18"/>
          <w:szCs w:val="18"/>
          <w:color w:val="auto"/>
        </w:rPr>
        <w:t>As of September 30, 2024 and December 31, 2023, Definitive Healthcare Corp. held ownership interests in Definitive OpCo of 74.6% and 74.9%, respectively, and noncontrolling interests of 25.4% and 25.1%, respectively</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Income</w:t>
      </w:r>
    </w:p>
    <w:p>
      <w:pPr>
        <w:spacing w:after="0" w:line="12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changes in accumulated balances of other comprehensive income for the three and nine months ended September 30, 2024 and 2023, respectively.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9"/>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12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11"/>
                <w:szCs w:val="11"/>
                <w:color w:val="auto"/>
              </w:rPr>
            </w:pPr>
          </w:p>
        </w:tc>
        <w:tc>
          <w:tcPr>
            <w:tcW w:w="800" w:type="dxa"/>
            <w:vAlign w:val="bottom"/>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33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00" w:type="dxa"/>
            <w:vAlign w:val="bottom"/>
            <w:gridSpan w:val="3"/>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140" w:type="dxa"/>
            <w:vAlign w:val="bottom"/>
            <w:gridSpan w:val="3"/>
          </w:tcPr>
          <w:p>
            <w:pPr>
              <w:jc w:val="center"/>
              <w:ind w:right="29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 Gain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27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2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(Loss) on Cash</w:t>
            </w:r>
          </w:p>
        </w:tc>
        <w:tc>
          <w:tcPr>
            <w:tcW w:w="120" w:type="dxa"/>
            <w:vAlign w:val="bottom"/>
          </w:tcPr>
          <w:p>
            <w:pPr>
              <w:spacing w:after="0"/>
              <w:rPr>
                <w:sz w:val="12"/>
                <w:szCs w:val="12"/>
                <w:color w:val="auto"/>
              </w:rPr>
            </w:pPr>
          </w:p>
        </w:tc>
        <w:tc>
          <w:tcPr>
            <w:tcW w:w="8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(Loss) on Cash</w:t>
            </w:r>
          </w:p>
        </w:tc>
        <w:tc>
          <w:tcPr>
            <w:tcW w:w="140" w:type="dxa"/>
            <w:vAlign w:val="bottom"/>
          </w:tcPr>
          <w:p>
            <w:pPr>
              <w:spacing w:after="0"/>
              <w:rPr>
                <w:sz w:val="12"/>
                <w:szCs w:val="12"/>
                <w:color w:val="auto"/>
              </w:rPr>
            </w:pPr>
          </w:p>
        </w:tc>
        <w:tc>
          <w:tcPr>
            <w:tcW w:w="860" w:type="dxa"/>
            <w:vAlign w:val="bottom"/>
            <w:gridSpan w:val="2"/>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Gain on</w:t>
            </w:r>
          </w:p>
        </w:tc>
        <w:tc>
          <w:tcPr>
            <w:tcW w:w="100" w:type="dxa"/>
            <w:vAlign w:val="bottom"/>
          </w:tcPr>
          <w:p>
            <w:pPr>
              <w:spacing w:after="0"/>
              <w:rPr>
                <w:sz w:val="12"/>
                <w:szCs w:val="12"/>
                <w:color w:val="auto"/>
              </w:rPr>
            </w:pPr>
          </w:p>
        </w:tc>
        <w:tc>
          <w:tcPr>
            <w:tcW w:w="1140" w:type="dxa"/>
            <w:vAlign w:val="bottom"/>
            <w:gridSpan w:val="3"/>
          </w:tcPr>
          <w:p>
            <w:pPr>
              <w:jc w:val="center"/>
              <w:ind w:right="27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000" w:type="dxa"/>
            <w:vAlign w:val="bottom"/>
            <w:gridSpan w:val="3"/>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6"/>
                <w:szCs w:val="16"/>
                <w:color w:val="auto"/>
              </w:rPr>
            </w:pPr>
          </w:p>
        </w:tc>
        <w:tc>
          <w:tcPr>
            <w:tcW w:w="1140" w:type="dxa"/>
            <w:vAlign w:val="bottom"/>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2"/>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(2,476 )</w:t>
            </w:r>
          </w:p>
        </w:tc>
        <w:tc>
          <w:tcPr>
            <w:tcW w:w="14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(2,476 )</w:t>
            </w:r>
          </w:p>
        </w:tc>
        <w:tc>
          <w:tcPr>
            <w:tcW w:w="0" w:type="dxa"/>
            <w:vAlign w:val="bottom"/>
          </w:tcPr>
          <w:p>
            <w:pPr>
              <w:spacing w:after="0"/>
              <w:rPr>
                <w:sz w:val="1"/>
                <w:szCs w:val="1"/>
                <w:color w:val="auto"/>
              </w:rPr>
            </w:pPr>
          </w:p>
        </w:tc>
      </w:tr>
      <w:tr>
        <w:trPr>
          <w:trHeight w:val="281"/>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9"/>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12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11"/>
                <w:szCs w:val="11"/>
                <w:color w:val="auto"/>
              </w:rPr>
            </w:pPr>
          </w:p>
        </w:tc>
        <w:tc>
          <w:tcPr>
            <w:tcW w:w="800" w:type="dxa"/>
            <w:vAlign w:val="bottom"/>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33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00" w:type="dxa"/>
            <w:vAlign w:val="bottom"/>
            <w:gridSpan w:val="3"/>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140" w:type="dxa"/>
            <w:vAlign w:val="bottom"/>
            <w:gridSpan w:val="3"/>
          </w:tcPr>
          <w:p>
            <w:pPr>
              <w:jc w:val="center"/>
              <w:ind w:right="29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 Gain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27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2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(Loss) on Cash</w:t>
            </w:r>
          </w:p>
        </w:tc>
        <w:tc>
          <w:tcPr>
            <w:tcW w:w="120" w:type="dxa"/>
            <w:vAlign w:val="bottom"/>
          </w:tcPr>
          <w:p>
            <w:pPr>
              <w:spacing w:after="0"/>
              <w:rPr>
                <w:sz w:val="12"/>
                <w:szCs w:val="12"/>
                <w:color w:val="auto"/>
              </w:rPr>
            </w:pPr>
          </w:p>
        </w:tc>
        <w:tc>
          <w:tcPr>
            <w:tcW w:w="8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(Loss) on Cash</w:t>
            </w:r>
          </w:p>
        </w:tc>
        <w:tc>
          <w:tcPr>
            <w:tcW w:w="140" w:type="dxa"/>
            <w:vAlign w:val="bottom"/>
          </w:tcPr>
          <w:p>
            <w:pPr>
              <w:spacing w:after="0"/>
              <w:rPr>
                <w:sz w:val="12"/>
                <w:szCs w:val="12"/>
                <w:color w:val="auto"/>
              </w:rPr>
            </w:pPr>
          </w:p>
        </w:tc>
        <w:tc>
          <w:tcPr>
            <w:tcW w:w="860" w:type="dxa"/>
            <w:vAlign w:val="bottom"/>
            <w:gridSpan w:val="2"/>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00" w:type="dxa"/>
            <w:vAlign w:val="bottom"/>
          </w:tcPr>
          <w:p>
            <w:pPr>
              <w:spacing w:after="0"/>
              <w:rPr>
                <w:sz w:val="12"/>
                <w:szCs w:val="12"/>
                <w:color w:val="auto"/>
              </w:rPr>
            </w:pPr>
          </w:p>
        </w:tc>
        <w:tc>
          <w:tcPr>
            <w:tcW w:w="1140" w:type="dxa"/>
            <w:vAlign w:val="bottom"/>
            <w:gridSpan w:val="3"/>
          </w:tcPr>
          <w:p>
            <w:pPr>
              <w:jc w:val="center"/>
              <w:ind w:right="27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000" w:type="dxa"/>
            <w:vAlign w:val="bottom"/>
            <w:gridSpan w:val="3"/>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6"/>
                <w:szCs w:val="16"/>
                <w:color w:val="auto"/>
              </w:rPr>
            </w:pPr>
          </w:p>
        </w:tc>
        <w:tc>
          <w:tcPr>
            <w:tcW w:w="1140" w:type="dxa"/>
            <w:vAlign w:val="bottom"/>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2"/>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(2,186 )</w:t>
            </w:r>
          </w:p>
        </w:tc>
        <w:tc>
          <w:tcPr>
            <w:tcW w:w="14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(2,186 )</w:t>
            </w:r>
          </w:p>
        </w:tc>
        <w:tc>
          <w:tcPr>
            <w:tcW w:w="0" w:type="dxa"/>
            <w:vAlign w:val="bottom"/>
          </w:tcPr>
          <w:p>
            <w:pPr>
              <w:spacing w:after="0"/>
              <w:rPr>
                <w:sz w:val="1"/>
                <w:szCs w:val="1"/>
                <w:color w:val="auto"/>
              </w:rPr>
            </w:pPr>
          </w:p>
        </w:tc>
      </w:tr>
      <w:tr>
        <w:trPr>
          <w:trHeight w:val="281"/>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8"/>
                <w:szCs w:val="18"/>
                <w:color w:val="auto"/>
                <w:w w:val="99"/>
              </w:rPr>
              <w:t>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-2313940</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-2296795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-2313940</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-2296795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-2313940</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-2296795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-2313940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-2296795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-2313940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-2296795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-2313940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-2296795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-2313940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-2296795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-864870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-848360</wp:posOffset>
            </wp:positionV>
            <wp:extent cx="768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-864870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-848360</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-864870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-848360</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-864870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-848360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-864870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-848360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-864870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-848360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-864870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-848360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14. Stockholders’ Equity and Equity-Based Compensation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Company’s Board of Directors authorized a stock repurchase program of up to $20.0 million of the Company’s Class A Common Stock, which expires on December 31, 2024. Repurchases may be effected, from time to time, either on the open market (including pre-set trading plans), in privately negotiated transactions, and other transactions in accordance with applicable securities laws.</w:t>
      </w:r>
    </w:p>
    <w:p>
      <w:pPr>
        <w:spacing w:after="0" w:line="68"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timing and the amount of any repurchased Class A Common Stock will be determined by the Company’s management based on its evaluation of market conditions and other factors. The repurchase program will be funded using the Company’s working capital. Any repurchased shares of Class A Common Stock will be retired. The repurchase program does not obligate the Company to acquire any particular amount of Class A Common Stock, and the repurchase program may be suspended or discontinued at any time at the Company’s discretion.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3,144,516 shares of Class A Common Stock have been repurchased under the repurchase program for $15.0 million.</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equity-based compensation expense associated with awards granted under equity incentive plans. Equity-based compensation expense is allocated to all departments based on the recipients of the compensation. A summary of the expense by line item in the unaudited condensed consolidated statements of operations for the three and nine months ended September 30, 2024 and 2023, respectively, is provided in the following table.</w:t>
      </w:r>
    </w:p>
    <w:p>
      <w:pPr>
        <w:spacing w:after="0" w:line="7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6"/>
                <w:szCs w:val="16"/>
                <w:color w:val="auto"/>
              </w:rPr>
            </w:pPr>
          </w:p>
        </w:tc>
        <w:tc>
          <w:tcPr>
            <w:tcW w:w="254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400" w:type="dxa"/>
            <w:vAlign w:val="bottom"/>
            <w:vMerge w:val="continue"/>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accelerated the vesting of 28,879 and 779,024 previously unvested time-based RSUs, respectively, along with 7,839 and 67,937 previously unvested LLC Units, respectively. Additionally, during the three and nine months ended September 30, 2024, the Company accelerated the vesting of 9,300 and 58,565 previously unvested performance-based RSUs (“PSUs”), respectively.</w:t>
      </w:r>
    </w:p>
    <w:p>
      <w:pPr>
        <w:spacing w:after="0" w:line="1"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These modifications occurred in connection with departures of certain executive-level employees. Remaining unvested shares held by the award holders were forfeited upon separation, and the modifications resulted in incremental stock-based compensation charges of approximately $0.1 million and $7.4 million during the three and nine months ended September 30, 2024, respectively.</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management performed an assessment of the recoverability of deferred tax assets. Management determined, based on the accounting standards applicable to such assessment, that there was sufficient negative evidence as a result of the Company’s scheduled reversal of deferred tax liabilities and cumulative losses to conclude it was more likely than not that its deferred tax assets would not be realized and has recorded a valuation allowance against its deferred tax assets that are not more likely than not to be realized.</w:t>
      </w:r>
    </w:p>
    <w:p>
      <w:pPr>
        <w:spacing w:after="0" w:line="72"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has recorded net deferred tax liabilities of $30.6 million and $67.2 million, respectively.</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6.8% and 6.6% for the three months ended September 30, 2024 and 2023, respectively, and 6.7% and 6.7% for the nine months ended September 30, 2024 and 2023, respectively. The Company’s effective tax rate differs from the statutory tax rate of 21% due to the valuation allowance recorded, foreign tax rates that differ from the U.S. statutory tax rate, and partnership income that is not taxed.</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income of the Company’s subsidiaries is generally subject to corporate-level taxation, and certain of these subsidiaries have a valuation allowance whereas others do not. The effective tax rates for each period generally arise from the tax provisions for Company subsidiaries without valuation allowances, and the impact of any revaluation of deferred taxes arising from changes in the states effective tax rates. Such revaluations are caused by changes in state apportionment factors arising from fluctuations in the mix of sales, property and payroll by state, certain state tax rate changes and certain state tax incentives.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Pursuant to the Company’s election under Section 754 of the Internal Revenue Code (the “Code”), the Company expects to obtain an increase in its share of the tax basis in the net assets of Definitive OpCo when LLC Interests are redeemed or exchanged by other members.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IPO, the Company entered into a Tax Receivable Agreement (“TRA”) among Definitive Healthcare Corp., Definitive OpCo, and the TRA Parties and has recorded a liability under the TRA of $72.1 million and $147.1 million as of September 30, 2024 and December 31, 2023, respectively. During the three and nine months ended September 30, 2024, the Company recognized a TRA remeasurement gain of $24.2 million and $68.2 million, respectively. During the three and nine months ended September 30, 2023, the Company recognized a TRA remeasurement gain of $29.7 million and $25.0 million, respectively. Losses and gains in both periods were recognized within other income, net in the Company’s unaudited condensed consolidated statements of operations. 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basis adjustments resulting from (a) acquisitions by the Company of LLC Units from pre-IPO holders in connection with the IPO, and (b) subsequent redemptions or exchanges of LLC Units by holders for Class A Common Stock or other consideration, (ii) certain tax attributes acquired by the Company from the Blocker Companies in the Reorganization Transactions,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16. Loss Per Share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of Class A Common Stock is computed by dividing net income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net loss per share of Class A Common Stock for the three and nine months ended September 30, 2024 and 2023.</w:t>
      </w:r>
    </w:p>
    <w:p>
      <w:pPr>
        <w:spacing w:after="0" w:line="115"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(187,824 )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(248,688 )</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(506,729 )  $</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(276,265 )</w:t>
            </w:r>
          </w:p>
        </w:tc>
      </w:tr>
      <w:tr>
        <w:trPr>
          <w:trHeight w:val="243"/>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(56,928 )</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(77,162 )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(152,680 )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(84,110 )</w:t>
            </w:r>
          </w:p>
        </w:tc>
      </w:tr>
      <w:tr>
        <w:trPr>
          <w:trHeight w:val="20"/>
        </w:trPr>
        <w:tc>
          <w:tcPr>
            <w:tcW w:w="5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(130,896 )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(171,526 )</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(354,049 )</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(192,155 )</w:t>
            </w:r>
          </w:p>
        </w:tc>
      </w:tr>
      <w:tr>
        <w:trPr>
          <w:trHeight w:val="20"/>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-187960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-187960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-187960</wp:posOffset>
            </wp:positionV>
            <wp:extent cx="596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of Class A Common Stock for the three and nine months ended September 30, 2024 and 2023 (per share amounts unaudited).</w:t>
      </w:r>
    </w:p>
    <w:p>
      <w:pPr>
        <w:spacing w:after="0" w:line="115"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number of shares and per share amounts)</w:t>
            </w: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per share attributable to common stockholders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Allocation of net loss attributable to Definitive Healthcare Corp. $</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(130,896 )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(171,526 )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(354,049 )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(192,155 )</w:t>
            </w:r>
          </w:p>
        </w:tc>
        <w:tc>
          <w:tcPr>
            <w:tcW w:w="0" w:type="dxa"/>
            <w:vAlign w:val="bottom"/>
          </w:tcPr>
          <w:p>
            <w:pPr>
              <w:spacing w:after="0"/>
              <w:rPr>
                <w:sz w:val="1"/>
                <w:szCs w:val="1"/>
                <w:color w:val="auto"/>
              </w:rPr>
            </w:pPr>
          </w:p>
        </w:tc>
      </w:tr>
      <w:tr>
        <w:trPr>
          <w:trHeight w:val="24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w:t>
            </w:r>
          </w:p>
        </w:tc>
        <w:tc>
          <w:tcPr>
            <w:tcW w:w="1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116,382,021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114,527,514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117,185,701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111,533,166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(1.12 )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-24765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242424"/>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6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242424"/>
        </w:rPr>
        <w:t>The following table presents potentially dilutive securities excluded from the computation of diluted net loss per share for the period presented because their effect would have been anti-dilutive: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70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46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7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gridSpan w:val="2"/>
          </w:tcPr>
          <w:p>
            <w:pPr>
              <w:spacing w:after="0"/>
              <w:rPr>
                <w:sz w:val="21"/>
                <w:szCs w:val="21"/>
                <w:color w:val="auto"/>
              </w:rPr>
            </w:pPr>
          </w:p>
        </w:tc>
        <w:tc>
          <w:tcPr>
            <w:tcW w:w="17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64"/>
        </w:trPr>
        <w:tc>
          <w:tcPr>
            <w:tcW w:w="460" w:type="dxa"/>
            <w:vAlign w:val="bottom"/>
          </w:tcPr>
          <w:p>
            <w:pPr>
              <w:spacing w:after="0"/>
              <w:rPr>
                <w:sz w:val="22"/>
                <w:szCs w:val="22"/>
                <w:color w:val="auto"/>
              </w:rPr>
            </w:pPr>
          </w:p>
        </w:tc>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Definitive OpCo LLC Units (vested and unvested)</w:t>
            </w:r>
          </w:p>
        </w:tc>
        <w:tc>
          <w:tcPr>
            <w:tcW w:w="3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39,460,224</w:t>
            </w:r>
          </w:p>
        </w:tc>
        <w:tc>
          <w:tcPr>
            <w:tcW w:w="120" w:type="dxa"/>
            <w:vAlign w:val="bottom"/>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39,781,946</w:t>
            </w:r>
          </w:p>
        </w:tc>
        <w:tc>
          <w:tcPr>
            <w:tcW w:w="100" w:type="dxa"/>
            <w:vAlign w:val="bottom"/>
            <w:shd w:val="clear" w:color="auto" w:fill="CFF0FC"/>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46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9,092,737</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6,847,050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553"/>
        </w:trPr>
        <w:tc>
          <w:tcPr>
            <w:tcW w:w="4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1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31</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17. Related Parties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The Company has engaged in revenue transactions within the ordinary course of business with entities affiliated with its Sponsors and with members of the Company’s board of directors. During each of the three months ended September 30, 2024 and 2023, the Company recorded revenue from related parties of $0.3 million. During each of the nine months ended September 30, 2024 and 2023, the Company recorded revenue from related parties of $0.7 million and $1.1 million, respectively. Receivables for related party revenue transactions amounted to $0.1 million and $0.9 million at September 30, 2024 and December 31, 2023,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On November 1, 2024, the Company’s Board of Directors authorized a stock repurchase program of up to $100.0 million of its Class A Common Stock, which expires on December 31, 2025 (the “2025 Repurchase Program”). Repurchases may be effected, from time to time, either on the open market (including pre-set trading plans), in privately negotiated transactions, and other transactions in accordance with applicable securities laws.</w:t>
      </w:r>
    </w:p>
    <w:p>
      <w:pPr>
        <w:spacing w:after="0" w:line="68"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231F20"/>
        </w:rPr>
        <w:t>The timing and the amount of any repurchased Class A Common Stock will be determined by the Company’s management based on its evaluation of market conditions and other factors. The Repurchase Program will be funded using the Company’s working capital. Any repurchased shares of Class A Common Stock will be retired. The Repurchase Program does not obligate the Company to acquire any particular amount of Class A Common Stock, and the Repurchase Program may be suspended or discontinued at any time at the Company’s discretion. As of November 7, 2024, no repurchases have been made pursuant to the 2025 Repurchase Program.</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On November 7, 2024, the Company and Advent International entered into a voting agreement, pursuant to which Advent International and its affiliated funds (“Advent”) agreed, on each matter brought to a vote at any annual or special meeting of the Company’s stockholders and in connection with any action proposed to be taken by consent of the Company’s stockholders in lieu of a meeting, to vote all shares of voting stock of the Company, or other voting or equity securities of the Company which could be issued (collectively, “Voting Securities”) beneficially owned by Advent that exceed 40.3% of the outstanding Voting Securities of the Company (the “Excess Voting Securities”), in the same proportion as all votes cast by stockholders other than Advent. Any Voting Securities that are not Excess Voting Securities may be voted at the discretion of Advent.</w:t>
      </w:r>
    </w:p>
    <w:p>
      <w:pPr>
        <w:spacing w:after="0" w:line="79"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231F20"/>
        </w:rPr>
        <w:t>On November 7, 2024, the Company announced that, following discussions regarding the scope of the role of Chief Financial Officer, Richard Booth, the Company’s Chief Financial Officer, and the Company agreed that Mr. Booth will be leaving the Company effective June 1, 2025. The Company will be commencing a search, which will include both internal and external candidates, to identify Mr. Booth’s successor prior to his departure date.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2023 Form 10-K.</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2023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approximately 2,570 customers as of September 30, 2024. We generally define a customer as a company that maintains one or more active paid subscriptions to our platform.</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sell into three end markets: Life Sciences, Provider, and Diversified. Life Sciences is made up of biopharmaceutical and medical device companies; Providers are the healthcare providers; and Diversified includes healthcare information technology companies and other organizations seeking commercial success in the attractive but complex healthcare ecosystem such as staffing firms, commercial real estate firms, and financial institutions. Within these organizations, our platform is leveraged by a broad set of functional groups, including sales, marketing, clinical research and product development, strategy, talent acquisition, and physician network management. We offer access to our platform on a subscription basis, and we generate substantially all of our revenue from subscription fees.</w:t>
      </w:r>
    </w:p>
    <w:p>
      <w:pPr>
        <w:spacing w:after="0" w:line="79" w:lineRule="exact"/>
        <w:rPr>
          <w:sz w:val="20"/>
          <w:szCs w:val="20"/>
          <w:color w:val="auto"/>
        </w:rPr>
      </w:pPr>
    </w:p>
    <w:p>
      <w:pPr>
        <w:ind w:right="260" w:firstLine="509"/>
        <w:spacing w:after="0" w:line="289" w:lineRule="auto"/>
        <w:rPr>
          <w:sz w:val="20"/>
          <w:szCs w:val="20"/>
          <w:color w:val="auto"/>
        </w:rPr>
      </w:pPr>
      <w:r>
        <w:rPr>
          <w:rFonts w:ascii="Times New Roman" w:cs="Times New Roman" w:eastAsia="Times New Roman" w:hAnsi="Times New Roman"/>
          <w:sz w:val="17"/>
          <w:szCs w:val="17"/>
          <w:color w:val="auto"/>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5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January 16, 2024, we completed the purchase of assets comprising the Carevoyance business line of H1 Insights, Inc., a product that helps medical technology (“MedTech”) customers improve segmentation, targeting, and prospect engagement for $13.7 million, subject to closing adjustments. The initial accounting for the business combination is incomplete as a result of the timing of the acquisition. Refer to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we committed to a restructuring plan intended to reduce operating costs, improve operating margins, and continue advancing our ongoing commitment to profitable growth (the “2024 Restructuring Plan”). The 2024 Restructuring Plan provided for a reduction of the Company’s current workforce by approximately 150 people. During the three and nine months ended September 30, 2024, we incurred restructuring and related charges of $0.2 million and $8.0 million, respectively, consisting primarily of severance payments, employee benefits, and related cash expenses. These charges were recognized within transaction, integration, and restructuring expenses in our unaudited condensed consolidated statements of operations. We do not expect to incur any additional material charges associated with the 2024 Restructuring Plan.</w:t>
      </w:r>
    </w:p>
    <w:p>
      <w:pPr>
        <w:spacing w:after="0" w:line="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due to our headquarters office consolidation, we recorded an impairment charge of $1.0 million, comprised of $0.7 million relating to the operating lease right-of-use assets, and $0.3 million relating to the leasehold improvements. These charges were recognized within transaction, integration, and restructuring expenses in our unaudited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During the second and third quarters of 2024, we experienced declines in our market capitalization as a result of sustained decreases in our stock price, which represented triggering events in both periods requiring our management to perform quantitative goodwill impairment tests as of the end of each reporting period. As a result of the impairment tests, we determined that the fair value of our single reporting unit was lower than its carrying value and, accordingly, recorded a non-cash, pre-tax, goodwill impairment charges $228.2 million and $363.6 million during the three months ended September 30, 2024 and June 30, 2024, respectively. The goodwill impairment charges did not affect our liquidity or the financial covenants in our outstanding debt agreement. See Note 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Our reporting unit is at risk for future goodwill impairments if we experience a continued decline in our market capitalization or worsening macroeconomic conditions.</w:t>
      </w:r>
    </w:p>
    <w:p>
      <w:pPr>
        <w:spacing w:after="0" w:line="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32"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Sales Execution Challenges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part of the 2024 Restructuring Plan, we made significant changes to our go-to-market team that reduced overlay expenses, created a separate group and sales motion for our small and medium sized customers, and allocated more resources to our Enterprise Customers. These changes have created disruptions to our sales efforts in 2024, impacting both new customer acquisition and upsell to existing customers, which we expect will continue to impact our results for the remainder of 2024 and into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current and prospective customers and their business spendings are impacted by difficult macroeconomic conditions to varying degrees and as a result, in some cases we are observing deal cycles lengthen for new and existing customers, in part as a result of more stringent approval processes, as well as a significant number of deferred purchasing decisions. We are also experiencing heightened customer churn. These trends have been particularly pronounced for smaller customers and in the Life Science and Provider markets. This churn has impacted our revenue growth since 2023, and we expect this will continue to have an impact on our growth into fiscal year 2025.</w:t>
      </w:r>
    </w:p>
    <w:p>
      <w:pPr>
        <w:spacing w:after="0" w:line="75"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As a corporation with a global footprint, we are subject to risks and exposures caused by significant events and their macroeconomic impacts, including, but not limited to, the Russia-Ukraine war, the conflict in Israel and surrounding areas, global geopolitical tension and more recently, inflation and high interest rates, volatility in the capital markets, liquidity concerns at, and failures of, banks and other financial institutions, and related market uncertainty.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w:t>
      </w:r>
    </w:p>
    <w:p>
      <w:pPr>
        <w:spacing w:after="0" w:line="81"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We have been observing changes in the healthcare claims data market as a result of data source disruption earlier this year, including how data providers are reviewing pricing, data availability, and use terms, all of which may negatively impact the prices at which we acquire such data. We are continuing to evaluate these and other past and potential future direct and indirect impacts on our business and results of operations.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 on many factors, including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plan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Annual Recurring Revenue (“ARR”), which we refer to as “Enterprise Customers”, represent the majority of our ARR and are a key focus of our go-to-market programs.</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the second quarter of 2024, we completed a project to refresh our customer hierarchy methodology to reflect industry consolidation and to better reflect our go-to-market strategy as we increased resources and focus on Enterprise Customers. In some cases, this consolidated certain existing customer legal entities under larger parent accounts, and therefore reduced total customer count. As a result, our customer counts are not directly comparable to previously reported values and prior year customer counts have been revised to also reflect the updated customer hierarchy methodology. We believe this view of customer counts better reflects our updated selling and go-to-market strategy. Using the updated methodology, our total customer count, which includes smaller customers, was approximately 2,570 as of September 30, 2024 compared with approximately 2,750 customers as of September 30, 2023. Though our total customer count has decreased as smaller customers have churned at disproportionately higher rates due to current macroeconomic conditions, our Enterprise Customer count has increased by one to 530 customers, as adjusted, as of September 30, 2024 compared with 529 customers, as adjusted, as of September 30, 2023.</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the customer counts under the former and updated methodologies for the periods ended:</w:t>
      </w:r>
    </w:p>
    <w:p>
      <w:pPr>
        <w:spacing w:after="0" w:line="1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b w:val="1"/>
          <w:bCs w:val="1"/>
          <w:color w:val="auto"/>
        </w:rPr>
        <w:t>Total Customers</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50"/>
        </w:trPr>
        <w:tc>
          <w:tcPr>
            <w:tcW w:w="118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top w:val="single" w:sz="8" w:color="auto"/>
            </w:tcBorders>
            <w:shd w:val="clear" w:color="auto" w:fill="CFF0FC"/>
          </w:tcPr>
          <w:p>
            <w:pPr>
              <w:spacing w:after="0"/>
              <w:rPr>
                <w:sz w:val="13"/>
                <w:szCs w:val="13"/>
                <w:color w:val="auto"/>
              </w:rPr>
            </w:pPr>
          </w:p>
        </w:tc>
        <w:tc>
          <w:tcPr>
            <w:tcW w:w="1600" w:type="dxa"/>
            <w:vAlign w:val="bottom"/>
            <w:tcBorders>
              <w:top w:val="single" w:sz="8" w:color="auto"/>
            </w:tcBorders>
            <w:gridSpan w:val="3"/>
            <w:shd w:val="clear" w:color="auto" w:fill="CFF0FC"/>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top w:val="single" w:sz="8" w:color="auto"/>
            </w:tcBorders>
            <w:shd w:val="clear" w:color="auto" w:fill="CFF0FC"/>
          </w:tcPr>
          <w:p>
            <w:pPr>
              <w:jc w:val="center"/>
              <w:ind w:right="144"/>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shd w:val="clear" w:color="auto" w:fill="CFF0FC"/>
          </w:tcPr>
          <w:p>
            <w:pPr>
              <w:spacing w:after="0"/>
              <w:rPr>
                <w:sz w:val="13"/>
                <w:szCs w:val="13"/>
                <w:color w:val="auto"/>
              </w:rPr>
            </w:pPr>
          </w:p>
        </w:tc>
      </w:tr>
      <w:tr>
        <w:trPr>
          <w:trHeight w:val="187"/>
        </w:trPr>
        <w:tc>
          <w:tcPr>
            <w:tcW w:w="11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3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Prior</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&gt;3,000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Updated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&gt;2,800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00" w:type="dxa"/>
            <w:vAlign w:val="bottom"/>
            <w:shd w:val="clear" w:color="auto" w:fill="CFF0FC"/>
          </w:tcPr>
          <w:p>
            <w:pPr>
              <w:spacing w:after="0"/>
              <w:rPr>
                <w:sz w:val="20"/>
                <w:szCs w:val="20"/>
                <w:color w:val="auto"/>
              </w:rPr>
            </w:pPr>
          </w:p>
        </w:tc>
      </w:tr>
      <w:tr>
        <w:trPr>
          <w:trHeight w:val="480"/>
        </w:trPr>
        <w:tc>
          <w:tcPr>
            <w:tcW w:w="11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Enterprise Customers</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7"/>
        </w:trPr>
        <w:tc>
          <w:tcPr>
            <w:tcW w:w="1180" w:type="dxa"/>
            <w:vAlign w:val="bottom"/>
            <w:shd w:val="clear" w:color="auto" w:fill="CFF0FC"/>
          </w:tcPr>
          <w:p>
            <w:pPr>
              <w:spacing w:after="0"/>
              <w:rPr>
                <w:sz w:val="11"/>
                <w:szCs w:val="11"/>
                <w:color w:val="auto"/>
              </w:rPr>
            </w:pPr>
          </w:p>
        </w:tc>
        <w:tc>
          <w:tcPr>
            <w:tcW w:w="106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shd w:val="clear" w:color="auto" w:fill="CFF0FC"/>
          </w:tcPr>
          <w:p>
            <w:pPr>
              <w:spacing w:after="0"/>
              <w:rPr>
                <w:sz w:val="11"/>
                <w:szCs w:val="11"/>
                <w:color w:val="auto"/>
              </w:rPr>
            </w:pPr>
          </w:p>
        </w:tc>
        <w:tc>
          <w:tcPr>
            <w:tcW w:w="1600" w:type="dxa"/>
            <w:vAlign w:val="bottom"/>
            <w:gridSpan w:val="3"/>
            <w:shd w:val="clear" w:color="auto" w:fill="CFF0FC"/>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shd w:val="clear" w:color="auto" w:fill="CFF0FC"/>
          </w:tcPr>
          <w:p>
            <w:pPr>
              <w:jc w:val="center"/>
              <w:ind w:right="144"/>
              <w:spacing w:after="0" w:line="13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11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3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Prior</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Updated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-1139190</wp:posOffset>
            </wp:positionV>
            <wp:extent cx="1028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-1139190</wp:posOffset>
            </wp:positionV>
            <wp:extent cx="1028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-1139190</wp:posOffset>
            </wp:positionV>
            <wp:extent cx="1028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-1139190</wp:posOffset>
            </wp:positionV>
            <wp:extent cx="946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-1139190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-1139190</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-1139190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-307975</wp:posOffset>
            </wp:positionV>
            <wp:extent cx="1028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-307975</wp:posOffset>
            </wp:positionV>
            <wp:extent cx="1028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-307975</wp:posOffset>
            </wp:positionV>
            <wp:extent cx="1028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-307975</wp:posOffset>
            </wp:positionV>
            <wp:extent cx="9461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-307975</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-307975</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-307975</wp:posOffset>
            </wp:positionV>
            <wp:extent cx="603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Relationships with Existing Customers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believe there is a significant opportunity to generate additional revenue from our existing customer base of approximately 2,570 customers, as adjusted, as of September 30, 2024.</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customers have historically increased their spending by adding functionality and by expanding use-cases across departments. Our customers are typically assigned to one of our vertically 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progress in expanding usage of our platform with our existing customers is demonstrated by our NDR, which is further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Innovate and Expand Our Platform</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growth of our business is driven in part by our ability to apply our deep healthcare domain expertise to innovate and expand our platform. We have continually created new products since our founding in 2011.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performance, identify financial trends, formulate business plans, and make strategic operational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Dollar Retention Rate (“NDR”)</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the same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Remaining Performance Obligations (“cRPO”)</w:t>
      </w:r>
    </w:p>
    <w:p>
      <w:pPr>
        <w:spacing w:after="0" w:line="121"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The value of contracts that included cancellation terms began to increase significantly during the third quarter of 2023 compared with prior periods as most of these contracts were inherited from the Populi acquisition. This precludes several millions of dollars of business from being included in the cRPO metric and puts further downward pressure on the cRPO growth rate. Due to these factors, it is important to review cRPO in conjunction with revenue and other financial metrics.</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cRPO will continue to be impacted by macroeconomic challenges, which have resulted in elongating deal cycles as customers implement more stringent approval processes or push out final decisions to later periods. We have also observed cancelations due to the impacts of such challenges on the financial condition of our customers, particularly in the life science and provider markets. We expect this trend will continue to reduce our revenue growth rate for 2024 relative to 2023.</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fourth quarter of 2024 is an important sales and renewal quarter for us and will impact our trajectory heading into 2025. As reported, our cRPO exiting the third quarter of 2024 declined 4% year-over-year, which provides a solid indication of the challenges on revenue growth rates we anticipate in 2025.</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cRPO as of September 30, 2024 and December 31, 2023:</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163,692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187,331</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89,636</w:t>
            </w:r>
          </w:p>
        </w:tc>
        <w:tc>
          <w:tcPr>
            <w:tcW w:w="100" w:type="dxa"/>
            <w:vAlign w:val="bottom"/>
          </w:tcPr>
          <w:p>
            <w:pPr>
              <w:spacing w:after="0"/>
              <w:rPr>
                <w:sz w:val="20"/>
                <w:szCs w:val="20"/>
                <w:color w:val="auto"/>
              </w:rPr>
            </w:pPr>
          </w:p>
        </w:tc>
      </w:tr>
      <w:tr>
        <w:trPr>
          <w:trHeight w:val="281"/>
        </w:trPr>
        <w:tc>
          <w:tcPr>
            <w:tcW w:w="6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244,873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Acquisitions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seek to enhance our platform, data and business through internal development and through acquisitions of and investments in businesses that broaden and strengthen our platform. During the nine months ended September 30, 2024, we completed the purchase of assets comprising the Carevoyance business line of H1 Insights, Inc., a product that helps MedTech customers to improve segmentation, targeting, and prospect engagement. Acquisitions can result in transaction costs, amortization expenses and other adjustments as purchase accounting requires that all assets acquired and liabilities assumed be recorded at fair value on the acquisition date. Refer to Note 2.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notes to our unaudited condensed consolidated financial statements included elsewhere in this Form 10-Q for further details.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we derived approximately 97%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which are generally capable of being distinct and can be accounted for as separate performance obligations. Revenue related to these professional services is recognized at the time the services are performed.</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part of the 2024 Restructuring Plan, we made significant changes to our go-to-market team that reduced overlay expenses, created a separate group and sales motion for our small and medium sized customers, and allocated more resources to our Enterprise Customers. These changes disrupted our sales efforts in the first half of 2024, coupled with continued macroeconomic headwinds and sales execution challenges in the second quarter. Although subscription renewals were in line with expectations, upsells, new business, and professional services, inclusive of transactional services and one-time consulting arrangements, were more heavily impacted than anticipated. Based on these impacts, we expect our revenue to decline in the final quarter of 2024 and into 2025 compared with the respective prior year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excluding amortization of acquired technology and data, consists of direct expenses related to the support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modestly increase as we add to our existing intelligence modules and invest in new products and data sources. Cost of data is included in the cost of revenue and is a fundamental driver of innovation.</w:t>
      </w:r>
    </w:p>
    <w:p>
      <w:pPr>
        <w:spacing w:after="0" w:line="75" w:lineRule="exact"/>
        <w:rPr>
          <w:sz w:val="20"/>
          <w:szCs w:val="20"/>
          <w:color w:val="auto"/>
        </w:rPr>
      </w:pPr>
    </w:p>
    <w:p>
      <w:pPr>
        <w:ind w:right="6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Amortization</w:t>
      </w:r>
      <w:r>
        <w:rPr>
          <w:rFonts w:ascii="Times New Roman" w:cs="Times New Roman" w:eastAsia="Times New Roman" w:hAnsi="Times New Roman"/>
          <w:sz w:val="18"/>
          <w:szCs w:val="18"/>
          <w:color w:val="auto"/>
        </w:rPr>
        <w:t>. Includes amortization expense for technology and data acquired in business combinations and asset purchase agreements.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that amortization will only increase if we make additional acquisitions in the future.</w:t>
      </w:r>
    </w:p>
    <w:p>
      <w:pPr>
        <w:spacing w:after="0" w:line="5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During 2023, additional third-party data sources, inclusive of sources obtained through the acquisition of Populi in July 2023, were rolled out to our customers, which resulted in, and is expected to continue to result in, an increase in cost of revenue, including amortization. We have been observing changes in the healthcare claims data market as a result of data source disruption earlier this year, including how data providers are reviewing pricing, data availability, and use terms, all of which may negatively impact the prices at which we acquire such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expect that gross profit margin for 2024 will continue to be impacted by the expansion of data sources, as described above, and costs associated with the acquisitions of Populi and Carevoyance, in addition to the anticipated second half 2024 revenue decline discussed above. We expect revenue declines to continue as we enter 2025. Revenue declines, in combination with our largely fixed cost structure, are expected to result in a decrease in gross profit margin in 2025.</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Inflation, and in particular increases to the cost of labor due to cost-of-living increases, have negatively impacted our operating expenses, and we expect this to continue. However, inflation has not materially affected our business to date.</w:t>
      </w:r>
    </w:p>
    <w:p>
      <w:pPr>
        <w:spacing w:after="0" w:line="5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personnel costs such as salaries, bonuses, sales commissions,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employee-related benefits for our sales and marketing teams, as well as non-personnel costs, including overhead costs, technology, and advertising costs. During the first quarter of 2024, as part of the 2024 Restructuring Plan, we made significant changes to our go-to-market team, which reduced overlay expenses, created a separate group and sales motion for small and medium sized customers, and allocated more resources to our Enterprise Customers.</w:t>
      </w:r>
    </w:p>
    <w:p>
      <w:pPr>
        <w:spacing w:after="0" w:line="75"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primarily consist of personnel costs such as salaries, bonuses, stock-based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artificial intelligence (“A.I.”) to drive higher quality data and deeper insights.</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primarily consist of personnel costs such as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employee-related benefits for our executive, finance, legal, human resources, IT and operations, and administrative teams, as well as non-personnel costs including overhead costs, professional fees and other corporate expenses. General and administration expenses also include sales tax amounts payable to taxation authorities, inclusive of interest and penalties, for customers that we did not collect sales taxes from, due to misclassifications of products and services for sales tax purposes. We do not expect sales taxes and related interest and penalties to be an ongoing component of our general and administrative expense as we complete voluntary disclosure agreements, register with certain tax authorities, and commence collection of sales taxes from customers in these tax jurisdictions. We have slowed hiring in response to macroeconomic conditions and do not expect to increase it until macroeconomic conditions improve.</w:t>
      </w:r>
    </w:p>
    <w:p>
      <w:pPr>
        <w:spacing w:after="0" w:line="77" w:lineRule="exact"/>
        <w:rPr>
          <w:sz w:val="20"/>
          <w:szCs w:val="20"/>
          <w:color w:val="auto"/>
        </w:rPr>
      </w:pPr>
    </w:p>
    <w:p>
      <w:pPr>
        <w:ind w:right="4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expenses consist primarily of amortization of intangible assets resulting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business combinations, as well as depreciation of property and equipment. We anticipate depreciation of property and equipment as a percentage of revenue to moderately decrease, although amortization will increase if we make additional acquisitions in the future.</w:t>
      </w:r>
    </w:p>
    <w:p>
      <w:pPr>
        <w:spacing w:after="0" w:line="65"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Transaction, integration, and restructuring expenses</w:t>
      </w:r>
      <w:r>
        <w:rPr>
          <w:rFonts w:ascii="Times New Roman" w:cs="Times New Roman" w:eastAsia="Times New Roman" w:hAnsi="Times New Roman"/>
          <w:sz w:val="18"/>
          <w:szCs w:val="18"/>
          <w:color w:val="auto"/>
        </w:rPr>
        <w:t>. Transaction, integration, and restructuring expenses are costs directly associated with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integration, and consolidation activities we have undertaken, primarily accounting and legal due diligence, and consulting and advisory fees, as well as expenses related to our restructuring plans and office consolidations.</w:t>
      </w:r>
    </w:p>
    <w:p>
      <w:pPr>
        <w:spacing w:after="0" w:line="65"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Goodwill impairment</w:t>
      </w:r>
      <w:r>
        <w:rPr>
          <w:rFonts w:ascii="Times New Roman" w:cs="Times New Roman" w:eastAsia="Times New Roman" w:hAnsi="Times New Roman"/>
          <w:sz w:val="18"/>
          <w:szCs w:val="18"/>
          <w:color w:val="auto"/>
        </w:rPr>
        <w:t>. Goodwill represents the excess of consideration transferred over the fair value of tangible and identifiable intangible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 and the liabilities assumed in a business combination. Substantially all of our goodwill was recognized in the purchase price allocations when our Company was acquired in 2019 by Advent, with smaller incremental amounts recognized in subsequent business combinations. Goodwill is not amortized, but is tested for impairment at the reporting unit level annually and more frequently if indicators of potential impairment arise. In conducting the impairment test, we first review qualitative factors to determine whether it is more likely than not that the fair value of our single reporting unit is less than its carrying amount.</w:t>
      </w:r>
    </w:p>
    <w:p>
      <w:pPr>
        <w:spacing w:after="0" w:line="7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We performed interim goodwill impairment tests during the second and third quarters of 2024 and concluded in each instance that the carrying value of the single reporting unit exceeded its fair value and recorded a $363.6 million and a $228.2 million non-cash, pre-tax goodwill impairment charge during each respective three-month period.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of interest expense on our debt obligations and the amortization of debt discounts and debt issuance costs.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earnings resulting from our short-term investments.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primarily of the revaluation of tax receivable agreement liabilities and realized and unrealized gains and losses 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4"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unaudited condensed consolidated statements of operations for the periods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40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65,325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189,914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185,483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 exclusive of amortization</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8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40,047</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34,969</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2"/>
        </w:trPr>
        <w:tc>
          <w:tcPr>
            <w:tcW w:w="580" w:type="dxa"/>
            <w:vAlign w:val="bottom"/>
          </w:tcPr>
          <w:p>
            <w:pPr>
              <w:spacing w:after="0"/>
              <w:rPr>
                <w:sz w:val="20"/>
                <w:szCs w:val="20"/>
                <w:color w:val="auto"/>
              </w:rPr>
            </w:pPr>
          </w:p>
        </w:tc>
        <w:tc>
          <w:tcPr>
            <w:tcW w:w="4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(1,995 )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228,153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591,794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287,400</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274,398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348,808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470,234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8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(225,367 )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(295,378 )</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(611,257 )</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(319,720 )</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29,156</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8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(201,548 )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(266,222 )</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(543,133 )</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(295,993 )</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8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(187,824 )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(248,688 )</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(506,729 )</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(276,265 )</w:t>
            </w: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2"/>
        </w:trPr>
        <w:tc>
          <w:tcPr>
            <w:tcW w:w="58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(56,928 )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(77,162 )</w:t>
            </w: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(152,680 )</w:t>
            </w: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(84,110 )</w:t>
            </w: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81"/>
        </w:trPr>
        <w:tc>
          <w:tcPr>
            <w:tcW w:w="580" w:type="dxa"/>
            <w:vAlign w:val="bottom"/>
          </w:tcPr>
          <w:p>
            <w:pPr>
              <w:spacing w:after="0"/>
              <w:rPr>
                <w:sz w:val="24"/>
                <w:szCs w:val="24"/>
                <w:color w:val="auto"/>
              </w:rPr>
            </w:pPr>
          </w:p>
        </w:tc>
        <w:tc>
          <w:tcPr>
            <w:tcW w:w="48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(130,896 )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(171,526 )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(354,049 )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(192,155 )</w:t>
            </w:r>
          </w:p>
        </w:tc>
        <w:tc>
          <w:tcPr>
            <w:tcW w:w="560" w:type="dxa"/>
            <w:vAlign w:val="bottom"/>
          </w:tcPr>
          <w:p>
            <w:pPr>
              <w:spacing w:after="0"/>
              <w:rPr>
                <w:sz w:val="24"/>
                <w:szCs w:val="24"/>
                <w:color w:val="auto"/>
              </w:rPr>
            </w:pPr>
          </w:p>
        </w:tc>
      </w:tr>
      <w:tr>
        <w:trPr>
          <w:trHeight w:val="737"/>
        </w:trPr>
        <w:tc>
          <w:tcPr>
            <w:tcW w:w="580" w:type="dxa"/>
            <w:vAlign w:val="bottom"/>
          </w:tcPr>
          <w:p>
            <w:pPr>
              <w:spacing w:after="0"/>
              <w:rPr>
                <w:sz w:val="24"/>
                <w:szCs w:val="24"/>
                <w:color w:val="auto"/>
              </w:rPr>
            </w:pPr>
          </w:p>
        </w:tc>
        <w:tc>
          <w:tcPr>
            <w:tcW w:w="486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-3531235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-3531235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-3531235</wp:posOffset>
            </wp:positionV>
            <wp:extent cx="603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-3531235</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-2288540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-2288540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-2288540</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-2288540</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-1328420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-1328420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-1328420</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-1328420</wp:posOffset>
            </wp:positionV>
            <wp:extent cx="603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-1002665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-985520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-1002665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-985520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-1002665</wp:posOffset>
            </wp:positionV>
            <wp:extent cx="603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-985520</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-1002665</wp:posOffset>
            </wp:positionV>
            <wp:extent cx="603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-985520</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2" w:name="page43"/>
    <w:bookmarkEnd w:id="42"/>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Three Months Ended September 30,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Revenue decreased $2.6 million, or 4%, in the three months ended September 30, 2024 compared with the same period in the prior year due to lower subscription revenue of $1.7 million and lower professional services revenue of $0.9 million. Revenue attributable to customers that existed prior to the start of 2024 decreased $7.9 million, which was partially offset by a $5.3 million increase in revenue from new customers in 2024.</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increased $1.8 million, or 15%, in the three months ended September 30, 2024 compared with the same period in the prior year. This increase was driven primarily by a $1.6 million increase in hosting fees and data subscription costs as a result of expanded customer usage of our platform and the Populi acquisition and an increase of $0.4 million in amortization expense resulting from new data purchases. These increases were partially offset by a $0.2 million decrease in personnel costs driven primarily by the 2024 Restructuring Plan.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Operating expenses, which included a goodwill impairment charge of $228.2 million incurred during the three months ended September 30, 2024 compared with $287.4 million incurred during the three months ended September 30, 2023 (refer to Note 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for further details), decreased $74.4 million, or 21%, during the three months ended September 30, 2024 compared with the same period in the prior year. The decrease to operating expense as compared to the prior-year period was primarily due to a lower goodwill impairment charge in the current period, as well as:</w:t>
      </w:r>
    </w:p>
    <w:p>
      <w:pPr>
        <w:spacing w:after="0" w:line="75" w:lineRule="exact"/>
        <w:rPr>
          <w:sz w:val="20"/>
          <w:szCs w:val="20"/>
          <w:color w:val="auto"/>
        </w:rPr>
      </w:pPr>
    </w:p>
    <w:p>
      <w:pPr>
        <w:ind w:left="1020" w:right="6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sales and marketing expense of $2.7 million for the three months ended September 30, 2024, primarily driven by lower personnel costs, including stock-based compensation expense, resulting from the 2024 Restructuring Plan, along with a decrease in consulting fees;</w:t>
      </w:r>
    </w:p>
    <w:p>
      <w:pPr>
        <w:spacing w:after="0" w:line="67"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product development expense of $3.5 million for the three months ended September 30, 2024, primarily driven by lower personnel costs, including stock-based compensation expense, resulting from the 2024 Restructuring Plan and the departure of certain executive-level employees;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general and administrative expense of $3.2 million for the three months ended September 30, 2024, primarily driven by lower personnel costs, including stock-based compensation expense, resulting from departures of certain executive-level employees in 2024, relief from sales tax exposure during the year, including penalties and interest, resulting from voluntary disclosure agreements, and lower professional service fees and franchise taxes;</w:t>
      </w:r>
    </w:p>
    <w:p>
      <w:pPr>
        <w:spacing w:after="0" w:line="71"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expense of $0.3 million for the three months ended September 30, 2024, primarily driven by certain customer relationship intangible assets utilizing economic consumption amortization methods with lower amortization in the current period; and</w:t>
      </w:r>
    </w:p>
    <w:p>
      <w:pPr>
        <w:spacing w:after="0" w:line="68" w:lineRule="exact"/>
        <w:rPr>
          <w:sz w:val="20"/>
          <w:szCs w:val="20"/>
          <w:color w:val="auto"/>
        </w:rPr>
      </w:pPr>
    </w:p>
    <w:p>
      <w:pPr>
        <w:jc w:val="both"/>
        <w:ind w:left="1020" w:right="100"/>
        <w:spacing w:after="0" w:line="266" w:lineRule="auto"/>
        <w:rPr>
          <w:sz w:val="20"/>
          <w:szCs w:val="20"/>
          <w:color w:val="auto"/>
        </w:rPr>
      </w:pPr>
      <w:r>
        <w:rPr>
          <w:rFonts w:ascii="Times New Roman" w:cs="Times New Roman" w:eastAsia="Times New Roman" w:hAnsi="Times New Roman"/>
          <w:sz w:val="18"/>
          <w:szCs w:val="18"/>
          <w:color w:val="auto"/>
        </w:rPr>
        <w:t>A decrease in transaction, integration, and restructuring expenses of $5.5 million for the three months ended September 30, 2024, primarily driven by a gain in the current period resulting from an adjustment to the Populi contingent consideration and by higher costs incurred in the third quarter of 2023 associated with a commitment to a new restructuring plan during the prior year period.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8"/>
          <w:szCs w:val="18"/>
          <w:b w:val="1"/>
          <w:bCs w:val="1"/>
          <w:color w:val="auto"/>
        </w:rPr>
        <w:t>Total Other Income, Net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Total other income, net was $23.8 million for the three months ended September 30, 2024 compared to $29.2 million in the same period in the prior year. The decrease was primarily driven by a decrease in the TRA liability remeasurement gain of $5.5 million in the three months ended September 30, 2024 compared with the same period in the prior year. The TRA liability remeasurement gain, which is driven primarily by the impairment of goodwill, as well as changes in future realizability of tax attributes payable under the TRA, was lower in the current period primarily as a result of a $59.2 million decrease in the goodwill impairment charge during the three months ended September 30, 2024 compared with the same period in the prior year. This decrease was partially offset by an increase in interest income earned from our short-term investments of $0.3 in the three months ended September 30, 2024 compared with the same period in the prior year and a decrease in interest expense of $0.1 million during the three months ended September 30, 2024 compared with the same period in the prior year.</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Benefit from income taxes was $13.7 million for the three months ended September 30, 2024 compared to $17.5 million in the comparable prior year period. The overall decrease was primarily attributed to a smaller impairment of goodwill during the current period compared with the same period in the prior year.</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44" w:name="page45"/>
    <w:bookmarkEnd w:id="4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Nine Months Ended September 30,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$4.4 million, or 2%, in the nine months ended September 30, 2024 compared with the same period in the prior year, due to higher subscription revenue of $4.3 million and higher professional services revenue of $0.1 million. Revenue attributable to new customers in 2024 increased $10.9 million, which was partially offset by a $6.5 million decrease in revenue from customers that existed prior to the start of 2024.</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increased $5.1 million, or 15%, in the nine months ended September 30, 2024 compared with the same period in the prior year. This increase was driven primarily by a $4.4 million increase in hosting fees and data subscription costs as a result of expanded customer usage of our platform and the Populi acquisition, an increase of $0.7 million in amortization expense resulting from new data purchases, and an increase in other costs of $0.5 million. These increases were partially offset by a $0.5 million decrease in personnel costs driven primarily by the 2024 Restructuring Plan.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Operating expenses, which include goodwill impairment charges of $591.8 incurred during the nine months ended September 30, 2024 compared with $287.4 million incurred during the nine months ended September 30, 2023 (refer to Note 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for further details), increased $290.9 million, or 62%, during the nine months ended September 30, 2024 compared with the same period in the prior year. The increase to operating expense as compared to the prior-year period was primarily driven by higher goodwill impairment charges in the current period, partially offset by:</w:t>
      </w:r>
    </w:p>
    <w:p>
      <w:pPr>
        <w:spacing w:after="0" w:line="75" w:lineRule="exact"/>
        <w:rPr>
          <w:sz w:val="20"/>
          <w:szCs w:val="20"/>
          <w:color w:val="auto"/>
        </w:rPr>
      </w:pPr>
    </w:p>
    <w:p>
      <w:pPr>
        <w:ind w:left="1020" w:right="6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sales and marketing expense of $7.5 million for the nine months ended September 30, 2024, primarily driven by lower personnel costs, including stock-based compensation expense, resulting from the 2024 Restructuring Plan;</w:t>
      </w:r>
    </w:p>
    <w:p>
      <w:pPr>
        <w:spacing w:after="0" w:line="53" w:lineRule="exact"/>
        <w:rPr>
          <w:rFonts w:ascii="Times New Roman" w:cs="Times New Roman" w:eastAsia="Times New Roman" w:hAnsi="Times New Roman"/>
          <w:sz w:val="18"/>
          <w:szCs w:val="18"/>
          <w:color w:val="auto"/>
        </w:rPr>
      </w:pPr>
    </w:p>
    <w:p>
      <w:pPr>
        <w:jc w:val="both"/>
        <w:ind w:left="1020" w:right="54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product development expense of $3.3 million for the nine months ended September 30, 2024, primarily driven by lower personnel costs, including stock-based compensation expense, resulting from the 2024 Restructuring Plan and the departure of certain executive-level employees;</w:t>
      </w:r>
    </w:p>
    <w:p>
      <w:pPr>
        <w:spacing w:after="0" w:line="67" w:lineRule="exact"/>
        <w:rPr>
          <w:rFonts w:ascii="Times New Roman" w:cs="Times New Roman" w:eastAsia="Times New Roman" w:hAnsi="Times New Roman"/>
          <w:sz w:val="18"/>
          <w:szCs w:val="18"/>
          <w:color w:val="auto"/>
        </w:rPr>
      </w:pPr>
    </w:p>
    <w:p>
      <w:pPr>
        <w:ind w:left="1020" w:hanging="503"/>
        <w:spacing w:after="0" w:line="277"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general and administrative expense of $1.5 million for the nine months ended September 30, 2024, primarily driven by expense relief from sales tax exposure during the year, including penalties and interest, resulting from voluntary disclosure agreements, lower professional service fees, and lower recruiting fees. These decreases were partially offset by increased stock-based compensation expense resulting from new equity grants in the current year and the acceleration of certain shares in connection with the departure of executive-level employees, and increased fees and severance costs associated with a strategic transition initiative separate from our 2024 Restructuring Plan;</w:t>
      </w:r>
    </w:p>
    <w:p>
      <w:pPr>
        <w:spacing w:after="0" w:line="59"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expense of $0.9 million for the nine months ended September 30, 2024, primarily driven by certain customer relationship intangible assets utilizing economic consumption amortization methods with lower amortization in the current period; and</w:t>
      </w:r>
    </w:p>
    <w:p>
      <w:pPr>
        <w:spacing w:after="0" w:line="67" w:lineRule="exact"/>
        <w:rPr>
          <w:rFonts w:ascii="Times New Roman" w:cs="Times New Roman" w:eastAsia="Times New Roman" w:hAnsi="Times New Roman"/>
          <w:sz w:val="18"/>
          <w:szCs w:val="18"/>
          <w:color w:val="auto"/>
        </w:rPr>
      </w:pPr>
    </w:p>
    <w:p>
      <w:pPr>
        <w:ind w:left="102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transaction, integration, and restructuring expenses of $0.3 million for the nine months ended September 30, 2024, primarily driven by a gain on the adjustment to the Populi contingent consideration in the current period, along with higher acquisition related costs in the prior year period, partially offset by costs incurred in the current period associated with the 2024 Restructuring Plan and impairment charges resulting from the consolidation of certain leased office facilities.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45" w:name="page46"/>
    <w:bookmarkEnd w:id="45"/>
    <w:p>
      <w:pPr>
        <w:ind w:left="520"/>
        <w:spacing w:after="0"/>
        <w:rPr>
          <w:sz w:val="20"/>
          <w:szCs w:val="20"/>
          <w:color w:val="auto"/>
        </w:rPr>
      </w:pPr>
      <w:r>
        <w:rPr>
          <w:rFonts w:ascii="Times New Roman" w:cs="Times New Roman" w:eastAsia="Times New Roman" w:hAnsi="Times New Roman"/>
          <w:sz w:val="18"/>
          <w:szCs w:val="18"/>
          <w:b w:val="1"/>
          <w:bCs w:val="1"/>
          <w:color w:val="auto"/>
        </w:rPr>
        <w:t>Total Other Income, Net</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Total other income, net was $68.1 million for the nine months ended September 30, 2024 compared to $23.7 million in the same period in the prior year. The overall change was primarily attributable to a $68.2 million TRA liability remeasurement gain in the nine months ended September 30, 2024, primarily driven by the impairment of goodwill, as well as changes in future realizability of tax attributes payable under the TRA, compared with a $25.0 million TRA liability remeasurement gain in the comparable prior year period. The increase in the TRA liability remeasurement gain year-over-year was primarily driven by an increase in the goodwill impairment charges of $304.4 million in the nine months ended September 30, 2024 compared with the same period in the prior year. Interest income earned from our short-term investments also increased by $1.5 million to $11.4 million in the nine months ended September 30, 2024 compared with $9.9 million in the comparable prior year period.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Benefit from income taxes was $36.4 million for the nine months ended September 30, 2024 compared to $19.7 million in the comparable prior year period. The overall increase was primarily attributed to a larger impairment of goodwill during the current period compared with the same period in the prior year.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 to Adjusted EBITDA and Adjusted EBITDA Margin is GAAP net loss and GAAP net loss margin, respectively.</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define Adjusted Gross Profit as Gross Profit, excluding acquisition-related depreciation and amortization, and equity-based compensation costs.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 Gross Margin is defined as Gross Profit as a percentage of revenue and Adjusted Gross Margin is defined as Adjusted Gross Profit as a percentage of revenue. These are key metrics used by management and our board of directors to assess our operations.</w:t>
      </w:r>
    </w:p>
    <w:p>
      <w:pPr>
        <w:spacing w:after="0" w:line="7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gross profit and gross margin to adjusted gross profit and adjusted gross margin for the periods presented: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 of</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Revenu</w:t>
            </w: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gross profit and margin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24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53,430</w:t>
            </w: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149,867</w:t>
            </w:r>
          </w:p>
        </w:tc>
        <w:tc>
          <w:tcPr>
            <w:tcW w:w="2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150,514</w:t>
            </w: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resulting</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acquisition-related purchase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adjustments</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Equity-based compensation costs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7"/>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2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51,692</w:t>
            </w:r>
          </w:p>
        </w:tc>
        <w:tc>
          <w:tcPr>
            <w:tcW w:w="24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56,009</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157,918</w:t>
            </w:r>
          </w:p>
        </w:tc>
        <w:tc>
          <w:tcPr>
            <w:tcW w:w="22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83 %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158,251</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-894080</wp:posOffset>
            </wp:positionV>
            <wp:extent cx="7132320" cy="154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631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32" w:right="2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present “Adjusted EBITDA” as a measure of our operating performance. EBITDA is defined as earnings before (i) debt-related costs, including interest expense, (ii) interest income, (iii) income taxes, and (iv) depreciation and amortization. Management further adjusts EBITDA in its presentation of Adjusted EBITDA to exclude (i) other income, (ii) equity-based compensation, (iii) transaction, integration, and restructuring expenses, (iv) goodwill impairments, and (v) other non-core items.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p>
    <w:p>
      <w:pPr>
        <w:spacing w:after="0" w:line="8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and margin to Adjusted EBITDA and Adjusted EBITDA margin, respectively, for the periods presented: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7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loss and margin</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5"/>
                <w:szCs w:val="15"/>
                <w:color w:val="auto"/>
              </w:rPr>
              <w:t>(187,824 )</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(300 )% $</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(248,688 )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(381 )%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(506,729 )</w:t>
            </w: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(267 )% $</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(276,265 )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(149 )%</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 (income), net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1 %</w:t>
            </w:r>
          </w:p>
        </w:tc>
        <w:tc>
          <w:tcPr>
            <w:tcW w:w="14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(58 )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(0 )%</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1,434</w:t>
            </w:r>
          </w:p>
        </w:tc>
        <w:tc>
          <w:tcPr>
            <w:tcW w:w="220" w:type="dxa"/>
            <w:vAlign w:val="bottom"/>
          </w:tcPr>
          <w:p>
            <w:pPr>
              <w:spacing w:after="0"/>
              <w:rPr>
                <w:sz w:val="16"/>
                <w:szCs w:val="16"/>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Benefit from income taxes</w:t>
            </w:r>
          </w:p>
        </w:tc>
        <w:tc>
          <w:tcPr>
            <w:tcW w:w="160" w:type="dxa"/>
            <w:vAlign w:val="bottom"/>
          </w:tcPr>
          <w:p>
            <w:pPr>
              <w:spacing w:after="0"/>
              <w:rPr>
                <w:sz w:val="16"/>
                <w:szCs w:val="16"/>
                <w:color w:val="auto"/>
              </w:rPr>
            </w:pP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5"/>
                <w:szCs w:val="15"/>
                <w:color w:val="auto"/>
              </w:rPr>
              <w:t>(13,724 )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(22 )%</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(17,534 )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(27 )%</w:t>
            </w:r>
          </w:p>
        </w:tc>
        <w:tc>
          <w:tcPr>
            <w:tcW w:w="14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(36,404 )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(19 )%</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(19,728 )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Depreciation &amp; amortization</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13,063</w:t>
            </w:r>
          </w:p>
        </w:tc>
        <w:tc>
          <w:tcPr>
            <w:tcW w:w="2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13,027</w:t>
            </w: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20 %</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38,535</w:t>
            </w:r>
          </w:p>
        </w:tc>
        <w:tc>
          <w:tcPr>
            <w:tcW w:w="100" w:type="dxa"/>
            <w:vAlign w:val="bottom"/>
          </w:tcPr>
          <w:p>
            <w:pPr>
              <w:spacing w:after="0"/>
              <w:rPr>
                <w:sz w:val="16"/>
                <w:szCs w:val="16"/>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20 %</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38,749</w:t>
            </w:r>
          </w:p>
        </w:tc>
        <w:tc>
          <w:tcPr>
            <w:tcW w:w="220" w:type="dxa"/>
            <w:vAlign w:val="bottom"/>
          </w:tcPr>
          <w:p>
            <w:pPr>
              <w:spacing w:after="0"/>
              <w:rPr>
                <w:sz w:val="16"/>
                <w:szCs w:val="16"/>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21 %</w:t>
            </w:r>
          </w:p>
        </w:tc>
        <w:tc>
          <w:tcPr>
            <w:tcW w:w="0" w:type="dxa"/>
            <w:vAlign w:val="bottom"/>
          </w:tcPr>
          <w:p>
            <w:pPr>
              <w:spacing w:after="0"/>
              <w:rPr>
                <w:sz w:val="1"/>
                <w:szCs w:val="1"/>
                <w:color w:val="auto"/>
              </w:rPr>
            </w:pPr>
          </w:p>
        </w:tc>
      </w:tr>
      <w:tr>
        <w:trPr>
          <w:trHeight w:val="20"/>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EBITDA and margin</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28"/>
              <w:spacing w:after="0" w:line="162" w:lineRule="exact"/>
              <w:rPr>
                <w:sz w:val="20"/>
                <w:szCs w:val="20"/>
                <w:color w:val="auto"/>
              </w:rPr>
            </w:pPr>
            <w:r>
              <w:rPr>
                <w:rFonts w:ascii="Times New Roman" w:cs="Times New Roman" w:eastAsia="Times New Roman" w:hAnsi="Times New Roman"/>
                <w:sz w:val="15"/>
                <w:szCs w:val="15"/>
                <w:color w:val="auto"/>
              </w:rPr>
              <w:t>(188,478 )</w:t>
            </w:r>
          </w:p>
        </w:tc>
        <w:tc>
          <w:tcPr>
            <w:tcW w:w="11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(301 )%</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(252,762 )</w:t>
            </w:r>
          </w:p>
        </w:tc>
        <w:tc>
          <w:tcPr>
            <w:tcW w:w="12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(387 )%</w:t>
            </w:r>
          </w:p>
        </w:tc>
        <w:tc>
          <w:tcPr>
            <w:tcW w:w="140" w:type="dxa"/>
            <w:vAlign w:val="bottom"/>
          </w:tcPr>
          <w:p>
            <w:pPr>
              <w:spacing w:after="0"/>
              <w:rPr>
                <w:sz w:val="14"/>
                <w:szCs w:val="14"/>
                <w:color w:val="auto"/>
              </w:rPr>
            </w:pPr>
          </w:p>
        </w:tc>
        <w:tc>
          <w:tcPr>
            <w:tcW w:w="8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(504,656 )</w:t>
            </w:r>
          </w:p>
        </w:tc>
        <w:tc>
          <w:tcPr>
            <w:tcW w:w="1220" w:type="dxa"/>
            <w:vAlign w:val="bottom"/>
            <w:gridSpan w:val="3"/>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(266 )%</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(255,810 )</w:t>
            </w:r>
          </w:p>
        </w:tc>
        <w:tc>
          <w:tcPr>
            <w:tcW w:w="108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5"/>
                <w:szCs w:val="15"/>
                <w:color w:val="auto"/>
              </w:rPr>
              <w:t>(138 )%</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line="189" w:lineRule="exact"/>
              <w:rPr>
                <w:sz w:val="20"/>
                <w:szCs w:val="20"/>
                <w:color w:val="auto"/>
              </w:rPr>
            </w:pPr>
            <w:r>
              <w:rPr>
                <w:rFonts w:ascii="Times New Roman" w:cs="Times New Roman" w:eastAsia="Times New Roman" w:hAnsi="Times New Roman"/>
                <w:sz w:val="15"/>
                <w:szCs w:val="15"/>
                <w:color w:val="auto"/>
              </w:rPr>
              <w:t xml:space="preserve">Other income, net </w:t>
            </w:r>
            <w:r>
              <w:rPr>
                <w:rFonts w:ascii="Times New Roman" w:cs="Times New Roman" w:eastAsia="Times New Roman" w:hAnsi="Times New Roman"/>
                <w:sz w:val="20"/>
                <w:szCs w:val="20"/>
                <w:color w:val="auto"/>
                <w:vertAlign w:val="superscript"/>
              </w:rPr>
              <w:t>(a)</w:t>
            </w:r>
          </w:p>
        </w:tc>
        <w:tc>
          <w:tcPr>
            <w:tcW w:w="160" w:type="dxa"/>
            <w:vAlign w:val="bottom"/>
          </w:tcPr>
          <w:p>
            <w:pPr>
              <w:spacing w:after="0"/>
              <w:rPr>
                <w:sz w:val="16"/>
                <w:szCs w:val="16"/>
                <w:color w:val="auto"/>
              </w:rPr>
            </w:pP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5"/>
                <w:szCs w:val="15"/>
                <w:color w:val="auto"/>
              </w:rPr>
              <w:t>(23,826 )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(38 )%</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(29,589 )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(45 )%</w:t>
            </w:r>
          </w:p>
        </w:tc>
        <w:tc>
          <w:tcPr>
            <w:tcW w:w="14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(68,066 )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(36 )%</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(25,161 )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0" w:type="dxa"/>
            <w:vAlign w:val="bottom"/>
          </w:tcPr>
          <w:p>
            <w:pPr>
              <w:spacing w:after="0"/>
              <w:rPr>
                <w:sz w:val="1"/>
                <w:szCs w:val="1"/>
                <w:color w:val="auto"/>
              </w:rPr>
            </w:pPr>
          </w:p>
        </w:tc>
      </w:tr>
      <w:tr>
        <w:trPr>
          <w:trHeight w:val="209"/>
        </w:trPr>
        <w:tc>
          <w:tcPr>
            <w:tcW w:w="2380" w:type="dxa"/>
            <w:vAlign w:val="bottom"/>
          </w:tcPr>
          <w:p>
            <w:pPr>
              <w:ind w:left="20"/>
              <w:spacing w:after="0" w:line="209" w:lineRule="exact"/>
              <w:rPr>
                <w:sz w:val="20"/>
                <w:szCs w:val="20"/>
                <w:color w:val="auto"/>
              </w:rPr>
            </w:pPr>
            <w:r>
              <w:rPr>
                <w:rFonts w:ascii="Times New Roman" w:cs="Times New Roman" w:eastAsia="Times New Roman" w:hAnsi="Times New Roman"/>
                <w:sz w:val="15"/>
                <w:szCs w:val="15"/>
                <w:color w:val="auto"/>
              </w:rPr>
              <w:t xml:space="preserve">Equity-based compensation </w:t>
            </w:r>
            <w:r>
              <w:rPr>
                <w:rFonts w:ascii="Times New Roman" w:cs="Times New Roman" w:eastAsia="Times New Roman" w:hAnsi="Times New Roman"/>
                <w:sz w:val="20"/>
                <w:szCs w:val="20"/>
                <w:color w:val="auto"/>
                <w:vertAlign w:val="superscript"/>
              </w:rPr>
              <w:t>(b)</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6,296</w:t>
            </w: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11,994</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18 %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30,720</w:t>
            </w:r>
          </w:p>
        </w:tc>
        <w:tc>
          <w:tcPr>
            <w:tcW w:w="10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16 %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35,485</w:t>
            </w:r>
          </w:p>
        </w:tc>
        <w:tc>
          <w:tcPr>
            <w:tcW w:w="2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19 %</w:t>
            </w:r>
          </w:p>
        </w:tc>
        <w:tc>
          <w:tcPr>
            <w:tcW w:w="0" w:type="dxa"/>
            <w:vAlign w:val="bottom"/>
          </w:tcPr>
          <w:p>
            <w:pPr>
              <w:spacing w:after="0"/>
              <w:rPr>
                <w:sz w:val="1"/>
                <w:szCs w:val="1"/>
                <w:color w:val="auto"/>
              </w:rPr>
            </w:pPr>
          </w:p>
        </w:tc>
      </w:tr>
      <w:tr>
        <w:trPr>
          <w:trHeight w:val="148"/>
        </w:trPr>
        <w:tc>
          <w:tcPr>
            <w:tcW w:w="238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Transaction, integration, and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line="183" w:lineRule="exact"/>
              <w:rPr>
                <w:sz w:val="20"/>
                <w:szCs w:val="20"/>
                <w:color w:val="auto"/>
              </w:rPr>
            </w:pPr>
            <w:r>
              <w:rPr>
                <w:rFonts w:ascii="Times New Roman" w:cs="Times New Roman" w:eastAsia="Times New Roman" w:hAnsi="Times New Roman"/>
                <w:sz w:val="15"/>
                <w:szCs w:val="15"/>
                <w:color w:val="auto"/>
              </w:rPr>
              <w:t xml:space="preserve">restructuring expenses </w:t>
            </w:r>
            <w:r>
              <w:rPr>
                <w:rFonts w:ascii="Times New Roman" w:cs="Times New Roman" w:eastAsia="Times New Roman" w:hAnsi="Times New Roman"/>
                <w:sz w:val="20"/>
                <w:szCs w:val="20"/>
                <w:color w:val="auto"/>
                <w:vertAlign w:val="superscript"/>
              </w:rPr>
              <w:t>(c)</w:t>
            </w:r>
          </w:p>
        </w:tc>
        <w:tc>
          <w:tcPr>
            <w:tcW w:w="160" w:type="dxa"/>
            <w:vAlign w:val="bottom"/>
          </w:tcPr>
          <w:p>
            <w:pPr>
              <w:spacing w:after="0"/>
              <w:rPr>
                <w:sz w:val="15"/>
                <w:szCs w:val="15"/>
                <w:color w:val="auto"/>
              </w:rPr>
            </w:pP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5"/>
                <w:szCs w:val="15"/>
                <w:color w:val="auto"/>
              </w:rPr>
              <w:t>(1,995 )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(3 )%</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3,505</w:t>
            </w:r>
          </w:p>
        </w:tc>
        <w:tc>
          <w:tcPr>
            <w:tcW w:w="22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9,390</w:t>
            </w:r>
          </w:p>
        </w:tc>
        <w:tc>
          <w:tcPr>
            <w:tcW w:w="100" w:type="dxa"/>
            <w:vAlign w:val="bottom"/>
          </w:tcPr>
          <w:p>
            <w:pPr>
              <w:spacing w:after="0"/>
              <w:rPr>
                <w:sz w:val="15"/>
                <w:szCs w:val="15"/>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5 %</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9,666</w:t>
            </w:r>
          </w:p>
        </w:tc>
        <w:tc>
          <w:tcPr>
            <w:tcW w:w="220" w:type="dxa"/>
            <w:vAlign w:val="bottom"/>
          </w:tcPr>
          <w:p>
            <w:pPr>
              <w:spacing w:after="0"/>
              <w:rPr>
                <w:sz w:val="15"/>
                <w:szCs w:val="15"/>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5 %</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line="189" w:lineRule="exact"/>
              <w:rPr>
                <w:sz w:val="20"/>
                <w:szCs w:val="20"/>
                <w:color w:val="auto"/>
              </w:rPr>
            </w:pPr>
            <w:r>
              <w:rPr>
                <w:rFonts w:ascii="Times New Roman" w:cs="Times New Roman" w:eastAsia="Times New Roman" w:hAnsi="Times New Roman"/>
                <w:sz w:val="15"/>
                <w:szCs w:val="15"/>
                <w:color w:val="auto"/>
              </w:rPr>
              <w:t xml:space="preserve">Goodwill impairment </w:t>
            </w:r>
            <w:r>
              <w:rPr>
                <w:rFonts w:ascii="Times New Roman" w:cs="Times New Roman" w:eastAsia="Times New Roman" w:hAnsi="Times New Roman"/>
                <w:sz w:val="20"/>
                <w:szCs w:val="20"/>
                <w:color w:val="auto"/>
                <w:vertAlign w:val="superscript"/>
              </w:rPr>
              <w:t>(d)</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228,153</w:t>
            </w:r>
          </w:p>
        </w:tc>
        <w:tc>
          <w:tcPr>
            <w:tcW w:w="2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364 %</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287,400</w:t>
            </w: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440 %</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591,794</w:t>
            </w:r>
          </w:p>
        </w:tc>
        <w:tc>
          <w:tcPr>
            <w:tcW w:w="100" w:type="dxa"/>
            <w:vAlign w:val="bottom"/>
          </w:tcPr>
          <w:p>
            <w:pPr>
              <w:spacing w:after="0"/>
              <w:rPr>
                <w:sz w:val="16"/>
                <w:szCs w:val="16"/>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312 %</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287,400</w:t>
            </w:r>
          </w:p>
        </w:tc>
        <w:tc>
          <w:tcPr>
            <w:tcW w:w="220" w:type="dxa"/>
            <w:vAlign w:val="bottom"/>
          </w:tcPr>
          <w:p>
            <w:pPr>
              <w:spacing w:after="0"/>
              <w:rPr>
                <w:sz w:val="16"/>
                <w:szCs w:val="16"/>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155 %</w:t>
            </w:r>
          </w:p>
        </w:tc>
        <w:tc>
          <w:tcPr>
            <w:tcW w:w="0" w:type="dxa"/>
            <w:vAlign w:val="bottom"/>
          </w:tcPr>
          <w:p>
            <w:pPr>
              <w:spacing w:after="0"/>
              <w:rPr>
                <w:sz w:val="1"/>
                <w:szCs w:val="1"/>
                <w:color w:val="auto"/>
              </w:rPr>
            </w:pPr>
          </w:p>
        </w:tc>
      </w:tr>
      <w:tr>
        <w:trPr>
          <w:trHeight w:val="209"/>
        </w:trPr>
        <w:tc>
          <w:tcPr>
            <w:tcW w:w="2380" w:type="dxa"/>
            <w:vAlign w:val="bottom"/>
          </w:tcPr>
          <w:p>
            <w:pPr>
              <w:ind w:left="20"/>
              <w:spacing w:after="0" w:line="209" w:lineRule="exact"/>
              <w:rPr>
                <w:sz w:val="20"/>
                <w:szCs w:val="20"/>
                <w:color w:val="auto"/>
              </w:rPr>
            </w:pPr>
            <w:r>
              <w:rPr>
                <w:rFonts w:ascii="Times New Roman" w:cs="Times New Roman" w:eastAsia="Times New Roman" w:hAnsi="Times New Roman"/>
                <w:sz w:val="15"/>
                <w:szCs w:val="15"/>
                <w:color w:val="auto"/>
              </w:rPr>
              <w:t xml:space="preserve">Other non-core items </w:t>
            </w:r>
            <w:r>
              <w:rPr>
                <w:rFonts w:ascii="Times New Roman" w:cs="Times New Roman" w:eastAsia="Times New Roman" w:hAnsi="Times New Roman"/>
                <w:sz w:val="20"/>
                <w:szCs w:val="20"/>
                <w:color w:val="auto"/>
                <w:vertAlign w:val="superscript"/>
              </w:rPr>
              <w:t>(e)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1,196</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2,375</w:t>
            </w:r>
          </w:p>
        </w:tc>
        <w:tc>
          <w:tcPr>
            <w:tcW w:w="10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1 %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3,072</w:t>
            </w:r>
          </w:p>
        </w:tc>
        <w:tc>
          <w:tcPr>
            <w:tcW w:w="2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2 %</w:t>
            </w:r>
          </w:p>
        </w:tc>
        <w:tc>
          <w:tcPr>
            <w:tcW w:w="0" w:type="dxa"/>
            <w:vAlign w:val="bottom"/>
          </w:tcPr>
          <w:p>
            <w:pPr>
              <w:spacing w:after="0"/>
              <w:rPr>
                <w:sz w:val="1"/>
                <w:szCs w:val="1"/>
                <w:color w:val="auto"/>
              </w:rPr>
            </w:pPr>
          </w:p>
        </w:tc>
      </w:tr>
      <w:tr>
        <w:trPr>
          <w:trHeight w:val="20"/>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Adjusted EBITDA and margin</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vMerge w:val="continue"/>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20,615</w:t>
            </w:r>
          </w:p>
        </w:tc>
        <w:tc>
          <w:tcPr>
            <w:tcW w:w="260" w:type="dxa"/>
            <w:vAlign w:val="bottom"/>
          </w:tcPr>
          <w:p>
            <w:pPr>
              <w:spacing w:after="0"/>
              <w:rPr>
                <w:sz w:val="15"/>
                <w:szCs w:val="15"/>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33 %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21,744</w:t>
            </w:r>
          </w:p>
        </w:tc>
        <w:tc>
          <w:tcPr>
            <w:tcW w:w="22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33 %</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61,557</w:t>
            </w:r>
          </w:p>
        </w:tc>
        <w:tc>
          <w:tcPr>
            <w:tcW w:w="100" w:type="dxa"/>
            <w:vAlign w:val="bottom"/>
          </w:tcPr>
          <w:p>
            <w:pPr>
              <w:spacing w:after="0"/>
              <w:rPr>
                <w:sz w:val="15"/>
                <w:szCs w:val="15"/>
                <w:color w:val="auto"/>
              </w:rPr>
            </w:pP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32 % $</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54,652</w:t>
            </w:r>
          </w:p>
        </w:tc>
        <w:tc>
          <w:tcPr>
            <w:tcW w:w="220" w:type="dxa"/>
            <w:vAlign w:val="bottom"/>
          </w:tcPr>
          <w:p>
            <w:pPr>
              <w:spacing w:after="0"/>
              <w:rPr>
                <w:sz w:val="15"/>
                <w:szCs w:val="15"/>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1200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200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-951230</wp:posOffset>
            </wp:positionV>
            <wp:extent cx="7132320" cy="1200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200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200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00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TRA liability remeasurement gains and losses.</w:t>
      </w:r>
    </w:p>
    <w:p>
      <w:pPr>
        <w:spacing w:after="0" w:line="27" w:lineRule="exact"/>
        <w:rPr>
          <w:rFonts w:ascii="Times New Roman" w:cs="Times New Roman" w:eastAsia="Times New Roman" w:hAnsi="Times New Roman"/>
          <w:sz w:val="18"/>
          <w:szCs w:val="18"/>
          <w:color w:val="auto"/>
        </w:rPr>
      </w:pPr>
    </w:p>
    <w:p>
      <w:pPr>
        <w:ind w:left="520" w:right="66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ind w:left="520" w:right="380" w:hanging="512"/>
        <w:spacing w:after="0" w:line="255"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Restructuring expenses relate to the 2024 Restructuring Plan and those we committed to during the first and third quarters of 2023, as well as impairment and restructuring charges related to office closures, relocations, and consolidations.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and acquisition due diligence and transaction costs</w:t>
            </w:r>
          </w:p>
        </w:tc>
        <w:tc>
          <w:tcPr>
            <w:tcW w:w="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Integration costs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adjustment for contingent consideration</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(3,510 )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(3,240 )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for severance and other separation costs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Office closure and relocation restructuring charges and impairments</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(143 )</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transaction, integration and restructuring expenses</w:t>
            </w:r>
          </w:p>
        </w:tc>
        <w:tc>
          <w:tcPr>
            <w:tcW w:w="3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22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-1028065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-1028065</wp:posOffset>
            </wp:positionV>
            <wp:extent cx="603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-1028065</wp:posOffset>
            </wp:positionV>
            <wp:extent cx="603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-1028065</wp:posOffset>
            </wp:positionV>
            <wp:extent cx="603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320" w:top="1224" w:right="259" w:bottom="1440" w:gutter="0" w:footer="0" w:header="0"/>
        </w:sectPr>
      </w:pPr>
    </w:p>
    <w:bookmarkStart w:id="48" w:name="page49"/>
    <w:bookmarkEnd w:id="48"/>
    <w:p>
      <w:pPr>
        <w:ind w:left="520" w:right="40" w:hanging="512"/>
        <w:spacing w:after="0" w:line="254"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represents non-cash, pre-tax, goodwill impairment charges. We experienced declines in our market capitalization as a result of sustained decreases in our stock price, which represented triggering events requiring our management to perform quantitative goodwill impairment tests as of the end of the second and third quarters of 2024 and the third quarter of 2023. As a result of the impairment tests conducted in each respective period, we determined that the fair value of our single reporting unit was lower than its carrying value and, accordingly, recorded these impairment charges.</w:t>
      </w:r>
    </w:p>
    <w:p>
      <w:pPr>
        <w:spacing w:after="0" w:line="3" w:lineRule="exact"/>
        <w:rPr>
          <w:rFonts w:ascii="Times New Roman" w:cs="Times New Roman" w:eastAsia="Times New Roman" w:hAnsi="Times New Roman"/>
          <w:sz w:val="18"/>
          <w:szCs w:val="18"/>
          <w:color w:val="auto"/>
        </w:rPr>
      </w:pPr>
    </w:p>
    <w:p>
      <w:pPr>
        <w:ind w:left="520" w:right="60" w:hanging="512"/>
        <w:spacing w:after="0" w:line="25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2024 and in certain previous years, and other non-recurring legal and regulatory matters. Other non-core items also include non-recurring consulting fees and severance costs associated with strategic transition initiatives, as well as professional fees related to financing, capital structure changes, and other non-recurring costs.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3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Non-core legal and regulatory</w:t>
            </w:r>
          </w:p>
        </w:tc>
        <w:tc>
          <w:tcPr>
            <w:tcW w:w="6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severance costs for strategic transition initiatives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non-core expenses</w:t>
            </w:r>
          </w:p>
        </w:tc>
        <w:tc>
          <w:tcPr>
            <w:tcW w:w="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non-core items</w:t>
            </w:r>
          </w:p>
        </w:tc>
        <w:tc>
          <w:tcPr>
            <w:tcW w:w="6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-1028065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-1028065</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-1028065</wp:posOffset>
            </wp:positionV>
            <wp:extent cx="60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-1028065</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30, 2024, we had $137.6 million of cash and cash equivalents, $167.8 million of short-term investments, and $74.4 million available under our revolving credit facility. Our principal sources of liquidity are cash and cash equivalents and short-term investments on hand, primarily from our IPO and follow-on offering, as well as the cash flows we generate from operations. Our principal uses of liquidity have been, and are expected to continue to be, primarily for investment in long-term growth of the business through capital expenditures, acquisitions, and repurchases of our Class A Common Stock, as well as debt services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for further details) and distributions to members of Definitive OpCo.</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All of our business is conducted through Definitive OpCo and its consolidated subsidiaries and affiliates, and the financial results are included in the unaudited condensed consolidated financial statements of Definitive Healthcare Corp. Definitive Healthcare Corp. has no independent means of generating revenue. The Amended LLC Agreement provides that certain distributions will be made to cover Definitive Healthcare Corp.</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p>
    <w:p>
      <w:pPr>
        <w:spacing w:after="0" w:line="8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Additionally, our liquidity and our ability to meet our obligations and fund our capital requirements are dependent on our future financial performance, which is subject to general economic, financial, and other factors that are beyond our control. See “Risk Factors” in our 2023 Form 10-K and the factors described elsewhere in this “Management’s Discussion and Analysis of Financial Condition and Results of Operations.” Macroeconomic conditions, including inflation and a potential recession, could increase our anticipated funding requirements. In the event we need to seek additional funding, high interest rates, stock market volatility, or other unfavorable macroeconomic conditions may also prevent us from obtaining additional financing on favorable terms or at all.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50,061</w:t>
            </w:r>
          </w:p>
        </w:tc>
        <w:tc>
          <w:tcPr>
            <w:tcW w:w="2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36,481</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(139 )</w:t>
            </w: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(86,189 )</w:t>
            </w:r>
          </w:p>
        </w:tc>
      </w:tr>
      <w:tr>
        <w:trPr>
          <w:trHeight w:val="239"/>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(43,381 )</w:t>
            </w:r>
          </w:p>
        </w:tc>
        <w:tc>
          <w:tcPr>
            <w:tcW w:w="3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(19,522 )</w:t>
            </w:r>
          </w:p>
        </w:tc>
      </w:tr>
      <w:tr>
        <w:trPr>
          <w:trHeight w:val="20"/>
        </w:trPr>
        <w:tc>
          <w:tcPr>
            <w:tcW w:w="6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cash and cash equivalents (excluding effect of exchange rate changes)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(69,230 )</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$50.1 million during the nine months ended September 30, 2024, primarily as a result of a net loss of $506.7 million, offset by non-cash charges of $567.0 million. The non-cash charges were primarily comprised of $591.8 million in goodwill impairment charges recorded during the nine months ended September 30, 2024, a gain on remeasurement of the TRA of $68.2 million, amortization of intangible assets of $36.8 million, a decrease in deferred taxes of $36.6 million, equity compensation costs of $30.7 million, and amortization of deferred contract costs of $11.5 million. The net decrease in operating assets and liabilities of $10.2 million for the nine months ended September 30, 2024 was primarily driven by cash outflows resulting from a decrease in deferred revenue of $12.1 million due to the timing of billings and cash received in advance of revenue recognition for subscription services, an increase in deferred contract costs of $8.3 million, an increase in prepaid expenses and other assets of $7.2 million, and lower accounts payable, accrued expenses, and other liabilities, collectively, of $5.2 million. These factors were partially offset by a decrease in accounts receivable of $23.1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2024 was $0.1 million, driven primarily by $192.7 million in purchases of short-term investments and $13.5 million in cash paid, net of cash acquired, for the acquisition of Carevoyance in the first quarter of 2024, partially offset by $207.5 million in maturities of short-term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during the nine months ended September 30, 2024 was $43.4 million, driven by payments of $15.0 million for repurchases of our Class A Common Stock, repayments of the 2021 Term Loan (as defined below) of $10.3 million, taxes paid related to the net share settlement of equity awards of $7.3 million, payments of $7.0 million under the TRA, distribution payments to members of $2.8 million, and payments of contingent consideration of $1.0 million.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xml:space="preserve"> for additional information related to our debt obligations.</w:t>
      </w:r>
    </w:p>
    <w:p>
      <w:pPr>
        <w:spacing w:after="0" w:line="1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September 17, 2021, DH Holdings entered into the 2021 Credit Agreement, providing for (i) a $275.0 million term loan A facility (the “2021 Term Loan”) and (ii) a $75.0 million revolving credit facility (the “2021 Revolving Line of Credit” and, together with the 2021 Term Loan, collectively, the “2021 Credit Facilities”).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 The 2021 Term Loan of $275.0 million has a maturity date of September 17, 2026. The 2021 Term Loan was recorded net of $3.5 million in issuance costs, which are amortized to interest expense over the term of the loan using the effective interest method.</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maturity. There was $247.5 million outstanding on the 2021 Term Loan at September 30, 2024.</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2021 Revolving Line of Credit is committed for $75.0 million and has a maturity date of September 17, 2026. There was no outstanding balance as of September 30, 2024. In September 2023, the lessor of the Company’s corporate headquarters transitioned from one entity to another. As a result, in December 2023, in lieu of a security deposit, the Company provided a standby letter of credit of $0.6 million, which reduces the amount available under our revolving credit facility to $74.4 million.</w:t>
      </w:r>
    </w:p>
    <w:p>
      <w:pPr>
        <w:spacing w:after="0" w:line="7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 October 31, 2022, the Company amended the 2021 Credit Agreement to replace the LIBO rate with Term Secured Overnight Financing Rate (“SOFR”) plus an applicable rate.</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2021 Credit Agreement includes certain financial covenants, and the Company was compliant with its financial covenants under the 2021 Credit Agreement as of September 30, 2024 and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Financing obligations generally include repayment of principal amounts of the 2021 Term Loan, lease payments, and purchase obligations. There have been no material changes to our financing obligations during the nine months ended September 30, 2024. Refer to Note 5.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our Annual Report on Form 10-K filed with the SEC on February 28, 2024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May 2024, our Board of Directors authorized a stock repurchase program of up to $20.0 million of our Class A Common Stock, which expires on December 31, 2024. Repurchases may be effected, from time to time, either on the open market (including pre-set trading plans), in privately negotiated transactions, and other transactions in accordance with applicable securities laws.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 As of September 30, 2024, 3,144,516 shares of Class A Common Stock have been repurchased under the repurchase program.</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the Company entered into the TRA with certain of our pre- IPO unitholders and the former shareholders of certain Blocker Companies. The TRA provides for the payment by Definitive Healthcare Corp. of 85%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our unaudited condensed consolidated financial statements.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a requirement of our lease agreement for our corporate headquarters, in lieu of a security deposit, we provided a standby letter of credit of $0.6 million, which is effective through March 2038.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Capital expenditures decreased by $1.0 million to $1.4 million for the nine months ended September 30, 2024 compared to $2.4 million for the same period in the prior year, primarily driven by lower spend on historical data purchases in the current year compared with the comparable prior year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2023 included in our 2023 Form 10-K. There have been no material changes to these policies or estimates as of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See new accounting pronouncements described under “—Adoption of Recently Issued Financial Accounting Standards” and “—Recently Issued Accounting Pronouncements Not Yet Adopted” within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xml:space="preserve"> in the Notes to the unaudited condensed consolidated financial statements.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cash, cash equivalents, and short-term investments primarily consist of cash on hand and highly liquid investments in money market funds, U.S. government securities, and commercial paper. As of September 30, 2024, we had cash and cash equivalents of $137.6 million and short-term investments of $167.8 million.</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2021 Term Loan, which bears a variable interest rate based on the Secured Overnight Financing Rate (“SOFR”) or a Base Rate plus an applicable margin. In order to reduce the interest rate risk on our debt, we have entered into an interest rate swap agreement on a portion of our borrowings. As of September 30, 2024, the total principal balance outstanding was $247.5 million. Excluding the effect of the interest rate swap agreement, a hypothetical 1.0% increase or decrease in the interest rate associated with borrowings under the 2021 Credit Agreement would have resulted in an impact to interest expense of approximately $1.9 million for the nine months ended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 date, the majority of our sales contracts have been denominated in U.S. dollars. We have one foreign entity established in Sweden and one in India. The functional currencies of these foreign subsidiaries are the Swedish Krona and the Indian Rupee, respectively. Assets and liabilities of the foreign subsidiaries are translated into U.S. dollars at the exchange rates in effect at the reporting date and revenue and expenses are translated at average exchange rates in effect during each reporting period. Realized and unrealized foreign currency transaction gains and losses are recorded to non-operating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our management’s evaluation, management concluded that our disclosure controls and procedures were not effective as of September 30, 2024 as a result of the material weakness discussed below. Notwithstanding this material weakness, our management concluded that our unaudited condensed consolidated financial statements included in Part I, Item 1 of this Quarterly Report on Form 10-Q fairly present, in all material respects, our financial condition, results of operations and cash flows as of and for the periods presented in conformity with accounting principles generally accepted in the United States (“U.S.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2023, we identified a material weakness in the design of our controls over the collection and remittance of sales taxes, as well as the accurate recording of our sales tax obligations in the financial statements. This material weakness remains unremediated as of September 30, 2024. Management is taking steps to remediate this material weakness (see “Remediation Efforts to Address Material Weakness” below for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most recently completed fiscal quarter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 to Address Material Weakness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response to the identified material weakness, management, with the oversight of the Audit Committee of the Board of Directors, has designed and implemented measures to improve our internal control over financial reporting and remediate the material weakness. Our efforts include a number of actions:</w:t>
      </w:r>
    </w:p>
    <w:p>
      <w:pPr>
        <w:spacing w:after="0" w:line="68" w:lineRule="exact"/>
        <w:rPr>
          <w:sz w:val="20"/>
          <w:szCs w:val="20"/>
          <w:color w:val="auto"/>
        </w:rPr>
      </w:pPr>
    </w:p>
    <w:p>
      <w:pPr>
        <w:ind w:left="1020" w:right="2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immediately engaged additional third-party tax experts to assist in the review of the classification for sales tax purposes of our existing products and services;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designed and implemented additional sales tax nexus reviews, including controls over the monitoring of changes in our products and service offerings and identification of new and/or enhanced products and services, to put in place effective review controls over the classification of products and services for sales tax purposes; and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designed and implemented controls over the collection, control, and subsequent monitoring of applicable documentation of exempt status from customers in affected jurisdictions.</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management believes that the measures described above will remediate the material weakness and strengthen our overall internal control over financial reporting. The material weakness will not be considered remediated until the applicable remediated controls operate for a sufficient period of time and management has concluded, through testing, that these controls are operating effectively.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our risks and uncertainties, see also Item 1A – Risk Factors in our 2023 Form 10-K. There have been no material changes in our risk factors since the filing of our 2023 Form 10-K.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such LLC Unit holders are cancelled. Such exchanges executed in the three months ended September 30, 2024 are as follows:</w:t>
      </w:r>
    </w:p>
    <w:p>
      <w:pPr>
        <w:spacing w:after="0" w:line="189"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4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0" w:type="dxa"/>
            <w:vAlign w:val="bottom"/>
          </w:tcPr>
          <w:p>
            <w:pPr>
              <w:spacing w:after="0"/>
              <w:rPr>
                <w:sz w:val="21"/>
                <w:szCs w:val="21"/>
                <w:color w:val="auto"/>
              </w:rPr>
            </w:pPr>
          </w:p>
        </w:tc>
        <w:tc>
          <w:tcPr>
            <w:tcW w:w="2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Exchanged</w:t>
            </w:r>
          </w:p>
        </w:tc>
        <w:tc>
          <w:tcPr>
            <w:tcW w:w="60" w:type="dxa"/>
            <w:vAlign w:val="bottom"/>
          </w:tcPr>
          <w:p>
            <w:pPr>
              <w:spacing w:after="0"/>
              <w:rPr>
                <w:sz w:val="21"/>
                <w:szCs w:val="21"/>
                <w:color w:val="auto"/>
              </w:rPr>
            </w:pPr>
          </w:p>
        </w:tc>
      </w:tr>
      <w:tr>
        <w:trPr>
          <w:trHeight w:val="24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29, 2024</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27,436</w:t>
            </w:r>
          </w:p>
        </w:tc>
        <w:tc>
          <w:tcPr>
            <w:tcW w:w="60" w:type="dxa"/>
            <w:vAlign w:val="bottom"/>
            <w:shd w:val="clear" w:color="auto" w:fill="CFF0FC"/>
          </w:tcPr>
          <w:p>
            <w:pPr>
              <w:spacing w:after="0"/>
              <w:rPr>
                <w:sz w:val="21"/>
                <w:szCs w:val="21"/>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27,436</w:t>
            </w:r>
          </w:p>
        </w:tc>
        <w:tc>
          <w:tcPr>
            <w:tcW w:w="60" w:type="dxa"/>
            <w:vAlign w:val="bottom"/>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sets forth certain information with respect to repurchases of our Class A Common Stock during the quarter ended September 30,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3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3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60" w:type="dxa"/>
            <w:vAlign w:val="bottom"/>
          </w:tcPr>
          <w:p>
            <w:pPr>
              <w:spacing w:after="0"/>
              <w:rPr>
                <w:sz w:val="18"/>
                <w:szCs w:val="18"/>
                <w:color w:val="auto"/>
              </w:rPr>
            </w:pPr>
          </w:p>
        </w:tc>
        <w:tc>
          <w:tcPr>
            <w:tcW w:w="2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Value of Shares that May</w:t>
            </w: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vMerge w:val="restart"/>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300" w:type="dxa"/>
            <w:vAlign w:val="bottom"/>
          </w:tcPr>
          <w:p>
            <w:pPr>
              <w:spacing w:after="0"/>
              <w:rPr>
                <w:sz w:val="9"/>
                <w:szCs w:val="9"/>
                <w:color w:val="auto"/>
              </w:rPr>
            </w:pPr>
          </w:p>
        </w:tc>
        <w:tc>
          <w:tcPr>
            <w:tcW w:w="178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260" w:type="dxa"/>
            <w:vAlign w:val="bottom"/>
          </w:tcPr>
          <w:p>
            <w:pPr>
              <w:spacing w:after="0"/>
              <w:rPr>
                <w:sz w:val="9"/>
                <w:szCs w:val="9"/>
                <w:color w:val="auto"/>
              </w:rPr>
            </w:pPr>
          </w:p>
        </w:tc>
        <w:tc>
          <w:tcPr>
            <w:tcW w:w="2140" w:type="dxa"/>
            <w:vAlign w:val="bottom"/>
            <w:gridSpan w:val="3"/>
            <w:vMerge w:val="restart"/>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8"/>
              </w:rPr>
              <w:t>Yet Be Purchased Under</w:t>
            </w:r>
          </w:p>
        </w:tc>
        <w:tc>
          <w:tcPr>
            <w:tcW w:w="0" w:type="dxa"/>
            <w:vAlign w:val="bottom"/>
          </w:tcPr>
          <w:p>
            <w:pPr>
              <w:spacing w:after="0"/>
              <w:rPr>
                <w:sz w:val="1"/>
                <w:szCs w:val="1"/>
                <w:color w:val="auto"/>
              </w:rPr>
            </w:pPr>
          </w:p>
        </w:tc>
      </w:tr>
      <w:tr>
        <w:trPr>
          <w:trHeight w:val="88"/>
        </w:trPr>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3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60" w:type="dxa"/>
            <w:vAlign w:val="bottom"/>
          </w:tcPr>
          <w:p>
            <w:pPr>
              <w:spacing w:after="0"/>
              <w:rPr>
                <w:sz w:val="18"/>
                <w:szCs w:val="18"/>
                <w:color w:val="auto"/>
              </w:rPr>
            </w:pPr>
          </w:p>
        </w:tc>
        <w:tc>
          <w:tcPr>
            <w:tcW w:w="2140" w:type="dxa"/>
            <w:vAlign w:val="bottom"/>
            <w:gridSpan w:val="3"/>
          </w:tcPr>
          <w:p>
            <w:pPr>
              <w:jc w:val="center"/>
              <w:ind w:right="100"/>
              <w:spacing w:after="0" w:line="216" w:lineRule="exact"/>
              <w:rPr>
                <w:sz w:val="20"/>
                <w:szCs w:val="20"/>
                <w:color w:val="auto"/>
              </w:rPr>
            </w:pPr>
            <w:r>
              <w:rPr>
                <w:rFonts w:ascii="Times New Roman" w:cs="Times New Roman" w:eastAsia="Times New Roman" w:hAnsi="Times New Roman"/>
                <w:sz w:val="18"/>
                <w:szCs w:val="18"/>
                <w:b w:val="1"/>
                <w:bCs w:val="1"/>
                <w:color w:val="auto"/>
                <w:w w:val="98"/>
              </w:rPr>
              <w:t xml:space="preserve">the Plans or Programs </w:t>
            </w:r>
            <w:r>
              <w:rPr>
                <w:rFonts w:ascii="Times New Roman" w:cs="Times New Roman" w:eastAsia="Times New Roman" w:hAnsi="Times New Roman"/>
                <w:sz w:val="24"/>
                <w:szCs w:val="24"/>
                <w:b w:val="1"/>
                <w:bCs w:val="1"/>
                <w:color w:val="auto"/>
                <w:w w:val="98"/>
                <w:vertAlign w:val="superscript"/>
              </w:rPr>
              <w:t>(1)</w:t>
            </w:r>
          </w:p>
        </w:tc>
        <w:tc>
          <w:tcPr>
            <w:tcW w:w="0" w:type="dxa"/>
            <w:vAlign w:val="bottom"/>
          </w:tcPr>
          <w:p>
            <w:pPr>
              <w:spacing w:after="0"/>
              <w:rPr>
                <w:sz w:val="1"/>
                <w:szCs w:val="1"/>
                <w:color w:val="auto"/>
              </w:rPr>
            </w:pPr>
          </w:p>
        </w:tc>
      </w:tr>
      <w:tr>
        <w:trPr>
          <w:trHeight w:val="272"/>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780" w:type="dxa"/>
            <w:vAlign w:val="bottom"/>
            <w:tcBorders>
              <w:bottom w:val="single" w:sz="8" w:color="auto"/>
            </w:tcBorders>
          </w:tcPr>
          <w:p>
            <w:pPr>
              <w:jc w:val="center"/>
              <w:spacing w:after="0" w:line="272" w:lineRule="exact"/>
              <w:rPr>
                <w:sz w:val="20"/>
                <w:szCs w:val="20"/>
                <w:color w:val="auto"/>
              </w:rPr>
            </w:pPr>
            <w:r>
              <w:rPr>
                <w:rFonts w:ascii="Times New Roman" w:cs="Times New Roman" w:eastAsia="Times New Roman" w:hAnsi="Times New Roman"/>
                <w:sz w:val="18"/>
                <w:szCs w:val="18"/>
                <w:b w:val="1"/>
                <w:bCs w:val="1"/>
                <w:color w:val="auto"/>
                <w:w w:val="94"/>
              </w:rPr>
              <w:t xml:space="preserve">Programs </w:t>
            </w:r>
            <w:r>
              <w:rPr>
                <w:rFonts w:ascii="Times New Roman" w:cs="Times New Roman" w:eastAsia="Times New Roman" w:hAnsi="Times New Roman"/>
                <w:sz w:val="24"/>
                <w:szCs w:val="24"/>
                <w:b w:val="1"/>
                <w:bCs w:val="1"/>
                <w:color w:val="auto"/>
                <w:w w:val="94"/>
                <w:vertAlign w:val="superscript"/>
              </w:rPr>
              <w:t>(1)</w:t>
            </w: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 July 31, 2024</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August 1 - August 31,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1,757,542</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1,757,542</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 September 30, 2024</w:t>
            </w:r>
          </w:p>
        </w:tc>
        <w:tc>
          <w:tcPr>
            <w:tcW w:w="120" w:type="dxa"/>
            <w:vAlign w:val="bottom"/>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128,409</w:t>
            </w:r>
          </w:p>
        </w:tc>
        <w:tc>
          <w:tcPr>
            <w:tcW w:w="2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00" w:type="dxa"/>
            <w:vAlign w:val="bottom"/>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128,409</w:t>
            </w:r>
          </w:p>
        </w:tc>
        <w:tc>
          <w:tcPr>
            <w:tcW w:w="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1,885,951</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300" w:type="dxa"/>
            <w:vAlign w:val="bottom"/>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1,885,951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171450</wp:posOffset>
            </wp:positionV>
            <wp:extent cx="30175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99" w:lineRule="exact"/>
        <w:rPr>
          <w:sz w:val="20"/>
          <w:szCs w:val="20"/>
          <w:color w:val="auto"/>
        </w:rPr>
      </w:pPr>
    </w:p>
    <w:p>
      <w:pPr>
        <w:ind w:left="760" w:right="320" w:hanging="452"/>
        <w:spacing w:after="0" w:line="261" w:lineRule="auto"/>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On May 7, 2024, our Board of Directors announced a stock repurchase program (the “Repurchase Program”) of our Class A Common Stock authorizing up to $20.0 million in share repurchases. The Repurchase Program expires on December 31, 2024. Repurchases may be effected, from time to time, either on the open market (including pre-set trading plans), in privately negotiated transactions, and other transactions in accordance with applicable securities laws.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4"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Exhibits filed or furnished herewith are designated by an asterisk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Definitive Healthcare Corp., any other persons, any state of affairs, or other matters.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6480" w:type="dxa"/>
            <w:vAlign w:val="bottom"/>
            <w:gridSpan w:val="9"/>
          </w:tcPr>
          <w:p>
            <w:pPr>
              <w:ind w:left="1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7"/>
        </w:trPr>
        <w:tc>
          <w:tcPr>
            <w:tcW w:w="1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r>
      <w:tr>
        <w:trPr>
          <w:trHeight w:val="169"/>
        </w:trPr>
        <w:tc>
          <w:tcPr>
            <w:tcW w:w="11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942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Amended and Restated Certificate of Incorporation of Definitive Healthcare Corp. (incorporated by reference to Exhibit 3.1 to the</w:t>
              </w:r>
            </w:hyperlink>
          </w:p>
        </w:tc>
        <w:tc>
          <w:tcPr>
            <w:tcW w:w="520" w:type="dxa"/>
            <w:vAlign w:val="bottom"/>
            <w:gridSpan w:val="5"/>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10"/>
          </w:tcPr>
          <w:p>
            <w:pPr>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Company’s Quarterly Report on Form 10-Q (File No. 001-40815) filed with the SEC on November 8, 2021).</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95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Amended and Restated Bylaws of Definitive Healthcare Corp. (incorporated by reference to Exhibit 3.2 to the Company’s Quarterly</w:t>
              </w:r>
            </w:hyperlink>
          </w:p>
        </w:tc>
        <w:tc>
          <w:tcPr>
            <w:tcW w:w="360" w:type="dxa"/>
            <w:vAlign w:val="bottom"/>
            <w:gridSpan w:val="4"/>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10"/>
          </w:tcPr>
          <w:p>
            <w:pPr>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Report on Form 10-Q (File No. 001-40815) filed with the SEC on November 8, 2021).</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96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280" w:type="dxa"/>
            <w:vAlign w:val="bottom"/>
            <w:gridSpan w:val="2"/>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9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320" w:type="dxa"/>
            <w:vAlign w:val="bottom"/>
            <w:gridSpan w:val="3"/>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9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120" w:type="dxa"/>
            <w:vAlign w:val="bottom"/>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6480" w:type="dxa"/>
            <w:vAlign w:val="bottom"/>
            <w:gridSpan w:val="9"/>
          </w:tcPr>
          <w:p>
            <w:pPr>
              <w:spacing w:after="0" w:line="20" w:lineRule="exact"/>
              <w:rPr>
                <w:sz w:val="1"/>
                <w:szCs w:val="1"/>
                <w:color w:val="auto"/>
              </w:rPr>
            </w:pPr>
          </w:p>
        </w:tc>
      </w:tr>
      <w:tr>
        <w:trPr>
          <w:trHeight w:val="23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0"/>
                <w:szCs w:val="20"/>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29"/>
        </w:trPr>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0"/>
                <w:szCs w:val="20"/>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300" w:hanging="1279"/>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right="160" w:firstLine="8"/>
        <w:spacing w:after="0" w:line="261" w:lineRule="auto"/>
        <w:tabs>
          <w:tab w:leader="none" w:pos="1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Quarterly Report on Form 10-Q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0" w:name="page61"/>
    <w:bookmarkEnd w:id="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794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DEFINITIVE HEALTHCARE CORP.</w:t>
            </w:r>
          </w:p>
        </w:tc>
      </w:tr>
      <w:tr>
        <w:trPr>
          <w:trHeight w:val="506"/>
        </w:trPr>
        <w:tc>
          <w:tcPr>
            <w:tcW w:w="2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Kevin Coop</w:t>
            </w:r>
          </w:p>
        </w:tc>
      </w:tr>
      <w:tr>
        <w:trPr>
          <w:trHeight w:val="243"/>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7, 2024</w:t>
            </w:r>
          </w:p>
        </w:tc>
        <w:tc>
          <w:tcPr>
            <w:tcW w:w="324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Pr>
          <w:p>
            <w:pPr>
              <w:spacing w:after="0"/>
              <w:rPr>
                <w:sz w:val="21"/>
                <w:szCs w:val="21"/>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Name:</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Kevin Coop</w:t>
            </w:r>
          </w:p>
        </w:tc>
      </w:tr>
      <w:tr>
        <w:trPr>
          <w:trHeight w:val="238"/>
        </w:trPr>
        <w:tc>
          <w:tcPr>
            <w:tcW w:w="2700" w:type="dxa"/>
            <w:vAlign w:val="bottom"/>
          </w:tcPr>
          <w:p>
            <w:pPr>
              <w:spacing w:after="0"/>
              <w:rPr>
                <w:sz w:val="20"/>
                <w:szCs w:val="20"/>
                <w:color w:val="auto"/>
              </w:rPr>
            </w:pPr>
          </w:p>
        </w:tc>
        <w:tc>
          <w:tcPr>
            <w:tcW w:w="324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93"/>
        </w:trPr>
        <w:tc>
          <w:tcPr>
            <w:tcW w:w="2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243"/>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7, 2024</w:t>
            </w:r>
          </w:p>
        </w:tc>
        <w:tc>
          <w:tcPr>
            <w:tcW w:w="324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Pr>
          <w:p>
            <w:pPr>
              <w:spacing w:after="0"/>
              <w:rPr>
                <w:sz w:val="21"/>
                <w:szCs w:val="21"/>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Name:</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Richard Booth</w:t>
            </w:r>
          </w:p>
        </w:tc>
      </w:tr>
      <w:tr>
        <w:trPr>
          <w:trHeight w:val="238"/>
        </w:trPr>
        <w:tc>
          <w:tcPr>
            <w:tcW w:w="2700" w:type="dxa"/>
            <w:vAlign w:val="bottom"/>
          </w:tcPr>
          <w:p>
            <w:pPr>
              <w:spacing w:after="0"/>
              <w:rPr>
                <w:sz w:val="20"/>
                <w:szCs w:val="20"/>
                <w:color w:val="auto"/>
              </w:rPr>
            </w:pPr>
          </w:p>
        </w:tc>
        <w:tc>
          <w:tcPr>
            <w:tcW w:w="324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Coop,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Definitive Healthcare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640" w:val="left"/>
          <w:tab w:leader="none" w:pos="6640" w:val="left"/>
        </w:tabs>
        <w:rPr>
          <w:sz w:val="20"/>
          <w:szCs w:val="20"/>
          <w:color w:val="auto"/>
        </w:rPr>
      </w:pPr>
      <w:r>
        <w:rPr>
          <w:rFonts w:ascii="Times New Roman" w:cs="Times New Roman" w:eastAsia="Times New Roman" w:hAnsi="Times New Roman"/>
          <w:sz w:val="18"/>
          <w:szCs w:val="18"/>
          <w:color w:val="auto"/>
        </w:rPr>
        <w:t>Date:</w:t>
        <w:tab/>
        <w:t>November 7, 2024</w:t>
      </w:r>
      <w:r>
        <w:rPr>
          <w:sz w:val="20"/>
          <w:szCs w:val="20"/>
          <w:color w:val="auto"/>
        </w:rPr>
        <w:tab/>
      </w:r>
      <w:r>
        <w:rPr>
          <w:rFonts w:ascii="Times New Roman" w:cs="Times New Roman" w:eastAsia="Times New Roman" w:hAnsi="Times New Roman"/>
          <w:sz w:val="17"/>
          <w:szCs w:val="17"/>
          <w:color w:val="auto"/>
        </w:rPr>
        <w:t>/s/ 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26035</wp:posOffset>
            </wp:positionV>
            <wp:extent cx="30429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188595</wp:posOffset>
            </wp:positionV>
            <wp:extent cx="292290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8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Kevin Coop</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Booth,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Definitive Healthcare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680" w:val="left"/>
          <w:tab w:leader="none" w:pos="6640" w:val="left"/>
        </w:tabs>
        <w:rPr>
          <w:sz w:val="20"/>
          <w:szCs w:val="20"/>
          <w:color w:val="auto"/>
        </w:rPr>
      </w:pPr>
      <w:r>
        <w:rPr>
          <w:rFonts w:ascii="Times New Roman" w:cs="Times New Roman" w:eastAsia="Times New Roman" w:hAnsi="Times New Roman"/>
          <w:sz w:val="18"/>
          <w:szCs w:val="18"/>
          <w:color w:val="auto"/>
        </w:rPr>
        <w:t>Date:</w:t>
        <w:tab/>
        <w:t>November 7, 2024</w:t>
      </w:r>
      <w:r>
        <w:rPr>
          <w:sz w:val="20"/>
          <w:szCs w:val="20"/>
          <w:color w:val="auto"/>
        </w:rPr>
        <w:tab/>
      </w:r>
      <w:r>
        <w:rPr>
          <w:rFonts w:ascii="Times New Roman" w:cs="Times New Roman" w:eastAsia="Times New Roman" w:hAnsi="Times New Roman"/>
          <w:sz w:val="17"/>
          <w:szCs w:val="17"/>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31203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312039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188595</wp:posOffset>
            </wp:positionV>
            <wp:extent cx="292290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8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Richard Booth</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Definitive Healthcare Corp. (the “Company”) for the quarterly period ended September 30, 2024 as filed with the Securities and Exchange Commission on the date hereof (the “Report”), Kevin Coop, Chief Executive Officer of the Company, and Richard Booth,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his knowledge:</w:t>
      </w:r>
    </w:p>
    <w:p>
      <w:pPr>
        <w:spacing w:after="0" w:line="183"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9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Kevin Coop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26035</wp:posOffset>
            </wp:positionV>
            <wp:extent cx="28289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8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Kevin Coop</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5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26035</wp:posOffset>
            </wp:positionV>
            <wp:extent cx="28289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8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Richard Booth</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10-Q), irrespective of any general incorporation language contained in such filing.</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4"/>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lvl w:ilvl="1">
      <w:lvlJc w:val="left"/>
      <w:lvlText w:val="%2"/>
      <w:numFmt w:val="decimal"/>
      <w:start w:val="104"/>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70" Type="http://schemas.openxmlformats.org/officeDocument/2006/relationships/hyperlink" Target="https://www.sec.gov/Archives/edgar/data/1861795/000095017021003484/dh-ex3_1.htm" TargetMode="External"/><Relationship Id="rId371" Type="http://schemas.openxmlformats.org/officeDocument/2006/relationships/hyperlink" Target="https://www.sec.gov/Archives/edgar/data/1861795/000095017021003484/dh-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2024-11-07T15:54:55Z</dcterms:created>
  <dcterms:modified xsi:type="dcterms:W3CDTF">2024-11-07T15:54:55Z</dcterms:modified>
</cp:coreProperties>
</file>