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November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220" w:type="dxa"/>
        <w:tblCellMar>
          <w:top w:w="0" w:type="dxa"/>
          <w:left w:w="0" w:type="dxa"/>
          <w:bottom w:w="0" w:type="dxa"/>
          <w:right w:w="0" w:type="dxa"/>
        </w:tblCellMar>
      </w:tblPr>
      <w:tr>
        <w:trPr>
          <w:trHeight w:val="534"/>
        </w:trPr>
        <w:tc>
          <w:tcPr>
            <w:tcW w:w="1620" w:type="dxa"/>
            <w:vAlign w:val="bottom"/>
          </w:tcPr>
          <w:p>
            <w:pPr>
              <w:spacing w:after="0"/>
              <w:rPr>
                <w:sz w:val="24"/>
                <w:szCs w:val="24"/>
                <w:color w:val="auto"/>
              </w:rPr>
            </w:pPr>
          </w:p>
        </w:tc>
        <w:tc>
          <w:tcPr>
            <w:tcW w:w="7020" w:type="dxa"/>
            <w:vAlign w:val="bottom"/>
            <w:gridSpan w:val="3"/>
          </w:tcPr>
          <w:p>
            <w:pPr>
              <w:jc w:val="center"/>
              <w:ind w:right="13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620" w:type="dxa"/>
            <w:vAlign w:val="bottom"/>
          </w:tcPr>
          <w:p>
            <w:pPr>
              <w:spacing w:after="0"/>
              <w:rPr>
                <w:sz w:val="15"/>
                <w:szCs w:val="15"/>
                <w:color w:val="auto"/>
              </w:rPr>
            </w:pPr>
          </w:p>
        </w:tc>
        <w:tc>
          <w:tcPr>
            <w:tcW w:w="7020" w:type="dxa"/>
            <w:vAlign w:val="bottom"/>
            <w:gridSpan w:val="3"/>
          </w:tcPr>
          <w:p>
            <w:pPr>
              <w:jc w:val="center"/>
              <w:ind w:right="13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620" w:type="dxa"/>
            <w:vAlign w:val="bottom"/>
          </w:tcPr>
          <w:p>
            <w:pPr>
              <w:spacing w:after="0"/>
              <w:rPr>
                <w:sz w:val="24"/>
                <w:szCs w:val="24"/>
                <w:color w:val="auto"/>
              </w:rPr>
            </w:pPr>
          </w:p>
        </w:tc>
        <w:tc>
          <w:tcPr>
            <w:tcW w:w="7020" w:type="dxa"/>
            <w:vAlign w:val="bottom"/>
            <w:gridSpan w:val="3"/>
          </w:tcPr>
          <w:p>
            <w:pPr>
              <w:jc w:val="center"/>
              <w:ind w:right="139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15"/>
        </w:trPr>
        <w:tc>
          <w:tcPr>
            <w:tcW w:w="1620" w:type="dxa"/>
            <w:vAlign w:val="bottom"/>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020" w:type="dxa"/>
            <w:vAlign w:val="bottom"/>
            <w:gridSpan w:val="3"/>
          </w:tcPr>
          <w:p>
            <w:pPr>
              <w:jc w:val="center"/>
              <w:ind w:left="5866"/>
              <w:spacing w:after="0"/>
              <w:rPr>
                <w:sz w:val="20"/>
                <w:szCs w:val="20"/>
                <w:color w:val="auto"/>
              </w:rPr>
            </w:pPr>
            <w:r>
              <w:rPr>
                <w:rFonts w:ascii="Times New Roman" w:cs="Times New Roman" w:eastAsia="Times New Roman" w:hAnsi="Times New Roman"/>
                <w:sz w:val="18"/>
                <w:szCs w:val="18"/>
                <w:b w:val="1"/>
                <w:bCs w:val="1"/>
                <w:color w:val="auto"/>
                <w:w w:val="98"/>
              </w:rPr>
              <w:t>86-3988281</w:t>
            </w:r>
          </w:p>
        </w:tc>
      </w:tr>
      <w:tr>
        <w:trPr>
          <w:trHeight w:val="149"/>
        </w:trPr>
        <w:tc>
          <w:tcPr>
            <w:tcW w:w="1620" w:type="dxa"/>
            <w:vAlign w:val="bottom"/>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rPr>
              <w:t>(State of Incorporation)</w:t>
            </w:r>
          </w:p>
        </w:tc>
        <w:tc>
          <w:tcPr>
            <w:tcW w:w="1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43"/>
        </w:trPr>
        <w:tc>
          <w:tcPr>
            <w:tcW w:w="1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1993"/>
              <w:spacing w:after="0" w:line="143" w:lineRule="exact"/>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16"/>
        </w:trPr>
        <w:tc>
          <w:tcPr>
            <w:tcW w:w="1620" w:type="dxa"/>
            <w:vAlign w:val="bottom"/>
          </w:tcPr>
          <w:p>
            <w:pPr>
              <w:spacing w:after="0"/>
              <w:rPr>
                <w:sz w:val="18"/>
                <w:szCs w:val="18"/>
                <w:color w:val="auto"/>
              </w:rPr>
            </w:pPr>
          </w:p>
        </w:tc>
        <w:tc>
          <w:tcPr>
            <w:tcW w:w="7020" w:type="dxa"/>
            <w:vAlign w:val="bottom"/>
            <w:gridSpan w:val="3"/>
          </w:tcPr>
          <w:p>
            <w:pPr>
              <w:jc w:val="center"/>
              <w:ind w:right="13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620" w:type="dxa"/>
            <w:vAlign w:val="bottom"/>
          </w:tcPr>
          <w:p>
            <w:pPr>
              <w:spacing w:after="0"/>
              <w:rPr>
                <w:sz w:val="20"/>
                <w:szCs w:val="20"/>
                <w:color w:val="auto"/>
              </w:rPr>
            </w:pPr>
          </w:p>
        </w:tc>
        <w:tc>
          <w:tcPr>
            <w:tcW w:w="7020" w:type="dxa"/>
            <w:vAlign w:val="bottom"/>
            <w:gridSpan w:val="3"/>
          </w:tcPr>
          <w:p>
            <w:pPr>
              <w:jc w:val="center"/>
              <w:ind w:right="1333"/>
              <w:spacing w:after="0"/>
              <w:rPr>
                <w:sz w:val="20"/>
                <w:szCs w:val="20"/>
                <w:color w:val="auto"/>
              </w:rPr>
            </w:pPr>
            <w:r>
              <w:rPr>
                <w:rFonts w:ascii="Times New Roman" w:cs="Times New Roman" w:eastAsia="Times New Roman" w:hAnsi="Times New Roman"/>
                <w:sz w:val="18"/>
                <w:szCs w:val="18"/>
                <w:b w:val="1"/>
                <w:bCs w:val="1"/>
                <w:color w:val="auto"/>
                <w:w w:val="99"/>
              </w:rPr>
              <w:t>Framingham, Massachusetts 01701</w:t>
            </w:r>
          </w:p>
        </w:tc>
      </w:tr>
      <w:tr>
        <w:trPr>
          <w:trHeight w:val="202"/>
        </w:trPr>
        <w:tc>
          <w:tcPr>
            <w:tcW w:w="1620" w:type="dxa"/>
            <w:vAlign w:val="bottom"/>
          </w:tcPr>
          <w:p>
            <w:pPr>
              <w:spacing w:after="0"/>
              <w:rPr>
                <w:sz w:val="17"/>
                <w:szCs w:val="17"/>
                <w:color w:val="auto"/>
              </w:rPr>
            </w:pPr>
          </w:p>
        </w:tc>
        <w:tc>
          <w:tcPr>
            <w:tcW w:w="7020" w:type="dxa"/>
            <w:vAlign w:val="bottom"/>
            <w:gridSpan w:val="3"/>
          </w:tcPr>
          <w:p>
            <w:pPr>
              <w:jc w:val="center"/>
              <w:ind w:right="143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29"/>
        </w:trPr>
        <w:tc>
          <w:tcPr>
            <w:tcW w:w="1620" w:type="dxa"/>
            <w:vAlign w:val="bottom"/>
          </w:tcPr>
          <w:p>
            <w:pPr>
              <w:spacing w:after="0"/>
              <w:rPr>
                <w:sz w:val="24"/>
                <w:szCs w:val="24"/>
                <w:color w:val="auto"/>
              </w:rPr>
            </w:pPr>
          </w:p>
        </w:tc>
        <w:tc>
          <w:tcPr>
            <w:tcW w:w="3900" w:type="dxa"/>
            <w:vAlign w:val="bottom"/>
            <w:gridSpan w:val="2"/>
          </w:tcPr>
          <w:p>
            <w:pPr>
              <w:jc w:val="center"/>
              <w:ind w:left="15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620" w:type="dxa"/>
            <w:vAlign w:val="bottom"/>
          </w:tcPr>
          <w:p>
            <w:pPr>
              <w:spacing w:after="0"/>
              <w:rPr>
                <w:sz w:val="15"/>
                <w:szCs w:val="15"/>
                <w:color w:val="auto"/>
              </w:rPr>
            </w:pPr>
          </w:p>
        </w:tc>
        <w:tc>
          <w:tcPr>
            <w:tcW w:w="7020" w:type="dxa"/>
            <w:vAlign w:val="bottom"/>
            <w:gridSpan w:val="3"/>
          </w:tcPr>
          <w:p>
            <w:pPr>
              <w:jc w:val="center"/>
              <w:ind w:right="141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64"/>
        </w:trPr>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620" w:type="dxa"/>
            <w:vAlign w:val="bottom"/>
          </w:tcPr>
          <w:p>
            <w:pPr>
              <w:spacing w:after="0"/>
              <w:rPr>
                <w:sz w:val="15"/>
                <w:szCs w:val="15"/>
                <w:color w:val="auto"/>
              </w:rPr>
            </w:pPr>
          </w:p>
        </w:tc>
        <w:tc>
          <w:tcPr>
            <w:tcW w:w="7020" w:type="dxa"/>
            <w:vAlign w:val="bottom"/>
            <w:gridSpan w:val="3"/>
          </w:tcPr>
          <w:p>
            <w:pPr>
              <w:jc w:val="center"/>
              <w:ind w:right="13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4"/>
                <w:szCs w:val="14"/>
                <w:color w:val="auto"/>
              </w:rPr>
            </w:pPr>
          </w:p>
        </w:tc>
        <w:tc>
          <w:tcPr>
            <w:tcW w:w="3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08"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6, 2025, Definitive Healthcare Corp. (the “Company”) issued a press release announcing its financial results for the third quarter ended September 30, 2025. A copy of the press release is furnished as Exhibit 99.1 to this Current Report on Form 8-K and is incorporated by reference herein.</w:t>
      </w:r>
    </w:p>
    <w:p>
      <w:pPr>
        <w:spacing w:after="0" w:line="6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96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9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November 6, 2025 (furnished herewith pursuant to Item 2.02)</w:t>
            </w:r>
          </w:p>
        </w:tc>
      </w:tr>
      <w:tr>
        <w:trPr>
          <w:trHeight w:val="23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6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040" w:type="dxa"/>
            <w:vAlign w:val="bottom"/>
          </w:tcPr>
          <w:p>
            <w:pPr>
              <w:spacing w:after="0"/>
              <w:rPr>
                <w:sz w:val="20"/>
                <w:szCs w:val="20"/>
                <w:color w:val="auto"/>
              </w:rPr>
            </w:pPr>
          </w:p>
        </w:tc>
      </w:tr>
      <w:tr>
        <w:trPr>
          <w:trHeight w:val="1195"/>
        </w:trPr>
        <w:tc>
          <w:tcPr>
            <w:tcW w:w="124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Casey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18415</wp:posOffset>
            </wp:positionV>
            <wp:extent cx="25031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Casey Heller</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Definitive Healthcare Reports Financial Results for Third Quarter Fiscal Year 2025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Third Quarter Revenue Delivered at High End of Guidance</w:t>
      </w:r>
    </w:p>
    <w:p>
      <w:pPr>
        <w:spacing w:after="0" w:line="92" w:lineRule="exact"/>
        <w:rPr>
          <w:sz w:val="20"/>
          <w:szCs w:val="20"/>
          <w:color w:val="auto"/>
        </w:rPr>
      </w:pPr>
    </w:p>
    <w:p>
      <w:pPr>
        <w:jc w:val="both"/>
        <w:ind w:right="60"/>
        <w:spacing w:after="0" w:line="242" w:lineRule="auto"/>
        <w:rPr>
          <w:sz w:val="20"/>
          <w:szCs w:val="20"/>
          <w:color w:val="auto"/>
        </w:rPr>
      </w:pPr>
      <w:r>
        <w:rPr>
          <w:rFonts w:ascii="Arial" w:cs="Arial" w:eastAsia="Arial" w:hAnsi="Arial"/>
          <w:sz w:val="20"/>
          <w:szCs w:val="20"/>
          <w:b w:val="1"/>
          <w:bCs w:val="1"/>
          <w:color w:val="auto"/>
        </w:rPr>
        <w:t xml:space="preserve">Framingham, MA (November 6, 2025) </w:t>
      </w:r>
      <w:r>
        <w:rPr>
          <w:rFonts w:ascii="Arial" w:cs="Arial" w:eastAsia="Arial" w:hAnsi="Arial"/>
          <w:sz w:val="20"/>
          <w:szCs w:val="20"/>
          <w:color w:val="auto"/>
        </w:rPr>
        <w:t>– Definitive Healthcare Corp. (“Definitive Healthcare” or the “Company”) (Nasdaq: DH),</w:t>
      </w:r>
      <w:r>
        <w:rPr>
          <w:rFonts w:ascii="Arial" w:cs="Arial" w:eastAsia="Arial" w:hAnsi="Arial"/>
          <w:sz w:val="20"/>
          <w:szCs w:val="20"/>
          <w:b w:val="1"/>
          <w:bCs w:val="1"/>
          <w:color w:val="auto"/>
        </w:rPr>
        <w:t xml:space="preserve"> </w:t>
      </w:r>
      <w:r>
        <w:rPr>
          <w:rFonts w:ascii="Arial" w:cs="Arial" w:eastAsia="Arial" w:hAnsi="Arial"/>
          <w:sz w:val="20"/>
          <w:szCs w:val="20"/>
          <w:color w:val="auto"/>
        </w:rPr>
        <w:t>an industry leader in healthcare commercial intelligence, today announced financial results for the quarter ended September 30, 2025.</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2025 Financial Highlights:</w:t>
      </w:r>
    </w:p>
    <w:p>
      <w:pPr>
        <w:spacing w:after="0" w:line="202"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$60.0 million, a decrease of 4% from $62.7 million in Q3 2024.</w:t>
      </w:r>
    </w:p>
    <w:p>
      <w:pPr>
        <w:spacing w:after="0" w:line="214"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was $(17.8) million, or (30)% of revenue, compared to $(187.8) million in Q3 2024, inclusive of goodwill</w:t>
      </w:r>
      <w:r>
        <w:rPr>
          <w:rFonts w:ascii="Arial" w:cs="Arial" w:eastAsia="Arial" w:hAnsi="Arial"/>
          <w:sz w:val="20"/>
          <w:szCs w:val="20"/>
          <w:b w:val="1"/>
          <w:bCs w:val="1"/>
          <w:color w:val="auto"/>
        </w:rPr>
        <w:t xml:space="preserve"> </w:t>
      </w:r>
      <w:r>
        <w:rPr>
          <w:rFonts w:ascii="Arial" w:cs="Arial" w:eastAsia="Arial" w:hAnsi="Arial"/>
          <w:sz w:val="20"/>
          <w:szCs w:val="20"/>
          <w:color w:val="auto"/>
        </w:rPr>
        <w:t>impairment charges of $228.2 million, or (300)% of revenue.</w:t>
      </w:r>
    </w:p>
    <w:p>
      <w:pPr>
        <w:spacing w:after="0" w:line="15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$9.7 million, compared to $15.4 million in Q3 2024.</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Adjusted EBITDA </w:t>
      </w:r>
      <w:r>
        <w:rPr>
          <w:rFonts w:ascii="Arial" w:cs="Arial" w:eastAsia="Arial" w:hAnsi="Arial"/>
          <w:sz w:val="19"/>
          <w:szCs w:val="19"/>
          <w:color w:val="auto"/>
        </w:rPr>
        <w:t>was $18.9 million, or 32% of revenue, compared to $20.6 million, or 33% of revenue in Q3 2024.</w:t>
      </w:r>
    </w:p>
    <w:p>
      <w:pPr>
        <w:spacing w:after="0" w:line="226"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$15.7 million in the quarter.</w:t>
      </w:r>
    </w:p>
    <w:p>
      <w:pPr>
        <w:spacing w:after="0" w:line="214"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0"/>
          <w:szCs w:val="20"/>
          <w:color w:val="auto"/>
        </w:rPr>
        <w:t>was $17.9 million in the quarter.</w:t>
      </w:r>
    </w:p>
    <w:p>
      <w:pPr>
        <w:spacing w:after="0" w:line="325"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“We delivered third quarter results at or above the high end of our guidance ranges, with Adjusted EBITDA exceeding expectations by $2 million,” said Kevin Coop, CEO of Definitive Healthcare. “We continue to make steady progress across our strategic pillars, with encouraging improvements in new logo production and retention rates. We remain focused on executing our operational initiatives and investments that we are confident will position us to continue delivering progress and improved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Recent Business and Operating Highlights:</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Wins</w:t>
      </w:r>
    </w:p>
    <w:p>
      <w:pPr>
        <w:spacing w:after="0" w:line="204"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auto"/>
        </w:rPr>
        <w:t>In the third quarter, Definitive Healthcare continued to win new logos and expansion opportunities across all end-markets, by providing the data, insights and integrations that drive their critical business use cases. Customer wins for the quarter included:</w:t>
      </w:r>
    </w:p>
    <w:p>
      <w:pPr>
        <w:spacing w:after="0" w:line="23" w:lineRule="exact"/>
        <w:rPr>
          <w:sz w:val="20"/>
          <w:szCs w:val="20"/>
          <w:color w:val="auto"/>
        </w:rPr>
      </w:pPr>
    </w:p>
    <w:p>
      <w:pPr>
        <w:ind w:left="1020" w:right="60" w:hanging="503"/>
        <w:spacing w:after="0" w:line="234"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 large multi-national biopharma selected Definitive Healthcare to transform their medical affairs operations after relying on time-intensive manual research to identify key opinion leaders across multiple product lines. Our comprehensive Key Opinion Leader datasets and advanced search capabilities were instrumental in demonstrating immediate value, enabling their team to more efficiently identify and engage the right thought leaders while positioning us strongly for future expansion opportunities.</w:t>
      </w:r>
    </w:p>
    <w:p>
      <w:pPr>
        <w:spacing w:after="0" w:line="66" w:lineRule="exact"/>
        <w:rPr>
          <w:rFonts w:ascii="Times New Roman" w:cs="Times New Roman" w:eastAsia="Times New Roman" w:hAnsi="Times New Roman"/>
          <w:sz w:val="20"/>
          <w:szCs w:val="20"/>
          <w:color w:val="auto"/>
        </w:rPr>
      </w:pPr>
    </w:p>
    <w:p>
      <w:pPr>
        <w:ind w:left="102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 medical device company chose Definitive Healthcare after their incumbent data provider failed to deliver critical insights on affiliation hierarchies within Integrated Delivery Networks needed to identify key buying decision makers. Our ability to seamlessly combine hospital affiliation data with claims analytics, executive contact information, and payer mix intelligence proved decisive in securing this competitive displacement.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4" w:right="4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Business Outlook</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Based on information as of November 6, 2025, the Company is issuing the following financial guidance.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2025:</w:t>
      </w:r>
    </w:p>
    <w:p>
      <w:pPr>
        <w:spacing w:after="0" w:line="9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$59.0 – $60.0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$13.5 – $14.5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$16.0 – $17.0 million, and 27 – 29% adjusted EBITDA margin.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$8.0 – $9.0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$0.05 to $0.06 per share on approximately 145.8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2025:</w:t>
      </w:r>
    </w:p>
    <w:p>
      <w:pPr>
        <w:spacing w:after="0" w:line="94" w:lineRule="exact"/>
        <w:rPr>
          <w:sz w:val="20"/>
          <w:szCs w:val="20"/>
          <w:color w:val="auto"/>
        </w:rPr>
      </w:pPr>
    </w:p>
    <w:p>
      <w:pPr>
        <w:ind w:left="1020" w:right="20" w:hanging="503"/>
        <w:spacing w:after="0" w:line="25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$239.0 – $240.0 million, raising the bottom end of our prior range by $2.0</w:t>
      </w:r>
      <w:r>
        <w:rPr>
          <w:rFonts w:ascii="Arial" w:cs="Arial" w:eastAsia="Arial" w:hAnsi="Arial"/>
          <w:sz w:val="20"/>
          <w:szCs w:val="20"/>
          <w:b w:val="1"/>
          <w:bCs w:val="1"/>
          <w:color w:val="auto"/>
        </w:rPr>
        <w:t xml:space="preserve"> </w:t>
      </w:r>
      <w:r>
        <w:rPr>
          <w:rFonts w:ascii="Arial" w:cs="Arial" w:eastAsia="Arial" w:hAnsi="Arial"/>
          <w:sz w:val="20"/>
          <w:szCs w:val="20"/>
          <w:color w:val="auto"/>
        </w:rPr>
        <w:t>million.</w:t>
      </w:r>
    </w:p>
    <w:p>
      <w:pPr>
        <w:spacing w:after="0" w:line="4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$57.5 – $58.5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$68.0 – $69.0 million, and 28 – 29% adjusted EBITDA margin.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$34.0 – $35.0 million.</w:t>
      </w:r>
    </w:p>
    <w:p>
      <w:pPr>
        <w:spacing w:after="0" w:line="106" w:lineRule="exact"/>
        <w:rPr>
          <w:rFonts w:ascii="Times New Roman" w:cs="Times New Roman" w:eastAsia="Times New Roman" w:hAnsi="Times New Roman"/>
          <w:sz w:val="20"/>
          <w:szCs w:val="20"/>
          <w:color w:val="auto"/>
        </w:rPr>
      </w:pPr>
    </w:p>
    <w:p>
      <w:pPr>
        <w:ind w:left="1020" w:hanging="503"/>
        <w:spacing w:after="0" w:line="259"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$0.23 to $0.24 per share on approximately 146.8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weighted-average shares outstanding.</w:t>
      </w:r>
    </w:p>
    <w:p>
      <w:pPr>
        <w:spacing w:after="0" w:line="45"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i w:val="1"/>
          <w:iCs w:val="1"/>
          <w:color w:val="auto"/>
        </w:rPr>
        <w:t>We do not provide a quantitative reconciliation of the forward-looking non-GAAP financial measures included in this press release to the most directly comparable GAAP measures due to the high variability and difficulty in predicting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Conference Call Information</w:t>
      </w:r>
    </w:p>
    <w:p>
      <w:pPr>
        <w:spacing w:after="0" w:line="6"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Definitive Healthcare will host a conference call today November 6, 2025, at 5:00 p.m. (Eastern Daylight Time) to discuss the Company's full financial results and current business outlook. Participants may access the call at 1-877-358-7298 or 1-848-488-9244. Shortly after the conclusion of the call, a replay of this conference call will be available through December 6, 2025, at 1-800-645-7964 or 1-757-849-6722. The replay passcode is 1765#. A live audio webcast of the event will be available on Definitive Healthcare’s Investor Relations website at ir.definitivehc.com/.</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6"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At Definitive Healthcare, our passion is to transform data, analytics and expertise into healthcare commercial intelligence. We help clients uncover the right markets, opportunities and people, so they can shape tomorrow’s healthcare industry. Learn more at 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4" w:right="4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i w:val="1"/>
          <w:iCs w:val="1"/>
          <w:color w:val="auto"/>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tariffs, sanctions, trade barriers, recessions, fluctuating inflation, high interest rates, volatility in the capital markets and 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and the possibility that our security measures are breached or unauthorized access to data is otherwise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662940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8" w:name="page9"/>
    <w:bookmarkEnd w:id="8"/>
    <w:p>
      <w:pPr>
        <w:ind w:right="200"/>
        <w:spacing w:after="0" w:line="252" w:lineRule="auto"/>
        <w:rPr>
          <w:sz w:val="20"/>
          <w:szCs w:val="20"/>
          <w:color w:val="auto"/>
        </w:rPr>
      </w:pPr>
      <w:r>
        <w:rPr>
          <w:rFonts w:ascii="Arial" w:cs="Arial" w:eastAsia="Arial" w:hAnsi="Arial"/>
          <w:sz w:val="19"/>
          <w:szCs w:val="19"/>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54" w:lineRule="exact"/>
        <w:rPr>
          <w:sz w:val="20"/>
          <w:szCs w:val="20"/>
          <w:color w:val="auto"/>
        </w:rPr>
      </w:pPr>
    </w:p>
    <w:p>
      <w:pPr>
        <w:spacing w:after="0" w:line="241" w:lineRule="auto"/>
        <w:rPr>
          <w:sz w:val="20"/>
          <w:szCs w:val="20"/>
          <w:color w:val="auto"/>
        </w:rPr>
      </w:pPr>
      <w:r>
        <w:rPr>
          <w:rFonts w:ascii="Arial" w:cs="Arial" w:eastAsia="Arial" w:hAnsi="Arial"/>
          <w:sz w:val="20"/>
          <w:szCs w:val="20"/>
          <w:i w:val="1"/>
          <w:iCs w:val="1"/>
          <w:color w:val="auto"/>
        </w:rPr>
        <w:t>For additional discussion of factors that could impact our operational and financial results, refer to our annual report on Form 10-K and subsequently filed quarterly reports on Form 10-Q, which are or will be available on the Investor Relations page of our website at ir.definitivehc.com and on the U.S. Securities and Exchange Commission ("SEC”) website at www.sec.gov.</w:t>
      </w:r>
    </w:p>
    <w:p>
      <w:pPr>
        <w:spacing w:after="0" w:line="6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8"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Website</w:t>
      </w:r>
    </w:p>
    <w:p>
      <w:pPr>
        <w:spacing w:after="0" w:line="204" w:lineRule="exact"/>
        <w:rPr>
          <w:sz w:val="20"/>
          <w:szCs w:val="20"/>
          <w:color w:val="auto"/>
        </w:rPr>
      </w:pPr>
    </w:p>
    <w:p>
      <w:pPr>
        <w:spacing w:after="0" w:line="233" w:lineRule="auto"/>
        <w:rPr>
          <w:sz w:val="20"/>
          <w:szCs w:val="20"/>
          <w:color w:val="auto"/>
        </w:rPr>
      </w:pPr>
      <w:r>
        <w:rPr>
          <w:rFonts w:ascii="Arial" w:cs="Arial" w:eastAsia="Arial" w:hAnsi="Arial"/>
          <w:sz w:val="20"/>
          <w:szCs w:val="20"/>
          <w:i w:val="1"/>
          <w:iCs w:val="1"/>
          <w:color w:val="auto"/>
        </w:rPr>
        <w:t>Definitive Healthcare intends to use its website as a distribution channel of material company information. Financial and other important information regarding the Company is routinely posted on and accessible through the Company’s website at definitivehc.com. Accordingly, you should monitor the investor relations portion of our website at 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ir.definitivehc.com.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Non-GAAP Financial Measures</w:t>
      </w:r>
    </w:p>
    <w:p>
      <w:pPr>
        <w:spacing w:after="0" w:line="204" w:lineRule="exact"/>
        <w:rPr>
          <w:sz w:val="20"/>
          <w:szCs w:val="20"/>
          <w:color w:val="auto"/>
        </w:rPr>
      </w:pPr>
    </w:p>
    <w:p>
      <w:pPr>
        <w:ind w:right="80"/>
        <w:spacing w:after="0"/>
        <w:rPr>
          <w:sz w:val="20"/>
          <w:szCs w:val="20"/>
          <w:color w:val="auto"/>
        </w:rPr>
      </w:pPr>
      <w:r>
        <w:rPr>
          <w:rFonts w:ascii="Arial" w:cs="Arial" w:eastAsia="Arial" w:hAnsi="Arial"/>
          <w:sz w:val="19"/>
          <w:szCs w:val="19"/>
          <w:i w:val="1"/>
          <w:iCs w:val="1"/>
          <w:color w:val="auto"/>
        </w:rPr>
        <w:t>This earnings release contains financial measures that have not been prepared in accordance with U.S. generally accepted accounting principles (“GAAP”), including Unlevered Free Cash Flow, Adjusted EBITDA, Adjusted EBITDA Margin, Adjusted Gross Profit, Adjusted Gross Margin, Adjusted Operating Income, Adjusted Net Income and Adjusted Net Income Per Diluted Share.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p>
    <w:p>
      <w:pPr>
        <w:spacing w:after="0" w:line="7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These non-GAAP financial measures are not required by or prepared in accordance with GAAP. These are supplemental financial measures of our performance and should not be considered substitutes for cash provided by (used in) operating activities, loss from operations, net (loss) income, net (loss) income margin, gross profit, gross margin, or any other measure derived in accordance with GAAP.</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Reconciliations to Certain Non-GAAP Measures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Unlevered Free Cash Flow</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We define Unlevered Free Cash Flow as net cash provided by operating activities less purchases of property, equipment and other assets, plus cash interest expense, and cash payments related to transaction, integration, and restructuring related expenses, earnouts, and other non-core items paid in cash. Unlevered Free Cash Flow does not represent residual cash flow available for discretionary expenditures since, among other things, we have mandatory debt service requirements.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EBITDA, Adjusted EBITDA and Adjusted EBITDA Margin</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We define EBITDA as earnings before debt-related costs, including interest expense (income), net, and loss on partial extinguishment of debt, income taxes and depreciation and amortization. Adjusted EBITDA is defined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1" w:name="page12"/>
    <w:bookmarkEnd w:id="11"/>
    <w:p>
      <w:pPr>
        <w:jc w:val="both"/>
        <w:spacing w:after="0" w:line="231" w:lineRule="auto"/>
        <w:rPr>
          <w:sz w:val="20"/>
          <w:szCs w:val="20"/>
          <w:color w:val="auto"/>
        </w:rPr>
      </w:pPr>
      <w:r>
        <w:rPr>
          <w:rFonts w:ascii="Arial" w:cs="Arial" w:eastAsia="Arial" w:hAnsi="Arial"/>
          <w:sz w:val="20"/>
          <w:szCs w:val="20"/>
          <w:i w:val="1"/>
          <w:iCs w:val="1"/>
          <w:color w:val="auto"/>
        </w:rPr>
        <w:t>EBITDA adjusted to exclude certain items of a significant or unusual nature, including other income, net,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 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Gross Profit and Adjusted Gross Margin</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Operating Income</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We define Adjusted Operating Income as loss from operations plus acquisition related amortization, equity-based compensation, transaction, integration, and restructuring expenses, goodwill impairments and other non-core expenses.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Net Income and Adjusted Net Income Per Diluted Share</w:t>
      </w:r>
    </w:p>
    <w:p>
      <w:pPr>
        <w:spacing w:after="0" w:line="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define Adjusted Net Income as Adjusted Operating Income less interest (expense), income net, recurring income tax (provision) benefit, foreign currency gain (loss), and tax impacts of adjustments. We define Adjusted Net Income Per Diluted Share as Adjusted Net Income divided by diluted outstanding shares.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In evaluating our non-GAAP financial measures, you should be aware that in the future we may incur expenses similar to those eliminated in these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Brian Denyeau</w:t>
      </w:r>
    </w:p>
    <w:p>
      <w:pPr>
        <w:spacing w:after="0" w:line="226" w:lineRule="auto"/>
        <w:rPr>
          <w:sz w:val="20"/>
          <w:szCs w:val="20"/>
          <w:color w:val="auto"/>
        </w:rPr>
      </w:pPr>
      <w:r>
        <w:rPr>
          <w:rFonts w:ascii="Arial" w:cs="Arial" w:eastAsia="Arial" w:hAnsi="Arial"/>
          <w:sz w:val="20"/>
          <w:szCs w:val="20"/>
          <w:color w:val="auto"/>
        </w:rPr>
        <w:t>ICR for Definitive Healthcare</w:t>
      </w:r>
    </w:p>
    <w:p>
      <w:pPr>
        <w:spacing w:after="0" w:line="225" w:lineRule="auto"/>
        <w:rPr>
          <w:sz w:val="20"/>
          <w:szCs w:val="20"/>
          <w:color w:val="auto"/>
        </w:rPr>
      </w:pPr>
      <w:r>
        <w:rPr>
          <w:rFonts w:ascii="Arial" w:cs="Arial" w:eastAsia="Arial" w:hAnsi="Arial"/>
          <w:sz w:val="20"/>
          <w:szCs w:val="20"/>
          <w:u w:val="single" w:color="auto"/>
          <w:color w:val="0000FF"/>
        </w:rPr>
        <w:t>brian.denyeau@icrinc.com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646-277-1251</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Bethany Swackhamer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bswackhamer@definitivehc.com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4" w:right="1440" w:bottom="1440" w:gutter="0" w:footer="0" w:header="0"/>
        </w:sectPr>
      </w:pPr>
    </w:p>
    <w:bookmarkStart w:id="13" w:name="page14"/>
    <w:bookmarkEnd w:id="13"/>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and par value;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5"/>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108,317</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105,378</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184,786</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34,371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53,232</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13,040</w:t>
            </w:r>
          </w:p>
        </w:tc>
      </w:tr>
      <w:tr>
        <w:trPr>
          <w:trHeight w:val="216"/>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contract costs</w:t>
            </w: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246,317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370,172</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11,658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3,791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14,389</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260,081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297,933</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393,283</w:t>
            </w:r>
          </w:p>
        </w:tc>
        <w:tc>
          <w:tcPr>
            <w:tcW w:w="120" w:type="dxa"/>
            <w:vAlign w:val="bottom"/>
          </w:tcPr>
          <w:p>
            <w:pPr>
              <w:spacing w:after="0"/>
              <w:rPr>
                <w:sz w:val="18"/>
                <w:szCs w:val="18"/>
                <w:color w:val="auto"/>
              </w:rPr>
            </w:pPr>
          </w:p>
        </w:tc>
      </w:tr>
      <w:tr>
        <w:trPr>
          <w:trHeight w:val="25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755,527</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1,089,389</w:t>
            </w:r>
          </w:p>
        </w:tc>
      </w:tr>
      <w:tr>
        <w:trPr>
          <w:trHeight w:val="196"/>
        </w:trPr>
        <w:tc>
          <w:tcPr>
            <w:tcW w:w="71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10,763</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41,914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40,896</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93,344</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8,750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13,750</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Pr>
          <w:p>
            <w:pPr>
              <w:spacing w:after="0"/>
              <w:rPr>
                <w:sz w:val="18"/>
                <w:szCs w:val="18"/>
                <w:color w:val="auto"/>
              </w:rPr>
            </w:pPr>
          </w:p>
        </w:tc>
      </w:tr>
      <w:tr>
        <w:trPr>
          <w:trHeight w:val="21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153,881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161,161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229,368</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7,586</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 liability</w:t>
            </w:r>
          </w:p>
        </w:tc>
        <w:tc>
          <w:tcPr>
            <w:tcW w:w="2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49,511</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25,088</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20" w:type="dxa"/>
            <w:vAlign w:val="bottom"/>
          </w:tcPr>
          <w:p>
            <w:pPr>
              <w:spacing w:after="0"/>
              <w:rPr>
                <w:sz w:val="18"/>
                <w:szCs w:val="18"/>
                <w:color w:val="auto"/>
              </w:rPr>
            </w:pPr>
          </w:p>
        </w:tc>
      </w:tr>
      <w:tr>
        <w:trPr>
          <w:trHeight w:val="21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365,857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482,195</w:t>
            </w:r>
          </w:p>
        </w:tc>
      </w:tr>
      <w:tr>
        <w:trPr>
          <w:trHeight w:val="425"/>
        </w:trPr>
        <w:tc>
          <w:tcPr>
            <w:tcW w:w="7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198"/>
        </w:trPr>
        <w:tc>
          <w:tcPr>
            <w:tcW w:w="71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$0.001, 600,000,000 shares authorized, 103,011,649 and</w:t>
            </w: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113,953,554 shares issued and outstanding at September 30, 2025 and December 31, 2024,</w:t>
            </w:r>
          </w:p>
        </w:tc>
        <w:tc>
          <w:tcPr>
            <w:tcW w:w="2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r>
      <w:tr>
        <w:trPr>
          <w:trHeight w:val="198"/>
        </w:trPr>
        <w:tc>
          <w:tcPr>
            <w:tcW w:w="71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$0.00001, 65,000,000 shares authorized, 38,349,047 shares</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at September 30, 2025, and 39,439,198 and 39,375,806 shares issued</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 at December 31, 2024</w:t>
            </w:r>
          </w:p>
        </w:tc>
        <w:tc>
          <w:tcPr>
            <w:tcW w:w="20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1,056,482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1,085,445</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deficit</w:t>
            </w:r>
          </w:p>
        </w:tc>
        <w:tc>
          <w:tcPr>
            <w:tcW w:w="2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(770,191)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(640,574)</w:t>
            </w: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162,819</w:t>
            </w:r>
          </w:p>
        </w:tc>
        <w:tc>
          <w:tcPr>
            <w:tcW w:w="120" w:type="dxa"/>
            <w:vAlign w:val="bottom"/>
          </w:tcPr>
          <w:p>
            <w:pPr>
              <w:spacing w:after="0"/>
              <w:rPr>
                <w:sz w:val="18"/>
                <w:szCs w:val="18"/>
                <w:color w:val="auto"/>
              </w:rPr>
            </w:pPr>
          </w:p>
        </w:tc>
      </w:tr>
      <w:tr>
        <w:trPr>
          <w:trHeight w:val="210"/>
        </w:trPr>
        <w:tc>
          <w:tcPr>
            <w:tcW w:w="7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389,670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755,527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1,089,389</w:t>
            </w:r>
          </w:p>
        </w:tc>
      </w:tr>
      <w:tr>
        <w:trPr>
          <w:trHeight w:val="20"/>
        </w:trPr>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5"/>
        </w:trPr>
        <w:tc>
          <w:tcPr>
            <w:tcW w:w="7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-6094095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-6094095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-4979670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-4962525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-4979670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-4962525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-2742565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-2742565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-942340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thousands, except share amounts and per share data;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26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60,046</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179,987</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189,914</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Cost of revenue exclusive of amortization </w:t>
            </w:r>
            <w:r>
              <w:rPr>
                <w:rFonts w:ascii="Times New Roman" w:cs="Times New Roman" w:eastAsia="Times New Roman" w:hAnsi="Times New Roman"/>
                <w:sz w:val="24"/>
                <w:szCs w:val="24"/>
                <w:color w:val="auto"/>
                <w:vertAlign w:val="superscript"/>
              </w:rPr>
              <w:t>(1)</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Pr>
          <w:p>
            <w:pPr>
              <w:spacing w:after="0"/>
              <w:rPr>
                <w:sz w:val="18"/>
                <w:szCs w:val="18"/>
                <w:color w:val="auto"/>
              </w:rPr>
            </w:pPr>
          </w:p>
        </w:tc>
      </w:tr>
      <w:tr>
        <w:trPr>
          <w:trHeight w:val="209"/>
        </w:trPr>
        <w:tc>
          <w:tcPr>
            <w:tcW w:w="47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63,435</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integration, and restructuring expenses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(1,995)</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591,794</w:t>
            </w:r>
          </w:p>
        </w:tc>
        <w:tc>
          <w:tcPr>
            <w:tcW w:w="100" w:type="dxa"/>
            <w:vAlign w:val="bottom"/>
          </w:tcPr>
          <w:p>
            <w:pPr>
              <w:spacing w:after="0"/>
              <w:rPr>
                <w:sz w:val="18"/>
                <w:szCs w:val="18"/>
                <w:color w:val="auto"/>
              </w:rPr>
            </w:pPr>
          </w:p>
        </w:tc>
      </w:tr>
      <w:tr>
        <w:trPr>
          <w:trHeight w:val="209"/>
        </w:trPr>
        <w:tc>
          <w:tcPr>
            <w:tcW w:w="4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274,398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334,010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from operations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(225,367)</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(197,644)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(611,257)</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68,066</w:t>
            </w:r>
          </w:p>
        </w:tc>
        <w:tc>
          <w:tcPr>
            <w:tcW w:w="100" w:type="dxa"/>
            <w:vAlign w:val="bottom"/>
            <w:shd w:val="clear" w:color="auto" w:fill="CFF0FC"/>
          </w:tcPr>
          <w:p>
            <w:pPr>
              <w:spacing w:after="0"/>
              <w:rPr>
                <w:sz w:val="18"/>
                <w:szCs w:val="18"/>
                <w:color w:val="auto"/>
              </w:rPr>
            </w:pPr>
          </w:p>
        </w:tc>
      </w:tr>
      <w:tr>
        <w:trPr>
          <w:trHeight w:val="210"/>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7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100" w:type="dxa"/>
            <w:vAlign w:val="bottom"/>
          </w:tcPr>
          <w:p>
            <w:pPr>
              <w:spacing w:after="0"/>
              <w:rPr>
                <w:sz w:val="18"/>
                <w:szCs w:val="18"/>
                <w:color w:val="auto"/>
              </w:rPr>
            </w:pPr>
          </w:p>
        </w:tc>
      </w:tr>
      <w:tr>
        <w:trPr>
          <w:trHeight w:val="210"/>
        </w:trPr>
        <w:tc>
          <w:tcPr>
            <w:tcW w:w="47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(201,548)</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(192,056)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(543,133)</w:t>
            </w:r>
          </w:p>
        </w:tc>
      </w:tr>
      <w:tr>
        <w:trPr>
          <w:trHeight w:val="216"/>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(187,824)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(182,150)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(506,729)</w:t>
            </w: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(56,928)</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(152,680)</w:t>
            </w: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7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(14,838)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(130,896)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(129,617)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(354,049)</w:t>
            </w:r>
          </w:p>
        </w:tc>
      </w:tr>
      <w:tr>
        <w:trPr>
          <w:trHeight w:val="197"/>
        </w:trPr>
        <w:tc>
          <w:tcPr>
            <w:tcW w:w="4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Class A Common Stock:</w:t>
            </w:r>
          </w:p>
        </w:tc>
        <w:tc>
          <w:tcPr>
            <w:tcW w:w="74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9"/>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197"/>
        </w:trPr>
        <w:tc>
          <w:tcPr>
            <w:tcW w:w="4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7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4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7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103,783,012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116,382,021</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107,760,787</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117,185,701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-3162300</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-3162300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-3162300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-2047875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-2047875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-2047875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-1503680</wp:posOffset>
            </wp:positionV>
            <wp:extent cx="10223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-1503680</wp:posOffset>
            </wp:positionV>
            <wp:extent cx="939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-1503680</wp:posOffset>
            </wp:positionV>
            <wp:extent cx="939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-1503680</wp:posOffset>
            </wp:positionV>
            <wp:extent cx="939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-633730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-616585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-633730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-616585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-633730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-616585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-325120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-307975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-325120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-307975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-325120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-307975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Amounts include equity-based compensation expense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720" w:type="dxa"/>
            <w:vAlign w:val="bottom"/>
            <w:tcBorders>
              <w:bottom w:val="single" w:sz="8" w:color="auto"/>
            </w:tcBorders>
            <w:gridSpan w:val="5"/>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3"/>
                <w:szCs w:val="13"/>
                <w:color w:val="auto"/>
              </w:rPr>
            </w:pPr>
          </w:p>
        </w:tc>
      </w:tr>
      <w:tr>
        <w:trPr>
          <w:trHeight w:val="196"/>
        </w:trPr>
        <w:tc>
          <w:tcPr>
            <w:tcW w:w="4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2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tcPr>
          <w:p>
            <w:pPr>
              <w:spacing w:after="0"/>
              <w:rPr>
                <w:sz w:val="18"/>
                <w:szCs w:val="18"/>
                <w:color w:val="auto"/>
              </w:rPr>
            </w:pPr>
          </w:p>
        </w:tc>
      </w:tr>
      <w:tr>
        <w:trPr>
          <w:trHeight w:val="216"/>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Product development</w:t>
            </w:r>
          </w:p>
        </w:tc>
        <w:tc>
          <w:tcPr>
            <w:tcW w:w="1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shd w:val="clear" w:color="auto" w:fill="CFF0FC"/>
          </w:tcPr>
          <w:p>
            <w:pPr>
              <w:spacing w:after="0"/>
              <w:rPr>
                <w:sz w:val="18"/>
                <w:szCs w:val="18"/>
                <w:color w:val="auto"/>
              </w:rPr>
            </w:pPr>
          </w:p>
        </w:tc>
      </w:tr>
      <w:tr>
        <w:trPr>
          <w:trHeight w:val="21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18,338</w:t>
            </w:r>
          </w:p>
        </w:tc>
        <w:tc>
          <w:tcPr>
            <w:tcW w:w="100" w:type="dxa"/>
            <w:vAlign w:val="bottom"/>
          </w:tcPr>
          <w:p>
            <w:pPr>
              <w:spacing w:after="0"/>
              <w:rPr>
                <w:sz w:val="18"/>
                <w:szCs w:val="18"/>
                <w:color w:val="auto"/>
              </w:rPr>
            </w:pPr>
          </w:p>
        </w:tc>
      </w:tr>
      <w:tr>
        <w:trPr>
          <w:trHeight w:val="249"/>
        </w:trPr>
        <w:tc>
          <w:tcPr>
            <w:tcW w:w="4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20,983</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100" w:type="dxa"/>
            <w:vAlign w:val="bottom"/>
            <w:shd w:val="clear" w:color="auto" w:fill="CFF0FC"/>
          </w:tcPr>
          <w:p>
            <w:pPr>
              <w:spacing w:after="0"/>
              <w:rPr>
                <w:sz w:val="21"/>
                <w:szCs w:val="21"/>
                <w:color w:val="auto"/>
              </w:rPr>
            </w:pPr>
          </w:p>
        </w:tc>
      </w:tr>
      <w:tr>
        <w:trPr>
          <w:trHeight w:val="1176"/>
        </w:trPr>
        <w:tc>
          <w:tcPr>
            <w:tcW w:w="4320" w:type="dxa"/>
            <w:vAlign w:val="bottom"/>
            <w:tcBorders>
              <w:top w:val="single" w:sz="8" w:color="CFF0FC"/>
              <w:bottom w:val="single" w:sz="8" w:color="9A9A9A"/>
            </w:tcBorders>
          </w:tcPr>
          <w:p>
            <w:pPr>
              <w:spacing w:after="0"/>
              <w:rPr>
                <w:sz w:val="24"/>
                <w:szCs w:val="24"/>
                <w:color w:val="auto"/>
              </w:rPr>
            </w:pPr>
          </w:p>
        </w:tc>
        <w:tc>
          <w:tcPr>
            <w:tcW w:w="1200" w:type="dxa"/>
            <w:vAlign w:val="bottom"/>
            <w:tcBorders>
              <w:top w:val="single" w:sz="8" w:color="CFF0FC"/>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-796925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-779780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-796925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-779780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-796925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-779780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55"/>
        </w:trPr>
        <w:tc>
          <w:tcPr>
            <w:tcW w:w="5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provided by (used in) operating activities:</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3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(17,792)</w:t>
            </w:r>
          </w:p>
        </w:tc>
        <w:tc>
          <w:tcPr>
            <w:tcW w:w="26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(187,824)</w:t>
            </w: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(182,150)</w:t>
            </w:r>
          </w:p>
        </w:tc>
        <w:tc>
          <w:tcPr>
            <w:tcW w:w="340" w:type="dxa"/>
            <w:vAlign w:val="bottom"/>
            <w:gridSpan w:val="2"/>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(506,729)</w:t>
            </w:r>
          </w:p>
        </w:tc>
      </w:tr>
      <w:tr>
        <w:trPr>
          <w:trHeight w:val="162"/>
        </w:trPr>
        <w:tc>
          <w:tcPr>
            <w:tcW w:w="5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853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1,719</w:t>
            </w: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Amortization of intangible assets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13,207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12,501</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39,903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36,816</w:t>
            </w:r>
          </w:p>
        </w:tc>
        <w:tc>
          <w:tcPr>
            <w:tcW w:w="120" w:type="dxa"/>
            <w:vAlign w:val="bottom"/>
            <w:shd w:val="clear" w:color="auto" w:fill="CFF0FC"/>
          </w:tcPr>
          <w:p>
            <w:pPr>
              <w:spacing w:after="0"/>
              <w:rPr>
                <w:sz w:val="14"/>
                <w:szCs w:val="14"/>
                <w:color w:val="auto"/>
              </w:rPr>
            </w:pP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Amortization of deferred contract 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3,996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3,943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11,463</w:t>
            </w: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Equity-based compensation</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6,684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6,296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20,983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30,720</w:t>
            </w:r>
          </w:p>
        </w:tc>
        <w:tc>
          <w:tcPr>
            <w:tcW w:w="120" w:type="dxa"/>
            <w:vAlign w:val="bottom"/>
            <w:shd w:val="clear" w:color="auto" w:fill="CFF0FC"/>
          </w:tcPr>
          <w:p>
            <w:pPr>
              <w:spacing w:after="0"/>
              <w:rPr>
                <w:sz w:val="14"/>
                <w:szCs w:val="14"/>
                <w:color w:val="auto"/>
              </w:rPr>
            </w:pP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527</w:t>
            </w: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Write-off of deferred offering costs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(Recovery of) provision for doubtful accounts receivable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(314)</w:t>
            </w: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(635)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947</w:t>
            </w: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Loss on partial extinguishment of debt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Non-cash restructuring charges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1,047</w:t>
            </w: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Goodwill impairment charges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228,153</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176,531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591,794</w:t>
            </w:r>
          </w:p>
        </w:tc>
        <w:tc>
          <w:tcPr>
            <w:tcW w:w="120" w:type="dxa"/>
            <w:vAlign w:val="bottom"/>
            <w:shd w:val="clear" w:color="auto" w:fill="CFF0FC"/>
          </w:tcPr>
          <w:p>
            <w:pPr>
              <w:spacing w:after="0"/>
              <w:rPr>
                <w:sz w:val="14"/>
                <w:szCs w:val="14"/>
                <w:color w:val="auto"/>
              </w:rPr>
            </w:pP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TRA remeasurement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7,140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(24,183)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(10,623)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(68,151)</w:t>
            </w: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Changes in fair value of contingent consideration</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(3,280)</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(3,510)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(3,970)</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(3,240)</w:t>
            </w: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(13,774)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(10,310)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(36,609)</w:t>
            </w:r>
          </w:p>
        </w:tc>
      </w:tr>
      <w:tr>
        <w:trPr>
          <w:trHeight w:val="162"/>
        </w:trPr>
        <w:tc>
          <w:tcPr>
            <w:tcW w:w="54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3,477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7,948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23,148</w:t>
            </w: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749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(2,947)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(3,481)</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(7,205)</w:t>
            </w: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Deferred contract 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(3,117)</w:t>
            </w:r>
          </w:p>
        </w:tc>
        <w:tc>
          <w:tcPr>
            <w:tcW w:w="26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(2,596)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(9,376)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(8,275)</w:t>
            </w: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Contingent consideration</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(602)</w:t>
            </w: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12,498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(5,173)</w:t>
            </w: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(9,471)</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(10,848)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(1,468)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(12,136)</w:t>
            </w:r>
          </w:p>
        </w:tc>
      </w:tr>
      <w:tr>
        <w:trPr>
          <w:trHeight w:val="155"/>
        </w:trPr>
        <w:tc>
          <w:tcPr>
            <w:tcW w:w="54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15,687</w:t>
            </w:r>
          </w:p>
        </w:tc>
        <w:tc>
          <w:tcPr>
            <w:tcW w:w="24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19,432</w:t>
            </w: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51,057</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50,061</w:t>
            </w:r>
          </w:p>
        </w:tc>
        <w:tc>
          <w:tcPr>
            <w:tcW w:w="120" w:type="dxa"/>
            <w:vAlign w:val="bottom"/>
            <w:tcBorders>
              <w:top w:val="single" w:sz="8" w:color="CFF0FC"/>
            </w:tcBorders>
          </w:tcPr>
          <w:p>
            <w:pPr>
              <w:spacing w:after="0"/>
              <w:rPr>
                <w:sz w:val="13"/>
                <w:szCs w:val="13"/>
                <w:color w:val="auto"/>
              </w:rPr>
            </w:pPr>
          </w:p>
        </w:tc>
      </w:tr>
      <w:tr>
        <w:trPr>
          <w:trHeight w:val="156"/>
        </w:trPr>
        <w:tc>
          <w:tcPr>
            <w:tcW w:w="5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(used in) provided by investing activities:</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Purchases of property, equipment, and other assets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(2,281)</w:t>
            </w:r>
          </w:p>
        </w:tc>
        <w:tc>
          <w:tcPr>
            <w:tcW w:w="26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(12,280)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(1,443)</w:t>
            </w:r>
          </w:p>
        </w:tc>
      </w:tr>
      <w:tr>
        <w:trPr>
          <w:trHeight w:val="162"/>
        </w:trPr>
        <w:tc>
          <w:tcPr>
            <w:tcW w:w="54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Purchases of short-term investments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(68,724)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(64,065)</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(192,670)</w:t>
            </w: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Maturities of short-term investments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26,422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78,452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173,869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207,504</w:t>
            </w: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Cash paid for acquisitions, net of cash acquired</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(13,530)</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54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24,141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8,961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97,524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(139)</w:t>
            </w:r>
          </w:p>
        </w:tc>
      </w:tr>
      <w:tr>
        <w:trPr>
          <w:trHeight w:val="155"/>
        </w:trPr>
        <w:tc>
          <w:tcPr>
            <w:tcW w:w="5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(used in) provided by financing activities:</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Repayments of term loan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(2,187)</w:t>
            </w:r>
          </w:p>
        </w:tc>
        <w:tc>
          <w:tcPr>
            <w:tcW w:w="26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(3,438)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(250,625)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(10,313)</w:t>
            </w:r>
          </w:p>
        </w:tc>
      </w:tr>
      <w:tr>
        <w:trPr>
          <w:trHeight w:val="162"/>
        </w:trPr>
        <w:tc>
          <w:tcPr>
            <w:tcW w:w="54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Proceeds from term loan</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175,000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Payments of debt issuance 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(1,660)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4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Taxes paid related to net share settlement of equity awards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(1,063)</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(495)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(3,546)</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(7,270)</w:t>
            </w: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Repurchases of Class A Common Stock</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(9,221)</w:t>
            </w:r>
          </w:p>
        </w:tc>
        <w:tc>
          <w:tcPr>
            <w:tcW w:w="26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(8,034)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(49,452)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(15,037)</w:t>
            </w:r>
          </w:p>
        </w:tc>
      </w:tr>
      <w:tr>
        <w:trPr>
          <w:trHeight w:val="162"/>
        </w:trPr>
        <w:tc>
          <w:tcPr>
            <w:tcW w:w="54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Payments of contingent consideration</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(1,000)</w:t>
            </w: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Payments under TRA</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0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(13,767)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(6,950)</w:t>
            </w:r>
          </w:p>
        </w:tc>
      </w:tr>
      <w:tr>
        <w:trPr>
          <w:trHeight w:val="162"/>
        </w:trPr>
        <w:tc>
          <w:tcPr>
            <w:tcW w:w="5440" w:type="dxa"/>
            <w:vAlign w:val="bottom"/>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Member distributions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(2,827)</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(2,811)</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54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(12,471)</w:t>
            </w:r>
          </w:p>
        </w:tc>
        <w:tc>
          <w:tcPr>
            <w:tcW w:w="260" w:type="dxa"/>
            <w:vAlign w:val="bottom"/>
          </w:tcPr>
          <w:p>
            <w:pPr>
              <w:spacing w:after="0"/>
              <w:rPr>
                <w:sz w:val="13"/>
                <w:szCs w:val="13"/>
                <w:color w:val="auto"/>
              </w:rPr>
            </w:pPr>
          </w:p>
        </w:tc>
        <w:tc>
          <w:tcPr>
            <w:tcW w:w="108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(12,065)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(146,877)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(43,381)</w:t>
            </w:r>
          </w:p>
        </w:tc>
      </w:tr>
      <w:tr>
        <w:trPr>
          <w:trHeight w:val="155"/>
        </w:trPr>
        <w:tc>
          <w:tcPr>
            <w:tcW w:w="5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increase in cash and cash equivalents</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27,357</w:t>
            </w:r>
          </w:p>
        </w:tc>
        <w:tc>
          <w:tcPr>
            <w:tcW w:w="24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16,328</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1,704</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6,541</w:t>
            </w:r>
          </w:p>
        </w:tc>
        <w:tc>
          <w:tcPr>
            <w:tcW w:w="120" w:type="dxa"/>
            <w:vAlign w:val="bottom"/>
            <w:shd w:val="clear" w:color="auto" w:fill="CFF0FC"/>
          </w:tcPr>
          <w:p>
            <w:pPr>
              <w:spacing w:after="0"/>
              <w:rPr>
                <w:sz w:val="13"/>
                <w:szCs w:val="13"/>
                <w:color w:val="auto"/>
              </w:rPr>
            </w:pP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w:t>
            </w:r>
          </w:p>
        </w:tc>
        <w:tc>
          <w:tcPr>
            <w:tcW w:w="120" w:type="dxa"/>
            <w:vAlign w:val="bottom"/>
          </w:tcPr>
          <w:p>
            <w:pPr>
              <w:spacing w:after="0"/>
              <w:rPr>
                <w:sz w:val="14"/>
                <w:szCs w:val="14"/>
                <w:color w:val="auto"/>
              </w:rPr>
            </w:pPr>
          </w:p>
        </w:tc>
      </w:tr>
      <w:tr>
        <w:trPr>
          <w:trHeight w:val="162"/>
        </w:trPr>
        <w:tc>
          <w:tcPr>
            <w:tcW w:w="5440" w:type="dxa"/>
            <w:vAlign w:val="bottom"/>
            <w:tcBorders>
              <w:bottom w:val="single" w:sz="8" w:color="CFF0FC"/>
            </w:tcBorders>
            <w:shd w:val="clear" w:color="auto" w:fill="CFF0FC"/>
          </w:tcPr>
          <w:p>
            <w:pPr>
              <w:ind w:left="220"/>
              <w:spacing w:after="0" w:line="162" w:lineRule="exact"/>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80,984</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120,901</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105,378</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130,976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54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Cash and cash equivalents, end of period</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108,317</w:t>
            </w:r>
          </w:p>
        </w:tc>
        <w:tc>
          <w:tcPr>
            <w:tcW w:w="240" w:type="dxa"/>
            <w:vAlign w:val="bottom"/>
          </w:tcPr>
          <w:p>
            <w:pPr>
              <w:spacing w:after="0"/>
              <w:rPr>
                <w:sz w:val="13"/>
                <w:szCs w:val="13"/>
                <w:color w:val="auto"/>
              </w:rPr>
            </w:pPr>
          </w:p>
        </w:tc>
        <w:tc>
          <w:tcPr>
            <w:tcW w:w="260" w:type="dxa"/>
            <w:vAlign w:val="bottom"/>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137,609</w:t>
            </w:r>
          </w:p>
        </w:tc>
        <w:tc>
          <w:tcPr>
            <w:tcW w:w="18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108,317</w:t>
            </w:r>
          </w:p>
        </w:tc>
        <w:tc>
          <w:tcPr>
            <w:tcW w:w="160" w:type="dxa"/>
            <w:vAlign w:val="bottom"/>
          </w:tcPr>
          <w:p>
            <w:pPr>
              <w:spacing w:after="0"/>
              <w:rPr>
                <w:sz w:val="13"/>
                <w:szCs w:val="13"/>
                <w:color w:val="auto"/>
              </w:rPr>
            </w:pPr>
          </w:p>
        </w:tc>
        <w:tc>
          <w:tcPr>
            <w:tcW w:w="340" w:type="dxa"/>
            <w:vAlign w:val="bottom"/>
            <w:gridSpan w:val="2"/>
          </w:tcPr>
          <w:p>
            <w:pPr>
              <w:jc w:val="right"/>
              <w:ind w:right="125"/>
              <w:spacing w:after="0" w:line="156"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137,609</w:t>
            </w:r>
          </w:p>
        </w:tc>
        <w:tc>
          <w:tcPr>
            <w:tcW w:w="120" w:type="dxa"/>
            <w:vAlign w:val="bottom"/>
          </w:tcPr>
          <w:p>
            <w:pPr>
              <w:spacing w:after="0"/>
              <w:rPr>
                <w:sz w:val="13"/>
                <w:szCs w:val="13"/>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54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5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Cash paid during the period for: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Interest</w:t>
            </w:r>
          </w:p>
        </w:tc>
        <w:tc>
          <w:tcPr>
            <w:tcW w:w="3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2,870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3,654</w:t>
            </w:r>
          </w:p>
        </w:tc>
        <w:tc>
          <w:tcPr>
            <w:tcW w:w="1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8,071</w:t>
            </w:r>
          </w:p>
        </w:tc>
        <w:tc>
          <w:tcPr>
            <w:tcW w:w="16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10,886</w:t>
            </w:r>
          </w:p>
        </w:tc>
        <w:tc>
          <w:tcPr>
            <w:tcW w:w="120" w:type="dxa"/>
            <w:vAlign w:val="bottom"/>
            <w:shd w:val="clear" w:color="auto" w:fill="CFF0FC"/>
          </w:tcPr>
          <w:p>
            <w:pPr>
              <w:spacing w:after="0"/>
              <w:rPr>
                <w:sz w:val="14"/>
                <w:szCs w:val="14"/>
                <w:color w:val="auto"/>
              </w:rPr>
            </w:pPr>
          </w:p>
        </w:tc>
      </w:tr>
      <w:tr>
        <w:trPr>
          <w:trHeight w:val="162"/>
        </w:trPr>
        <w:tc>
          <w:tcPr>
            <w:tcW w:w="54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3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w:t>
            </w:r>
          </w:p>
        </w:tc>
        <w:tc>
          <w:tcPr>
            <w:tcW w:w="240" w:type="dxa"/>
            <w:vAlign w:val="bottom"/>
          </w:tcPr>
          <w:p>
            <w:pPr>
              <w:spacing w:after="0"/>
              <w:rPr>
                <w:sz w:val="14"/>
                <w:szCs w:val="14"/>
                <w:color w:val="auto"/>
              </w:rPr>
            </w:pPr>
          </w:p>
        </w:tc>
        <w:tc>
          <w:tcPr>
            <w:tcW w:w="26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208</w:t>
            </w:r>
          </w:p>
        </w:tc>
        <w:tc>
          <w:tcPr>
            <w:tcW w:w="160" w:type="dxa"/>
            <w:vAlign w:val="bottom"/>
          </w:tcPr>
          <w:p>
            <w:pPr>
              <w:spacing w:after="0"/>
              <w:rPr>
                <w:sz w:val="14"/>
                <w:szCs w:val="14"/>
                <w:color w:val="auto"/>
              </w:rPr>
            </w:pPr>
          </w:p>
        </w:tc>
        <w:tc>
          <w:tcPr>
            <w:tcW w:w="340" w:type="dxa"/>
            <w:vAlign w:val="bottom"/>
            <w:gridSpan w:val="2"/>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544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Acquisitions:</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44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Net assets acquired, net of cash acquired</w:t>
            </w:r>
          </w:p>
        </w:tc>
        <w:tc>
          <w:tcPr>
            <w:tcW w:w="3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13,675</w:t>
            </w:r>
          </w:p>
        </w:tc>
        <w:tc>
          <w:tcPr>
            <w:tcW w:w="120" w:type="dxa"/>
            <w:vAlign w:val="bottom"/>
          </w:tcPr>
          <w:p>
            <w:pPr>
              <w:spacing w:after="0"/>
              <w:rPr>
                <w:sz w:val="14"/>
                <w:szCs w:val="14"/>
                <w:color w:val="auto"/>
              </w:rPr>
            </w:pPr>
          </w:p>
        </w:tc>
      </w:tr>
      <w:tr>
        <w:trPr>
          <w:trHeight w:val="162"/>
        </w:trPr>
        <w:tc>
          <w:tcPr>
            <w:tcW w:w="5440" w:type="dxa"/>
            <w:vAlign w:val="bottom"/>
            <w:shd w:val="clear" w:color="auto" w:fill="CFF0FC"/>
          </w:tcPr>
          <w:p>
            <w:pPr>
              <w:ind w:left="420"/>
              <w:spacing w:after="0" w:line="162" w:lineRule="exact"/>
              <w:rPr>
                <w:sz w:val="20"/>
                <w:szCs w:val="20"/>
                <w:color w:val="auto"/>
              </w:rPr>
            </w:pPr>
            <w:r>
              <w:rPr>
                <w:rFonts w:ascii="Times New Roman" w:cs="Times New Roman" w:eastAsia="Times New Roman" w:hAnsi="Times New Roman"/>
                <w:sz w:val="15"/>
                <w:szCs w:val="15"/>
                <w:color w:val="auto"/>
              </w:rPr>
              <w:t>Working capital adjustment receivable</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(145)</w:t>
            </w:r>
          </w:p>
        </w:tc>
      </w:tr>
      <w:tr>
        <w:trPr>
          <w:trHeight w:val="155"/>
        </w:trPr>
        <w:tc>
          <w:tcPr>
            <w:tcW w:w="5440" w:type="dxa"/>
            <w:vAlign w:val="bottom"/>
          </w:tcPr>
          <w:p>
            <w:pPr>
              <w:ind w:left="520"/>
              <w:spacing w:after="0" w:line="156" w:lineRule="exact"/>
              <w:rPr>
                <w:sz w:val="20"/>
                <w:szCs w:val="20"/>
                <w:color w:val="auto"/>
              </w:rPr>
            </w:pPr>
            <w:r>
              <w:rPr>
                <w:rFonts w:ascii="Times New Roman" w:cs="Times New Roman" w:eastAsia="Times New Roman" w:hAnsi="Times New Roman"/>
                <w:sz w:val="15"/>
                <w:szCs w:val="15"/>
                <w:color w:val="auto"/>
              </w:rPr>
              <w:t>Net cash paid for acquisitions</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13,530</w:t>
            </w:r>
          </w:p>
        </w:tc>
        <w:tc>
          <w:tcPr>
            <w:tcW w:w="120" w:type="dxa"/>
            <w:vAlign w:val="bottom"/>
          </w:tcPr>
          <w:p>
            <w:pPr>
              <w:spacing w:after="0"/>
              <w:rPr>
                <w:sz w:val="13"/>
                <w:szCs w:val="13"/>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544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 activities:</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5"/>
        </w:trPr>
        <w:tc>
          <w:tcPr>
            <w:tcW w:w="5440" w:type="dxa"/>
            <w:vAlign w:val="bottom"/>
          </w:tcPr>
          <w:p>
            <w:pPr>
              <w:ind w:left="220"/>
              <w:spacing w:after="0" w:line="145" w:lineRule="exact"/>
              <w:rPr>
                <w:sz w:val="20"/>
                <w:szCs w:val="20"/>
                <w:color w:val="auto"/>
              </w:rPr>
            </w:pPr>
            <w:r>
              <w:rPr>
                <w:rFonts w:ascii="Times New Roman" w:cs="Times New Roman" w:eastAsia="Times New Roman" w:hAnsi="Times New Roman"/>
                <w:sz w:val="15"/>
                <w:szCs w:val="15"/>
                <w:color w:val="auto"/>
              </w:rPr>
              <w:t>Capital expenditures included in accounts payable and accrued expenses and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8"/>
        </w:trPr>
        <w:tc>
          <w:tcPr>
            <w:tcW w:w="54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liabilities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6,711</w:t>
            </w:r>
          </w:p>
        </w:tc>
        <w:tc>
          <w:tcPr>
            <w:tcW w:w="24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1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6,711</w:t>
            </w:r>
          </w:p>
        </w:tc>
        <w:tc>
          <w:tcPr>
            <w:tcW w:w="160" w:type="dxa"/>
            <w:vAlign w:val="bottom"/>
          </w:tcPr>
          <w:p>
            <w:pPr>
              <w:spacing w:after="0"/>
              <w:rPr>
                <w:sz w:val="17"/>
                <w:szCs w:val="17"/>
                <w:color w:val="auto"/>
              </w:rPr>
            </w:pPr>
          </w:p>
        </w:tc>
        <w:tc>
          <w:tcPr>
            <w:tcW w:w="34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w:t>
            </w:r>
          </w:p>
        </w:tc>
        <w:tc>
          <w:tcPr>
            <w:tcW w:w="120" w:type="dxa"/>
            <w:vAlign w:val="bottom"/>
          </w:tcPr>
          <w:p>
            <w:pPr>
              <w:spacing w:after="0"/>
              <w:rPr>
                <w:sz w:val="17"/>
                <w:szCs w:val="17"/>
                <w:color w:val="auto"/>
              </w:rPr>
            </w:pPr>
          </w:p>
        </w:tc>
      </w:tr>
      <w:tr>
        <w:trPr>
          <w:trHeight w:val="1176"/>
        </w:trPr>
        <w:tc>
          <w:tcPr>
            <w:tcW w:w="5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-4182745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-4182745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-4182745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-4182745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-3548380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-3548380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-3548380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-3548380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-2502535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-2502535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-2502535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-2502535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-2073910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-2073910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-2073910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Closest GAAP Equivalent</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Reconciliation of GAAP Operating Cash Flow to Unlevered Free Cash Flow</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51,057</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(2,281)</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(767)</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(12,280)</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paid in cash</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Transaction, integration, and restructuring expenses paid in cash </w:t>
            </w:r>
            <w:r>
              <w:rPr>
                <w:rFonts w:ascii="Times New Roman" w:cs="Times New Roman" w:eastAsia="Times New Roman" w:hAnsi="Times New Roman"/>
                <w:sz w:val="24"/>
                <w:szCs w:val="24"/>
                <w:color w:val="auto"/>
                <w:vertAlign w:val="superscript"/>
              </w:rPr>
              <w:t>(a)</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Earnout payment </w:t>
            </w:r>
            <w:r>
              <w:rPr>
                <w:rFonts w:ascii="Times New Roman" w:cs="Times New Roman" w:eastAsia="Times New Roman" w:hAnsi="Times New Roman"/>
                <w:sz w:val="24"/>
                <w:szCs w:val="24"/>
                <w:color w:val="auto"/>
                <w:vertAlign w:val="superscript"/>
              </w:rPr>
              <w:t>(b)</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Other non-core items paid in cash </w:t>
            </w:r>
            <w:r>
              <w:rPr>
                <w:rFonts w:ascii="Times New Roman" w:cs="Times New Roman" w:eastAsia="Times New Roman" w:hAnsi="Times New Roman"/>
                <w:sz w:val="24"/>
                <w:szCs w:val="24"/>
                <w:color w:val="auto"/>
                <w:vertAlign w:val="superscript"/>
              </w:rPr>
              <w:t>(c)</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52,344</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-170815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20" w:firstLine="8"/>
        <w:spacing w:after="0" w:line="26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paid in cash primarily represent legal, accounting, and consulting expenses related to our acquisitions and strategic partnerships. Restructuring expenses paid in cash relate to our restructuring plans.</w:t>
      </w:r>
    </w:p>
    <w:p>
      <w:pPr>
        <w:ind w:left="400" w:hanging="392"/>
        <w:spacing w:after="0"/>
        <w:tabs>
          <w:tab w:leader="none" w:pos="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payment represents final settlement of contingent consideration included in cash flow from operations.</w:t>
      </w:r>
    </w:p>
    <w:p>
      <w:pPr>
        <w:spacing w:after="0" w:line="9" w:lineRule="exact"/>
        <w:rPr>
          <w:rFonts w:ascii="Times New Roman" w:cs="Times New Roman" w:eastAsia="Times New Roman" w:hAnsi="Times New Roman"/>
          <w:sz w:val="18"/>
          <w:szCs w:val="18"/>
          <w:color w:val="auto"/>
        </w:rPr>
      </w:pPr>
    </w:p>
    <w:p>
      <w:pPr>
        <w:ind w:right="420" w:firstLine="8"/>
        <w:spacing w:after="0" w:line="26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Non-core items paid in cash represent expenses driven by events that are typically by nature one-time, non-operational, and unrelated to our core operations.</w:t>
      </w:r>
    </w:p>
    <w:p>
      <w:pPr>
        <w:spacing w:after="0" w:line="39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Reconciliation of GAAP Net Loss to Adjusted Net Income and</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GAAP Operating Loss to Adjusted Operating Income</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5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6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(17,792)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(187,824)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(182,150)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(506,729)</w:t>
            </w: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Income tax provision (benefit)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(13,724)</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(9,906)</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(36,404)</w:t>
            </w: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Add: Interest expense (income), net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Loss on partial extinguishment of debt</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(23,826)</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(9,048)</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(68,066)</w:t>
            </w:r>
          </w:p>
        </w:tc>
      </w:tr>
      <w:tr>
        <w:trPr>
          <w:trHeight w:val="20"/>
        </w:trPr>
        <w:tc>
          <w:tcPr>
            <w:tcW w:w="5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(8,688)</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(225,367)</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(197,644)</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(611,257)</w:t>
            </w:r>
          </w:p>
        </w:tc>
      </w:tr>
      <w:tr>
        <w:trPr>
          <w:trHeight w:val="191"/>
        </w:trPr>
        <w:tc>
          <w:tcPr>
            <w:tcW w:w="560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Add: Amortization of intangible assets acquired through business</w:t>
            </w:r>
          </w:p>
        </w:tc>
        <w:tc>
          <w:tcPr>
            <w:tcW w:w="16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combinations</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33,869</w:t>
            </w:r>
          </w:p>
        </w:tc>
        <w:tc>
          <w:tcPr>
            <w:tcW w:w="100" w:type="dxa"/>
            <w:vAlign w:val="bottom"/>
            <w:shd w:val="clear" w:color="auto" w:fill="CFF0FC"/>
          </w:tcPr>
          <w:p>
            <w:pPr>
              <w:spacing w:after="0"/>
              <w:rPr>
                <w:sz w:val="20"/>
                <w:szCs w:val="20"/>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Add: Transaction, integration, and restructuring expenses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Goodwill impairment charge</w:t>
            </w:r>
          </w:p>
        </w:tc>
        <w:tc>
          <w:tcPr>
            <w:tcW w:w="1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591,794</w:t>
            </w:r>
          </w:p>
        </w:tc>
        <w:tc>
          <w:tcPr>
            <w:tcW w:w="100" w:type="dxa"/>
            <w:vAlign w:val="bottom"/>
          </w:tcPr>
          <w:p>
            <w:pPr>
              <w:spacing w:after="0"/>
              <w:rPr>
                <w:sz w:val="18"/>
                <w:szCs w:val="18"/>
                <w:color w:val="auto"/>
              </w:rPr>
            </w:pPr>
          </w:p>
        </w:tc>
      </w:tr>
      <w:tr>
        <w:trPr>
          <w:trHeight w:val="216"/>
        </w:trPr>
        <w:tc>
          <w:tcPr>
            <w:tcW w:w="5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Add: Other non-core items</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56,891</w:t>
            </w:r>
          </w:p>
        </w:tc>
        <w:tc>
          <w:tcPr>
            <w:tcW w:w="100" w:type="dxa"/>
            <w:vAlign w:val="bottom"/>
          </w:tcPr>
          <w:p>
            <w:pPr>
              <w:spacing w:after="0"/>
              <w:rPr>
                <w:sz w:val="18"/>
                <w:szCs w:val="18"/>
                <w:color w:val="auto"/>
              </w:rPr>
            </w:pPr>
          </w:p>
        </w:tc>
      </w:tr>
      <w:tr>
        <w:trPr>
          <w:trHeight w:val="210"/>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Interest (expense) income, net</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(2,953)</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Recurring income tax (provision) benefit</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Foreign currency loss</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Tax impacts of adjustments to net loss</w:t>
            </w: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(4,699)</w:t>
            </w:r>
          </w:p>
        </w:tc>
        <w:tc>
          <w:tcPr>
            <w:tcW w:w="1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(3,161)</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(12,476)</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(14,883)</w:t>
            </w:r>
          </w:p>
        </w:tc>
      </w:tr>
      <w:tr>
        <w:trPr>
          <w:trHeight w:val="210"/>
        </w:trPr>
        <w:tc>
          <w:tcPr>
            <w:tcW w:w="5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00" w:type="dxa"/>
            <w:vAlign w:val="bottom"/>
          </w:tcPr>
          <w:p>
            <w:pPr>
              <w:ind w:left="60"/>
              <w:spacing w:after="0" w:line="210" w:lineRule="exact"/>
              <w:rPr>
                <w:sz w:val="20"/>
                <w:szCs w:val="20"/>
                <w:color w:val="auto"/>
              </w:rPr>
            </w:pPr>
            <w:r>
              <w:rPr>
                <w:rFonts w:ascii="Times New Roman" w:cs="Times New Roman" w:eastAsia="Times New Roman" w:hAnsi="Times New Roman"/>
                <w:sz w:val="18"/>
                <w:szCs w:val="18"/>
                <w:color w:val="auto"/>
              </w:rPr>
              <w:t xml:space="preserve">Shares for Adjusted Net Income Per Diluted Share </w:t>
            </w:r>
            <w:r>
              <w:rPr>
                <w:rFonts w:ascii="Times New Roman" w:cs="Times New Roman" w:eastAsia="Times New Roman" w:hAnsi="Times New Roman"/>
                <w:sz w:val="24"/>
                <w:szCs w:val="24"/>
                <w:color w:val="auto"/>
                <w:vertAlign w:val="superscript"/>
              </w:rPr>
              <w:t>(a)</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145,061,468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155,519,356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146,742,334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156,339,848</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Adjusted Net Income Per Diluted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-2108200</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-2108200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-2108200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-1130935</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-1130935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-1130935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-281940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-281940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-281940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8"/>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156,580,614 and 163,996,756 as of September 30,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line="200" w:lineRule="exact"/>
        <w:rPr>
          <w:sz w:val="20"/>
          <w:szCs w:val="20"/>
          <w:color w:val="auto"/>
        </w:rPr>
      </w:pPr>
    </w:p>
    <w:p>
      <w:pPr>
        <w:spacing w:after="0" w:line="21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Reconciliation of GAAP Gross Profit and Margin to Adjusted Gross Profit and Margin</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(in thousands, except percentages;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40" w:type="dxa"/>
            <w:vAlign w:val="bottom"/>
            <w:gridSpan w:val="1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11"/>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60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69"/>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7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Reported gross profit and margin</w:t>
            </w:r>
          </w:p>
        </w:tc>
        <w:tc>
          <w:tcPr>
            <w:tcW w:w="100" w:type="dxa"/>
            <w:vAlign w:val="bottom"/>
            <w:shd w:val="clear" w:color="auto" w:fill="CFF0FC"/>
          </w:tcPr>
          <w:p>
            <w:pPr>
              <w:spacing w:after="0"/>
              <w:rPr>
                <w:sz w:val="17"/>
                <w:szCs w:val="17"/>
                <w:color w:val="auto"/>
              </w:rPr>
            </w:pPr>
          </w:p>
        </w:tc>
        <w:tc>
          <w:tcPr>
            <w:tcW w:w="86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45,993</w:t>
            </w:r>
          </w:p>
        </w:tc>
        <w:tc>
          <w:tcPr>
            <w:tcW w:w="280" w:type="dxa"/>
            <w:vAlign w:val="bottom"/>
            <w:tcBorders>
              <w:right w:val="single" w:sz="8" w:color="CFF0FC"/>
            </w:tcBorders>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49,031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78%</w:t>
            </w:r>
          </w:p>
        </w:tc>
        <w:tc>
          <w:tcPr>
            <w:tcW w:w="82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$ 136,366</w:t>
            </w:r>
          </w:p>
        </w:tc>
        <w:tc>
          <w:tcPr>
            <w:tcW w:w="1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$ 149,867</w:t>
            </w:r>
          </w:p>
        </w:tc>
        <w:tc>
          <w:tcPr>
            <w:tcW w:w="11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9"/>
        </w:trPr>
        <w:tc>
          <w:tcPr>
            <w:tcW w:w="38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Amortization of intangible assets acquired through</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business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combinations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9,565</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7,383</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2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compensation costs</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8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4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497</w:t>
            </w:r>
          </w:p>
        </w:tc>
        <w:tc>
          <w:tcPr>
            <w:tcW w:w="11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668</w:t>
            </w: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7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gross profit and margin</w:t>
            </w:r>
          </w:p>
        </w:tc>
        <w:tc>
          <w:tcPr>
            <w:tcW w:w="10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51,692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82%</w:t>
            </w: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$ 146,428</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$ 157,918</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9200" w:type="dxa"/>
            <w:vAlign w:val="bottom"/>
            <w:gridSpan w:val="30"/>
          </w:tcPr>
          <w:p>
            <w:pPr>
              <w:ind w:left="2620"/>
              <w:spacing w:after="0"/>
              <w:rPr>
                <w:sz w:val="20"/>
                <w:szCs w:val="20"/>
                <w:color w:val="auto"/>
              </w:rPr>
            </w:pPr>
            <w:r>
              <w:rPr>
                <w:rFonts w:ascii="Times New Roman" w:cs="Times New Roman" w:eastAsia="Times New Roman" w:hAnsi="Times New Roman"/>
                <w:sz w:val="18"/>
                <w:szCs w:val="18"/>
                <w:color w:val="auto"/>
              </w:rPr>
              <w:t>Reconciliation of GAAP Net Loss and Margin to Adjusted EBITDA and Margin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gridSpan w:val="16"/>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w w:val="99"/>
              </w:rPr>
              <w:t>(in thousands, except percentages; unaudited)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gridSpan w:val="1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13"/>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jc w:val="cente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6"/>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860" w:type="dxa"/>
            <w:vAlign w:val="bottom"/>
            <w:gridSpan w:val="3"/>
          </w:tcPr>
          <w:p>
            <w:pPr>
              <w:jc w:val="right"/>
              <w:ind w:right="231"/>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0"/>
                <w:szCs w:val="10"/>
                <w:color w:val="auto"/>
              </w:rPr>
            </w:pPr>
          </w:p>
        </w:tc>
        <w:tc>
          <w:tcPr>
            <w:tcW w:w="84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251"/>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49"/>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4"/>
            <w:vMerge w:val="continue"/>
          </w:tcPr>
          <w:p>
            <w:pPr>
              <w:spacing w:after="0"/>
              <w:rPr>
                <w:sz w:val="9"/>
                <w:szCs w:val="9"/>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vMerge w:val="restart"/>
          </w:tcPr>
          <w:p>
            <w:pPr>
              <w:spacing w:after="0"/>
              <w:rPr>
                <w:sz w:val="9"/>
                <w:szCs w:val="9"/>
                <w:color w:val="auto"/>
              </w:rPr>
            </w:pPr>
          </w:p>
        </w:tc>
        <w:tc>
          <w:tcPr>
            <w:tcW w:w="86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20" w:type="dxa"/>
            <w:vAlign w:val="bottom"/>
            <w:vMerge w:val="restart"/>
          </w:tcPr>
          <w:p>
            <w:pPr>
              <w:spacing w:after="0"/>
              <w:rPr>
                <w:sz w:val="9"/>
                <w:szCs w:val="9"/>
                <w:color w:val="auto"/>
              </w:rPr>
            </w:pPr>
          </w:p>
        </w:tc>
        <w:tc>
          <w:tcPr>
            <w:tcW w:w="8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7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uto"/>
            </w:tcBorders>
            <w:gridSpan w:val="3"/>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loss and margin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(17,792)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6"/>
                <w:szCs w:val="16"/>
                <w:color w:val="auto"/>
              </w:rPr>
              <w:t>(30)%</w:t>
            </w:r>
          </w:p>
        </w:tc>
        <w:tc>
          <w:tcPr>
            <w:tcW w:w="86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 (187,824)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(300)%</w:t>
            </w:r>
          </w:p>
        </w:tc>
        <w:tc>
          <w:tcPr>
            <w:tcW w:w="84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 (182,150)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(101)%</w:t>
            </w:r>
          </w:p>
        </w:tc>
        <w:tc>
          <w:tcPr>
            <w:tcW w:w="9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 (506,729)</w:t>
            </w: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2"/>
          </w:tcPr>
          <w:p>
            <w:pPr>
              <w:jc w:val="right"/>
              <w:ind w:right="91"/>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(58)</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2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(13,724)</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(9,906)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(36,404)</w:t>
            </w: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Loss on partial extinguishment of debt</w:t>
            </w:r>
          </w:p>
        </w:tc>
        <w:tc>
          <w:tcPr>
            <w:tcW w:w="100" w:type="dxa"/>
            <w:vAlign w:val="bottom"/>
          </w:tcPr>
          <w:p>
            <w:pPr>
              <w:spacing w:after="0"/>
              <w:rPr>
                <w:sz w:val="17"/>
                <w:szCs w:val="17"/>
                <w:color w:val="auto"/>
              </w:rPr>
            </w:pP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580" w:type="dxa"/>
            <w:vAlign w:val="bottom"/>
            <w:gridSpan w:val="2"/>
          </w:tcPr>
          <w:p>
            <w:pPr>
              <w:jc w:val="right"/>
              <w:ind w:right="91"/>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2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shd w:val="clear" w:color="auto" w:fill="CFF0FC"/>
          </w:tcPr>
          <w:p>
            <w:pPr>
              <w:spacing w:after="0"/>
              <w:rPr>
                <w:sz w:val="17"/>
                <w:szCs w:val="17"/>
                <w:color w:val="auto"/>
              </w:rPr>
            </w:pPr>
          </w:p>
        </w:tc>
        <w:tc>
          <w:tcPr>
            <w:tcW w:w="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42,215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38,535</w:t>
            </w:r>
          </w:p>
        </w:tc>
        <w:tc>
          <w:tcPr>
            <w:tcW w:w="140" w:type="dxa"/>
            <w:vAlign w:val="bottom"/>
            <w:shd w:val="clear" w:color="auto" w:fill="CFF0FC"/>
          </w:tcPr>
          <w:p>
            <w:pPr>
              <w:spacing w:after="0"/>
              <w:rPr>
                <w:sz w:val="17"/>
                <w:szCs w:val="17"/>
                <w:color w:val="auto"/>
              </w:rPr>
            </w:pPr>
          </w:p>
        </w:tc>
        <w:tc>
          <w:tcPr>
            <w:tcW w:w="11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27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EBITDA and margin</w:t>
            </w:r>
          </w:p>
        </w:tc>
        <w:tc>
          <w:tcPr>
            <w:tcW w:w="100" w:type="dxa"/>
            <w:vAlign w:val="bottom"/>
          </w:tcPr>
          <w:p>
            <w:pPr>
              <w:spacing w:after="0"/>
              <w:rPr>
                <w:sz w:val="17"/>
                <w:szCs w:val="17"/>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(1,877)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2"/>
          </w:tcPr>
          <w:p>
            <w:pPr>
              <w:jc w:val="right"/>
              <w:ind w:right="51"/>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(188,478)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(301)%</w:t>
            </w:r>
          </w:p>
        </w:tc>
        <w:tc>
          <w:tcPr>
            <w:tcW w:w="84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(146,381)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(504,656)</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03"/>
        </w:trPr>
        <w:tc>
          <w:tcPr>
            <w:tcW w:w="2780" w:type="dxa"/>
            <w:vAlign w:val="bottom"/>
            <w:tcBorders>
              <w:right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expense (income), net </w:t>
            </w:r>
            <w:r>
              <w:rPr>
                <w:rFonts w:ascii="Times New Roman" w:cs="Times New Roman" w:eastAsia="Times New Roman" w:hAnsi="Times New Roman"/>
                <w:sz w:val="21"/>
                <w:szCs w:val="21"/>
                <w:color w:val="auto"/>
                <w:vertAlign w:val="superscript"/>
              </w:rPr>
              <w:t>(a)</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(23,826)</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(9,048)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c>
          <w:tcPr>
            <w:tcW w:w="8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(68,066)</w:t>
            </w:r>
          </w:p>
        </w:tc>
        <w:tc>
          <w:tcPr>
            <w:tcW w:w="11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27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(b)</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2"/>
          </w:tcPr>
          <w:p>
            <w:pPr>
              <w:jc w:val="right"/>
              <w:ind w:right="91"/>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6,296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20,983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30,720</w:t>
            </w:r>
          </w:p>
        </w:tc>
        <w:tc>
          <w:tcPr>
            <w:tcW w:w="140" w:type="dxa"/>
            <w:vAlign w:val="bottom"/>
          </w:tcPr>
          <w:p>
            <w:pPr>
              <w:spacing w:after="0"/>
              <w:rPr>
                <w:sz w:val="17"/>
                <w:szCs w:val="17"/>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61"/>
        </w:trPr>
        <w:tc>
          <w:tcPr>
            <w:tcW w:w="2780" w:type="dxa"/>
            <w:vAlign w:val="bottom"/>
            <w:tcBorders>
              <w:right w:val="single" w:sz="8" w:color="CFF0FC"/>
            </w:tcBorders>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Transaction, integration, and restructuring</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7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1"/>
                <w:szCs w:val="21"/>
                <w:color w:val="auto"/>
                <w:vertAlign w:val="superscript"/>
              </w:rPr>
              <w:t>(c)</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80" w:type="dxa"/>
            <w:vAlign w:val="bottom"/>
            <w:tcBorders>
              <w:right w:val="single" w:sz="8" w:color="CFF0FC"/>
            </w:tcBorders>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21"/>
                <w:szCs w:val="21"/>
                <w:color w:val="auto"/>
              </w:rPr>
            </w:pPr>
          </w:p>
        </w:tc>
        <w:tc>
          <w:tcPr>
            <w:tcW w:w="58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9,390</w:t>
            </w:r>
          </w:p>
        </w:tc>
        <w:tc>
          <w:tcPr>
            <w:tcW w:w="140" w:type="dxa"/>
            <w:vAlign w:val="bottom"/>
            <w:shd w:val="clear" w:color="auto" w:fill="CFF0FC"/>
          </w:tcPr>
          <w:p>
            <w:pPr>
              <w:spacing w:after="0"/>
              <w:rPr>
                <w:sz w:val="21"/>
                <w:szCs w:val="21"/>
                <w:color w:val="auto"/>
              </w:rPr>
            </w:pPr>
          </w:p>
        </w:tc>
        <w:tc>
          <w:tcPr>
            <w:tcW w:w="11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27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Goodwill impairment </w:t>
            </w:r>
            <w:r>
              <w:rPr>
                <w:rFonts w:ascii="Times New Roman" w:cs="Times New Roman" w:eastAsia="Times New Roman" w:hAnsi="Times New Roman"/>
                <w:sz w:val="21"/>
                <w:szCs w:val="21"/>
                <w:color w:val="auto"/>
                <w:vertAlign w:val="superscript"/>
              </w:rPr>
              <w:t>(d)</w:t>
            </w:r>
          </w:p>
        </w:tc>
        <w:tc>
          <w:tcPr>
            <w:tcW w:w="100" w:type="dxa"/>
            <w:vAlign w:val="bottom"/>
          </w:tcPr>
          <w:p>
            <w:pPr>
              <w:spacing w:after="0"/>
              <w:rPr>
                <w:sz w:val="17"/>
                <w:szCs w:val="17"/>
                <w:color w:val="auto"/>
              </w:rPr>
            </w:pP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580" w:type="dxa"/>
            <w:vAlign w:val="bottom"/>
            <w:gridSpan w:val="2"/>
          </w:tcPr>
          <w:p>
            <w:pPr>
              <w:jc w:val="right"/>
              <w:ind w:right="91"/>
              <w:spacing w:after="0"/>
              <w:rPr>
                <w:sz w:val="20"/>
                <w:szCs w:val="20"/>
                <w:color w:val="auto"/>
              </w:rPr>
            </w:pPr>
            <w:r>
              <w:rPr>
                <w:rFonts w:ascii="Times New Roman" w:cs="Times New Roman" w:eastAsia="Times New Roman" w:hAnsi="Times New Roman"/>
                <w:sz w:val="16"/>
                <w:szCs w:val="16"/>
                <w:color w:val="auto"/>
              </w:rPr>
              <w:t>0%</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228,153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364%</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176,531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591,794</w:t>
            </w:r>
          </w:p>
        </w:tc>
        <w:tc>
          <w:tcPr>
            <w:tcW w:w="140" w:type="dxa"/>
            <w:vAlign w:val="bottom"/>
          </w:tcPr>
          <w:p>
            <w:pPr>
              <w:spacing w:after="0"/>
              <w:rPr>
                <w:sz w:val="17"/>
                <w:szCs w:val="17"/>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03"/>
        </w:trPr>
        <w:tc>
          <w:tcPr>
            <w:tcW w:w="2780" w:type="dxa"/>
            <w:vAlign w:val="bottom"/>
            <w:tcBorders>
              <w:right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non-core items </w:t>
            </w:r>
            <w:r>
              <w:rPr>
                <w:rFonts w:ascii="Times New Roman" w:cs="Times New Roman" w:eastAsia="Times New Roman" w:hAnsi="Times New Roman"/>
                <w:sz w:val="21"/>
                <w:szCs w:val="21"/>
                <w:color w:val="auto"/>
                <w:vertAlign w:val="superscript"/>
              </w:rPr>
              <w:t>(e)</w:t>
            </w: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91"/>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7"/>
                <w:szCs w:val="17"/>
                <w:color w:val="auto"/>
              </w:rPr>
            </w:pPr>
          </w:p>
        </w:tc>
        <w:tc>
          <w:tcPr>
            <w:tcW w:w="4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40" w:type="dxa"/>
            <w:vAlign w:val="bottom"/>
            <w:shd w:val="clear" w:color="auto" w:fill="CFF0FC"/>
          </w:tcPr>
          <w:p>
            <w:pPr>
              <w:spacing w:after="0"/>
              <w:rPr>
                <w:sz w:val="17"/>
                <w:szCs w:val="17"/>
                <w:color w:val="auto"/>
              </w:rPr>
            </w:pPr>
          </w:p>
        </w:tc>
        <w:tc>
          <w:tcPr>
            <w:tcW w:w="114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7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and margin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2"/>
          </w:tcPr>
          <w:p>
            <w:pPr>
              <w:jc w:val="right"/>
              <w:ind w:right="91"/>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20,615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52,311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61,557</w:t>
            </w:r>
          </w:p>
        </w:tc>
        <w:tc>
          <w:tcPr>
            <w:tcW w:w="140" w:type="dxa"/>
            <w:vAlign w:val="bottom"/>
          </w:tcPr>
          <w:p>
            <w:pPr>
              <w:spacing w:after="0"/>
              <w:rPr>
                <w:sz w:val="17"/>
                <w:szCs w:val="17"/>
                <w:color w:val="auto"/>
              </w:rPr>
            </w:pPr>
          </w:p>
        </w:tc>
        <w:tc>
          <w:tcPr>
            <w:tcW w:w="11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-3014345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-3014345</wp:posOffset>
            </wp:positionV>
            <wp:extent cx="1111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-3014345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-3014345</wp:posOffset>
            </wp:positionV>
            <wp:extent cx="1117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-3014345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-3014345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-3014345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-3014345</wp:posOffset>
            </wp:positionV>
            <wp:extent cx="1117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-1051560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-1051560</wp:posOffset>
            </wp:positionV>
            <wp:extent cx="128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-1051560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-1051560</wp:posOffset>
            </wp:positionV>
            <wp:extent cx="1282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-1051560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-1051560</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-1051560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-1051560</wp:posOffset>
            </wp:positionV>
            <wp:extent cx="128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-142875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-142875</wp:posOffset>
            </wp:positionV>
            <wp:extent cx="1282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-142875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-142875</wp:posOffset>
            </wp:positionV>
            <wp:extent cx="1282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-142875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-142875</wp:posOffset>
            </wp:positionV>
            <wp:extent cx="1289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-142875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-142875</wp:posOffset>
            </wp:positionV>
            <wp:extent cx="1289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68"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right="700" w:firstLine="8"/>
        <w:spacing w:after="0" w:line="250" w:lineRule="auto"/>
        <w:tabs>
          <w:tab w:leader="none" w:pos="3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right="220" w:firstLine="8"/>
        <w:spacing w:after="0" w:line="253"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and strategic partnerships, inclusive of an integration charge in the third quarter of 2025 to recognize a liability for a major data contract from a prior acquisition that no longer provided an economic benefit to the Company. Restructuring expenses relate to the 2024 Restructuring Plan as well as impairment and restructuring charges related to office closures, relocations, and consolidations.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0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(3,280)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(3,510)</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(3,970)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closure and relocation restructuring charges and impairments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(1,995)</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80" w:firstLine="8"/>
        <w:spacing w:after="0" w:line="261" w:lineRule="auto"/>
        <w:tabs>
          <w:tab w:leader="none" w:pos="3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first quarter of 2025 and multiple quarters in fiscal year 2024. As a result of the impairment tests conducted, we determined that the fair value of our single reporting unit was lower than its carrying value and, accordingly, recorded the impairment charges.</w:t>
      </w:r>
    </w:p>
    <w:p>
      <w:pPr>
        <w:spacing w:after="0" w:line="179" w:lineRule="exact"/>
        <w:rPr>
          <w:rFonts w:ascii="Times New Roman" w:cs="Times New Roman" w:eastAsia="Times New Roman" w:hAnsi="Times New Roman"/>
          <w:sz w:val="18"/>
          <w:szCs w:val="18"/>
          <w:color w:val="auto"/>
        </w:rPr>
      </w:pPr>
    </w:p>
    <w:p>
      <w:pPr>
        <w:ind w:firstLine="8"/>
        <w:spacing w:after="0" w:line="255"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 including a charge in the third quarter of 2025 for the write-off of deferred offering costs associated with the Company’s expired shelf registration.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5"/>
                <w:szCs w:val="15"/>
                <w:color w:val="auto"/>
              </w:rPr>
            </w:pPr>
          </w:p>
        </w:tc>
        <w:tc>
          <w:tcPr>
            <w:tcW w:w="2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30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5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-942340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-942340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-942340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-942340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2025-11-06T15:30:56Z</dcterms:created>
  <dcterms:modified xsi:type="dcterms:W3CDTF">2025-11-06T15:30:56Z</dcterms:modified>
</cp:coreProperties>
</file>