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32024_040501.xml.htm"/>
      <w:bookmarkStart w:id="1" w:name="ksform405032024_040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Krantz Jason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4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49"/>
        <w:gridCol w:w="457"/>
        <w:gridCol w:w="672"/>
        <w:gridCol w:w="1168"/>
        <w:gridCol w:w="1001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7,658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6.97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894,992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450,000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represents the withholding of shares by the issuer to satisfy the reporting person's tax withholding obligations in connection with the vesting and settlement of previously reported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beneficially owned in trust by DH Holdings (fka Jason R. Krantz 2009 Trust), of which the reporting person is the beneficiary.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Ruderman,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9507" TargetMode="External"/><Relationship Id="rId4" Type="http://schemas.openxmlformats.org/officeDocument/2006/relationships/hyperlink" Target="http://www.sec.gov/cgi-bin/browse-edgar?action=getcompany&amp;CIK=000186179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3447</Characters>
  <CharactersWithSpaces>4010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