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May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May 7, 2024, Definitive Healthcare Corp. (the “Company”) issued a press release announcing its financial results for the first quarter ended March 31, 2024. A copy of the press release is furnished as Exhibit 99.1 to this Current Report on Form 8-K and is incorporated by reference herein.</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52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3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7, 2024 (furnished herewith pursuant to Item 2.02)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28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Definitive Healthcare Reports Financial Results for First Quarter Fiscal Year 2024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First quarter revenue grew 7% year-over-year to $63.5 million</w:t>
      </w:r>
    </w:p>
    <w:p>
      <w:pPr>
        <w:spacing w:after="0" w:line="92" w:lineRule="exact"/>
        <w:rPr>
          <w:sz w:val="20"/>
          <w:szCs w:val="20"/>
          <w:color w:val="auto"/>
        </w:rPr>
      </w:pPr>
    </w:p>
    <w:p>
      <w:pPr>
        <w:ind w:right="200"/>
        <w:spacing w:after="0" w:line="286" w:lineRule="auto"/>
        <w:rPr>
          <w:sz w:val="20"/>
          <w:szCs w:val="20"/>
          <w:color w:val="auto"/>
        </w:rPr>
      </w:pPr>
      <w:r>
        <w:rPr>
          <w:rFonts w:ascii="Arial" w:cs="Arial" w:eastAsia="Arial" w:hAnsi="Arial"/>
          <w:sz w:val="19"/>
          <w:szCs w:val="19"/>
          <w:b w:val="1"/>
          <w:bCs w:val="1"/>
          <w:color w:val="auto"/>
        </w:rPr>
        <w:t xml:space="preserve">Framingham, MA (May 7, 2024) – </w:t>
      </w:r>
      <w:r>
        <w:rPr>
          <w:rFonts w:ascii="Arial" w:cs="Arial" w:eastAsia="Arial" w:hAnsi="Arial"/>
          <w:sz w:val="19"/>
          <w:szCs w:val="19"/>
          <w:color w:val="auto"/>
        </w:rPr>
        <w:t>Definitive Healthcare Corp. (“Definitive Healthcare” or the “Company”) (Nasdaq: DH), an</w:t>
      </w:r>
      <w:r>
        <w:rPr>
          <w:rFonts w:ascii="Arial" w:cs="Arial" w:eastAsia="Arial" w:hAnsi="Arial"/>
          <w:sz w:val="19"/>
          <w:szCs w:val="19"/>
          <w:b w:val="1"/>
          <w:bCs w:val="1"/>
          <w:color w:val="auto"/>
        </w:rPr>
        <w:t xml:space="preserve"> </w:t>
      </w:r>
      <w:r>
        <w:rPr>
          <w:rFonts w:ascii="Arial" w:cs="Arial" w:eastAsia="Arial" w:hAnsi="Arial"/>
          <w:sz w:val="19"/>
          <w:szCs w:val="19"/>
          <w:color w:val="auto"/>
        </w:rPr>
        <w:t>industry leader in healthcare commercial intelligence, today announced financial results for the quarter ended March 31, 2024.</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 Financial Highlights:</w:t>
      </w:r>
    </w:p>
    <w:p>
      <w:pPr>
        <w:spacing w:after="0" w:line="202"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$63.5 million, an increase of 7% from $59.2 million in Q1 2023.</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was $(12.7) million, or (20%) of revenue, compared to $(16.0) million, or (27%) of revenue in Q1 2023.</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$13.0 million, compared to $9.1 million in Q1 2023.</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was $20.0 million, or 32% of revenue, compared to $15.7 million, or 26% of revenue in Q1 2023.</w:t>
      </w:r>
    </w:p>
    <w:p>
      <w:pPr>
        <w:spacing w:after="0" w:line="226"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$16.6 million in the quarter.</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$28.3 million in the quarter.</w:t>
      </w:r>
    </w:p>
    <w:p>
      <w:pPr>
        <w:spacing w:after="0" w:line="200" w:lineRule="exact"/>
        <w:rPr>
          <w:sz w:val="20"/>
          <w:szCs w:val="20"/>
          <w:color w:val="auto"/>
        </w:rPr>
      </w:pPr>
    </w:p>
    <w:p>
      <w:pPr>
        <w:spacing w:after="0" w:line="233"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“While our first quarter performance was mixed, our adjusted EBITDA margin was strong as we continued to focus on the operational efficiencies,” said Jason Krantz, Founder, Executive Chairman, and Interim CEO of Definitive Healthcare. “At the same time, we continued to make investments in innovative products that will help us drive long term growth and profitability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Recent Business and Operating Highlights: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Wins</w:t>
      </w:r>
    </w:p>
    <w:p>
      <w:pPr>
        <w:spacing w:after="0" w:line="204"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In the first quarter, Definitive Healthcare grew its enterprise customer base by 30, or 6% year-over-year, ending the quarter with 559 enterprise customers, defined as those customers with more than $100,000 in annual recurring revenue. Customer wins included:</w:t>
      </w:r>
    </w:p>
    <w:p>
      <w:pPr>
        <w:spacing w:after="0" w:line="63" w:lineRule="exact"/>
        <w:rPr>
          <w:sz w:val="20"/>
          <w:szCs w:val="20"/>
          <w:color w:val="auto"/>
        </w:rPr>
      </w:pPr>
    </w:p>
    <w:p>
      <w:pPr>
        <w:ind w:left="102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 provider of chronic care management products and services selected Definitive Healthcare as their central source of truth for all healthcare provider data for their marketing and sales teams. They’re integrating our affiliation hierarchies into their CRM system to gain a clearer understanding of their total addressable market, and plan to leverage our custom reports to create prospect target “heat maps” for their sales teams.</w:t>
      </w:r>
    </w:p>
    <w:p>
      <w:pPr>
        <w:spacing w:after="0" w:line="66" w:lineRule="exact"/>
        <w:rPr>
          <w:rFonts w:ascii="Times New Roman" w:cs="Times New Roman" w:eastAsia="Times New Roman" w:hAnsi="Times New Roman"/>
          <w:sz w:val="20"/>
          <w:szCs w:val="20"/>
          <w:color w:val="auto"/>
        </w:rPr>
      </w:pPr>
    </w:p>
    <w:p>
      <w:pPr>
        <w:jc w:val="both"/>
        <w:ind w:left="1020" w:right="60" w:hanging="503"/>
        <w:spacing w:after="0" w:line="241"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 leading manufacturer of advanced heart pump technology—a client of both our View and Carevoyance platforms —recently expanded its use of Carevoyance. They use Carevoyance for their therapeutic awareness and physician programs.</w:t>
      </w:r>
    </w:p>
    <w:p>
      <w:pPr>
        <w:spacing w:after="0" w:line="62" w:lineRule="exact"/>
        <w:rPr>
          <w:rFonts w:ascii="Times New Roman" w:cs="Times New Roman" w:eastAsia="Times New Roman" w:hAnsi="Times New Roman"/>
          <w:sz w:val="20"/>
          <w:szCs w:val="20"/>
          <w:color w:val="auto"/>
        </w:rPr>
      </w:pPr>
    </w:p>
    <w:p>
      <w:pPr>
        <w:jc w:val="both"/>
        <w:ind w:left="1020" w:right="400" w:hanging="503"/>
        <w:spacing w:after="0" w:line="241"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One of the largest health systems in the Southeast US, recently expanded its relationship with us to include our Populi Network and Market Intelligence solutions, to analyze patient outmigration within their existing practices, evaluate potential practice acquisitions, and understand the competitive landscape in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795020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4" w:right="4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Stock Repurchase Program</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Company’s Board of Directors approved the repurchase of up to an aggregate of $20.0 million of its Class A Common Stock. The repurchases will be made from time to time on the open market at prevailing market prices or in negotiated transactions off the market. The repurchase program is expected to continue through the end of 2024 unless extended or shortened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0" w:right="8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Business Outlook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Based on information as of May 7, 2024, the Company is issuing the following financial guidance.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2024:</w:t>
      </w:r>
    </w:p>
    <w:p>
      <w:pPr>
        <w:spacing w:after="0" w:line="9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$62.0 – $63.5 million, a 2-4% increase year over 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$17.0 – $18.5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$18.5 – $20.0 million, and 30-32% adjusted EBITDA margin.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$13.5 – $14.5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$0.08 – $0.09 per share on approximately 157.2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2024:</w:t>
      </w:r>
    </w:p>
    <w:p>
      <w:pPr>
        <w:spacing w:after="0" w:line="9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$255 – $261 million, a 1-4% increase from the prior 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$75.0 – $78.0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$81.5 – $84.5 million, for a full-year adjusted EBITDA margin of</w:t>
      </w:r>
      <w:r>
        <w:rPr>
          <w:rFonts w:ascii="Arial" w:cs="Arial" w:eastAsia="Arial" w:hAnsi="Arial"/>
          <w:sz w:val="20"/>
          <w:szCs w:val="20"/>
          <w:b w:val="1"/>
          <w:bCs w:val="1"/>
          <w:color w:val="auto"/>
        </w:rPr>
        <w:t xml:space="preserve"> </w:t>
      </w:r>
      <w:r>
        <w:rPr>
          <w:rFonts w:ascii="Arial" w:cs="Arial" w:eastAsia="Arial" w:hAnsi="Arial"/>
          <w:sz w:val="20"/>
          <w:szCs w:val="20"/>
          <w:color w:val="auto"/>
        </w:rPr>
        <w:t>32-33%.</w:t>
      </w:r>
    </w:p>
    <w:p>
      <w:pPr>
        <w:spacing w:after="0" w:line="4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$56.5 – $59.5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$0.36 – $0.38 per share on approximately 157.5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153"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4" w:right="4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 Information</w:t>
      </w:r>
    </w:p>
    <w:p>
      <w:pPr>
        <w:spacing w:after="0" w:line="204"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 xml:space="preserve">Definitive Healthcare will host a conference call today, May 7, 2024, at 5:00 p.m. (Eastern Time) to discuss the Company's full financial results and current business outlook. Participants may access the call at 1-877-358-7298 or 1-848-488-9244. Shortly after the conclusion of the call, a replay of this conference call will be available through June 6, 2024 at 1-800-645-7964 or 1-757-849-6722. The replay passcode is 1765#. A live audio webcast of the event will be available on Definitive Healthcare’s Investor Relations website at </w:t>
      </w:r>
      <w:r>
        <w:rPr>
          <w:rFonts w:ascii="Arial" w:cs="Arial" w:eastAsia="Arial" w:hAnsi="Arial"/>
          <w:sz w:val="20"/>
          <w:szCs w:val="20"/>
          <w:u w:val="single" w:color="auto"/>
          <w:color w:val="auto"/>
        </w:rPr>
        <w:t>https://ir.definitivehc.com/</w:t>
      </w:r>
      <w:r>
        <w:rPr>
          <w:rFonts w:ascii="Arial" w:cs="Arial" w:eastAsia="Arial" w:hAnsi="Arial"/>
          <w:sz w:val="20"/>
          <w:szCs w:val="20"/>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20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At Definitive Healthcare, our passion is to transform data, analytics and expertise into healthcare commercial intelligence. We help clients uncover the right markets, opportunities and people, so they can shape tomorrow’s healthcare industry. Learn more at </w:t>
      </w:r>
      <w:r>
        <w:rPr>
          <w:rFonts w:ascii="Arial" w:cs="Arial" w:eastAsia="Arial" w:hAnsi="Arial"/>
          <w:sz w:val="20"/>
          <w:szCs w:val="20"/>
          <w:u w:val="single" w:color="auto"/>
          <w:color w:val="auto"/>
        </w:rPr>
        <w:t>definitivehc.com</w:t>
      </w:r>
      <w:r>
        <w:rPr>
          <w:rFonts w:ascii="Arial" w:cs="Arial" w:eastAsia="Arial" w:hAnsi="Arial"/>
          <w:sz w:val="20"/>
          <w:szCs w:val="20"/>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spacing w:after="0" w:line="228" w:lineRule="auto"/>
        <w:rPr>
          <w:sz w:val="20"/>
          <w:szCs w:val="20"/>
          <w:color w:val="auto"/>
        </w:rPr>
      </w:pPr>
      <w:r>
        <w:rPr>
          <w:rFonts w:ascii="Arial" w:cs="Arial" w:eastAsia="Arial" w:hAnsi="Arial"/>
          <w:sz w:val="20"/>
          <w:szCs w:val="20"/>
          <w:i w:val="1"/>
          <w:iCs w:val="1"/>
          <w:color w:val="auto"/>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competitive position, customer behaviors and use of our solutions,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 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our inability to realize expected business or financial benefits from acquisitions and the risk that our acquisitions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8" w:name="page9"/>
    <w:bookmarkEnd w:id="8"/>
    <w:p>
      <w:pPr>
        <w:spacing w:after="0" w:line="228" w:lineRule="auto"/>
        <w:rPr>
          <w:sz w:val="20"/>
          <w:szCs w:val="20"/>
          <w:color w:val="auto"/>
        </w:rPr>
      </w:pPr>
      <w:r>
        <w:rPr>
          <w:rFonts w:ascii="Arial" w:cs="Arial" w:eastAsia="Arial" w:hAnsi="Arial"/>
          <w:sz w:val="20"/>
          <w:szCs w:val="20"/>
          <w:i w:val="1"/>
          <w:iCs w:val="1"/>
          <w:color w:val="auto"/>
        </w:rPr>
        <w:t>investments could prove difficult to integrate, disrupt our business, dilute stockholder value and adversely affect our business, financial condition and results of operations; our inability to achieve the anticipated cost savings, operating efficiencies or other benefits of our internal restructuring activities; global geopolitical tension and difficult macroeconomic conditions; actual or potential changes in international, national, regional and local economic, business and financial conditions, including recessions, inflation, high interest rates, volatility in the capital markets and related market uncertainty; the impact of challenging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GAAP or non-GAAP profitability in the future as we increase investments in our business; the loss of our access to our data providers; the failure to respond to advances in healthcare commercial intelligence; an inability to attract new customers and expand subscriptions of current customers; our ability to successfully transition executive leadership; the risk of cyber-attacks and security vulnerabilities; litigation, investigations or other legal, governmental or regulatory actions; the possibility that our security measures are breached or unauthorized access to data is otherwise obtained; the risk that additional material weaknesses or significant deficiencies that will occur in the future; and the risks of being required to collect sales or other related taxes for subscriptions to our platform in jurisdictions where we have not historically done so.</w:t>
      </w:r>
    </w:p>
    <w:p>
      <w:pPr>
        <w:spacing w:after="0" w:line="171"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i w:val="1"/>
          <w:iCs w:val="1"/>
          <w:color w:val="auto"/>
        </w:rPr>
        <w:t xml:space="preserve">For additional discussion of factors that could impact our operational and financial results, refer to our Quarterly Report on Form 10-Q for the three months ended ended March 31, 2024 that will be filed following this earnings release, as well as our Current Reports on Form 8-K and other subsequent SEC filings, which are or will be available on the Investor Relations page of our website at </w:t>
      </w:r>
      <w:r>
        <w:rPr>
          <w:rFonts w:ascii="Arial" w:cs="Arial" w:eastAsia="Arial" w:hAnsi="Arial"/>
          <w:sz w:val="20"/>
          <w:szCs w:val="20"/>
          <w:i w:val="1"/>
          <w:iCs w:val="1"/>
          <w:u w:val="single" w:color="auto"/>
          <w:color w:val="auto"/>
        </w:rPr>
        <w:t>ir.definitivehc.com</w:t>
      </w:r>
      <w:r>
        <w:rPr>
          <w:rFonts w:ascii="Arial" w:cs="Arial" w:eastAsia="Arial" w:hAnsi="Arial"/>
          <w:sz w:val="20"/>
          <w:szCs w:val="20"/>
          <w:i w:val="1"/>
          <w:iCs w:val="1"/>
          <w:color w:val="auto"/>
        </w:rPr>
        <w:t xml:space="preserve"> and on the SEC website at </w:t>
      </w:r>
      <w:r>
        <w:rPr>
          <w:rFonts w:ascii="Arial" w:cs="Arial" w:eastAsia="Arial" w:hAnsi="Arial"/>
          <w:sz w:val="20"/>
          <w:szCs w:val="20"/>
          <w:i w:val="1"/>
          <w:iCs w:val="1"/>
          <w:u w:val="single" w:color="auto"/>
          <w:color w:val="auto"/>
        </w:rPr>
        <w:t>www.sec.gov</w:t>
      </w:r>
      <w:r>
        <w:rPr>
          <w:rFonts w:ascii="Arial" w:cs="Arial" w:eastAsia="Arial" w:hAnsi="Arial"/>
          <w:sz w:val="20"/>
          <w:szCs w:val="20"/>
          <w:i w:val="1"/>
          <w:iCs w:val="1"/>
          <w:color w:val="auto"/>
        </w:rPr>
        <w:t>.</w:t>
      </w:r>
    </w:p>
    <w:p>
      <w:pPr>
        <w:spacing w:after="0" w:line="17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Website</w:t>
      </w:r>
    </w:p>
    <w:p>
      <w:pPr>
        <w:spacing w:after="0" w:line="204"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i w:val="1"/>
          <w:iCs w:val="1"/>
          <w:color w:val="auto"/>
        </w:rPr>
        <w:t xml:space="preserve">Definitive Healthcare intends to use its website as a distribution channel of material company information. Financial and other important information regarding the Company is routinely posted on and accessible through the Company’s website at </w:t>
      </w:r>
      <w:r>
        <w:rPr>
          <w:rFonts w:ascii="Arial" w:cs="Arial" w:eastAsia="Arial" w:hAnsi="Arial"/>
          <w:sz w:val="20"/>
          <w:szCs w:val="20"/>
          <w:i w:val="1"/>
          <w:iCs w:val="1"/>
          <w:u w:val="single" w:color="auto"/>
          <w:color w:val="auto"/>
        </w:rPr>
        <w:t>https://www.definitivehc.com/</w:t>
      </w:r>
      <w:r>
        <w:rPr>
          <w:rFonts w:ascii="Arial" w:cs="Arial" w:eastAsia="Arial" w:hAnsi="Arial"/>
          <w:sz w:val="20"/>
          <w:szCs w:val="20"/>
          <w:i w:val="1"/>
          <w:iCs w:val="1"/>
          <w:color w:val="auto"/>
        </w:rPr>
        <w:t xml:space="preserve">. Accordingly, you should monitor the investor relations portion of our website at </w:t>
      </w:r>
      <w:r>
        <w:rPr>
          <w:rFonts w:ascii="Arial" w:cs="Arial" w:eastAsia="Arial" w:hAnsi="Arial"/>
          <w:sz w:val="20"/>
          <w:szCs w:val="20"/>
          <w:i w:val="1"/>
          <w:iCs w:val="1"/>
          <w:u w:val="single" w:color="auto"/>
          <w:color w:val="auto"/>
        </w:rPr>
        <w:t>https://ir.definitivehc.com/</w:t>
      </w:r>
      <w:r>
        <w:rPr>
          <w:rFonts w:ascii="Arial" w:cs="Arial" w:eastAsia="Arial" w:hAnsi="Arial"/>
          <w:sz w:val="20"/>
          <w:szCs w:val="20"/>
          <w:i w:val="1"/>
          <w:iCs w:val="1"/>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w:t>
      </w:r>
      <w:r>
        <w:rPr>
          <w:rFonts w:ascii="Arial" w:cs="Arial" w:eastAsia="Arial" w:hAnsi="Arial"/>
          <w:sz w:val="20"/>
          <w:szCs w:val="20"/>
          <w:i w:val="1"/>
          <w:iCs w:val="1"/>
          <w:u w:val="single" w:color="auto"/>
          <w:color w:val="auto"/>
        </w:rPr>
        <w:t>https://ir.definitivehc.com/</w:t>
      </w:r>
      <w:r>
        <w:rPr>
          <w:rFonts w:ascii="Arial" w:cs="Arial" w:eastAsia="Arial" w:hAnsi="Arial"/>
          <w:sz w:val="20"/>
          <w:szCs w:val="20"/>
          <w:i w:val="1"/>
          <w:iCs w:val="1"/>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04" w:lineRule="exact"/>
        <w:rPr>
          <w:sz w:val="20"/>
          <w:szCs w:val="20"/>
          <w:color w:val="auto"/>
        </w:rPr>
      </w:pPr>
    </w:p>
    <w:p>
      <w:pPr>
        <w:spacing w:after="0" w:line="232" w:lineRule="auto"/>
        <w:rPr>
          <w:sz w:val="20"/>
          <w:szCs w:val="20"/>
          <w:color w:val="auto"/>
        </w:rPr>
      </w:pPr>
      <w:r>
        <w:rPr>
          <w:rFonts w:ascii="Arial" w:cs="Arial" w:eastAsia="Arial" w:hAnsi="Arial"/>
          <w:sz w:val="20"/>
          <w:szCs w:val="20"/>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A reconciliation of GAAP to non-GAAP results has been provided in the financial statement tables included at the end of this press release.</w:t>
      </w:r>
    </w:p>
    <w:p>
      <w:pPr>
        <w:spacing w:after="0" w:line="172" w:lineRule="exact"/>
        <w:rPr>
          <w:sz w:val="20"/>
          <w:szCs w:val="20"/>
          <w:color w:val="auto"/>
        </w:rPr>
      </w:pPr>
    </w:p>
    <w:p>
      <w:pPr>
        <w:ind w:right="200"/>
        <w:spacing w:after="0" w:line="233" w:lineRule="auto"/>
        <w:rPr>
          <w:sz w:val="20"/>
          <w:szCs w:val="20"/>
          <w:color w:val="auto"/>
        </w:rPr>
      </w:pPr>
      <w:r>
        <w:rPr>
          <w:rFonts w:ascii="Arial" w:cs="Arial" w:eastAsia="Arial" w:hAnsi="Arial"/>
          <w:sz w:val="20"/>
          <w:szCs w:val="20"/>
          <w:i w:val="1"/>
          <w:iCs w:val="1"/>
          <w:color w:val="auto"/>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required by or prepared in accordance with generally accepted accounting principles in the U.S.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p>
    <w:p>
      <w:pPr>
        <w:spacing w:after="0" w:line="172" w:lineRule="exact"/>
        <w:rPr>
          <w:sz w:val="20"/>
          <w:szCs w:val="20"/>
          <w:color w:val="auto"/>
        </w:rPr>
      </w:pPr>
    </w:p>
    <w:p>
      <w:pPr>
        <w:ind w:right="340"/>
        <w:spacing w:after="0" w:line="252" w:lineRule="auto"/>
        <w:rPr>
          <w:sz w:val="20"/>
          <w:szCs w:val="20"/>
          <w:color w:val="auto"/>
        </w:rPr>
      </w:pPr>
      <w:r>
        <w:rPr>
          <w:rFonts w:ascii="Arial" w:cs="Arial" w:eastAsia="Arial" w:hAnsi="Arial"/>
          <w:sz w:val="19"/>
          <w:szCs w:val="19"/>
          <w:i w:val="1"/>
          <w:iCs w:val="1"/>
          <w:color w:val="auto"/>
        </w:rPr>
        <w:t>We define Unlevered Free Cash Flow as net cash provided by (used in) operating activities less purchases of property, equipment and other assets, plus cash interest expense, and cash payments related to transaction, integration, and restructuring related expenses, earnouts, and other non-core items. Unlevered Free Cash Flow does not represent residual cash flow available for discretionary expenditures since, among other things, we have mandatory debt service requirements.</w:t>
      </w:r>
    </w:p>
    <w:p>
      <w:pPr>
        <w:spacing w:after="0" w:line="162" w:lineRule="exact"/>
        <w:rPr>
          <w:sz w:val="20"/>
          <w:szCs w:val="20"/>
          <w:color w:val="auto"/>
        </w:rPr>
      </w:pPr>
    </w:p>
    <w:p>
      <w:pPr>
        <w:ind w:right="640"/>
        <w:spacing w:after="0" w:line="257"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income taxes and depreciation and amortization. Adjusted EBITDA is defined as EBITDA adjusted to exclude certain items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10" w:name="page11"/>
    <w:bookmarkEnd w:id="10"/>
    <w:p>
      <w:pPr>
        <w:ind w:right="440"/>
        <w:spacing w:after="0" w:line="231" w:lineRule="auto"/>
        <w:rPr>
          <w:sz w:val="20"/>
          <w:szCs w:val="20"/>
          <w:color w:val="auto"/>
        </w:rPr>
      </w:pPr>
      <w:r>
        <w:rPr>
          <w:rFonts w:ascii="Arial" w:cs="Arial" w:eastAsia="Arial" w:hAnsi="Arial"/>
          <w:sz w:val="20"/>
          <w:szCs w:val="20"/>
          <w:i w:val="1"/>
          <w:iCs w:val="1"/>
          <w:color w:val="auto"/>
        </w:rPr>
        <w:t>significant or unusual nature, including other income and expense, equity-based compensation, goodwill impairments, transaction, integration, and restructuring expenses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p>
    <w:p>
      <w:pPr>
        <w:spacing w:after="0" w:line="173"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i w:val="1"/>
          <w:iCs w:val="1"/>
          <w:color w:val="auto"/>
        </w:rPr>
        <w:t>We define Adjusted Gross Profit as gross profit excluding acquisition-related depreciation and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auto"/>
        </w:rPr>
        <w:t>We define Adjusted Operating Income as loss from operations plus acquisition related amortization, equity-based compensation, goodwill impairments, transaction, integration, and restructuring expenses and other non-core expenses.</w:t>
      </w:r>
    </w:p>
    <w:p>
      <w:pPr>
        <w:spacing w:after="0" w:line="155"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net, recurring income tax benefit, foreign currency (loss) gain, and tax effects of adjustments. We define Adjusted Net Income Per Diluted Share as Adjusted Net Income divided by diluted outstanding shares.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785495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Brian Denyeau</w:t>
      </w:r>
    </w:p>
    <w:p>
      <w:pPr>
        <w:spacing w:after="0" w:line="226" w:lineRule="auto"/>
        <w:rPr>
          <w:sz w:val="20"/>
          <w:szCs w:val="20"/>
          <w:color w:val="auto"/>
        </w:rPr>
      </w:pPr>
      <w:r>
        <w:rPr>
          <w:rFonts w:ascii="Arial" w:cs="Arial" w:eastAsia="Arial" w:hAnsi="Arial"/>
          <w:sz w:val="20"/>
          <w:szCs w:val="20"/>
          <w:color w:val="auto"/>
        </w:rPr>
        <w:t>ICR for Definitive Healthcare</w:t>
      </w:r>
    </w:p>
    <w:p>
      <w:pPr>
        <w:spacing w:after="0" w:line="225" w:lineRule="auto"/>
        <w:rPr>
          <w:sz w:val="20"/>
          <w:szCs w:val="20"/>
          <w:color w:val="auto"/>
        </w:rPr>
      </w:pPr>
      <w:r>
        <w:rPr>
          <w:rFonts w:ascii="Arial" w:cs="Arial" w:eastAsia="Arial" w:hAnsi="Arial"/>
          <w:sz w:val="20"/>
          <w:szCs w:val="20"/>
          <w:u w:val="single" w:color="auto"/>
          <w:color w:val="0000FF"/>
        </w:rPr>
        <w:t>brian.denyeau@icrinc.com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646-277-1251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Bethany Swackhamer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bswackhamer@definitivehc.com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105,994</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contract costs</w:t>
            </w:r>
          </w:p>
        </w:tc>
        <w:tc>
          <w:tcPr>
            <w:tcW w:w="2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393,927</w:t>
            </w:r>
          </w:p>
        </w:tc>
        <w:tc>
          <w:tcPr>
            <w:tcW w:w="100" w:type="dxa"/>
            <w:vAlign w:val="bottom"/>
          </w:tcPr>
          <w:p>
            <w:pPr>
              <w:spacing w:after="0"/>
              <w:rPr>
                <w:sz w:val="20"/>
                <w:szCs w:val="20"/>
                <w:color w:val="auto"/>
              </w:rPr>
            </w:pPr>
          </w:p>
        </w:tc>
      </w:tr>
      <w:tr>
        <w:trPr>
          <w:trHeight w:val="24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317,972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20"/>
                <w:szCs w:val="20"/>
                <w:color w:val="auto"/>
              </w:rPr>
            </w:pPr>
          </w:p>
        </w:tc>
      </w:tr>
      <w:tr>
        <w:trPr>
          <w:trHeight w:val="28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1,810,145</w:t>
            </w:r>
          </w:p>
        </w:tc>
        <w:tc>
          <w:tcPr>
            <w:tcW w:w="1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shd w:val="clear" w:color="auto" w:fill="CFF0FC"/>
          </w:tcPr>
          <w:p>
            <w:pPr>
              <w:spacing w:after="0"/>
              <w:rPr>
                <w:sz w:val="24"/>
                <w:szCs w:val="24"/>
                <w:color w:val="auto"/>
              </w:rPr>
            </w:pPr>
          </w:p>
        </w:tc>
      </w:tr>
      <w:tr>
        <w:trPr>
          <w:trHeight w:val="221"/>
        </w:trPr>
        <w:tc>
          <w:tcPr>
            <w:tcW w:w="7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164,980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170,682</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0"/>
                <w:szCs w:val="20"/>
                <w:color w:val="auto"/>
              </w:rPr>
            </w:pPr>
          </w:p>
        </w:tc>
      </w:tr>
      <w:tr>
        <w:trPr>
          <w:trHeight w:val="238"/>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615,114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117,790,025 and</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116,562,252 shares issued and outstanding at March 31, 2024 and December 31, 2023,</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11"/>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39,664,004 and</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39,238,832 shares issued and outstanding, respectively, at March 31, 2024, and 39,762,700</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39,168,047 shares issued and outstanding, respectively, at December 31, 2023</w:t>
            </w:r>
          </w:p>
        </w:tc>
        <w:tc>
          <w:tcPr>
            <w:tcW w:w="28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1,095,482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(236,968 )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(227,450 )</w:t>
            </w: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337,817</w:t>
            </w:r>
          </w:p>
        </w:tc>
        <w:tc>
          <w:tcPr>
            <w:tcW w:w="100" w:type="dxa"/>
            <w:vAlign w:val="bottom"/>
          </w:tcPr>
          <w:p>
            <w:pPr>
              <w:spacing w:after="0"/>
              <w:rPr>
                <w:sz w:val="20"/>
                <w:szCs w:val="20"/>
                <w:color w:val="auto"/>
              </w:rPr>
            </w:pPr>
          </w:p>
        </w:tc>
      </w:tr>
      <w:tr>
        <w:trPr>
          <w:trHeight w:val="237"/>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1,195,031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1,810,145</w:t>
            </w:r>
          </w:p>
        </w:tc>
        <w:tc>
          <w:tcPr>
            <w:tcW w:w="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92"/>
        </w:trPr>
        <w:tc>
          <w:tcPr>
            <w:tcW w:w="7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-6814820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-6814820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-5562600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-5545455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-5545455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-3051175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-1096645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3" w:name="page14"/>
    <w:bookmarkEnd w:id="13"/>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63,480</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59,201</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Cost of revenue exclusive of amortization </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50,382</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3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FF0FC"/>
          </w:tcPr>
          <w:p>
            <w:pPr>
              <w:spacing w:after="0"/>
              <w:rPr>
                <w:sz w:val="21"/>
                <w:szCs w:val="21"/>
                <w:color w:val="auto"/>
              </w:rPr>
            </w:pPr>
          </w:p>
        </w:tc>
      </w:tr>
      <w:tr>
        <w:trPr>
          <w:trHeight w:val="232"/>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66,631</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(16,249 )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(12,271 )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(780 )</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(3,631 )</w:t>
            </w:r>
          </w:p>
        </w:tc>
      </w:tr>
      <w:tr>
        <w:trPr>
          <w:trHeight w:val="237"/>
        </w:trPr>
        <w:tc>
          <w:tcPr>
            <w:tcW w:w="77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6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(13,498 )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(16,682 )</w:t>
            </w: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(12,718 )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(15,972 )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(3,200 )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(9,518 )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(12,063 )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1"/>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117,433,520</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108,234,043</w:t>
            </w:r>
          </w:p>
        </w:tc>
        <w:tc>
          <w:tcPr>
            <w:tcW w:w="10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-3385185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-2463800</wp:posOffset>
            </wp:positionV>
            <wp:extent cx="9398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-2463800</wp:posOffset>
            </wp:positionV>
            <wp:extent cx="9398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-1675130</wp:posOffset>
            </wp:positionV>
            <wp:extent cx="9398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-1675130</wp:posOffset>
            </wp:positionV>
            <wp:extent cx="9398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-1182370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-864870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-521970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200" w:hanging="179"/>
        <w:spacing w:after="0"/>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include equity-based compensation expense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77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2"/>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2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92"/>
        </w:trPr>
        <w:tc>
          <w:tcPr>
            <w:tcW w:w="7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-1096645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(12,718 )</w:t>
            </w:r>
          </w:p>
        </w:tc>
        <w:tc>
          <w:tcPr>
            <w:tcW w:w="102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(15,972 )</w:t>
            </w:r>
          </w:p>
        </w:tc>
      </w:tr>
      <w:tr>
        <w:trPr>
          <w:trHeight w:val="18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12,130</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12,431</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Amortization of deferred contract costs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3,692</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2,860</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15,582</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11,128</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Provision for doubtful accounts receivable</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Non-cash impairment charges related to office leases</w:t>
            </w:r>
          </w:p>
        </w:tc>
        <w:tc>
          <w:tcPr>
            <w:tcW w:w="1020" w:type="dxa"/>
            <w:vAlign w:val="bottom"/>
          </w:tcPr>
          <w:p>
            <w:pPr>
              <w:spacing w:after="0"/>
              <w:rPr>
                <w:sz w:val="16"/>
                <w:szCs w:val="16"/>
                <w:color w:val="auto"/>
              </w:rPr>
            </w:pPr>
          </w:p>
        </w:tc>
        <w:tc>
          <w:tcPr>
            <w:tcW w:w="90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Tax receivable agreement remeasurement</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(2,267 )</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3,552</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Deferred income taxes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(847 )</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(773 )</w:t>
            </w: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Accounts receivable</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2,999</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6,966</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020" w:type="dxa"/>
            <w:vAlign w:val="bottom"/>
          </w:tcPr>
          <w:p>
            <w:pPr>
              <w:spacing w:after="0"/>
              <w:rPr>
                <w:sz w:val="16"/>
                <w:szCs w:val="16"/>
                <w:color w:val="auto"/>
              </w:rPr>
            </w:pP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(1,399 )</w:t>
            </w:r>
          </w:p>
        </w:tc>
        <w:tc>
          <w:tcPr>
            <w:tcW w:w="10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(3,796 )</w:t>
            </w: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Deferred contract costs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(2,699 )</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(4,021 )</w:t>
            </w: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020" w:type="dxa"/>
            <w:vAlign w:val="bottom"/>
          </w:tcPr>
          <w:p>
            <w:pPr>
              <w:spacing w:after="0"/>
              <w:rPr>
                <w:sz w:val="16"/>
                <w:szCs w:val="16"/>
                <w:color w:val="auto"/>
              </w:rPr>
            </w:pP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(602 )</w:t>
            </w:r>
          </w:p>
        </w:tc>
        <w:tc>
          <w:tcPr>
            <w:tcW w:w="1020" w:type="dxa"/>
            <w:vAlign w:val="bottom"/>
          </w:tcPr>
          <w:p>
            <w:pPr>
              <w:spacing w:after="0"/>
              <w:rPr>
                <w:sz w:val="16"/>
                <w:szCs w:val="16"/>
                <w:color w:val="auto"/>
              </w:rPr>
            </w:pP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(8,231 )</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(3,855 )</w:t>
            </w: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Deferred revenue</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9,738</w:t>
            </w:r>
          </w:p>
        </w:tc>
        <w:tc>
          <w:tcPr>
            <w:tcW w:w="3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5,569</w:t>
            </w:r>
          </w:p>
        </w:tc>
        <w:tc>
          <w:tcPr>
            <w:tcW w:w="100" w:type="dxa"/>
            <w:vAlign w:val="bottom"/>
          </w:tcPr>
          <w:p>
            <w:pPr>
              <w:spacing w:after="0"/>
              <w:rPr>
                <w:sz w:val="16"/>
                <w:szCs w:val="16"/>
                <w:color w:val="auto"/>
              </w:rPr>
            </w:pPr>
          </w:p>
        </w:tc>
      </w:tr>
      <w:tr>
        <w:trPr>
          <w:trHeight w:val="18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16,589</w:t>
            </w: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14,957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(266 )</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(1,338 )</w:t>
            </w: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Purchases of short-term investments</w:t>
            </w:r>
          </w:p>
        </w:tc>
        <w:tc>
          <w:tcPr>
            <w:tcW w:w="1020" w:type="dxa"/>
            <w:vAlign w:val="bottom"/>
          </w:tcPr>
          <w:p>
            <w:pPr>
              <w:spacing w:after="0"/>
              <w:rPr>
                <w:sz w:val="16"/>
                <w:szCs w:val="16"/>
                <w:color w:val="auto"/>
              </w:rPr>
            </w:pP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(83,826 )</w:t>
            </w:r>
          </w:p>
        </w:tc>
        <w:tc>
          <w:tcPr>
            <w:tcW w:w="10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(90,252 )</w:t>
            </w:r>
          </w:p>
        </w:tc>
      </w:tr>
      <w:tr>
        <w:trPr>
          <w:trHeight w:val="189"/>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Maturities of short-term investments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73,588</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58,120</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020" w:type="dxa"/>
            <w:vAlign w:val="bottom"/>
          </w:tcPr>
          <w:p>
            <w:pPr>
              <w:spacing w:after="0"/>
              <w:rPr>
                <w:sz w:val="16"/>
                <w:szCs w:val="16"/>
                <w:color w:val="auto"/>
              </w:rPr>
            </w:pP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(13,530 )</w:t>
            </w:r>
          </w:p>
        </w:tc>
        <w:tc>
          <w:tcPr>
            <w:tcW w:w="1020" w:type="dxa"/>
            <w:vAlign w:val="bottom"/>
          </w:tcPr>
          <w:p>
            <w:pPr>
              <w:spacing w:after="0"/>
              <w:rPr>
                <w:sz w:val="16"/>
                <w:szCs w:val="16"/>
                <w:color w:val="auto"/>
              </w:rPr>
            </w:pP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7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(24,034 )</w:t>
            </w:r>
          </w:p>
        </w:tc>
        <w:tc>
          <w:tcPr>
            <w:tcW w:w="10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(33,470 )</w:t>
            </w:r>
          </w:p>
        </w:tc>
      </w:tr>
      <w:tr>
        <w:trPr>
          <w:trHeight w:val="183"/>
        </w:trPr>
        <w:tc>
          <w:tcPr>
            <w:tcW w:w="7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used in financing activities:</w:t>
            </w: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Repayments of term loans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(3,438 )</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(1,719 )</w:t>
            </w: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1020" w:type="dxa"/>
            <w:vAlign w:val="bottom"/>
          </w:tcPr>
          <w:p>
            <w:pPr>
              <w:spacing w:after="0"/>
              <w:rPr>
                <w:sz w:val="16"/>
                <w:szCs w:val="16"/>
                <w:color w:val="auto"/>
              </w:rPr>
            </w:pP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(5,806 )</w:t>
            </w:r>
          </w:p>
        </w:tc>
        <w:tc>
          <w:tcPr>
            <w:tcW w:w="10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(1,530 )</w:t>
            </w:r>
          </w:p>
        </w:tc>
      </w:tr>
      <w:tr>
        <w:trPr>
          <w:trHeight w:val="189"/>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Payment of contingent consideration</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(1,000 )</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Payments under tax receivable agreement</w:t>
            </w:r>
          </w:p>
        </w:tc>
        <w:tc>
          <w:tcPr>
            <w:tcW w:w="1020" w:type="dxa"/>
            <w:vAlign w:val="bottom"/>
          </w:tcPr>
          <w:p>
            <w:pPr>
              <w:spacing w:after="0"/>
              <w:rPr>
                <w:sz w:val="16"/>
                <w:szCs w:val="16"/>
                <w:color w:val="auto"/>
              </w:rPr>
            </w:pP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(6,950 )</w:t>
            </w:r>
          </w:p>
        </w:tc>
        <w:tc>
          <w:tcPr>
            <w:tcW w:w="10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(246 )</w:t>
            </w:r>
          </w:p>
        </w:tc>
      </w:tr>
      <w:tr>
        <w:trPr>
          <w:trHeight w:val="189"/>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Payments of equity offering issuance costs</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(30 )</w:t>
            </w:r>
          </w:p>
        </w:tc>
      </w:tr>
      <w:tr>
        <w:trPr>
          <w:trHeight w:val="183"/>
        </w:trPr>
        <w:tc>
          <w:tcPr>
            <w:tcW w:w="7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(17,194</w:t>
            </w:r>
          </w:p>
        </w:tc>
        <w:tc>
          <w:tcPr>
            <w:tcW w:w="3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10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(24,639 )</w:t>
            </w:r>
          </w:p>
        </w:tc>
        <w:tc>
          <w:tcPr>
            <w:tcW w:w="10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(22,038 )</w:t>
            </w: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1020" w:type="dxa"/>
            <w:vAlign w:val="bottom"/>
          </w:tcPr>
          <w:p>
            <w:pPr>
              <w:spacing w:after="0"/>
              <w:rPr>
                <w:sz w:val="16"/>
                <w:szCs w:val="16"/>
                <w:color w:val="auto"/>
              </w:rPr>
            </w:pPr>
          </w:p>
        </w:tc>
        <w:tc>
          <w:tcPr>
            <w:tcW w:w="9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(343 )</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Pr>
          <w:p>
            <w:pPr>
              <w:spacing w:after="0"/>
              <w:rPr>
                <w:sz w:val="16"/>
                <w:szCs w:val="16"/>
                <w:color w:val="auto"/>
              </w:rPr>
            </w:pPr>
          </w:p>
        </w:tc>
      </w:tr>
      <w:tr>
        <w:trPr>
          <w:trHeight w:val="189"/>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0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130,976</w:t>
            </w:r>
          </w:p>
        </w:tc>
        <w:tc>
          <w:tcPr>
            <w:tcW w:w="3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146,934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02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105,994</w:t>
            </w:r>
          </w:p>
        </w:tc>
        <w:tc>
          <w:tcPr>
            <w:tcW w:w="300" w:type="dxa"/>
            <w:vAlign w:val="bottom"/>
          </w:tcPr>
          <w:p>
            <w:pPr>
              <w:spacing w:after="0"/>
              <w:rPr>
                <w:sz w:val="15"/>
                <w:szCs w:val="15"/>
                <w:color w:val="auto"/>
              </w:rPr>
            </w:pPr>
          </w:p>
        </w:tc>
        <w:tc>
          <w:tcPr>
            <w:tcW w:w="102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124,961</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6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Interest</w:t>
            </w:r>
          </w:p>
        </w:tc>
        <w:tc>
          <w:tcPr>
            <w:tcW w:w="1020" w:type="dxa"/>
            <w:vAlign w:val="bottom"/>
            <w:shd w:val="clear" w:color="auto" w:fill="CFF0FC"/>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3,642</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3,475</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Income taxes</w:t>
            </w: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Acquisitions: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Net assets acquired, net of cash acquired</w:t>
            </w: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13,675</w:t>
            </w:r>
          </w:p>
        </w:tc>
        <w:tc>
          <w:tcPr>
            <w:tcW w:w="300" w:type="dxa"/>
            <w:vAlign w:val="bottom"/>
          </w:tcPr>
          <w:p>
            <w:pPr>
              <w:spacing w:after="0"/>
              <w:rPr>
                <w:sz w:val="16"/>
                <w:szCs w:val="16"/>
                <w:color w:val="auto"/>
              </w:rPr>
            </w:pPr>
          </w:p>
        </w:tc>
        <w:tc>
          <w:tcPr>
            <w:tcW w:w="102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Working capital adjustment receivable</w:t>
            </w:r>
          </w:p>
        </w:tc>
        <w:tc>
          <w:tcPr>
            <w:tcW w:w="10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(145 )</w:t>
            </w: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760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Net cash paid for acquisitions</w:t>
            </w:r>
          </w:p>
        </w:tc>
        <w:tc>
          <w:tcPr>
            <w:tcW w:w="1020" w:type="dxa"/>
            <w:vAlign w:val="bottom"/>
            <w:tcBorders>
              <w:top w:val="single" w:sz="8" w:color="auto"/>
              <w:bottom w:val="single" w:sz="8" w:color="auto"/>
            </w:tcBorders>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13,530</w:t>
            </w:r>
          </w:p>
        </w:tc>
        <w:tc>
          <w:tcPr>
            <w:tcW w:w="3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6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8"/>
        </w:trPr>
        <w:tc>
          <w:tcPr>
            <w:tcW w:w="7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Capital expenditures included in accrued expenses and other liabilities</w:t>
            </w: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tcPr>
          <w:p>
            <w:pPr>
              <w:spacing w:after="0"/>
              <w:rPr>
                <w:sz w:val="17"/>
                <w:szCs w:val="17"/>
                <w:color w:val="auto"/>
              </w:rPr>
            </w:pPr>
          </w:p>
        </w:tc>
      </w:tr>
      <w:tr>
        <w:trPr>
          <w:trHeight w:val="1402"/>
        </w:trPr>
        <w:tc>
          <w:tcPr>
            <w:tcW w:w="7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-4259580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-3522345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-2806700</wp:posOffset>
            </wp:positionV>
            <wp:extent cx="939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-2806700</wp:posOffset>
            </wp:positionV>
            <wp:extent cx="939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-2296795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Closest GAAP Equivalent</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Operating Cash Flow to Unlevered Free Cash Flow</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060" w:type="dxa"/>
            <w:vAlign w:val="bottom"/>
          </w:tcPr>
          <w:p>
            <w:pPr>
              <w:spacing w:after="0"/>
              <w:rPr>
                <w:sz w:val="19"/>
                <w:szCs w:val="19"/>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320" w:type="dxa"/>
            <w:vAlign w:val="bottom"/>
          </w:tcPr>
          <w:p>
            <w:pPr>
              <w:spacing w:after="0"/>
              <w:rPr>
                <w:sz w:val="20"/>
                <w:szCs w:val="20"/>
                <w:color w:val="auto"/>
              </w:rPr>
            </w:pP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(266 )</w:t>
            </w:r>
          </w:p>
        </w:tc>
        <w:tc>
          <w:tcPr>
            <w:tcW w:w="12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(1,338 )</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 in cash</w:t>
            </w: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paid in cash </w:t>
            </w:r>
            <w:r>
              <w:rPr>
                <w:rFonts w:ascii="Times New Roman" w:cs="Times New Roman" w:eastAsia="Times New Roman" w:hAnsi="Times New Roman"/>
                <w:sz w:val="24"/>
                <w:szCs w:val="24"/>
                <w:color w:val="auto"/>
                <w:vertAlign w:val="superscript"/>
              </w:rPr>
              <w:t>(a)</w:t>
            </w:r>
          </w:p>
        </w:tc>
        <w:tc>
          <w:tcPr>
            <w:tcW w:w="12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FF0FC"/>
          </w:tcPr>
          <w:p>
            <w:pPr>
              <w:spacing w:after="0"/>
              <w:rPr>
                <w:sz w:val="21"/>
                <w:szCs w:val="21"/>
                <w:color w:val="auto"/>
              </w:rPr>
            </w:pPr>
          </w:p>
        </w:tc>
      </w:tr>
      <w:tr>
        <w:trPr>
          <w:trHeight w:val="243"/>
        </w:trPr>
        <w:tc>
          <w:tcPr>
            <w:tcW w:w="706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Earnout payment </w:t>
            </w:r>
            <w:r>
              <w:rPr>
                <w:rFonts w:ascii="Times New Roman" w:cs="Times New Roman" w:eastAsia="Times New Roman" w:hAnsi="Times New Roman"/>
                <w:sz w:val="24"/>
                <w:szCs w:val="24"/>
                <w:color w:val="auto"/>
                <w:vertAlign w:val="superscript"/>
              </w:rPr>
              <w:t>(b)</w:t>
            </w: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Other non-core items </w:t>
            </w:r>
            <w:r>
              <w:rPr>
                <w:rFonts w:ascii="Times New Roman" w:cs="Times New Roman" w:eastAsia="Times New Roman" w:hAnsi="Times New Roman"/>
                <w:sz w:val="24"/>
                <w:szCs w:val="24"/>
                <w:color w:val="auto"/>
                <w:vertAlign w:val="superscript"/>
              </w:rPr>
              <w:t>(c)</w:t>
            </w:r>
          </w:p>
        </w:tc>
        <w:tc>
          <w:tcPr>
            <w:tcW w:w="1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(528 )</w:t>
            </w:r>
          </w:p>
        </w:tc>
        <w:tc>
          <w:tcPr>
            <w:tcW w:w="1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320" w:type="dxa"/>
            <w:vAlign w:val="bottom"/>
            <w:tcBorders>
              <w:top w:val="single" w:sz="8" w:color="CFF0FC"/>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tcBorders>
              <w:top w:val="single" w:sz="8" w:color="CFF0FC"/>
            </w:tcBorders>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20" w:right="780" w:firstLine="1"/>
        <w:spacing w:after="0" w:line="261"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paid in cash primarily represent legal, accounting, and consulting expenses related to our acquisitions. Restructuring expenses paid in cash relate to our restructuring plans.</w:t>
      </w:r>
    </w:p>
    <w:p>
      <w:pPr>
        <w:ind w:left="420" w:hanging="399"/>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 represents final settlement of contingent consideration included in cash flow from operations.</w:t>
      </w:r>
    </w:p>
    <w:p>
      <w:pPr>
        <w:spacing w:after="0" w:line="9"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items represent expenses driven by events that are typically by nature one-time, non-operational, and unrelated to our core operations.</w:t>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Net Loss to Adjusted Net Income and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GAAP Operating Loss to Adjusted Operating Income</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4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70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(12,718 )</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(15,972 )</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Income tax benefit</w:t>
            </w:r>
          </w:p>
        </w:tc>
        <w:tc>
          <w:tcPr>
            <w:tcW w:w="4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(780 )</w:t>
            </w:r>
          </w:p>
        </w:tc>
        <w:tc>
          <w:tcPr>
            <w:tcW w:w="4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(710 )</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Interest (income) expense, net</w:t>
            </w:r>
          </w:p>
        </w:tc>
        <w:tc>
          <w:tcPr>
            <w:tcW w:w="4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(111 )</w:t>
            </w: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Other (income) expense, net</w:t>
            </w:r>
          </w:p>
        </w:tc>
        <w:tc>
          <w:tcPr>
            <w:tcW w:w="4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(2,640 )</w:t>
            </w: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4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(16,249 )</w:t>
            </w:r>
          </w:p>
        </w:tc>
        <w:tc>
          <w:tcPr>
            <w:tcW w:w="4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(12,271 )</w:t>
            </w:r>
          </w:p>
        </w:tc>
      </w:tr>
      <w:tr>
        <w:trPr>
          <w:trHeight w:val="234"/>
        </w:trPr>
        <w:tc>
          <w:tcPr>
            <w:tcW w:w="70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Add: Amortization of intangible assets acquired through business combinations</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32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tcBorders>
              <w:top w:val="single" w:sz="8" w:color="CFF0FC"/>
            </w:tcBorders>
          </w:tcPr>
          <w:p>
            <w:pPr>
              <w:spacing w:after="0"/>
              <w:rPr>
                <w:sz w:val="20"/>
                <w:szCs w:val="20"/>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Transaction, integration, and restructuring expenses</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20"/>
                <w:szCs w:val="20"/>
                <w:color w:val="auto"/>
              </w:rPr>
            </w:pPr>
          </w:p>
        </w:tc>
      </w:tr>
      <w:tr>
        <w:trPr>
          <w:trHeight w:val="243"/>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Other non-core items</w:t>
            </w:r>
          </w:p>
        </w:tc>
        <w:tc>
          <w:tcPr>
            <w:tcW w:w="4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(528 )</w:t>
            </w: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21"/>
                <w:szCs w:val="21"/>
                <w:color w:val="auto"/>
              </w:rPr>
            </w:pPr>
          </w:p>
        </w:tc>
      </w:tr>
      <w:tr>
        <w:trPr>
          <w:trHeight w:val="238"/>
        </w:trPr>
        <w:tc>
          <w:tcPr>
            <w:tcW w:w="70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4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32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100" w:type="dxa"/>
            <w:vAlign w:val="bottom"/>
            <w:tcBorders>
              <w:top w:val="single" w:sz="8" w:color="CFF0FC"/>
            </w:tcBorders>
          </w:tcPr>
          <w:p>
            <w:pPr>
              <w:spacing w:after="0"/>
              <w:rPr>
                <w:sz w:val="20"/>
                <w:szCs w:val="20"/>
                <w:color w:val="auto"/>
              </w:rPr>
            </w:pPr>
          </w:p>
        </w:tc>
      </w:tr>
      <w:tr>
        <w:trPr>
          <w:trHeight w:val="239"/>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Interest income (expense), net</w:t>
            </w:r>
          </w:p>
        </w:tc>
        <w:tc>
          <w:tcPr>
            <w:tcW w:w="4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(780 )</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Recurring income tax benefit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Foreign currency gain (loss)</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Tax impacts of adjustments to net loss</w:t>
            </w:r>
          </w:p>
        </w:tc>
        <w:tc>
          <w:tcPr>
            <w:tcW w:w="44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(6,772 )</w:t>
            </w:r>
          </w:p>
        </w:tc>
        <w:tc>
          <w:tcPr>
            <w:tcW w:w="4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(4,858 )</w:t>
            </w:r>
          </w:p>
        </w:tc>
      </w:tr>
      <w:tr>
        <w:trPr>
          <w:trHeight w:val="239"/>
        </w:trPr>
        <w:tc>
          <w:tcPr>
            <w:tcW w:w="7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3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060" w:type="dxa"/>
            <w:vAlign w:val="bottom"/>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24"/>
                <w:szCs w:val="24"/>
                <w:color w:val="auto"/>
                <w:vertAlign w:val="superscript"/>
              </w:rPr>
              <w:t>(a)</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156,634,698</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154,300,768</w:t>
            </w:r>
          </w:p>
        </w:tc>
        <w:tc>
          <w:tcPr>
            <w:tcW w:w="100" w:type="dxa"/>
            <w:vAlign w:val="bottom"/>
          </w:tcPr>
          <w:p>
            <w:pPr>
              <w:spacing w:after="0"/>
              <w:rPr>
                <w:sz w:val="20"/>
                <w:szCs w:val="20"/>
                <w:color w:val="auto"/>
              </w:rPr>
            </w:pPr>
          </w:p>
        </w:tc>
      </w:tr>
      <w:tr>
        <w:trPr>
          <w:trHeight w:val="243"/>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-1893570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-1268095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-316865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20" w:right="120" w:firstLine="1"/>
        <w:spacing w:after="0" w:line="261"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164,977,953 and 162,001,223 as of March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Reconciliation of GAAP Gross Profit and Margin to Adjusted Gross Profit and Margin</w:t>
      </w:r>
    </w:p>
    <w:p>
      <w:pPr>
        <w:spacing w:after="0" w:line="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(in thousands, except percentages;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0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40" w:type="dxa"/>
            <w:vAlign w:val="bottom"/>
            <w:gridSpan w:val="2"/>
          </w:tcPr>
          <w:p>
            <w:pPr>
              <w:spacing w:after="0"/>
              <w:rPr>
                <w:sz w:val="14"/>
                <w:szCs w:val="14"/>
                <w:color w:val="auto"/>
              </w:rPr>
            </w:pPr>
          </w:p>
        </w:tc>
      </w:tr>
      <w:tr>
        <w:trPr>
          <w:trHeight w:val="204"/>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gross profit and margin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47,295</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21"/>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acquired through business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combinations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42"/>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compensation costs</w:t>
            </w: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 and margin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49,843</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-179070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-179070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-179070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Reconciliation of GAAP Net Loss to Adjusted EBITDA</w:t>
      </w:r>
    </w:p>
    <w:p>
      <w:pPr>
        <w:spacing w:after="0" w:line="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(in thousands, except percentages;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7"/>
                <w:szCs w:val="17"/>
                <w:color w:val="auto"/>
              </w:rPr>
            </w:pPr>
          </w:p>
        </w:tc>
        <w:tc>
          <w:tcPr>
            <w:tcW w:w="152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and margin</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660" w:type="dxa"/>
            <w:vAlign w:val="bottom"/>
            <w:vMerge w:val="continue"/>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(12,718 )</w:t>
            </w:r>
          </w:p>
        </w:tc>
        <w:tc>
          <w:tcPr>
            <w:tcW w:w="16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(15,972 )</w:t>
            </w:r>
          </w:p>
        </w:tc>
        <w:tc>
          <w:tcPr>
            <w:tcW w:w="1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(111 )</w:t>
            </w: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(780 )</w:t>
            </w: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(710 )</w:t>
            </w:r>
          </w:p>
        </w:tc>
        <w:tc>
          <w:tcPr>
            <w:tcW w:w="1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EBITDA and margin</w:t>
            </w:r>
          </w:p>
        </w:tc>
        <w:tc>
          <w:tcPr>
            <w:tcW w:w="2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(925 )</w:t>
            </w:r>
          </w:p>
        </w:tc>
        <w:tc>
          <w:tcPr>
            <w:tcW w:w="16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2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(2,958 )</w:t>
            </w:r>
          </w:p>
        </w:tc>
        <w:tc>
          <w:tcPr>
            <w:tcW w:w="1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(a)</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(2,640 )</w:t>
            </w: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(b)</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Transaction, integration, and restructuring expenses </w:t>
            </w:r>
            <w:r>
              <w:rPr>
                <w:rFonts w:ascii="Times New Roman" w:cs="Times New Roman" w:eastAsia="Times New Roman" w:hAnsi="Times New Roman"/>
                <w:sz w:val="21"/>
                <w:szCs w:val="21"/>
                <w:color w:val="auto"/>
                <w:vertAlign w:val="superscript"/>
              </w:rPr>
              <w:t>(c)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5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non-core items </w:t>
            </w:r>
            <w:r>
              <w:rPr>
                <w:rFonts w:ascii="Times New Roman" w:cs="Times New Roman" w:eastAsia="Times New Roman" w:hAnsi="Times New Roman"/>
                <w:sz w:val="21"/>
                <w:szCs w:val="21"/>
                <w:color w:val="auto"/>
                <w:vertAlign w:val="superscript"/>
              </w:rPr>
              <w:t>(d)</w:t>
            </w:r>
          </w:p>
        </w:tc>
        <w:tc>
          <w:tcPr>
            <w:tcW w:w="2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(528 )</w:t>
            </w:r>
          </w:p>
        </w:tc>
        <w:tc>
          <w:tcPr>
            <w:tcW w:w="160" w:type="dxa"/>
            <w:vAlign w:val="bottom"/>
          </w:tcPr>
          <w:p>
            <w:pPr>
              <w:spacing w:after="0"/>
              <w:rPr>
                <w:sz w:val="22"/>
                <w:szCs w:val="22"/>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and margin</w:t>
            </w: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vMerge w:val="continue"/>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-1461770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-1170305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7" w:lineRule="exact"/>
        <w:rPr>
          <w:sz w:val="20"/>
          <w:szCs w:val="20"/>
          <w:color w:val="auto"/>
        </w:rPr>
      </w:pPr>
    </w:p>
    <w:p>
      <w:pPr>
        <w:ind w:left="400" w:hanging="379"/>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20" w:right="780" w:firstLine="1"/>
        <w:spacing w:after="0" w:line="250" w:lineRule="auto"/>
        <w:tabs>
          <w:tab w:leader="none" w:pos="4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20" w:right="580" w:firstLine="1"/>
        <w:spacing w:after="0" w:line="255"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the 2024 Restructuring Plan and those we committed to during the first and third quarters of 2023.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00" w:firstLine="8"/>
        <w:spacing w:after="0" w:line="256"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charges inclusive of penalties and interest for sales taxes that we may have been required to collect from customers in 2024 and in certain previous years, and other non-recurring legal and regulatory matters. Other non-core items also include non-recurring consulting fees associated with our 2024 Restructuring Plan, as well as professional fees related to financing, capital structure changes, and other non-recurring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(865 )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 for non-recurring strategic restructuring</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(528 )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176"/>
        </w:trPr>
        <w:tc>
          <w:tcPr>
            <w:tcW w:w="5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-959485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-959485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2024-05-07T15:33:46Z</dcterms:created>
  <dcterms:modified xsi:type="dcterms:W3CDTF">2024-05-07T15:33:46Z</dcterms:modified>
</cp:coreProperties>
</file>