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001-40815</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-274320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Delaware</w:t>
      </w:r>
    </w:p>
    <w:p>
      <w:pPr>
        <w:ind w:left="2020"/>
        <w:spacing w:after="0" w:line="218"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86-3988281</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460" w:space="480"/>
            <w:col w:w="3300"/>
          </w:cols>
          <w:pgMar w:left="320" w:top="634" w:right="33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4500" w:type="dxa"/>
            <w:vAlign w:val="bottom"/>
            <w:gridSpan w:val="3"/>
          </w:tcPr>
          <w:p>
            <w:pPr>
              <w:jc w:val="center"/>
              <w:ind w:left="1065"/>
              <w:spacing w:after="0" w:line="165" w:lineRule="exact"/>
              <w:rPr>
                <w:sz w:val="20"/>
                <w:szCs w:val="20"/>
                <w:color w:val="auto"/>
              </w:rPr>
            </w:pPr>
            <w:r>
              <w:rPr>
                <w:rFonts w:ascii="Arial" w:cs="Arial" w:eastAsia="Arial" w:hAnsi="Arial"/>
                <w:sz w:val="16"/>
                <w:szCs w:val="16"/>
                <w:b w:val="1"/>
                <w:bCs w:val="1"/>
                <w:color w:val="auto"/>
                <w:w w:val="90"/>
              </w:rPr>
              <w:t>550 Cochituate Road</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500" w:type="dxa"/>
            <w:vAlign w:val="bottom"/>
            <w:gridSpan w:val="3"/>
          </w:tcPr>
          <w:p>
            <w:pPr>
              <w:jc w:val="center"/>
              <w:ind w:left="1045"/>
              <w:spacing w:after="0"/>
              <w:rPr>
                <w:sz w:val="20"/>
                <w:szCs w:val="20"/>
                <w:color w:val="auto"/>
              </w:rPr>
            </w:pPr>
            <w:r>
              <w:rPr>
                <w:rFonts w:ascii="Arial" w:cs="Arial" w:eastAsia="Arial" w:hAnsi="Arial"/>
                <w:sz w:val="16"/>
                <w:szCs w:val="16"/>
                <w:b w:val="1"/>
                <w:bCs w:val="1"/>
                <w:color w:val="auto"/>
                <w:w w:val="97"/>
              </w:rPr>
              <w:t>Framingham, MA</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60" w:type="dxa"/>
            <w:vAlign w:val="bottom"/>
          </w:tcPr>
          <w:p>
            <w:pPr>
              <w:jc w:val="right"/>
              <w:ind w:right="2526"/>
              <w:spacing w:after="0"/>
              <w:rPr>
                <w:sz w:val="20"/>
                <w:szCs w:val="20"/>
                <w:color w:val="auto"/>
              </w:rPr>
            </w:pPr>
            <w:r>
              <w:rPr>
                <w:rFonts w:ascii="Arial" w:cs="Arial" w:eastAsia="Arial" w:hAnsi="Arial"/>
                <w:sz w:val="16"/>
                <w:szCs w:val="16"/>
                <w:b w:val="1"/>
                <w:bCs w:val="1"/>
                <w:color w:val="auto"/>
              </w:rPr>
              <w:t>01701</w:t>
            </w:r>
          </w:p>
        </w:tc>
        <w:tc>
          <w:tcPr>
            <w:tcW w:w="0" w:type="dxa"/>
            <w:vAlign w:val="bottom"/>
          </w:tcPr>
          <w:p>
            <w:pPr>
              <w:spacing w:after="0"/>
              <w:rPr>
                <w:sz w:val="1"/>
                <w:szCs w:val="1"/>
                <w:color w:val="auto"/>
              </w:rPr>
            </w:pPr>
          </w:p>
        </w:tc>
      </w:tr>
      <w:tr>
        <w:trPr>
          <w:trHeight w:val="164"/>
        </w:trPr>
        <w:tc>
          <w:tcPr>
            <w:tcW w:w="4500" w:type="dxa"/>
            <w:vAlign w:val="bottom"/>
            <w:gridSpan w:val="3"/>
          </w:tcPr>
          <w:p>
            <w:pPr>
              <w:jc w:val="center"/>
              <w:ind w:left="1065"/>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60" w:type="dxa"/>
            <w:vAlign w:val="bottom"/>
          </w:tcPr>
          <w:p>
            <w:pPr>
              <w:jc w:val="center"/>
              <w:ind w:right="1386"/>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39"/>
        </w:trPr>
        <w:tc>
          <w:tcPr>
            <w:tcW w:w="11240" w:type="dxa"/>
            <w:vAlign w:val="bottom"/>
            <w:gridSpan w:val="8"/>
          </w:tcPr>
          <w:p>
            <w:pPr>
              <w:ind w:left="3300"/>
              <w:spacing w:after="0"/>
              <w:rPr>
                <w:sz w:val="20"/>
                <w:szCs w:val="20"/>
                <w:color w:val="auto"/>
              </w:rPr>
            </w:pPr>
            <w:r>
              <w:rPr>
                <w:rFonts w:ascii="Arial" w:cs="Arial" w:eastAsia="Arial" w:hAnsi="Arial"/>
                <w:sz w:val="16"/>
                <w:szCs w:val="16"/>
                <w:b w:val="1"/>
                <w:bCs w:val="1"/>
                <w:color w:val="auto"/>
              </w:rPr>
              <w:t>Registrant’s telephone number, including area code: (508) 720-4224</w:t>
            </w:r>
          </w:p>
        </w:tc>
        <w:tc>
          <w:tcPr>
            <w:tcW w:w="0" w:type="dxa"/>
            <w:vAlign w:val="bottom"/>
          </w:tcPr>
          <w:p>
            <w:pPr>
              <w:spacing w:after="0"/>
              <w:rPr>
                <w:sz w:val="1"/>
                <w:szCs w:val="1"/>
                <w:color w:val="auto"/>
              </w:rPr>
            </w:pPr>
          </w:p>
        </w:tc>
      </w:tr>
      <w:tr>
        <w:trPr>
          <w:trHeight w:val="73"/>
        </w:trPr>
        <w:tc>
          <w:tcPr>
            <w:tcW w:w="4500" w:type="dxa"/>
            <w:vAlign w:val="bottom"/>
            <w:gridSpan w:val="3"/>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4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450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500" w:type="dxa"/>
            <w:vAlign w:val="bottom"/>
            <w:gridSpan w:val="3"/>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25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7"/>
              </w:rPr>
              <w:t>Trading</w:t>
            </w:r>
          </w:p>
        </w:tc>
        <w:tc>
          <w:tcPr>
            <w:tcW w:w="4160" w:type="dxa"/>
            <w:vAlign w:val="bottom"/>
            <w:vMerge w:val="restart"/>
          </w:tcPr>
          <w:p>
            <w:pPr>
              <w:jc w:val="center"/>
              <w:ind w:right="806"/>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gridSpan w:val="3"/>
            <w:vMerge w:val="continue"/>
          </w:tcPr>
          <w:p>
            <w:pPr>
              <w:spacing w:after="0"/>
              <w:rPr>
                <w:sz w:val="16"/>
                <w:szCs w:val="16"/>
                <w:color w:val="auto"/>
              </w:rPr>
            </w:pPr>
          </w:p>
        </w:tc>
        <w:tc>
          <w:tcPr>
            <w:tcW w:w="25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1"/>
              </w:rPr>
              <w:t>Symbol(s)</w:t>
            </w:r>
          </w:p>
        </w:tc>
        <w:tc>
          <w:tcPr>
            <w:tcW w:w="4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Class A Common Stock, $0.001 par value</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25"/>
              <w:spacing w:after="0"/>
              <w:rPr>
                <w:sz w:val="20"/>
                <w:szCs w:val="20"/>
                <w:color w:val="auto"/>
              </w:rPr>
            </w:pPr>
            <w:r>
              <w:rPr>
                <w:rFonts w:ascii="Arial" w:cs="Arial" w:eastAsia="Arial" w:hAnsi="Arial"/>
                <w:sz w:val="16"/>
                <w:szCs w:val="16"/>
                <w:b w:val="1"/>
                <w:bCs w:val="1"/>
                <w:color w:val="auto"/>
              </w:rPr>
              <w:t>DH</w:t>
            </w:r>
          </w:p>
        </w:tc>
        <w:tc>
          <w:tcPr>
            <w:tcW w:w="120" w:type="dxa"/>
            <w:vAlign w:val="bottom"/>
          </w:tcPr>
          <w:p>
            <w:pPr>
              <w:spacing w:after="0"/>
              <w:rPr>
                <w:sz w:val="17"/>
                <w:szCs w:val="17"/>
                <w:color w:val="auto"/>
              </w:rPr>
            </w:pPr>
          </w:p>
        </w:tc>
        <w:tc>
          <w:tcPr>
            <w:tcW w:w="880" w:type="dxa"/>
            <w:vAlign w:val="bottom"/>
            <w:tcBorders>
              <w:top w:val="single" w:sz="8" w:color="auto"/>
            </w:tcBorders>
            <w:gridSpan w:val="2"/>
          </w:tcPr>
          <w:p>
            <w:pPr>
              <w:spacing w:after="0"/>
              <w:rPr>
                <w:sz w:val="17"/>
                <w:szCs w:val="17"/>
                <w:color w:val="auto"/>
              </w:rPr>
            </w:pPr>
          </w:p>
        </w:tc>
        <w:tc>
          <w:tcPr>
            <w:tcW w:w="4160" w:type="dxa"/>
            <w:vAlign w:val="bottom"/>
            <w:tcBorders>
              <w:top w:val="single" w:sz="8" w:color="auto"/>
            </w:tcBorders>
          </w:tcPr>
          <w:p>
            <w:pPr>
              <w:jc w:val="center"/>
              <w:ind w:right="806"/>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r>
        <w:trPr>
          <w:trHeight w:val="196"/>
        </w:trPr>
        <w:tc>
          <w:tcPr>
            <w:tcW w:w="4500" w:type="dxa"/>
            <w:vAlign w:val="bottom"/>
            <w:gridSpan w:val="3"/>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240" w:type="dxa"/>
            <w:vAlign w:val="bottom"/>
            <w:gridSpan w:val="8"/>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7080" w:type="dxa"/>
            <w:vAlign w:val="bottom"/>
            <w:gridSpan w:val="7"/>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5"/>
              </w:rPr>
              <w:t>☐</w:t>
            </w:r>
          </w:p>
        </w:tc>
        <w:tc>
          <w:tcPr>
            <w:tcW w:w="416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3" w:lineRule="exact"/>
        <w:rPr>
          <w:sz w:val="24"/>
          <w:szCs w:val="24"/>
          <w:color w:val="auto"/>
        </w:rPr>
      </w:pPr>
    </w:p>
    <w:p>
      <w:pPr>
        <w:ind w:right="20"/>
        <w:spacing w:after="0" w:line="257" w:lineRule="auto"/>
        <w:rPr>
          <w:sz w:val="20"/>
          <w:szCs w:val="20"/>
          <w:color w:val="auto"/>
        </w:rPr>
      </w:pPr>
      <w:r>
        <w:rPr>
          <w:rFonts w:ascii="Arial" w:cs="Arial" w:eastAsia="Arial" w:hAnsi="Arial"/>
          <w:sz w:val="14"/>
          <w:szCs w:val="14"/>
          <w:color w:val="auto"/>
        </w:rPr>
        <w:t>The aggregate market value of the Class A Common Stock held by non-affiliates of the Registrant on December 31, 2021, based on the reported closing price of the Registrant's Class A Common Stock on the NASDAQ Global Select Market on that date, was approximately $866.4 million. The Registrant has elected to use December 31, 2021 as the calculation date because on June 30, 2021 (the last business day of the Registrant's most recently completed second fiscal quarter), the Registrant was a privately-held company.</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Class A Common Stock outstanding as of March 11, 2022 was 97,386,475.</w:t>
      </w:r>
    </w:p>
    <w:p>
      <w:pPr>
        <w:spacing w:after="0" w:line="119"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right="20"/>
        <w:spacing w:after="0" w:line="255" w:lineRule="auto"/>
        <w:rPr>
          <w:sz w:val="20"/>
          <w:szCs w:val="20"/>
          <w:color w:val="auto"/>
        </w:rPr>
      </w:pPr>
      <w:r>
        <w:rPr>
          <w:rFonts w:ascii="Arial" w:cs="Arial" w:eastAsia="Arial" w:hAnsi="Arial"/>
          <w:sz w:val="14"/>
          <w:szCs w:val="14"/>
          <w:color w:val="auto"/>
        </w:rPr>
        <w:t>Portions of the registrant’s proxy statement for the 2022 annual meeting of stockholders to be filed pursuant to Regulation 14A within 120 days after the registrant’s fiscal year ended December 31, 2021, are incorporated by reference in Part III of this Form 10-K.</w:t>
      </w:r>
    </w:p>
    <w:p>
      <w:pPr>
        <w:spacing w:after="0" w:line="24" w:lineRule="exact"/>
        <w:rPr>
          <w:sz w:val="24"/>
          <w:szCs w:val="24"/>
          <w:color w:val="auto"/>
        </w:rPr>
      </w:pPr>
    </w:p>
    <w:p>
      <w:pPr>
        <w:ind w:left="20"/>
        <w:spacing w:after="0"/>
        <w:tabs>
          <w:tab w:leader="none" w:pos="3760" w:val="left"/>
          <w:tab w:leader="none" w:pos="7500" w:val="left"/>
        </w:tabs>
        <w:rPr>
          <w:sz w:val="20"/>
          <w:szCs w:val="20"/>
          <w:color w:val="auto"/>
        </w:rPr>
      </w:pPr>
      <w:r>
        <w:rPr>
          <w:rFonts w:ascii="Arial" w:cs="Arial" w:eastAsia="Arial" w:hAnsi="Arial"/>
          <w:sz w:val="14"/>
          <w:szCs w:val="14"/>
          <w:color w:val="auto"/>
        </w:rPr>
        <w:t>Auditor Firm Id: PCAOB No. 34</w:t>
      </w:r>
      <w:r>
        <w:rPr>
          <w:sz w:val="20"/>
          <w:szCs w:val="20"/>
          <w:color w:val="auto"/>
        </w:rPr>
        <w:tab/>
      </w:r>
      <w:r>
        <w:rPr>
          <w:rFonts w:ascii="Arial" w:cs="Arial" w:eastAsia="Arial" w:hAnsi="Arial"/>
          <w:sz w:val="14"/>
          <w:szCs w:val="14"/>
          <w:color w:val="auto"/>
        </w:rPr>
        <w:t>Auditor Name: Deloitte &amp; Touche LLP</w:t>
      </w:r>
      <w:r>
        <w:rPr>
          <w:sz w:val="20"/>
          <w:szCs w:val="20"/>
          <w:color w:val="auto"/>
        </w:rPr>
        <w:tab/>
      </w:r>
      <w:r>
        <w:rPr>
          <w:rFonts w:ascii="Arial" w:cs="Arial" w:eastAsia="Arial" w:hAnsi="Arial"/>
          <w:sz w:val="13"/>
          <w:szCs w:val="13"/>
          <w:color w:val="auto"/>
        </w:rPr>
        <w:t>Auditor Location: Boston, MA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0" w:type="dxa"/>
            <w:vAlign w:val="bottom"/>
            <w:gridSpan w:val="24"/>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Glossary</w:t>
              </w:r>
            </w:hyperlink>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0" w:type="dxa"/>
            <w:vAlign w:val="bottom"/>
            <w:gridSpan w:val="24"/>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Arial" w:cs="Arial" w:eastAsia="Arial" w:hAnsi="Arial"/>
                <w:sz w:val="17"/>
                <w:szCs w:val="17"/>
                <w:color w:val="0000FF"/>
                <w:w w:val="72"/>
              </w:rPr>
            </w:pPr>
            <w:hyperlink w:anchor="page4">
              <w:r>
                <w:rPr>
                  <w:rFonts w:ascii="Arial" w:cs="Arial" w:eastAsia="Arial" w:hAnsi="Arial"/>
                  <w:sz w:val="17"/>
                  <w:szCs w:val="17"/>
                  <w:color w:val="0000FF"/>
                  <w:w w:val="72"/>
                </w:rPr>
                <w:t>Cautionary</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tcPr>
          <w:p>
            <w:pPr>
              <w:spacing w:after="0"/>
              <w:rPr>
                <w:sz w:val="14"/>
                <w:szCs w:val="14"/>
                <w:color w:val="auto"/>
              </w:rPr>
            </w:pPr>
          </w:p>
        </w:tc>
        <w:tc>
          <w:tcPr>
            <w:tcW w:w="3400" w:type="dxa"/>
            <w:vAlign w:val="bottom"/>
            <w:tcBorders>
              <w:bottom w:val="single" w:sz="8" w:color="0000FF"/>
            </w:tcBorders>
            <w:gridSpan w:val="12"/>
          </w:tcPr>
          <w:p>
            <w:pPr>
              <w:ind w:left="80"/>
              <w:spacing w:after="0" w:line="169"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Note Regarding Forward-Looking Statements</w:t>
              </w:r>
            </w:hyperlink>
          </w:p>
        </w:tc>
        <w:tc>
          <w:tcPr>
            <w:tcW w:w="5040" w:type="dxa"/>
            <w:vAlign w:val="bottom"/>
            <w:gridSpan w:val="8"/>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1240" w:type="dxa"/>
            <w:vAlign w:val="bottom"/>
            <w:gridSpan w:val="6"/>
            <w:vMerge w:val="restart"/>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w:t>
              </w:r>
            </w:hyperlink>
          </w:p>
        </w:tc>
        <w:tc>
          <w:tcPr>
            <w:tcW w:w="4160" w:type="dxa"/>
            <w:vAlign w:val="bottom"/>
            <w:gridSpan w:val="16"/>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Summary of Risk Factors</w:t>
              </w:r>
            </w:hyperlink>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240" w:type="dxa"/>
            <w:vAlign w:val="bottom"/>
            <w:gridSpan w:val="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9200" w:type="dxa"/>
            <w:vAlign w:val="bottom"/>
            <w:gridSpan w:val="24"/>
            <w:vMerge w:val="restart"/>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0" w:type="dxa"/>
            <w:vAlign w:val="bottom"/>
            <w:gridSpan w:val="24"/>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w:t>
            </w:r>
          </w:p>
        </w:tc>
        <w:tc>
          <w:tcPr>
            <w:tcW w:w="9200" w:type="dxa"/>
            <w:vAlign w:val="bottom"/>
            <w:gridSpan w:val="24"/>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20" w:type="dxa"/>
            <w:vAlign w:val="bottom"/>
            <w:vMerge w:val="restart"/>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180" w:type="dxa"/>
            <w:vAlign w:val="bottom"/>
            <w:gridSpan w:val="23"/>
          </w:tcPr>
          <w:p>
            <w:pPr>
              <w:spacing w:after="0" w:line="169" w:lineRule="exact"/>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9"/>
            <w:vMerge w:val="restart"/>
          </w:tcPr>
          <w:p>
            <w:pPr>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920" w:type="dxa"/>
            <w:vAlign w:val="bottom"/>
            <w:gridSpan w:val="5"/>
          </w:tcPr>
          <w:p>
            <w:pPr>
              <w:spacing w:after="0" w:line="169" w:lineRule="exact"/>
              <w:rPr>
                <w:rFonts w:ascii="Arial" w:cs="Arial" w:eastAsia="Arial" w:hAnsi="Arial"/>
                <w:sz w:val="18"/>
                <w:szCs w:val="18"/>
                <w:color w:val="0000FF"/>
                <w:w w:val="96"/>
              </w:rPr>
            </w:pPr>
            <w:hyperlink w:anchor="page43">
              <w:r>
                <w:rPr>
                  <w:rFonts w:ascii="Arial" w:cs="Arial" w:eastAsia="Arial" w:hAnsi="Arial"/>
                  <w:sz w:val="18"/>
                  <w:szCs w:val="18"/>
                  <w:color w:val="0000FF"/>
                  <w:w w:val="96"/>
                </w:rPr>
                <w:t>Unresolved</w:t>
              </w:r>
            </w:hyperlink>
          </w:p>
        </w:tc>
        <w:tc>
          <w:tcPr>
            <w:tcW w:w="8280" w:type="dxa"/>
            <w:vAlign w:val="bottom"/>
            <w:gridSpan w:val="19"/>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2040" w:type="dxa"/>
            <w:vAlign w:val="bottom"/>
            <w:gridSpan w:val="11"/>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Properties</w:t>
              </w:r>
            </w:hyperlink>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9200" w:type="dxa"/>
            <w:vAlign w:val="bottom"/>
            <w:gridSpan w:val="24"/>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9200" w:type="dxa"/>
            <w:vAlign w:val="bottom"/>
            <w:gridSpan w:val="24"/>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7"/>
            <w:vMerge w:val="restart"/>
          </w:tcPr>
          <w:p>
            <w:pPr>
              <w:ind w:left="20"/>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PART II</w:t>
              </w:r>
            </w:hyperlink>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60" w:type="dxa"/>
            <w:vAlign w:val="bottom"/>
            <w:gridSpan w:val="7"/>
            <w:vMerge w:val="continue"/>
          </w:tcPr>
          <w:p>
            <w:pPr>
              <w:spacing w:after="0"/>
              <w:rPr>
                <w:sz w:val="24"/>
                <w:szCs w:val="24"/>
                <w:color w:val="auto"/>
              </w:rPr>
            </w:pPr>
          </w:p>
        </w:tc>
        <w:tc>
          <w:tcPr>
            <w:tcW w:w="9200" w:type="dxa"/>
            <w:vAlign w:val="bottom"/>
            <w:gridSpan w:val="24"/>
            <w:vMerge w:val="restart"/>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Borders>
              <w:top w:val="single" w:sz="8" w:color="0000FF"/>
            </w:tcBorders>
            <w:gridSpan w:val="2"/>
          </w:tcPr>
          <w:p>
            <w:pPr>
              <w:ind w:left="120"/>
              <w:spacing w:after="0" w:line="169" w:lineRule="exact"/>
              <w:rPr>
                <w:sz w:val="20"/>
                <w:szCs w:val="20"/>
                <w:color w:val="auto"/>
              </w:rPr>
            </w:pPr>
            <w:r>
              <w:rPr>
                <w:rFonts w:ascii="Arial" w:cs="Arial" w:eastAsia="Arial" w:hAnsi="Arial"/>
                <w:sz w:val="18"/>
                <w:szCs w:val="18"/>
                <w:color w:val="auto"/>
                <w:w w:val="94"/>
              </w:rPr>
              <w:t>Item 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0" w:type="dxa"/>
            <w:vAlign w:val="bottom"/>
            <w:gridSpan w:val="24"/>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6.</w:t>
            </w:r>
          </w:p>
        </w:tc>
        <w:tc>
          <w:tcPr>
            <w:tcW w:w="20" w:type="dxa"/>
            <w:vAlign w:val="bottom"/>
            <w:tcBorders>
              <w:bottom w:val="single" w:sz="8" w:color="0000EE"/>
            </w:tcBorders>
          </w:tcPr>
          <w:p>
            <w:pPr>
              <w:spacing w:after="0"/>
              <w:rPr>
                <w:sz w:val="14"/>
                <w:szCs w:val="14"/>
                <w:color w:val="auto"/>
              </w:rPr>
            </w:pPr>
          </w:p>
        </w:tc>
        <w:tc>
          <w:tcPr>
            <w:tcW w:w="170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88"/>
              </w:rPr>
            </w:pPr>
            <w:hyperlink w:anchor="page45">
              <w:r>
                <w:rPr>
                  <w:rFonts w:ascii="Arial" w:cs="Arial" w:eastAsia="Arial" w:hAnsi="Arial"/>
                  <w:sz w:val="18"/>
                  <w:szCs w:val="18"/>
                  <w:color w:val="0000FF"/>
                  <w:w w:val="88"/>
                </w:rPr>
                <w:t>Selected Financial Data</w:t>
              </w:r>
            </w:hyperlink>
          </w:p>
        </w:tc>
        <w:tc>
          <w:tcPr>
            <w:tcW w:w="60" w:type="dxa"/>
            <w:vAlign w:val="bottom"/>
            <w:tcBorders>
              <w:top w:val="single" w:sz="8" w:color="0000FF"/>
              <w:bottom w:val="single" w:sz="8" w:color="0000EE"/>
            </w:tcBorders>
          </w:tcPr>
          <w:p>
            <w:pPr>
              <w:spacing w:after="0"/>
              <w:rPr>
                <w:sz w:val="14"/>
                <w:szCs w:val="14"/>
                <w:color w:val="auto"/>
              </w:rPr>
            </w:pPr>
          </w:p>
        </w:tc>
        <w:tc>
          <w:tcPr>
            <w:tcW w:w="6300" w:type="dxa"/>
            <w:vAlign w:val="bottom"/>
            <w:tcBorders>
              <w:top w:val="single" w:sz="8" w:color="0000FF"/>
            </w:tcBorders>
            <w:gridSpan w:val="14"/>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7.</w:t>
            </w:r>
          </w:p>
        </w:tc>
        <w:tc>
          <w:tcPr>
            <w:tcW w:w="1780" w:type="dxa"/>
            <w:vAlign w:val="bottom"/>
            <w:gridSpan w:val="9"/>
          </w:tcPr>
          <w:p>
            <w:pPr>
              <w:spacing w:after="0" w:line="169" w:lineRule="exact"/>
              <w:rPr>
                <w:rFonts w:ascii="Arial" w:cs="Arial" w:eastAsia="Arial" w:hAnsi="Arial"/>
                <w:sz w:val="18"/>
                <w:szCs w:val="18"/>
                <w:color w:val="0000FF"/>
                <w:w w:val="82"/>
              </w:rPr>
            </w:pPr>
            <w:hyperlink w:anchor="page45">
              <w:r>
                <w:rPr>
                  <w:rFonts w:ascii="Arial" w:cs="Arial" w:eastAsia="Arial" w:hAnsi="Arial"/>
                  <w:sz w:val="18"/>
                  <w:szCs w:val="18"/>
                  <w:color w:val="0000FF"/>
                  <w:w w:val="82"/>
                </w:rPr>
                <w:t>Management’s Discussion</w:t>
              </w:r>
            </w:hyperlink>
          </w:p>
        </w:tc>
        <w:tc>
          <w:tcPr>
            <w:tcW w:w="40" w:type="dxa"/>
            <w:vAlign w:val="bottom"/>
          </w:tcPr>
          <w:p>
            <w:pPr>
              <w:spacing w:after="0"/>
              <w:rPr>
                <w:sz w:val="14"/>
                <w:szCs w:val="14"/>
                <w:color w:val="auto"/>
              </w:rPr>
            </w:pPr>
          </w:p>
        </w:tc>
        <w:tc>
          <w:tcPr>
            <w:tcW w:w="7380" w:type="dxa"/>
            <w:vAlign w:val="bottom"/>
            <w:gridSpan w:val="14"/>
          </w:tcPr>
          <w:p>
            <w:pPr>
              <w:ind w:left="120"/>
              <w:spacing w:after="0" w:line="169" w:lineRule="exact"/>
              <w:rPr>
                <w:rFonts w:ascii="Arial" w:cs="Arial" w:eastAsia="Arial" w:hAnsi="Arial"/>
                <w:sz w:val="18"/>
                <w:szCs w:val="18"/>
                <w:color w:val="0000FF"/>
              </w:rPr>
            </w:pPr>
            <w:hyperlink w:anchor="page45">
              <w:r>
                <w:rPr>
                  <w:rFonts w:ascii="Arial" w:cs="Arial" w:eastAsia="Arial" w:hAnsi="Arial"/>
                  <w:sz w:val="18"/>
                  <w:szCs w:val="18"/>
                  <w:color w:val="0000FF"/>
                </w:rPr>
                <w:t>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54</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6460" w:type="dxa"/>
            <w:vAlign w:val="bottom"/>
            <w:gridSpan w:val="20"/>
          </w:tcPr>
          <w:p>
            <w:pPr>
              <w:spacing w:after="0" w:line="169" w:lineRule="exact"/>
              <w:rPr>
                <w:rFonts w:ascii="Arial" w:cs="Arial" w:eastAsia="Arial" w:hAnsi="Arial"/>
                <w:sz w:val="18"/>
                <w:szCs w:val="18"/>
                <w:color w:val="0000FF"/>
              </w:rPr>
            </w:pPr>
            <w:hyperlink w:anchor="page59">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4360" w:type="dxa"/>
            <w:vAlign w:val="bottom"/>
            <w:gridSpan w:val="17"/>
          </w:tcPr>
          <w:p>
            <w:pPr>
              <w:spacing w:after="0" w:line="169" w:lineRule="exact"/>
              <w:rPr>
                <w:rFonts w:ascii="Arial" w:cs="Arial" w:eastAsia="Arial" w:hAnsi="Arial"/>
                <w:sz w:val="18"/>
                <w:szCs w:val="18"/>
                <w:color w:val="0000FF"/>
              </w:rPr>
            </w:pPr>
            <w:hyperlink w:anchor="page61">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9200" w:type="dxa"/>
            <w:vAlign w:val="bottom"/>
            <w:gridSpan w:val="24"/>
          </w:tcPr>
          <w:p>
            <w:pPr>
              <w:spacing w:after="0" w:line="169" w:lineRule="exact"/>
              <w:rPr>
                <w:rFonts w:ascii="Arial" w:cs="Arial" w:eastAsia="Arial" w:hAnsi="Arial"/>
                <w:sz w:val="18"/>
                <w:szCs w:val="18"/>
                <w:color w:val="0000FF"/>
              </w:rPr>
            </w:pPr>
            <w:hyperlink w:anchor="page61">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6520" w:type="dxa"/>
            <w:vAlign w:val="bottom"/>
            <w:gridSpan w:val="21"/>
          </w:tcPr>
          <w:p>
            <w:pPr>
              <w:spacing w:after="0" w:line="169" w:lineRule="exact"/>
              <w:rPr>
                <w:rFonts w:ascii="Arial" w:cs="Arial" w:eastAsia="Arial" w:hAnsi="Arial"/>
                <w:sz w:val="18"/>
                <w:szCs w:val="18"/>
                <w:color w:val="0000FF"/>
              </w:rPr>
            </w:pPr>
            <w:hyperlink w:anchor="page61">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800" w:type="dxa"/>
            <w:vAlign w:val="bottom"/>
            <w:gridSpan w:val="3"/>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1780" w:type="dxa"/>
            <w:vAlign w:val="bottom"/>
            <w:gridSpan w:val="9"/>
          </w:tcPr>
          <w:p>
            <w:pPr>
              <w:spacing w:after="0" w:line="169" w:lineRule="exact"/>
              <w:rPr>
                <w:rFonts w:ascii="Arial" w:cs="Arial" w:eastAsia="Arial" w:hAnsi="Arial"/>
                <w:sz w:val="18"/>
                <w:szCs w:val="18"/>
                <w:color w:val="0000FF"/>
              </w:rPr>
            </w:pPr>
            <w:hyperlink w:anchor="page61">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9200" w:type="dxa"/>
            <w:vAlign w:val="bottom"/>
            <w:gridSpan w:val="24"/>
          </w:tcPr>
          <w:p>
            <w:pPr>
              <w:spacing w:after="0" w:line="169" w:lineRule="exact"/>
              <w:rPr>
                <w:rFonts w:ascii="Arial" w:cs="Arial" w:eastAsia="Arial" w:hAnsi="Arial"/>
                <w:sz w:val="18"/>
                <w:szCs w:val="18"/>
                <w:color w:val="0000FF"/>
              </w:rPr>
            </w:pPr>
            <w:hyperlink w:anchor="page61">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7"/>
            <w:vMerge w:val="restart"/>
          </w:tcPr>
          <w:p>
            <w:pPr>
              <w:ind w:left="20"/>
              <w:spacing w:after="0"/>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PART III</w:t>
              </w:r>
            </w:hyperlink>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60" w:type="dxa"/>
            <w:vAlign w:val="bottom"/>
            <w:gridSpan w:val="7"/>
            <w:vMerge w:val="continue"/>
          </w:tcPr>
          <w:p>
            <w:pPr>
              <w:spacing w:after="0"/>
              <w:rPr>
                <w:sz w:val="24"/>
                <w:szCs w:val="24"/>
                <w:color w:val="auto"/>
              </w:rPr>
            </w:pPr>
          </w:p>
        </w:tc>
        <w:tc>
          <w:tcPr>
            <w:tcW w:w="9200" w:type="dxa"/>
            <w:vAlign w:val="bottom"/>
            <w:gridSpan w:val="24"/>
            <w:vMerge w:val="restart"/>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Directors, Executive Officers and Corporate Governance</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Borders>
              <w:top w:val="single" w:sz="8" w:color="0000FF"/>
            </w:tcBorders>
            <w:gridSpan w:val="5"/>
          </w:tcPr>
          <w:p>
            <w:pPr>
              <w:ind w:left="120"/>
              <w:spacing w:after="0" w:line="169" w:lineRule="exact"/>
              <w:rPr>
                <w:sz w:val="20"/>
                <w:szCs w:val="20"/>
                <w:color w:val="auto"/>
              </w:rPr>
            </w:pPr>
            <w:r>
              <w:rPr>
                <w:rFonts w:ascii="Arial" w:cs="Arial" w:eastAsia="Arial" w:hAnsi="Arial"/>
                <w:sz w:val="18"/>
                <w:szCs w:val="18"/>
                <w:color w:val="auto"/>
                <w:w w:val="95"/>
              </w:rPr>
              <w:t>Item 10.</w:t>
            </w:r>
          </w:p>
        </w:tc>
        <w:tc>
          <w:tcPr>
            <w:tcW w:w="480" w:type="dxa"/>
            <w:vAlign w:val="bottom"/>
          </w:tcPr>
          <w:p>
            <w:pPr>
              <w:spacing w:after="0"/>
              <w:rPr>
                <w:sz w:val="14"/>
                <w:szCs w:val="14"/>
                <w:color w:val="auto"/>
              </w:rPr>
            </w:pPr>
          </w:p>
        </w:tc>
        <w:tc>
          <w:tcPr>
            <w:tcW w:w="9200" w:type="dxa"/>
            <w:vAlign w:val="bottom"/>
            <w:gridSpan w:val="24"/>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11.</w:t>
            </w:r>
          </w:p>
        </w:tc>
        <w:tc>
          <w:tcPr>
            <w:tcW w:w="20" w:type="dxa"/>
            <w:vAlign w:val="bottom"/>
          </w:tcPr>
          <w:p>
            <w:pPr>
              <w:spacing w:after="0"/>
              <w:rPr>
                <w:sz w:val="14"/>
                <w:szCs w:val="14"/>
                <w:color w:val="auto"/>
              </w:rPr>
            </w:pPr>
          </w:p>
        </w:tc>
        <w:tc>
          <w:tcPr>
            <w:tcW w:w="408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62">
              <w:r>
                <w:rPr>
                  <w:rFonts w:ascii="Arial" w:cs="Arial" w:eastAsia="Arial" w:hAnsi="Arial"/>
                  <w:sz w:val="18"/>
                  <w:szCs w:val="18"/>
                  <w:color w:val="0000FF"/>
                </w:rPr>
                <w:t>Executive Compensation</w:t>
              </w:r>
            </w:hyperlink>
          </w:p>
        </w:tc>
        <w:tc>
          <w:tcPr>
            <w:tcW w:w="1360" w:type="dxa"/>
            <w:vAlign w:val="bottom"/>
            <w:gridSpan w:val="4"/>
          </w:tcPr>
          <w:p>
            <w:pPr>
              <w:spacing w:after="0"/>
              <w:rPr>
                <w:sz w:val="14"/>
                <w:szCs w:val="14"/>
                <w:color w:val="auto"/>
              </w:rPr>
            </w:pPr>
          </w:p>
        </w:tc>
        <w:tc>
          <w:tcPr>
            <w:tcW w:w="1840" w:type="dxa"/>
            <w:vAlign w:val="bottom"/>
            <w:gridSpan w:val="3"/>
          </w:tcPr>
          <w:p>
            <w:pPr>
              <w:spacing w:after="0"/>
              <w:rPr>
                <w:sz w:val="14"/>
                <w:szCs w:val="14"/>
                <w:color w:val="auto"/>
              </w:rPr>
            </w:pPr>
          </w:p>
        </w:tc>
        <w:tc>
          <w:tcPr>
            <w:tcW w:w="19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7380" w:type="dxa"/>
            <w:vAlign w:val="bottom"/>
            <w:gridSpan w:val="14"/>
            <w:vMerge w:val="restart"/>
          </w:tcPr>
          <w:p>
            <w:pPr>
              <w:spacing w:after="0" w:line="189" w:lineRule="exact"/>
              <w:rPr>
                <w:rFonts w:ascii="Arial" w:cs="Arial" w:eastAsia="Arial" w:hAnsi="Arial"/>
                <w:sz w:val="18"/>
                <w:szCs w:val="18"/>
                <w:color w:val="0000FF"/>
              </w:rPr>
            </w:pPr>
            <w:hyperlink w:anchor="page62">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1820" w:type="dxa"/>
            <w:vAlign w:val="bottom"/>
            <w:gridSpan w:val="10"/>
          </w:tcPr>
          <w:p>
            <w:pPr>
              <w:spacing w:after="0" w:line="169" w:lineRule="exact"/>
              <w:rPr>
                <w:rFonts w:ascii="Arial" w:cs="Arial" w:eastAsia="Arial" w:hAnsi="Arial"/>
                <w:sz w:val="18"/>
                <w:szCs w:val="18"/>
                <w:color w:val="0000FF"/>
              </w:rPr>
            </w:pPr>
            <w:hyperlink w:anchor="page62">
              <w:r>
                <w:rPr>
                  <w:rFonts w:ascii="Arial" w:cs="Arial" w:eastAsia="Arial" w:hAnsi="Arial"/>
                  <w:sz w:val="18"/>
                  <w:szCs w:val="18"/>
                  <w:color w:val="0000FF"/>
                </w:rPr>
                <w:t>Security Ownership of</w:t>
              </w:r>
            </w:hyperlink>
          </w:p>
        </w:tc>
        <w:tc>
          <w:tcPr>
            <w:tcW w:w="7380" w:type="dxa"/>
            <w:vAlign w:val="bottom"/>
            <w:gridSpan w:val="14"/>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7300" w:type="dxa"/>
            <w:vAlign w:val="bottom"/>
            <w:gridSpan w:val="22"/>
          </w:tcPr>
          <w:p>
            <w:pPr>
              <w:spacing w:after="0" w:line="169" w:lineRule="exact"/>
              <w:rPr>
                <w:rFonts w:ascii="Arial" w:cs="Arial" w:eastAsia="Arial" w:hAnsi="Arial"/>
                <w:sz w:val="18"/>
                <w:szCs w:val="18"/>
                <w:color w:val="0000FF"/>
              </w:rPr>
            </w:pPr>
            <w:hyperlink w:anchor="page62">
              <w:r>
                <w:rPr>
                  <w:rFonts w:ascii="Arial" w:cs="Arial" w:eastAsia="Arial" w:hAnsi="Arial"/>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5460" w:type="dxa"/>
            <w:vAlign w:val="bottom"/>
            <w:gridSpan w:val="19"/>
          </w:tcPr>
          <w:p>
            <w:pPr>
              <w:spacing w:after="0" w:line="169" w:lineRule="exact"/>
              <w:rPr>
                <w:rFonts w:ascii="Arial" w:cs="Arial" w:eastAsia="Arial" w:hAnsi="Arial"/>
                <w:sz w:val="18"/>
                <w:szCs w:val="18"/>
                <w:color w:val="0000FF"/>
              </w:rPr>
            </w:pPr>
            <w:hyperlink w:anchor="page62">
              <w:r>
                <w:rPr>
                  <w:rFonts w:ascii="Arial" w:cs="Arial" w:eastAsia="Arial" w:hAnsi="Arial"/>
                  <w:sz w:val="18"/>
                  <w:szCs w:val="18"/>
                  <w:color w:val="0000FF"/>
                </w:rPr>
                <w:t>Principal Accounting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gridSpan w:val="3"/>
            <w:vMerge w:val="restart"/>
          </w:tcPr>
          <w:p>
            <w:pPr>
              <w:spacing w:after="0"/>
              <w:rPr>
                <w:rFonts w:ascii="Arial" w:cs="Arial" w:eastAsia="Arial" w:hAnsi="Arial"/>
                <w:sz w:val="18"/>
                <w:szCs w:val="18"/>
                <w:b w:val="1"/>
                <w:bCs w:val="1"/>
                <w:color w:val="0000FF"/>
                <w:w w:val="98"/>
              </w:rPr>
            </w:pPr>
            <w:hyperlink w:anchor="page63">
              <w:r>
                <w:rPr>
                  <w:rFonts w:ascii="Arial" w:cs="Arial" w:eastAsia="Arial" w:hAnsi="Arial"/>
                  <w:sz w:val="18"/>
                  <w:szCs w:val="18"/>
                  <w:b w:val="1"/>
                  <w:bCs w:val="1"/>
                  <w:color w:val="0000FF"/>
                  <w:w w:val="98"/>
                </w:rPr>
                <w:t>PART IV</w:t>
              </w:r>
            </w:hyperlink>
          </w:p>
        </w:tc>
        <w:tc>
          <w:tcPr>
            <w:tcW w:w="20" w:type="dxa"/>
            <w:vAlign w:val="bottom"/>
            <w:vMerge w:val="restart"/>
          </w:tcPr>
          <w:p>
            <w:pPr>
              <w:spacing w:after="0" w:line="20" w:lineRule="exact"/>
              <w:rPr>
                <w:sz w:val="1"/>
                <w:szCs w:val="1"/>
                <w:color w:val="auto"/>
              </w:rPr>
            </w:pPr>
          </w:p>
        </w:tc>
        <w:tc>
          <w:tcPr>
            <w:tcW w:w="50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vMerge w:val="continue"/>
          </w:tcPr>
          <w:p>
            <w:pPr>
              <w:spacing w:after="0"/>
              <w:rPr>
                <w:sz w:val="24"/>
                <w:szCs w:val="24"/>
                <w:color w:val="auto"/>
              </w:rPr>
            </w:pPr>
          </w:p>
        </w:tc>
        <w:tc>
          <w:tcPr>
            <w:tcW w:w="720" w:type="dxa"/>
            <w:vAlign w:val="bottom"/>
            <w:tcBorders>
              <w:bottom w:val="single" w:sz="8" w:color="0000FF"/>
            </w:tcBorders>
            <w:gridSpan w:val="3"/>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9200" w:type="dxa"/>
            <w:vAlign w:val="bottom"/>
            <w:gridSpan w:val="24"/>
            <w:vMerge w:val="restart"/>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Exhibits, Financial Statement Schedules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4"/>
          </w:tcPr>
          <w:p>
            <w:pPr>
              <w:ind w:left="120"/>
              <w:spacing w:after="0" w:line="169" w:lineRule="exact"/>
              <w:rPr>
                <w:sz w:val="20"/>
                <w:szCs w:val="20"/>
                <w:color w:val="auto"/>
              </w:rPr>
            </w:pPr>
            <w:r>
              <w:rPr>
                <w:rFonts w:ascii="Arial" w:cs="Arial" w:eastAsia="Arial" w:hAnsi="Arial"/>
                <w:sz w:val="18"/>
                <w:szCs w:val="18"/>
                <w:color w:val="auto"/>
                <w:w w:val="92"/>
              </w:rPr>
              <w:t>Item 15.</w:t>
            </w:r>
          </w:p>
        </w:tc>
        <w:tc>
          <w:tcPr>
            <w:tcW w:w="500" w:type="dxa"/>
            <w:vAlign w:val="bottom"/>
            <w:gridSpan w:val="2"/>
          </w:tcPr>
          <w:p>
            <w:pPr>
              <w:spacing w:after="0"/>
              <w:rPr>
                <w:sz w:val="14"/>
                <w:szCs w:val="14"/>
                <w:color w:val="auto"/>
              </w:rPr>
            </w:pPr>
          </w:p>
        </w:tc>
        <w:tc>
          <w:tcPr>
            <w:tcW w:w="9200" w:type="dxa"/>
            <w:vAlign w:val="bottom"/>
            <w:gridSpan w:val="24"/>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16.</w:t>
            </w:r>
          </w:p>
        </w:tc>
        <w:tc>
          <w:tcPr>
            <w:tcW w:w="20" w:type="dxa"/>
            <w:vAlign w:val="bottom"/>
          </w:tcPr>
          <w:p>
            <w:pPr>
              <w:spacing w:after="0"/>
              <w:rPr>
                <w:sz w:val="14"/>
                <w:szCs w:val="14"/>
                <w:color w:val="auto"/>
              </w:rPr>
            </w:pPr>
          </w:p>
        </w:tc>
        <w:tc>
          <w:tcPr>
            <w:tcW w:w="288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65">
              <w:r>
                <w:rPr>
                  <w:rFonts w:ascii="Arial" w:cs="Arial" w:eastAsia="Arial" w:hAnsi="Arial"/>
                  <w:sz w:val="18"/>
                  <w:szCs w:val="18"/>
                  <w:color w:val="0000FF"/>
                </w:rPr>
                <w:t>Form 10-K Summary</w:t>
              </w:r>
            </w:hyperlink>
          </w:p>
        </w:tc>
        <w:tc>
          <w:tcPr>
            <w:tcW w:w="6300" w:type="dxa"/>
            <w:vAlign w:val="bottom"/>
            <w:gridSpan w:val="11"/>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730"/>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08" w:lineRule="exact"/>
        <w:rPr>
          <w:sz w:val="20"/>
          <w:szCs w:val="20"/>
          <w:color w:val="auto"/>
        </w:rPr>
      </w:pPr>
    </w:p>
    <w:p>
      <w:pPr>
        <w:ind w:right="100" w:firstLine="509"/>
        <w:spacing w:after="0" w:line="271" w:lineRule="auto"/>
        <w:rPr>
          <w:sz w:val="20"/>
          <w:szCs w:val="20"/>
          <w:color w:val="auto"/>
        </w:rPr>
      </w:pPr>
      <w:r>
        <w:rPr>
          <w:rFonts w:ascii="Arial" w:cs="Arial" w:eastAsia="Arial" w:hAnsi="Arial"/>
          <w:sz w:val="16"/>
          <w:szCs w:val="16"/>
          <w:color w:val="auto"/>
        </w:rPr>
        <w:t>As used in this annual report on Form 10-K, the terms identified below have the meanings specified below unless otherwise noted or the context indicates otherwise. References in this Form 10-K to “Definitive Healthcare Corp.” refer to Definitive Healthcare Corp. and not to any of its subsidiaries unless the context indicates otherwise. References in this Form 10-K to “Definitive Healthcare,” "Definitive," the “Company,” “we,” “us,” and “our” refer</w:t>
      </w:r>
    </w:p>
    <w:p>
      <w:pPr>
        <w:ind w:right="100" w:firstLine="8"/>
        <w:spacing w:after="0" w:line="264"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 References to "Predecessor Company" refer to Definitive OpCo prior to July 16, 2019 and "Successor Company" refer to Definitive OpCo after July 15, 2019.</w:t>
      </w: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Advent</w:t>
      </w:r>
      <w:r>
        <w:rPr>
          <w:rFonts w:ascii="Arial" w:cs="Arial" w:eastAsia="Arial" w:hAnsi="Arial"/>
          <w:sz w:val="18"/>
          <w:szCs w:val="18"/>
          <w:color w:val="auto"/>
        </w:rPr>
        <w:t>” refers to Advent International, a global private equity firm.</w:t>
      </w:r>
    </w:p>
    <w:p>
      <w:pPr>
        <w:ind w:left="1020" w:right="360" w:hanging="503"/>
        <w:spacing w:after="0" w:line="248" w:lineRule="auto"/>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Advent Acquisition</w:t>
      </w:r>
      <w:r>
        <w:rPr>
          <w:rFonts w:ascii="Arial" w:cs="Arial" w:eastAsia="Arial" w:hAnsi="Arial"/>
          <w:sz w:val="17"/>
          <w:szCs w:val="17"/>
          <w:color w:val="auto"/>
          <w:highlight w:val="white"/>
        </w:rPr>
        <w:t>” has the meaning given in Note 3 to our audited consolidated financial statements included in Part II, Item 8 of this</w:t>
      </w:r>
      <w:r>
        <w:rPr>
          <w:rFonts w:ascii="Arial" w:cs="Arial" w:eastAsia="Arial" w:hAnsi="Arial"/>
          <w:sz w:val="17"/>
          <w:szCs w:val="17"/>
          <w:color w:val="auto"/>
        </w:rPr>
        <w:t xml:space="preserve"> Form 10-K. The acquisition was accounted for as a business combination and purchase accounting was applied.</w:t>
      </w:r>
    </w:p>
    <w:p>
      <w:pPr>
        <w:spacing w:after="0" w:line="1" w:lineRule="exact"/>
        <w:rPr>
          <w:rFonts w:ascii="Arial" w:cs="Arial" w:eastAsia="Arial" w:hAnsi="Arial"/>
          <w:sz w:val="17"/>
          <w:szCs w:val="17"/>
          <w:color w:val="auto"/>
        </w:rPr>
      </w:pP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"AIDH Buyer" refers to AIDH Buyer, LLC, which is a wholly owned subsidiary of Definitive OpCo.</w:t>
      </w:r>
    </w:p>
    <w:p>
      <w:pPr>
        <w:ind w:left="1020" w:right="4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AIDH Management Holdings, LLC</w:t>
      </w:r>
      <w:r>
        <w:rPr>
          <w:rFonts w:ascii="Arial" w:cs="Arial" w:eastAsia="Arial" w:hAnsi="Arial"/>
          <w:sz w:val="18"/>
          <w:szCs w:val="18"/>
          <w:color w:val="auto"/>
        </w:rPr>
        <w:t>” is defined as a special purpose investment vehicle through which certain persons, primarily employees and certain legacy investors, indirectly hold interests in Definitive OpCo.</w:t>
      </w:r>
    </w:p>
    <w:p>
      <w:pPr>
        <w:spacing w:after="0" w:line="1" w:lineRule="exact"/>
        <w:rPr>
          <w:rFonts w:ascii="Arial" w:cs="Arial" w:eastAsia="Arial" w:hAnsi="Arial"/>
          <w:sz w:val="18"/>
          <w:szCs w:val="18"/>
          <w:color w:val="auto"/>
        </w:rPr>
      </w:pPr>
    </w:p>
    <w:p>
      <w:pPr>
        <w:ind w:left="1020" w:right="16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LLC Agreement</w:t>
      </w:r>
      <w:r>
        <w:rPr>
          <w:rFonts w:ascii="Arial" w:cs="Arial" w:eastAsia="Arial" w:hAnsi="Arial"/>
          <w:sz w:val="18"/>
          <w:szCs w:val="18"/>
          <w:color w:val="auto"/>
          <w:highlight w:val="white"/>
        </w:rPr>
        <w:t>” has the meaning given in Note 1 to our audited consolidated financial statements included in Part II, Item 8 of</w:t>
      </w:r>
      <w:r>
        <w:rPr>
          <w:rFonts w:ascii="Arial" w:cs="Arial" w:eastAsia="Arial" w:hAnsi="Arial"/>
          <w:sz w:val="18"/>
          <w:szCs w:val="18"/>
          <w:color w:val="auto"/>
        </w:rPr>
        <w:t xml:space="preserve"> this Form 10-K.</w:t>
      </w:r>
    </w:p>
    <w:p>
      <w:pPr>
        <w:spacing w:after="0" w:line="1" w:lineRule="exact"/>
        <w:rPr>
          <w:rFonts w:ascii="Arial" w:cs="Arial" w:eastAsia="Arial" w:hAnsi="Arial"/>
          <w:sz w:val="18"/>
          <w:szCs w:val="18"/>
          <w:color w:val="auto"/>
        </w:rPr>
      </w:pPr>
    </w:p>
    <w:p>
      <w:pPr>
        <w:ind w:left="1020" w:right="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w:t>
      </w:r>
      <w:r>
        <w:rPr>
          <w:rFonts w:ascii="Arial" w:cs="Arial" w:eastAsia="Arial" w:hAnsi="Arial"/>
          <w:sz w:val="18"/>
          <w:szCs w:val="18"/>
          <w:color w:val="auto"/>
        </w:rPr>
        <w:t>”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1" w:lineRule="exact"/>
        <w:rPr>
          <w:rFonts w:ascii="Arial" w:cs="Arial" w:eastAsia="Arial" w:hAnsi="Arial"/>
          <w:sz w:val="18"/>
          <w:szCs w:val="18"/>
          <w:color w:val="auto"/>
        </w:rPr>
      </w:pPr>
    </w:p>
    <w:p>
      <w:pPr>
        <w:ind w:left="1020" w:right="20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Company</w:t>
      </w:r>
      <w:r>
        <w:rPr>
          <w:rFonts w:ascii="Arial" w:cs="Arial" w:eastAsia="Arial" w:hAnsi="Arial"/>
          <w:sz w:val="18"/>
          <w:szCs w:val="18"/>
          <w:color w:val="auto"/>
        </w:rPr>
        <w:t>” or “</w:t>
      </w:r>
      <w:r>
        <w:rPr>
          <w:rFonts w:ascii="Arial" w:cs="Arial" w:eastAsia="Arial" w:hAnsi="Arial"/>
          <w:sz w:val="18"/>
          <w:szCs w:val="18"/>
          <w:u w:val="single" w:color="auto"/>
          <w:color w:val="auto"/>
        </w:rPr>
        <w:t>Blocker Companies</w:t>
      </w:r>
      <w:r>
        <w:rPr>
          <w:rFonts w:ascii="Arial" w:cs="Arial" w:eastAsia="Arial" w:hAnsi="Arial"/>
          <w:sz w:val="18"/>
          <w:szCs w:val="18"/>
          <w:color w:val="auto"/>
        </w:rPr>
        <w:t>” has the meaning given in Note 1 to our audited consolidated financial statements included in Part II, Item 8 of this Form 10-K.</w:t>
      </w:r>
    </w:p>
    <w:p>
      <w:pPr>
        <w:spacing w:after="0" w:line="1" w:lineRule="exact"/>
        <w:rPr>
          <w:rFonts w:ascii="Arial" w:cs="Arial" w:eastAsia="Arial" w:hAnsi="Arial"/>
          <w:sz w:val="18"/>
          <w:szCs w:val="18"/>
          <w:color w:val="auto"/>
        </w:rPr>
      </w:pPr>
    </w:p>
    <w:p>
      <w:pPr>
        <w:ind w:left="1020" w:right="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HoldCo</w:t>
      </w:r>
      <w:r>
        <w:rPr>
          <w:rFonts w:ascii="Arial" w:cs="Arial" w:eastAsia="Arial" w:hAnsi="Arial"/>
          <w:sz w:val="18"/>
          <w:szCs w:val="18"/>
          <w:color w:val="auto"/>
          <w:highlight w:val="white"/>
        </w:rPr>
        <w:t>" has the meaning given in Note 1 to our audited consolidated financial statements included in Part II, Item 8 of this Form</w:t>
      </w:r>
      <w:r>
        <w:rPr>
          <w:rFonts w:ascii="Arial" w:cs="Arial" w:eastAsia="Arial" w:hAnsi="Arial"/>
          <w:sz w:val="18"/>
          <w:szCs w:val="18"/>
          <w:color w:val="auto"/>
        </w:rPr>
        <w:t xml:space="preserve"> 10-K.</w:t>
      </w:r>
    </w:p>
    <w:p>
      <w:pPr>
        <w:spacing w:after="0" w:line="1" w:lineRule="exact"/>
        <w:rPr>
          <w:rFonts w:ascii="Arial" w:cs="Arial" w:eastAsia="Arial" w:hAnsi="Arial"/>
          <w:sz w:val="18"/>
          <w:szCs w:val="18"/>
          <w:color w:val="auto"/>
        </w:rPr>
      </w:pPr>
    </w:p>
    <w:p>
      <w:pPr>
        <w:ind w:left="1020" w:right="44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OpCo</w:t>
      </w:r>
      <w:r>
        <w:rPr>
          <w:rFonts w:ascii="Arial" w:cs="Arial" w:eastAsia="Arial" w:hAnsi="Arial"/>
          <w:sz w:val="18"/>
          <w:szCs w:val="18"/>
          <w:color w:val="auto"/>
        </w:rPr>
        <w:t>” refers to AIDH TopCo, LLC, a Delaware limited liability company, and a subsidiary of Definitive Healthcare Corp., following the Reorganization Transactions.</w:t>
      </w:r>
    </w:p>
    <w:p>
      <w:pPr>
        <w:spacing w:after="0" w:line="1" w:lineRule="exact"/>
        <w:rPr>
          <w:rFonts w:ascii="Arial" w:cs="Arial" w:eastAsia="Arial" w:hAnsi="Arial"/>
          <w:sz w:val="18"/>
          <w:szCs w:val="18"/>
          <w:color w:val="auto"/>
        </w:rPr>
      </w:pPr>
    </w:p>
    <w:p>
      <w:pPr>
        <w:ind w:left="1020" w:right="56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DH Holdings</w:t>
      </w:r>
      <w:r>
        <w:rPr>
          <w:rFonts w:ascii="Arial" w:cs="Arial" w:eastAsia="Arial" w:hAnsi="Arial"/>
          <w:sz w:val="18"/>
          <w:szCs w:val="18"/>
          <w:color w:val="auto"/>
        </w:rPr>
        <w:t>” refers to Definitive Healthcare Holdings, LLC, a Delaware limited liability company and wholly-owned subsidiary of Definitive Healthcare Corp.</w:t>
      </w:r>
    </w:p>
    <w:p>
      <w:pPr>
        <w:spacing w:after="0" w:line="1" w:lineRule="exact"/>
        <w:rPr>
          <w:rFonts w:ascii="Arial" w:cs="Arial" w:eastAsia="Arial" w:hAnsi="Arial"/>
          <w:sz w:val="18"/>
          <w:szCs w:val="18"/>
          <w:color w:val="auto"/>
        </w:rPr>
      </w:pPr>
    </w:p>
    <w:p>
      <w:pPr>
        <w:ind w:left="1020" w:right="1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Class A Units</w:t>
      </w:r>
      <w:r>
        <w:rPr>
          <w:rFonts w:ascii="Arial" w:cs="Arial" w:eastAsia="Arial" w:hAnsi="Arial"/>
          <w:sz w:val="18"/>
          <w:szCs w:val="18"/>
          <w:color w:val="auto"/>
          <w:highlight w:val="white"/>
        </w:rPr>
        <w:t>" has the meaning given in Note 12 to our audited consolidated financial statements included in Part II, Item 8 of this</w:t>
      </w:r>
      <w:r>
        <w:rPr>
          <w:rFonts w:ascii="Arial" w:cs="Arial" w:eastAsia="Arial" w:hAnsi="Arial"/>
          <w:sz w:val="18"/>
          <w:szCs w:val="18"/>
          <w:color w:val="auto"/>
        </w:rPr>
        <w:t xml:space="preserve"> Form 10-K.</w:t>
      </w:r>
    </w:p>
    <w:p>
      <w:pPr>
        <w:spacing w:after="0" w:line="1" w:lineRule="exact"/>
        <w:rPr>
          <w:rFonts w:ascii="Arial" w:cs="Arial" w:eastAsia="Arial" w:hAnsi="Arial"/>
          <w:sz w:val="18"/>
          <w:szCs w:val="18"/>
          <w:color w:val="auto"/>
        </w:rPr>
      </w:pPr>
    </w:p>
    <w:p>
      <w:pPr>
        <w:ind w:left="1020" w:right="14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Legacy Class B Units</w:t>
      </w:r>
      <w:r>
        <w:rPr>
          <w:rFonts w:ascii="Arial" w:cs="Arial" w:eastAsia="Arial" w:hAnsi="Arial"/>
          <w:sz w:val="18"/>
          <w:szCs w:val="18"/>
          <w:color w:val="auto"/>
        </w:rPr>
        <w:t>" has the meaning given in Note 12 to our audited consolidated financial statements included in Part II, Item 8 of this Form 10-K.</w:t>
      </w:r>
    </w:p>
    <w:p>
      <w:pPr>
        <w:spacing w:after="0" w:line="1" w:lineRule="exact"/>
        <w:rPr>
          <w:rFonts w:ascii="Arial" w:cs="Arial" w:eastAsia="Arial" w:hAnsi="Arial"/>
          <w:sz w:val="18"/>
          <w:szCs w:val="18"/>
          <w:color w:val="auto"/>
        </w:rPr>
      </w:pPr>
    </w:p>
    <w:p>
      <w:pPr>
        <w:ind w:left="1020" w:right="10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Units</w:t>
      </w:r>
      <w:r>
        <w:rPr>
          <w:rFonts w:ascii="Arial" w:cs="Arial" w:eastAsia="Arial" w:hAnsi="Arial"/>
          <w:sz w:val="18"/>
          <w:szCs w:val="18"/>
          <w:color w:val="auto"/>
        </w:rPr>
        <w:t>” has the meaning given within “Recent Developments” in Management’s Discussion and Analysis included in Part II, Item 7 of this Form 10-K.</w:t>
      </w:r>
    </w:p>
    <w:p>
      <w:pPr>
        <w:spacing w:after="0" w:line="1" w:lineRule="exact"/>
        <w:rPr>
          <w:rFonts w:ascii="Arial" w:cs="Arial" w:eastAsia="Arial" w:hAnsi="Arial"/>
          <w:sz w:val="18"/>
          <w:szCs w:val="18"/>
          <w:color w:val="auto"/>
        </w:rPr>
      </w:pPr>
    </w:p>
    <w:p>
      <w:pPr>
        <w:ind w:left="1020" w:right="180" w:hanging="503"/>
        <w:spacing w:after="0" w:line="264" w:lineRule="auto"/>
        <w:tabs>
          <w:tab w:leader="none" w:pos="1020" w:val="left"/>
        </w:tabs>
        <w:numPr>
          <w:ilvl w:val="1"/>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LTV</w:t>
      </w:r>
      <w:r>
        <w:rPr>
          <w:rFonts w:ascii="Arial" w:cs="Arial" w:eastAsia="Arial" w:hAnsi="Arial"/>
          <w:sz w:val="16"/>
          <w:szCs w:val="16"/>
          <w:color w:val="auto"/>
        </w:rPr>
        <w:t>”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Definitive Healthcare Corp.</w:t>
      </w:r>
    </w:p>
    <w:p>
      <w:pPr>
        <w:ind w:left="1020" w:hanging="503"/>
        <w:spacing w:after="0" w:line="248" w:lineRule="auto"/>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NDR</w:t>
      </w:r>
      <w:r>
        <w:rPr>
          <w:rFonts w:ascii="Arial" w:cs="Arial" w:eastAsia="Arial" w:hAnsi="Arial"/>
          <w:sz w:val="17"/>
          <w:szCs w:val="17"/>
          <w:color w:val="auto"/>
          <w:highlight w:val="white"/>
        </w:rPr>
        <w:t>” or “</w:t>
      </w:r>
      <w:r>
        <w:rPr>
          <w:rFonts w:ascii="Arial" w:cs="Arial" w:eastAsia="Arial" w:hAnsi="Arial"/>
          <w:sz w:val="17"/>
          <w:szCs w:val="17"/>
          <w:u w:val="single" w:color="auto"/>
          <w:color w:val="auto"/>
          <w:highlight w:val="white"/>
        </w:rPr>
        <w:t>Net Dollar Retention Rate</w:t>
      </w:r>
      <w:r>
        <w:rPr>
          <w:rFonts w:ascii="Arial" w:cs="Arial" w:eastAsia="Arial" w:hAnsi="Arial"/>
          <w:sz w:val="17"/>
          <w:szCs w:val="17"/>
          <w:color w:val="auto"/>
          <w:highlight w:val="white"/>
        </w:rPr>
        <w:t>” refers to net dollar retention rate, which we calculate as the percentage of ARR retained from existing</w:t>
      </w:r>
      <w:r>
        <w:rPr>
          <w:rFonts w:ascii="Arial" w:cs="Arial" w:eastAsia="Arial" w:hAnsi="Arial"/>
          <w:sz w:val="17"/>
          <w:szCs w:val="17"/>
          <w:color w:val="auto"/>
        </w:rPr>
        <w:t xml:space="preserve">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2" w:lineRule="exact"/>
        <w:rPr>
          <w:rFonts w:ascii="Arial" w:cs="Arial" w:eastAsia="Arial" w:hAnsi="Arial"/>
          <w:sz w:val="17"/>
          <w:szCs w:val="17"/>
          <w:color w:val="auto"/>
        </w:rPr>
      </w:pPr>
    </w:p>
    <w:p>
      <w:pPr>
        <w:ind w:left="1020" w:right="4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highlight w:val="white"/>
        </w:rPr>
        <w:t>” has the meaning given in Note 1 to our audited consolidated financial statements included in Part II, Item 8 of</w:t>
      </w:r>
      <w:r>
        <w:rPr>
          <w:rFonts w:ascii="Arial" w:cs="Arial" w:eastAsia="Arial" w:hAnsi="Arial"/>
          <w:sz w:val="18"/>
          <w:szCs w:val="18"/>
          <w:color w:val="auto"/>
        </w:rPr>
        <w:t xml:space="preserve"> this Form 10-K.</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Spectrum Equity</w:t>
      </w:r>
      <w:r>
        <w:rPr>
          <w:rFonts w:ascii="Arial" w:cs="Arial" w:eastAsia="Arial" w:hAnsi="Arial"/>
          <w:sz w:val="18"/>
          <w:szCs w:val="18"/>
          <w:color w:val="auto"/>
          <w:highlight w:val="white"/>
        </w:rPr>
        <w:t>” refers to investment funds associated with Spectrum Equity Management, L.P., a private equity firm.</w:t>
      </w: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highlight w:val="white"/>
        </w:rPr>
        <w:t>” refers collectively to Advent, 22C Capital, and Spectrum Equity.</w:t>
      </w: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22C Capital</w:t>
      </w:r>
      <w:r>
        <w:rPr>
          <w:rFonts w:ascii="Arial" w:cs="Arial" w:eastAsia="Arial" w:hAnsi="Arial"/>
          <w:sz w:val="18"/>
          <w:szCs w:val="18"/>
          <w:color w:val="auto"/>
          <w:highlight w:val="white"/>
        </w:rPr>
        <w:t>” refers to investment funds associated with 22C Capital LLC, a private equity firm.</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2"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This Annual Report on Form 10-K (this “Annual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4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We caution you against relying on any forward-looking statements, which should also be read in conjunction with the other cautionary statements that are included elsewhere in this Annual Report, including under “Management’s Discussion and Analysis of Financial Condition and Results of Operations”. Any forward-looking statement made by us speaks only as of the date on which we make it. Important factors that could cause actual results to differ materially from those in the forward-looking statements include, but are not limited to, regional, national or global political, economic, business, competitive, market and regulatory conditions. We undertake no obligation to publicly update or revise any forward-looking statement, whether as a result of new information, future developments or otherwise, except as may be required by law.</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SUMMARY OF RISK FACTORS</w:t>
      </w:r>
    </w:p>
    <w:p>
      <w:pPr>
        <w:spacing w:after="0" w:line="20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following is a summary of the principal risks described below in Part I, Item 1A “Risk Factors” in this Annual Report.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w:t>
      </w:r>
    </w:p>
    <w:p>
      <w:pPr>
        <w:spacing w:after="0" w:line="161" w:lineRule="exact"/>
        <w:rPr>
          <w:sz w:val="20"/>
          <w:szCs w:val="20"/>
          <w:color w:val="auto"/>
        </w:rPr>
      </w:pPr>
    </w:p>
    <w:p>
      <w:pPr>
        <w:ind w:left="820" w:right="240" w:hanging="461"/>
        <w:spacing w:after="0" w:line="289"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123" w:lineRule="exact"/>
        <w:rPr>
          <w:rFonts w:ascii="Arial" w:cs="Arial" w:eastAsia="Arial" w:hAnsi="Arial"/>
          <w:sz w:val="16"/>
          <w:szCs w:val="16"/>
          <w:color w:val="auto"/>
        </w:rPr>
      </w:pPr>
    </w:p>
    <w:p>
      <w:pPr>
        <w:ind w:left="840" w:right="40" w:hanging="468"/>
        <w:spacing w:after="0" w:line="235"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161" w:lineRule="exact"/>
        <w:rPr>
          <w:rFonts w:ascii="Arial" w:cs="Arial" w:eastAsia="Arial" w:hAnsi="Arial"/>
          <w:sz w:val="18"/>
          <w:szCs w:val="18"/>
          <w:color w:val="auto"/>
        </w:rPr>
      </w:pPr>
    </w:p>
    <w:p>
      <w:pPr>
        <w:ind w:left="820" w:right="740" w:hanging="461"/>
        <w:spacing w:after="0" w:line="235"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161" w:lineRule="exact"/>
        <w:rPr>
          <w:rFonts w:ascii="Arial" w:cs="Arial" w:eastAsia="Arial" w:hAnsi="Arial"/>
          <w:sz w:val="18"/>
          <w:szCs w:val="18"/>
          <w:color w:val="auto"/>
        </w:rPr>
      </w:pPr>
    </w:p>
    <w:p>
      <w:pPr>
        <w:ind w:left="840" w:hanging="468"/>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360" w:lineRule="exact"/>
        <w:rPr>
          <w:rFonts w:ascii="Arial" w:cs="Arial" w:eastAsia="Arial" w:hAnsi="Arial"/>
          <w:sz w:val="18"/>
          <w:szCs w:val="18"/>
          <w:color w:val="auto"/>
        </w:rPr>
      </w:pPr>
    </w:p>
    <w:p>
      <w:pPr>
        <w:ind w:left="840" w:hanging="468"/>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360" w:lineRule="exact"/>
        <w:rPr>
          <w:rFonts w:ascii="Arial" w:cs="Arial" w:eastAsia="Arial" w:hAnsi="Arial"/>
          <w:sz w:val="18"/>
          <w:szCs w:val="18"/>
          <w:color w:val="auto"/>
        </w:rPr>
      </w:pPr>
    </w:p>
    <w:p>
      <w:pPr>
        <w:ind w:left="820" w:hanging="448"/>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inability to achieve or sustain profitability in the future compared to historical levels as we increase investments in our business;</w:t>
      </w:r>
    </w:p>
    <w:p>
      <w:pPr>
        <w:spacing w:after="0" w:line="360" w:lineRule="exact"/>
        <w:rPr>
          <w:rFonts w:ascii="Arial" w:cs="Arial" w:eastAsia="Arial" w:hAnsi="Arial"/>
          <w:sz w:val="18"/>
          <w:szCs w:val="18"/>
          <w:color w:val="auto"/>
        </w:rPr>
      </w:pPr>
    </w:p>
    <w:p>
      <w:pPr>
        <w:ind w:left="840" w:right="640" w:hanging="468"/>
        <w:spacing w:after="0" w:line="235"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161" w:lineRule="exact"/>
        <w:rPr>
          <w:rFonts w:ascii="Arial" w:cs="Arial" w:eastAsia="Arial" w:hAnsi="Arial"/>
          <w:sz w:val="18"/>
          <w:szCs w:val="18"/>
          <w:color w:val="auto"/>
        </w:rPr>
      </w:pPr>
    </w:p>
    <w:p>
      <w:pPr>
        <w:ind w:left="820" w:right="60" w:hanging="461"/>
        <w:spacing w:after="0" w:line="235"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161" w:lineRule="exact"/>
        <w:rPr>
          <w:rFonts w:ascii="Arial" w:cs="Arial" w:eastAsia="Arial" w:hAnsi="Arial"/>
          <w:sz w:val="18"/>
          <w:szCs w:val="18"/>
          <w:color w:val="auto"/>
        </w:rPr>
      </w:pPr>
    </w:p>
    <w:p>
      <w:pPr>
        <w:ind w:left="840" w:right="320" w:hanging="468"/>
        <w:spacing w:after="0" w:line="235"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161" w:lineRule="exact"/>
        <w:rPr>
          <w:rFonts w:ascii="Arial" w:cs="Arial" w:eastAsia="Arial" w:hAnsi="Arial"/>
          <w:sz w:val="18"/>
          <w:szCs w:val="18"/>
          <w:color w:val="auto"/>
        </w:rPr>
      </w:pPr>
    </w:p>
    <w:p>
      <w:pPr>
        <w:ind w:left="820" w:right="340" w:hanging="461"/>
        <w:spacing w:after="0" w:line="235"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161" w:lineRule="exact"/>
        <w:rPr>
          <w:rFonts w:ascii="Arial" w:cs="Arial" w:eastAsia="Arial" w:hAnsi="Arial"/>
          <w:sz w:val="18"/>
          <w:szCs w:val="18"/>
          <w:color w:val="auto"/>
        </w:rPr>
      </w:pPr>
    </w:p>
    <w:p>
      <w:pPr>
        <w:ind w:left="820" w:right="320" w:hanging="461"/>
        <w:spacing w:after="0" w:line="235"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regarding ongoing hostility between Russia and Ukraine and the related impact on macroeconomic conditions as a result of such conflict;</w:t>
      </w:r>
    </w:p>
    <w:p>
      <w:pPr>
        <w:spacing w:after="0" w:line="161" w:lineRule="exact"/>
        <w:rPr>
          <w:rFonts w:ascii="Arial" w:cs="Arial" w:eastAsia="Arial" w:hAnsi="Arial"/>
          <w:sz w:val="18"/>
          <w:szCs w:val="18"/>
          <w:color w:val="auto"/>
        </w:rPr>
      </w:pPr>
    </w:p>
    <w:p>
      <w:pPr>
        <w:ind w:left="820" w:right="180" w:hanging="448"/>
        <w:spacing w:after="0" w:line="235"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161" w:lineRule="exact"/>
        <w:rPr>
          <w:rFonts w:ascii="Arial" w:cs="Arial" w:eastAsia="Arial" w:hAnsi="Arial"/>
          <w:sz w:val="18"/>
          <w:szCs w:val="18"/>
          <w:color w:val="auto"/>
        </w:rPr>
      </w:pPr>
    </w:p>
    <w:p>
      <w:pPr>
        <w:ind w:left="840" w:hanging="4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19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This section contains forward-looking statements. You should refer to the explanation of the qualifications and limitations on forward-looking statements described above. For a discussion of these and other risks, see the section entitled “Risk Factors.”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08"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Our mission is to make the complex healthcare ecosystem easier to analyze, navigate and sell into by providing a comprehensive, cloud-based healthcare commercial intelligence platform.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2,800 customers as of December 31, 2021. We define a customer as a company that maintains one or more active paid subscriptions to our platform.</w:t>
      </w:r>
    </w:p>
    <w:p>
      <w:pPr>
        <w:spacing w:after="0" w:line="47"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auto"/>
        </w:rPr>
        <w:t>Our healthcare commercial intelligence platform brings together comprehensive, in-depth and high-quality intelligence, a powerful artificial intelligence ("A.I.") engine, and an intuitive front-end SaaS platform, which have all been built, modified and improved upon over the last 11 years to create a highly differentiated offering.</w:t>
      </w:r>
    </w:p>
    <w:p>
      <w:pPr>
        <w:spacing w:after="0" w:line="74"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Definitive Healthcare was founded in 2011 and incorporated as Definitive Healthcare Corp. in May 2021 for the purposes of facilitating an IPO of its Class A Common Stock, which was completed on September 17, 2021. The Company is headquartered in Framingham, MA. Our primary website address is www.definitivehc.com. The information on our website is not incorporated herein or otherwise part of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Definitive Healthcare Platform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0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Sources and Data Engine</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since our inception, our platform contains a full 360-degree, longitudinal view of the healthcare ecosystem and depicts how the ecosystem connects together, creating a true barrier to entry.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 and Competitive Strengths</w:t>
      </w:r>
    </w:p>
    <w:p>
      <w:pPr>
        <w:spacing w:after="0" w:line="10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We operate in a highly fragmented market. We have a competitive advantage that is based on our comprehensive dataset built up over 11 years, our application of the data science, which has created proprietary intelligence and linkages that we do not see elsewhere, and a user interface that provides customers access to answers, not data, in an integrated manner. Our competitive strengths include:</w:t>
      </w:r>
    </w:p>
    <w:p>
      <w:pPr>
        <w:spacing w:after="0" w:line="74" w:lineRule="exact"/>
        <w:rPr>
          <w:sz w:val="20"/>
          <w:szCs w:val="20"/>
          <w:color w:val="auto"/>
        </w:rPr>
      </w:pPr>
    </w:p>
    <w:p>
      <w:pPr>
        <w:ind w:left="1140" w:right="380" w:hanging="504"/>
        <w:spacing w:after="0" w:line="248"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Healthcare-specific Commercial Intelligence</w:t>
      </w:r>
      <w:r>
        <w:rPr>
          <w:rFonts w:ascii="Arial" w:cs="Arial" w:eastAsia="Arial" w:hAnsi="Arial"/>
          <w:sz w:val="18"/>
          <w:szCs w:val="18"/>
          <w:color w:val="auto"/>
        </w:rPr>
        <w:t>. We have built proprietary intelligence via first-party research, aggregated,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linked, cleansed and inferred information from thousands of data sources and tied billions of data points together into a comprehensive view of the entire U.S. healthcare ecosystem.</w:t>
      </w:r>
    </w:p>
    <w:p>
      <w:pPr>
        <w:spacing w:after="0" w:line="73" w:lineRule="exact"/>
        <w:rPr>
          <w:rFonts w:ascii="Arial" w:cs="Arial" w:eastAsia="Arial" w:hAnsi="Arial"/>
          <w:sz w:val="18"/>
          <w:szCs w:val="18"/>
          <w:color w:val="auto"/>
        </w:rPr>
      </w:pPr>
    </w:p>
    <w:p>
      <w:pPr>
        <w:ind w:left="1140" w:hanging="504"/>
        <w:spacing w:after="0" w:line="248"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Integrated Data and Technology Foundation that Creates a Flywheel of Innovation. </w:t>
      </w:r>
      <w:r>
        <w:rPr>
          <w:rFonts w:ascii="Arial" w:cs="Arial" w:eastAsia="Arial" w:hAnsi="Arial"/>
          <w:sz w:val="18"/>
          <w:szCs w:val="18"/>
          <w:color w:val="auto"/>
        </w:rPr>
        <w:t>Our technology platform provides the foundation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rapid product development and innovation by leveraging our existing data assets to produce new modules and features that solve a growing number of business problems.</w:t>
      </w:r>
    </w:p>
    <w:p>
      <w:pPr>
        <w:spacing w:after="0" w:line="73" w:lineRule="exact"/>
        <w:rPr>
          <w:rFonts w:ascii="Arial" w:cs="Arial" w:eastAsia="Arial" w:hAnsi="Arial"/>
          <w:sz w:val="18"/>
          <w:szCs w:val="18"/>
          <w:color w:val="auto"/>
        </w:rPr>
      </w:pPr>
    </w:p>
    <w:p>
      <w:pPr>
        <w:ind w:left="1140" w:right="200" w:hanging="504"/>
        <w:spacing w:after="0" w:line="26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Go-to-Market Engine.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sales executives.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 w:name="page7"/>
    <w:bookmarkEnd w:id="6"/>
    <w:p>
      <w:pPr>
        <w:ind w:left="1140" w:right="220" w:hanging="504"/>
        <w:spacing w:after="0" w:line="324"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Visionary, Founder-Led Management Team with a Track Record of Execution. </w:t>
      </w:r>
      <w:r>
        <w:rPr>
          <w:rFonts w:ascii="Arial" w:cs="Arial" w:eastAsia="Arial" w:hAnsi="Arial"/>
          <w:sz w:val="16"/>
          <w:szCs w:val="16"/>
          <w:color w:val="auto"/>
        </w:rPr>
        <w:t>Our founder-led management team has a strong track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of exceptional financial performance and of building an award-winning culture to attract and retain highly talented individuals.</w:t>
      </w:r>
    </w:p>
    <w:p>
      <w:pPr>
        <w:spacing w:after="0" w:line="16"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While we believe no competitor matches our breadth of data and intelligence solutions or offers as comprehensive and accurate a commercial intelligence platform, we compete either directly or indirectly with:</w:t>
      </w:r>
    </w:p>
    <w:p>
      <w:pPr>
        <w:spacing w:after="0" w:line="63" w:lineRule="exact"/>
        <w:rPr>
          <w:sz w:val="20"/>
          <w:szCs w:val="20"/>
          <w:color w:val="auto"/>
        </w:rPr>
      </w:pPr>
    </w:p>
    <w:p>
      <w:pPr>
        <w:ind w:left="1140" w:hanging="50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Legacy raw claims data providers, such as Clarivate, IQVIA and Symphony Health;</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Niche healthcare specialists, such as Komodo Health, H1 Healthcare, Marketware, Trella Health and Trilliant Health;</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Ecosystem players that may house or analyze similar intelligence, such as SG2, and Veeva; and</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Horizontal go-to-market intelligence platforms, such as ZoomInfo, LinkedIn and Dun &amp; Bradstreet.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principal competitive factors in our markets are:</w:t>
      </w:r>
    </w:p>
    <w:p>
      <w:pPr>
        <w:spacing w:after="0" w:line="104" w:lineRule="exact"/>
        <w:rPr>
          <w:sz w:val="20"/>
          <w:szCs w:val="20"/>
          <w:color w:val="auto"/>
        </w:rPr>
      </w:pPr>
    </w:p>
    <w:p>
      <w:pPr>
        <w:ind w:left="1140" w:hanging="50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Depth, breadth and accuracy of healthcare-specific commercial intelligence;</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Healthcare subject matter expertise;</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A.I. and data science capabilities;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use and deployment; and</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04" w:lineRule="exact"/>
        <w:rPr>
          <w:sz w:val="20"/>
          <w:szCs w:val="20"/>
          <w:color w:val="auto"/>
        </w:rPr>
      </w:pPr>
    </w:p>
    <w:p>
      <w:pPr>
        <w:ind w:left="1140" w:hanging="50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Acquiring new customers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Expanding our relationships with existing customers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Continuing to innovate to strengthen our platform and market leadership position</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Making selective strategic acquisitions and investments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integrated platform is designed to drive commercial success for companies that sell into or compete in the healthcare ecosystem, creating large end-markets for us, including life sciences, healthcare information technology ("HCIT"), healthcare providers and other diversified companies seeking commercial success in the attractive, but complex, healthcare ecosystem.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 Strategy</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have a very efficient go-to-market model, driven by a high-velocity inside sales and marketing team, experienced sales engineers ("SEs") and a well-defined verticalized sales strategy.</w:t>
      </w:r>
    </w:p>
    <w:p>
      <w:pPr>
        <w:spacing w:after="0" w:line="17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go-to-market strategy begins with a high-velocity marketing engine that generates more than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 demo to the exact intelligence that will be most impactful to their business. As our brand presence continues to grow, we have seen a significant increase in the number of inbound MQLs received.</w:t>
      </w:r>
    </w:p>
    <w:p>
      <w:pPr>
        <w:spacing w:after="0" w:line="189"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We complement our marketing efforts with a highly targeted outbound effort focused on important prospects across our target universe of over 100,000 companies, with an estimated total addressable market of more than $10 billion. These companies are prioritized and targeted with a measurable outbound effort led by our inside sales representative team.</w:t>
      </w:r>
    </w:p>
    <w:p>
      <w:pPr>
        <w:spacing w:after="0" w:line="182"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Once a new company signs up as a subscriber, they are transferred to our Customer Experience managers (“CX”) who assist with onboarding and training, answering questions and maintaining a “health score,” a predictive metric used to determine whether customers are likely to renew their subscription. In addition, an SE is typically assigned to each customer,</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36" w:right="479" w:bottom="1440" w:gutter="0" w:footer="0" w:header="0"/>
        </w:sectPr>
      </w:pPr>
    </w:p>
    <w:bookmarkStart w:id="7" w:name="page8"/>
    <w:bookmarkEnd w:id="7"/>
    <w:p>
      <w:pPr>
        <w:ind w:right="400"/>
        <w:spacing w:after="0" w:line="324" w:lineRule="auto"/>
        <w:rPr>
          <w:sz w:val="20"/>
          <w:szCs w:val="20"/>
          <w:color w:val="auto"/>
        </w:rPr>
      </w:pPr>
      <w:r>
        <w:rPr>
          <w:rFonts w:ascii="Arial" w:cs="Arial" w:eastAsia="Arial" w:hAnsi="Arial"/>
          <w:sz w:val="16"/>
          <w:szCs w:val="16"/>
          <w:color w:val="auto"/>
        </w:rPr>
        <w:t>with a focus on deepening the relationship and identifying opportunities to expand the relationship to new departments and sell additional intelligence modules and workflow products. The CX and SE teams are also organized by vertical end market to ensure appropriate subject matter expertise.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at Definitive Healthcare</w:t>
      </w:r>
    </w:p>
    <w:p>
      <w:pPr>
        <w:spacing w:after="0" w:line="10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Our community has continued to grow rapidly since our founding 11 years ago. While our people are primarily concentrated in the Boston metro area, we have expanded globally and increased our reach with a flourishing remote employee base.</w:t>
      </w:r>
    </w:p>
    <w:p>
      <w:pPr>
        <w:spacing w:after="0" w:line="171"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 xml:space="preserve">As of December 31, 2021, we had 676 employees </w:t>
      </w:r>
      <w:r>
        <w:rPr>
          <w:rFonts w:ascii="Arial" w:cs="Arial" w:eastAsia="Arial" w:hAnsi="Arial"/>
          <w:sz w:val="16"/>
          <w:szCs w:val="16"/>
          <w:color w:val="auto"/>
        </w:rPr>
        <w:t>—</w:t>
      </w:r>
      <w:r>
        <w:rPr>
          <w:rFonts w:ascii="Arial" w:cs="Arial" w:eastAsia="Arial" w:hAnsi="Arial"/>
          <w:sz w:val="18"/>
          <w:szCs w:val="18"/>
          <w:color w:val="auto"/>
        </w:rPr>
        <w:t xml:space="preserve"> of which 23% were fully remote. As of December 31, 2021, 622 employees are based in the U.S., and another 54 are based in Europe. Functionally, this includes 393 in sales and marketing, 211 in product development, and 72 in general and administrative roles. Our workforce is comprised of a wide variety of professionals, including business development representatives, data scientists, software engineers, and more.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 and culture</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We consistently receive workplace accolades and have been recognized as a 'best place to work' by Boston Business Journal's "Best Place to Work" in each of the last five years. Additionally, in 2021, we have been listed on the Boston Globe's "Top Place to Work", and Energage’s "Top Workplaces - USA".</w:t>
      </w:r>
    </w:p>
    <w:p>
      <w:pPr>
        <w:spacing w:after="0" w:line="182"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We are committed to putting our community first. For us that means centering our culture around collaboration and community engagement. DefinitiveCares, our employee-led charitable organization, is at the core of our company culture. The mission of DefinitiveCares is to give back to the community through employee-led volunteer initiatives.</w:t>
      </w:r>
    </w:p>
    <w:p>
      <w:pPr>
        <w:spacing w:after="0" w:line="18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As a company, we are collaborative, energetic, approachable, and driven. These attributes have allowed us to develop and maintain our customer-focused culture, where we aren't afraid to roll up our sleeves to get the job done. We also realize that there's more to life than work, so we try to have some fun at the office and ensure that every employee maintains a healthy work-life balance.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At Definitive Healthcare, we invite everyone to come as they are. We value our employees' unique perspectives, backgrounds, and voices because these diverse experiences drive new ideas and help us build a better community. We provide opportunities for our employees to grow and develop awareness around diversity, equity, and inclusion through company-sponsored speakers and presentations. We promote diversity and inclusion in our hiring processes by training our hiring managers on unconscious bias, by engaging with diverse student groups at college fairs, by increasing our work visa sponsorship program, and by incorporating inclusive, gender-neutral language into our job descriptions.</w:t>
      </w:r>
    </w:p>
    <w:p>
      <w:pPr>
        <w:spacing w:after="0" w:line="174"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In addition, our employee-led affinity groups provide a way for everyone to come together and share their common experiences. Alongside their allies, these employees promote a sense of community, belonging, and understanding at Definitive Healthcare. The affinity groups include Women's Empowerment @ DHC, Out @ DHC (LGBTQIA), Black, Indigenous, and People of Color @ DHC, Working Parents, and AVID @ DHC (visible and invisible disabilities), as well as a wide variety of clubs and special interest groups.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wellness, and total rewards</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goal is to offer a best-in-class total rewards package that supports employees and their families, attracts top talent, and ensures pay equity. We provide competitive pay and benefits to attract and retain high quality talent. As part of our total rewards package, U.S. employees are eligible for variable compensation and we pay for employees' individual full medical coverage, in addition to providing generous healthcare, investment, retirement, and paid time off.</w:t>
      </w:r>
    </w:p>
    <w:p>
      <w:pPr>
        <w:spacing w:after="0" w:line="188"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reward high performance and effort, regardless of experience or title. We recognized employees who do exceptional work twice a year through our Rockstars awards. The awards are granted to those who embody our guiding principles in extraordinary ways and recipients are determined by employee nominations.</w:t>
      </w:r>
    </w:p>
    <w:p>
      <w:pPr>
        <w:spacing w:after="0" w:line="18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health and safety of both our employees and their households continue to be a paramount concern, given the COVID-19 pandemic. In March 2020, we transitioned to a fully remote work approach. In May 2021, we implemented a</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 xml:space="preserve">hybrid work environment. All employees can work between our offices and remotely </w:t>
      </w:r>
      <w:r>
        <w:rPr>
          <w:rFonts w:ascii="Arial" w:cs="Arial" w:eastAsia="Arial" w:hAnsi="Arial"/>
          <w:sz w:val="15"/>
          <w:szCs w:val="15"/>
          <w:color w:val="auto"/>
        </w:rPr>
        <w:t>—</w:t>
      </w:r>
      <w:r>
        <w:rPr>
          <w:rFonts w:ascii="Arial" w:cs="Arial" w:eastAsia="Arial" w:hAnsi="Arial"/>
          <w:sz w:val="17"/>
          <w:szCs w:val="17"/>
          <w:color w:val="auto"/>
        </w:rPr>
        <w:t xml:space="preserve"> enabling greater flexibility for a successful work-life balance.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Development and Advancement</w:t>
      </w:r>
    </w:p>
    <w:p>
      <w:pPr>
        <w:spacing w:after="0" w:line="104" w:lineRule="exact"/>
        <w:rPr>
          <w:sz w:val="20"/>
          <w:szCs w:val="20"/>
          <w:color w:val="auto"/>
        </w:rPr>
      </w:pPr>
    </w:p>
    <w:p>
      <w:pPr>
        <w:ind w:right="440" w:firstLine="509"/>
        <w:spacing w:after="0" w:line="243" w:lineRule="auto"/>
        <w:rPr>
          <w:sz w:val="20"/>
          <w:szCs w:val="20"/>
          <w:color w:val="auto"/>
        </w:rPr>
      </w:pPr>
      <w:r>
        <w:rPr>
          <w:rFonts w:ascii="Arial" w:cs="Arial" w:eastAsia="Arial" w:hAnsi="Arial"/>
          <w:sz w:val="18"/>
          <w:szCs w:val="18"/>
          <w:color w:val="auto"/>
        </w:rPr>
        <w:t>Our people are our greatest asset. Enabling their career growth and upward mobility is critical to retaining and engaging our talent. We provide employees with the tools, learning, and internal opportunities to find their path and build the skills and abilities to take on new roles. As part of our offerings, we provide a comprehensive learning management system, with a mix of professional, technical, managerial, and leadership development programs across a number of learning pathways.</w:t>
      </w:r>
    </w:p>
    <w:p>
      <w:pPr>
        <w:spacing w:after="0" w:line="39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Each year, we conduct a robust talent review process that includes performance assessments and goal setting to enable growth and employee advancement while creating alignment with both company goals and values. This process ties into our compensation strategy to ensure that we reward and incentivize our high performers.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Our data driven platform and our approach to keeping it up to date is our defensive moat and protecting our intellectual property is a crucial aspect of our business. While, as of December 31, 2021,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59"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to annually assess and certify our compliance with the HIPAA de-identification rules.</w:t>
      </w:r>
    </w:p>
    <w:p>
      <w:pPr>
        <w:spacing w:after="0" w:line="180"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In addition, certain state and non-U.S. laws, such as the CCPA, the CPRA and the GDPR govern the privacy and security of personal information and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center and privacy policy on our website to describe our practices related to the collection, maintenance, security, use and sharing of personal information on our platform.</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Other Available Information</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Annual Report on Form 10-K, Quarterly Reports on Form 10-Q, Current Reports on Form 8-K, and other filings with the SEC, and all amendments to these filings, can be obtained free of charge from our website at https://ir.definitivehc.com/financial-information/sec-filings or by contacting our Investor Relations department at our office address listed above following our filing of any of these reports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i w:val="1"/>
          <w:iCs w:val="1"/>
          <w:color w:val="auto"/>
        </w:rPr>
        <w:t>You should carefully consider each of the following risk factors, as well as other information contained in this Form 10-K, including “Management’s Discussion and Analysis of Financial Condition and Results of Operations” and our audited consolidated financial statements and related notes. The occurrence of any of the following risks could have a material adverse effect on our business, financial condition and results of operations, in which case the trading price of our Class A Common Stock could decline and you could lose all or part of your investment. Additional risks and uncertainties that we are unaware of, or that we currently believe are not material, may also become important factors that adversely affect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8"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3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For the year ended December 31, 2021,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95"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74" w:lineRule="exact"/>
        <w:rPr>
          <w:sz w:val="20"/>
          <w:szCs w:val="20"/>
          <w:color w:val="auto"/>
        </w:rPr>
      </w:pPr>
    </w:p>
    <w:p>
      <w:pPr>
        <w:ind w:left="1140" w:right="500" w:hanging="504"/>
        <w:spacing w:after="0" w:line="26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awareness and acceptance of the healthcare commercial intelligence platform category generally, and the growth and evolution of the category and our addressable market;</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 platform;</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performance, features and user experience, and the development and acceptance of new features, integrations and capabilities;</w:t>
      </w:r>
    </w:p>
    <w:p>
      <w:pPr>
        <w:spacing w:after="0" w:line="115" w:lineRule="exact"/>
        <w:rPr>
          <w:rFonts w:ascii="Arial" w:cs="Arial" w:eastAsia="Arial" w:hAnsi="Arial"/>
          <w:sz w:val="17"/>
          <w:szCs w:val="17"/>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consistently procure high-quality and useful data;</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customer support we provide;</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accessibility across several operating system and applications; and</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with workflow insights and technologies.</w:t>
      </w:r>
    </w:p>
    <w:p>
      <w:pPr>
        <w:spacing w:after="0" w:line="131"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29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3"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 w:name="page12"/>
    <w:bookmarkEnd w:id="11"/>
    <w:p>
      <w:pPr>
        <w:ind w:right="160"/>
        <w:spacing w:after="0" w:line="291" w:lineRule="auto"/>
        <w:rPr>
          <w:sz w:val="20"/>
          <w:szCs w:val="20"/>
          <w:color w:val="auto"/>
        </w:rPr>
      </w:pPr>
      <w:r>
        <w:rPr>
          <w:rFonts w:ascii="Arial" w:cs="Arial" w:eastAsia="Arial" w:hAnsi="Arial"/>
          <w:sz w:val="17"/>
          <w:szCs w:val="17"/>
          <w:color w:val="auto"/>
        </w:rPr>
        <w:t>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respond to advances in healthcare commercial intelligence, competitors could surpass the depth, breadth or accuracy of our platform.</w:t>
      </w:r>
    </w:p>
    <w:p>
      <w:pPr>
        <w:spacing w:after="0" w:line="127"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obtain and maintain accurate, comprehensive or reliable data, we could experience reduced demand for our platform.</w:t>
      </w:r>
    </w:p>
    <w:p>
      <w:pPr>
        <w:spacing w:after="0" w:line="11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have experienced rapid organic and acquisition-driven growth in recent periods. For the year ended December 31, 2021, our revenue was $166.2 million, an increase of 40.4% as compared to our revenue of $118.3 million for the year ended December 31, 2020. We cannot guarantee that we will sustain our recent revenue growth rate in future periods. Further, as we operate in a new and rapidly changing market, widespread acceptance and use of our platform is critical to our future growth and success. Our revenue growth may slow or our revenue may decline for a number of other reasons, including reduced demand for our platform, increased competition, a decrease in the growth or reduction in size of our overall market, the impacts to our business from the COVID-19 pandemic, or if we cannot capitalize on growth opportunities.</w:t>
      </w:r>
    </w:p>
    <w:p>
      <w:pPr>
        <w:spacing w:after="0" w:line="175"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may not achieve or sustain profitability in the future compared to historical levels as we increase investments in our business.</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have incurred operating losses in the past and may continue to incur net losses in the future. For the year ended December 31, 2021, we had a net loss of $61.3 million, compared to a net loss of $51.2 million for the year ended December 31, 2020.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Annual Report on Form 10-K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8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3"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29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 w:name="page14"/>
    <w:bookmarkEnd w:id="13"/>
    <w:p>
      <w:pPr>
        <w:ind w:right="40" w:firstLine="509"/>
        <w:spacing w:after="0" w:line="262" w:lineRule="auto"/>
        <w:rPr>
          <w:sz w:val="20"/>
          <w:szCs w:val="20"/>
          <w:color w:val="auto"/>
        </w:rPr>
      </w:pPr>
      <w:r>
        <w:rPr>
          <w:rFonts w:ascii="Arial" w:cs="Arial" w:eastAsia="Arial" w:hAnsi="Arial"/>
          <w:sz w:val="17"/>
          <w:szCs w:val="17"/>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8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If we are unable to attract new customers and expand subscriptions of current customers, our revenue growth and financial performance will be negatively impacted.</w:t>
      </w:r>
    </w:p>
    <w:p>
      <w:pPr>
        <w:spacing w:after="0" w:line="63"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Numerous factors may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8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related to the COVID-19 pandemic and macroeconomic impacts of the Russia/Ukraine military conflict)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8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may fail to offer the optimal pricing and packaging of our solutions, which could negatively impact our growth strategy and ability to effectively compete in the market.</w:t>
      </w:r>
    </w:p>
    <w:p>
      <w:pPr>
        <w:spacing w:after="0" w:line="6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ind w:right="60"/>
        <w:spacing w:after="0" w:line="270" w:lineRule="auto"/>
        <w:rPr>
          <w:sz w:val="20"/>
          <w:szCs w:val="20"/>
          <w:color w:val="auto"/>
        </w:rPr>
      </w:pPr>
      <w:r>
        <w:rPr>
          <w:rFonts w:ascii="Arial" w:cs="Arial" w:eastAsia="Arial" w:hAnsi="Arial"/>
          <w:sz w:val="17"/>
          <w:szCs w:val="17"/>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56"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As we target more of our sales efforts at larger Enterprise Customers, we may face longer sales cycles, greater competition, more complex customer due diligence, less favorable contractual terms and less 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additional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83" w:lineRule="exact"/>
        <w:rPr>
          <w:sz w:val="20"/>
          <w:szCs w:val="20"/>
          <w:color w:val="auto"/>
        </w:rPr>
      </w:pPr>
    </w:p>
    <w:p>
      <w:pPr>
        <w:ind w:right="360" w:firstLine="509"/>
        <w:spacing w:after="0" w:line="270" w:lineRule="auto"/>
        <w:rPr>
          <w:sz w:val="20"/>
          <w:szCs w:val="20"/>
          <w:color w:val="auto"/>
        </w:rPr>
      </w:pPr>
      <w:r>
        <w:rPr>
          <w:rFonts w:ascii="Arial" w:cs="Arial" w:eastAsia="Arial" w:hAnsi="Arial"/>
          <w:sz w:val="17"/>
          <w:szCs w:val="17"/>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7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91"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5" w:name="page16"/>
    <w:bookmarkEnd w:id="15"/>
    <w:p>
      <w:pPr>
        <w:ind w:right="200"/>
        <w:spacing w:after="0" w:line="261"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pandemic caused by the novel strain of coronavirus (“COVID-19”), including the emergence of the Delta and Omicron variants in calendar year 2021, has disrupted the economy and put unprecedented strains on governments, healthcare systems, businesses and individuals around the world. The COVID-19 pandemic has caused significant disruption of global financial markets and economic uncertainty. Though our revenue has not been materially impacted due to the recurring nature of our SaaS subscription-based business model, adverse market conditions resulting from the spread of COVID-19 had an adverse effect on our growth rate.</w:t>
      </w:r>
    </w:p>
    <w:p>
      <w:pPr>
        <w:spacing w:after="0" w:line="189"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 Since the initial outbreak, demand has recovered and remained strong, but slowed growth and decreased demand due to the COVID-19 pandemic could occur in the future and could have a material adverse effect on our business, financial condition, and results of operations.</w:t>
      </w:r>
    </w:p>
    <w:p>
      <w:pPr>
        <w:spacing w:after="0" w:line="17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main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89"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government responses to the COVID-19 pandemic including vaccine availability and deployment; the emergence of new variant strains of COVID-19;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75"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96"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2022, we expect to complete our acquisition of Analytical Wizards ("AW"), a company that specializes in automating complex analytic models using tools that expedite efficient big data mining through A.I. and M.L. Integrating AW’s technology into our platform may dilute the quality of our platform as we work through the integration process which can take time and significant resources. As an Indian company, AW operated under different regulatory regimes than we have as a U.S.-based company, which could result in dissynergies in our platforms. Further, we may have difficulty effectively integrating AW’s personnel and business into our Company and achieving the goals of the AW acquisition. We expect to incur additional costs to integrate prior acquisitions, such as IT integration expenses and costs related to the renegotiation of redundant data provider agreements.</w:t>
      </w:r>
    </w:p>
    <w:p>
      <w:pPr>
        <w:spacing w:after="0" w:line="16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 w:name="page17"/>
    <w:bookmarkEnd w:id="16"/>
    <w:p>
      <w:pPr>
        <w:ind w:right="260" w:firstLine="509"/>
        <w:spacing w:after="0" w:line="261"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63" w:lineRule="exact"/>
        <w:rPr>
          <w:sz w:val="20"/>
          <w:szCs w:val="20"/>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solutions and platforms;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potential entry into new markets in which we have little or no experience or where competitors may have stronger market positions;</w:t>
      </w:r>
    </w:p>
    <w:p>
      <w:pPr>
        <w:spacing w:after="0" w:line="126" w:lineRule="exact"/>
        <w:rPr>
          <w:rFonts w:ascii="Arial" w:cs="Arial" w:eastAsia="Arial" w:hAnsi="Arial"/>
          <w:sz w:val="16"/>
          <w:szCs w:val="16"/>
          <w:color w:val="auto"/>
        </w:rPr>
      </w:pPr>
    </w:p>
    <w:p>
      <w:pPr>
        <w:ind w:left="1140" w:hanging="504"/>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write-offs of acquired assets or investments and potential financial and credit risks associated with acquired customers;</w:t>
      </w:r>
    </w:p>
    <w:p>
      <w:pPr>
        <w:spacing w:after="0" w:line="115" w:lineRule="exact"/>
        <w:rPr>
          <w:rFonts w:ascii="Arial" w:cs="Arial" w:eastAsia="Arial" w:hAnsi="Arial"/>
          <w:sz w:val="17"/>
          <w:szCs w:val="17"/>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in re-training key employees of acquired companies and integrating them into our organizational structure and corporate culture;</w:t>
      </w:r>
    </w:p>
    <w:p>
      <w:pPr>
        <w:spacing w:after="0" w:line="126" w:lineRule="exact"/>
        <w:rPr>
          <w:rFonts w:ascii="Arial" w:cs="Arial" w:eastAsia="Arial" w:hAnsi="Arial"/>
          <w:sz w:val="16"/>
          <w:szCs w:val="16"/>
          <w:color w:val="auto"/>
        </w:rPr>
      </w:pPr>
    </w:p>
    <w:p>
      <w:pPr>
        <w:ind w:left="1140" w:hanging="504"/>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difficulties in, and financial costs of, addressing acquired compensation structures inconsistent with our compensation structure;</w:t>
      </w:r>
    </w:p>
    <w:p>
      <w:pPr>
        <w:spacing w:after="0" w:line="115" w:lineRule="exact"/>
        <w:rPr>
          <w:rFonts w:ascii="Arial" w:cs="Arial" w:eastAsia="Arial" w:hAnsi="Arial"/>
          <w:sz w:val="17"/>
          <w:szCs w:val="17"/>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103" w:lineRule="exact"/>
        <w:rPr>
          <w:rFonts w:ascii="Arial" w:cs="Arial" w:eastAsia="Arial" w:hAnsi="Arial"/>
          <w:sz w:val="18"/>
          <w:szCs w:val="18"/>
          <w:color w:val="auto"/>
        </w:rPr>
      </w:pPr>
    </w:p>
    <w:p>
      <w:pPr>
        <w:jc w:val="both"/>
        <w:ind w:left="1140" w:right="480" w:hanging="504"/>
        <w:spacing w:after="0" w:line="324"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16" w:lineRule="exact"/>
        <w:rPr>
          <w:rFonts w:ascii="Arial" w:cs="Arial" w:eastAsia="Arial" w:hAnsi="Arial"/>
          <w:sz w:val="16"/>
          <w:szCs w:val="16"/>
          <w:color w:val="auto"/>
        </w:rPr>
      </w:pPr>
    </w:p>
    <w:p>
      <w:pPr>
        <w:ind w:left="1140" w:right="160" w:hanging="504"/>
        <w:spacing w:after="0" w:line="261"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 and customer acceptance of a new or changed platform on a temporary or permanent basis;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for acquired platforms to impact the financial performance of existing platform;</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platform;</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technologies;</w:t>
      </w:r>
    </w:p>
    <w:p>
      <w:pPr>
        <w:spacing w:after="0" w:line="103" w:lineRule="exact"/>
        <w:rPr>
          <w:rFonts w:ascii="Arial" w:cs="Arial" w:eastAsia="Arial" w:hAnsi="Arial"/>
          <w:sz w:val="18"/>
          <w:szCs w:val="18"/>
          <w:color w:val="auto"/>
        </w:rPr>
      </w:pPr>
    </w:p>
    <w:p>
      <w:pPr>
        <w:ind w:left="1140" w:hanging="504"/>
        <w:spacing w:after="0" w:line="261"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 making conflicts that may arise in the context of a joint venture or other majority ownership investments;</w:t>
      </w:r>
    </w:p>
    <w:p>
      <w:pPr>
        <w:spacing w:after="0" w:line="62" w:lineRule="exact"/>
        <w:rPr>
          <w:rFonts w:ascii="Arial" w:cs="Arial" w:eastAsia="Arial" w:hAnsi="Arial"/>
          <w:sz w:val="18"/>
          <w:szCs w:val="18"/>
          <w:color w:val="auto"/>
        </w:rPr>
      </w:pPr>
    </w:p>
    <w:p>
      <w:pPr>
        <w:ind w:left="1140" w:right="40" w:hanging="504"/>
        <w:spacing w:after="0" w:line="261"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material adverse effect on our results of operations because of the depreciation and amortization of amounts related to acquired intangible assets, fixed assets and deferred compensation;</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stock-based compensation;</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03" w:lineRule="exact"/>
        <w:rPr>
          <w:rFonts w:ascii="Arial" w:cs="Arial" w:eastAsia="Arial" w:hAnsi="Arial"/>
          <w:sz w:val="18"/>
          <w:szCs w:val="18"/>
          <w:color w:val="auto"/>
        </w:rPr>
      </w:pPr>
    </w:p>
    <w:p>
      <w:pPr>
        <w:ind w:left="1140" w:right="240" w:hanging="504"/>
        <w:spacing w:after="0" w:line="261"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currency and regulatory risks and potential additional cybersecurity and compliance risks resulting from entry into new markets;</w:t>
      </w:r>
    </w:p>
    <w:p>
      <w:pPr>
        <w:spacing w:after="0" w:line="115" w:lineRule="exact"/>
        <w:rPr>
          <w:rFonts w:ascii="Arial" w:cs="Arial" w:eastAsia="Arial" w:hAnsi="Arial"/>
          <w:sz w:val="17"/>
          <w:szCs w:val="17"/>
          <w:color w:val="auto"/>
        </w:rPr>
      </w:pPr>
    </w:p>
    <w:p>
      <w:pPr>
        <w:ind w:left="1140" w:right="260" w:hanging="504"/>
        <w:spacing w:after="0" w:line="261"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challenges by governmental authorities, including the U.S. Department of Justice, for anti- competitive or other reasons.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7" w:name="page18"/>
    <w:bookmarkEnd w:id="17"/>
    <w:p>
      <w:pPr>
        <w:ind w:right="40" w:firstLine="509"/>
        <w:spacing w:after="0" w:line="241" w:lineRule="auto"/>
        <w:rPr>
          <w:sz w:val="20"/>
          <w:szCs w:val="20"/>
          <w:color w:val="auto"/>
        </w:rPr>
      </w:pPr>
      <w:r>
        <w:rPr>
          <w:rFonts w:ascii="Arial" w:cs="Arial" w:eastAsia="Arial" w:hAnsi="Arial"/>
          <w:sz w:val="18"/>
          <w:szCs w:val="18"/>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9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3"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We have experienced, and expect to continue to experience, rapid growth, which has placed, and may continue to place, significant demands on our management and our operational and financial resources. As of December 31, 2021, we have three offices across the northeastern U.S., and as a result of the Monocl acquisition, one office in Sweden. We have experienced significant growth in headcount, with over 380 employees in 2019, over 550 employees in 2020 and over 670 employees in 2021. Additionally, we will experience immediate growth in headcount in 2022 as a result of the anticipated completion of the AW acquisition, which could also result in additional office locations in other parts of the world.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71"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72"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8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97"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89"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We are led by our CEO and founder, Jason Krantz, who plays an important role in driving our culture, determining our strategy and executing against that strategy across our business. If Mr. Krantz’s services became unavailable to us for 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8" w:name="page19"/>
    <w:bookmarkEnd w:id="18"/>
    <w:p>
      <w:pPr>
        <w:ind w:right="180"/>
        <w:spacing w:after="0" w:line="261" w:lineRule="auto"/>
        <w:rPr>
          <w:sz w:val="20"/>
          <w:szCs w:val="20"/>
          <w:color w:val="auto"/>
        </w:rPr>
      </w:pPr>
      <w:r>
        <w:rPr>
          <w:rFonts w:ascii="Arial" w:cs="Arial" w:eastAsia="Arial" w:hAnsi="Arial"/>
          <w:sz w:val="18"/>
          <w:szCs w:val="18"/>
          <w:color w:val="auto"/>
        </w:rPr>
        <w:t>reason, it may be difficult or impossible for us to find an adequate replacement, which could cause us to be less successful in maintaining our culture and developing and effectively executing on our strategies.</w:t>
      </w:r>
    </w:p>
    <w:p>
      <w:pPr>
        <w:spacing w:after="0" w:line="171"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6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80"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protect and maintain our brand, our ability to attract and retain customers will be impaired, our reputation may be harmed.</w:t>
      </w:r>
    </w:p>
    <w:p>
      <w:pPr>
        <w:spacing w:after="0" w:line="11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88" w:lineRule="exact"/>
        <w:rPr>
          <w:sz w:val="20"/>
          <w:szCs w:val="20"/>
          <w:color w:val="auto"/>
        </w:rPr>
      </w:pPr>
    </w:p>
    <w:p>
      <w:pPr>
        <w:ind w:right="280" w:firstLine="509"/>
        <w:spacing w:after="0" w:line="262"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80" w:lineRule="exact"/>
        <w:rPr>
          <w:sz w:val="20"/>
          <w:szCs w:val="20"/>
          <w:color w:val="auto"/>
        </w:rPr>
      </w:pPr>
    </w:p>
    <w:p>
      <w:pPr>
        <w:ind w:right="400"/>
        <w:spacing w:after="0" w:line="356" w:lineRule="auto"/>
        <w:rPr>
          <w:sz w:val="20"/>
          <w:szCs w:val="20"/>
          <w:color w:val="auto"/>
        </w:rPr>
      </w:pPr>
      <w:r>
        <w:rPr>
          <w:rFonts w:ascii="Arial" w:cs="Arial" w:eastAsia="Arial" w:hAnsi="Arial"/>
          <w:sz w:val="15"/>
          <w:szCs w:val="15"/>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Demand for our solutions could be affected by factors that affect the healthcare ecosystem, including:</w:t>
      </w:r>
    </w:p>
    <w:p>
      <w:pPr>
        <w:spacing w:after="0" w:line="104" w:lineRule="exact"/>
        <w:rPr>
          <w:sz w:val="20"/>
          <w:szCs w:val="20"/>
          <w:color w:val="auto"/>
        </w:rPr>
      </w:pPr>
    </w:p>
    <w:p>
      <w:pPr>
        <w:ind w:left="1140" w:hanging="504"/>
        <w:spacing w:after="0" w:line="270"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5" w:lineRule="exact"/>
        <w:rPr>
          <w:rFonts w:ascii="Arial" w:cs="Arial" w:eastAsia="Arial" w:hAnsi="Arial"/>
          <w:sz w:val="17"/>
          <w:szCs w:val="17"/>
          <w:color w:val="auto"/>
        </w:rPr>
      </w:pPr>
    </w:p>
    <w:p>
      <w:pPr>
        <w:ind w:left="1140" w:right="60" w:hanging="504"/>
        <w:spacing w:after="0" w:line="257"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9" w:name="page20"/>
    <w:bookmarkEnd w:id="19"/>
    <w:p>
      <w:pPr>
        <w:ind w:left="1140" w:right="160"/>
        <w:spacing w:after="0" w:line="262" w:lineRule="auto"/>
        <w:rPr>
          <w:sz w:val="20"/>
          <w:szCs w:val="20"/>
          <w:color w:val="auto"/>
        </w:rPr>
      </w:pPr>
      <w:r>
        <w:rPr>
          <w:rFonts w:ascii="Arial" w:cs="Arial" w:eastAsia="Arial" w:hAnsi="Arial"/>
          <w:sz w:val="17"/>
          <w:szCs w:val="17"/>
          <w:color w:val="auto"/>
        </w:rPr>
        <w:t>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64" w:lineRule="exact"/>
        <w:rPr>
          <w:sz w:val="20"/>
          <w:szCs w:val="20"/>
          <w:color w:val="auto"/>
        </w:rPr>
      </w:pPr>
    </w:p>
    <w:p>
      <w:pPr>
        <w:ind w:left="1140" w:right="260" w:hanging="504"/>
        <w:spacing w:after="0" w:line="324"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16" w:lineRule="exact"/>
        <w:rPr>
          <w:rFonts w:ascii="Arial" w:cs="Arial" w:eastAsia="Arial" w:hAnsi="Arial"/>
          <w:sz w:val="16"/>
          <w:szCs w:val="16"/>
          <w:color w:val="auto"/>
        </w:rPr>
      </w:pPr>
    </w:p>
    <w:p>
      <w:pPr>
        <w:ind w:left="1140" w:right="20" w:hanging="504"/>
        <w:spacing w:after="0" w:line="239"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82" w:lineRule="exact"/>
        <w:rPr>
          <w:rFonts w:ascii="Arial" w:cs="Arial" w:eastAsia="Arial" w:hAnsi="Arial"/>
          <w:sz w:val="18"/>
          <w:szCs w:val="18"/>
          <w:color w:val="auto"/>
        </w:rPr>
      </w:pPr>
    </w:p>
    <w:p>
      <w:pPr>
        <w:ind w:left="1140" w:right="40" w:hanging="504"/>
        <w:spacing w:after="0" w:line="259"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7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7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67" w:lineRule="exact"/>
        <w:rPr>
          <w:sz w:val="20"/>
          <w:szCs w:val="20"/>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platform;</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discretionary nature of purchase and budget cycles and decisions;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planned introductions of new intelligence modules by us or our competitors; and</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lengthy and multi-faceted purchasing approval processes.</w:t>
      </w:r>
    </w:p>
    <w:p>
      <w:pPr>
        <w:spacing w:after="0" w:line="21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Annual Report on Form 10-K. If these internally generated data prove to be inaccurate or we make errors in our assumptions based on that data, our actual market may be more limited than our estimates. In addition, these inaccuracies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 w:name="page21"/>
    <w:bookmarkEnd w:id="20"/>
    <w:p>
      <w:pPr>
        <w:ind w:right="540"/>
        <w:spacing w:after="0" w:line="261" w:lineRule="auto"/>
        <w:rPr>
          <w:sz w:val="20"/>
          <w:szCs w:val="20"/>
          <w:color w:val="auto"/>
        </w:rPr>
      </w:pPr>
      <w:r>
        <w:rPr>
          <w:rFonts w:ascii="Arial" w:cs="Arial" w:eastAsia="Arial" w:hAnsi="Arial"/>
          <w:sz w:val="18"/>
          <w:szCs w:val="18"/>
          <w:color w:val="auto"/>
        </w:rPr>
        <w:t>errors may cause us to misallocate capital and other critical business resources, which could have a material adverse effect on our business, financial condition and results of operations.</w:t>
      </w:r>
    </w:p>
    <w:p>
      <w:pPr>
        <w:spacing w:after="0" w:line="171"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affected by changes in search engine algorithms and dynamics or other traffic-generating arrangements.</w:t>
      </w:r>
    </w:p>
    <w:p>
      <w:pPr>
        <w:spacing w:after="0" w:line="115"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outside the U.S. expose us to risks inherent in international operations.</w:t>
      </w:r>
    </w:p>
    <w:p>
      <w:pPr>
        <w:spacing w:after="0" w:line="10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Our acquisition of Monocl in October 2020 and the expected completion of our acquisition of AW in 2022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1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288" w:lineRule="exact"/>
        <w:rPr>
          <w:sz w:val="20"/>
          <w:szCs w:val="20"/>
          <w:color w:val="auto"/>
        </w:rPr>
      </w:pPr>
    </w:p>
    <w:p>
      <w:pPr>
        <w:ind w:right="340"/>
        <w:spacing w:after="0" w:line="356" w:lineRule="auto"/>
        <w:rPr>
          <w:sz w:val="20"/>
          <w:szCs w:val="20"/>
          <w:color w:val="auto"/>
        </w:rPr>
      </w:pPr>
      <w:r>
        <w:rPr>
          <w:rFonts w:ascii="Arial" w:cs="Arial" w:eastAsia="Arial" w:hAnsi="Arial"/>
          <w:sz w:val="15"/>
          <w:szCs w:val="15"/>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1"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we need additional capital and cannot raise it on acceptable terms, or at all, we may not be able to, among other things:</w:t>
      </w:r>
    </w:p>
    <w:p>
      <w:pPr>
        <w:spacing w:after="0" w:line="104" w:lineRule="exact"/>
        <w:rPr>
          <w:sz w:val="20"/>
          <w:szCs w:val="20"/>
          <w:color w:val="auto"/>
        </w:rPr>
      </w:pPr>
    </w:p>
    <w:p>
      <w:pPr>
        <w:ind w:left="1140" w:hanging="50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new features, intelligence modules, updates, integrations, capabilities and enhancements;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provide synthesis of real-time data;</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ind w:left="1140" w:hanging="50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could disrupt our business and adversely affect our operating results.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w:t>
      </w:r>
    </w:p>
    <w:p>
      <w:pPr>
        <w:spacing w:after="0" w:line="67"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In February 2022, armed conflict escalated between Russia and Ukraine. The sanctions announced by the U.S. and other countries against Russia, following Russia’s invasion of Ukraine, to date include restrictions on selling or importing goods, services or technology in or from affected regions and travel bans and asset freezes impacting connected individuals and political, military, business and financial organizations in Russia. The U.S. and other countries could impose wider sanctions and take other actions should the conflict further escalate. It is not possible to predict the broader consequences of this conflict, which could include further sanctions, embargoes, regional instability, prolonged periods of higher inflation, geopolitical shifts, and adverse effects on macroeconomic conditions, currency exchange rates and financial markets, all of which could have a material adverse effect on our business, financial condition and results of operations.</w:t>
      </w:r>
    </w:p>
    <w:p>
      <w:pPr>
        <w:spacing w:after="0" w:line="29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solutions utilize open-source software, and any failure to comply with the terms of one or more of these open-source licenses could adversely affect our business.</w:t>
      </w:r>
    </w:p>
    <w:p>
      <w:pPr>
        <w:spacing w:after="0" w:line="63"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 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75"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 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28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Risks Related to Data Privacy and Cybersecurity</w:t>
      </w:r>
    </w:p>
    <w:p>
      <w:pPr>
        <w:spacing w:after="0" w:line="108"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b w:val="1"/>
          <w:bCs w:val="1"/>
          <w:i w:val="1"/>
          <w:iCs w:val="1"/>
          <w:color w:val="auto"/>
        </w:rPr>
        <w:t>Cyber-attacks and security vulnerabilities could have a material adverse effect on our reputation, business, financial condition and results of operations.</w:t>
      </w:r>
    </w:p>
    <w:p>
      <w:pPr>
        <w:spacing w:after="0" w:line="6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91" w:lineRule="exact"/>
        <w:rPr>
          <w:sz w:val="20"/>
          <w:szCs w:val="20"/>
          <w:color w:val="auto"/>
        </w:rPr>
      </w:pPr>
    </w:p>
    <w:p>
      <w:pPr>
        <w:ind w:right="60" w:firstLine="509"/>
        <w:spacing w:after="0" w:line="267" w:lineRule="auto"/>
        <w:rPr>
          <w:sz w:val="20"/>
          <w:szCs w:val="20"/>
          <w:color w:val="auto"/>
        </w:rPr>
      </w:pPr>
      <w:r>
        <w:rPr>
          <w:rFonts w:ascii="Arial" w:cs="Arial" w:eastAsia="Arial" w:hAnsi="Arial"/>
          <w:sz w:val="16"/>
          <w:szCs w:val="16"/>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79"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5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3" w:name="page24"/>
    <w:bookmarkEnd w:id="23"/>
    <w:p>
      <w:pPr>
        <w:ind w:right="280"/>
        <w:spacing w:after="0"/>
        <w:rPr>
          <w:sz w:val="20"/>
          <w:szCs w:val="20"/>
          <w:color w:val="auto"/>
        </w:rPr>
      </w:pPr>
      <w:r>
        <w:rPr>
          <w:rFonts w:ascii="Arial" w:cs="Arial" w:eastAsia="Arial" w:hAnsi="Arial"/>
          <w:sz w:val="18"/>
          <w:szCs w:val="18"/>
          <w:color w:val="auto"/>
        </w:rPr>
        <w:t>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89"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70"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39"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customers use our solutions to understand and navigate the healthcare ecosystem. The collection, processing, retention, security, transfer and disclosure of personal information are subject to a variety of laws and regulations in the United States and abroad that govern data privacy and security (collectively, “Privacy Laws”), 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86"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9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w:t>
      </w:r>
    </w:p>
    <w:p>
      <w:pPr>
        <w:spacing w:after="0" w:line="19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ind w:firstLine="509"/>
        <w:spacing w:after="0" w:line="239" w:lineRule="auto"/>
        <w:rPr>
          <w:sz w:val="20"/>
          <w:szCs w:val="20"/>
          <w:color w:val="auto"/>
        </w:rPr>
      </w:pPr>
      <w:r>
        <w:rPr>
          <w:rFonts w:ascii="Arial" w:cs="Arial" w:eastAsia="Arial" w:hAnsi="Arial"/>
          <w:sz w:val="18"/>
          <w:szCs w:val="18"/>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and its implementation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91" w:lineRule="exact"/>
        <w:rPr>
          <w:sz w:val="20"/>
          <w:szCs w:val="20"/>
          <w:color w:val="auto"/>
        </w:rPr>
      </w:pPr>
    </w:p>
    <w:p>
      <w:pPr>
        <w:ind w:right="140" w:firstLine="509"/>
        <w:spacing w:after="0" w:line="252" w:lineRule="auto"/>
        <w:rPr>
          <w:sz w:val="20"/>
          <w:szCs w:val="20"/>
          <w:color w:val="auto"/>
        </w:rPr>
      </w:pPr>
      <w:r>
        <w:rPr>
          <w:rFonts w:ascii="Arial" w:cs="Arial" w:eastAsia="Arial" w:hAnsi="Arial"/>
          <w:sz w:val="17"/>
          <w:szCs w:val="17"/>
          <w:color w:val="auto"/>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8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 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89"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75"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California Privacy Rights Act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8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We may also be subject to international Privacy Laws such as the European Union’s (the “EU”) General Data Protection Regulation (“GDPR”), the UK Data Protection Act 2018, Canada’s Personal Information Protection and Electronic Documents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Act and other international data protection, privacy, data security, data localization and similar national, state/provincial and local laws. The GDPR imposes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stringent operational requirements on “controllers” and “processors” of personal data, including, for example, requiring enhanced disclosures to data</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subjects about how personal data is processed, limiting retention periods of personal data, requiring mandatory data breach notification, requiring certain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record keeping and risk assessment obligations, and requiring additional policies and procedures. In addition, data subjects have more robust rights with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regard to their personal data. Personal data, as defined under the GDPR, of medical experts or professionals in the EU is principally processed by our EU</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subsidiary, Monocl AB. Because our EU subsidiary operates under a Swedish publishing certificate issued in accordance with Swedish national law, such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processing of personal data by our EU subsidiary falls within the scope of Article 85 GDPR and is exempt from certain core provisions of the GDPR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including, but not limited to, requirements relating to the rights of the data subject (Chapter II) and the transfer of personal data to third countries or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international organizations (Chapter V). Notwithstanding such exemption, we may from time to time receive data subject requests that we may deny 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decline to respond to in reliance on Article 85, which may lead data subjects to lodge complaints with data protection authorities. There is a possibility that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such data protection authorities could disagree with Monocl AB’s reliance on Article 85. The GDPR treats health information as a “special category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personal data,” subject to heightened requirements, including that such information typically cannot be collected, used, or disclosed without explicit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consent. Neither we nor our EU subsidiary, which principally processes EU personal data, currently process such health information. Companies that must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comply with the GDPR face increased compliance obligations and risk, including more robust regulatory enforcement of data protection requirements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potential fines for noncompliance of up to €20 million or 4% of the annual global revenues of the noncompliant company, whichever is greater. Further,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from January 1, 2021, companies have to comply with the GDPR and also the United Kingdom (“UK”) GDPR, which, together with the amended UK Data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Protection Act 2018, retains the GDPR in UK national law. The UK GDPR mirrors the fines under the GDPR, i.e., fines up to the greater of €20 million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(£17.5 million) or 4% of global turnover. The relationship between the UK and the EU in relation to certain aspects of data protection law remains unclear,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and it is unclear how UK data protection laws and regulations will develop in the medium to longer term. The European Commission has adopted an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adequacy decision in favor of the UK, enabling data transfers from EU member states to the UK without additional safeguards. However, the UK adequacy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decision will automatically expire in June 2025 unless the European Commission re-assesses and renews/extends that decision.</w:t>
      </w:r>
    </w:p>
    <w:p>
      <w:pPr>
        <w:spacing w:after="0" w:line="196"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Additionally, we are subject to laws, rules, and regulations (including under the GDPR) regarding cross- 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Customers expect that our solutions can be used in compliance with data protection and data Privacy Laws and regulations. The functional and operational requirements and costs of compliance with such laws and 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 affect our customers’ ability or desire to collect, use, process, store and disclose personal information and health data using our solutions, or to license data products from us, which could reduce demand for our solutions.</w:t>
      </w:r>
    </w:p>
    <w:p>
      <w:pPr>
        <w:spacing w:after="0" w:line="18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6" w:name="page27"/>
    <w:bookmarkEnd w:id="26"/>
    <w:p>
      <w:pPr>
        <w:ind w:right="460"/>
        <w:spacing w:after="0" w:line="261" w:lineRule="auto"/>
        <w:rPr>
          <w:sz w:val="20"/>
          <w:szCs w:val="20"/>
          <w:color w:val="auto"/>
        </w:rPr>
      </w:pPr>
      <w:r>
        <w:rPr>
          <w:rFonts w:ascii="Arial" w:cs="Arial" w:eastAsia="Arial" w:hAnsi="Arial"/>
          <w:sz w:val="18"/>
          <w:szCs w:val="18"/>
          <w:color w:val="auto"/>
        </w:rPr>
        <w:t>other things, regulatory sanctions, criminal prosecution, civil liability, negative publicity, damage to our reputation, or data being blocked from use or liability under contractual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08"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6"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59"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63" w:lineRule="exact"/>
        <w:rPr>
          <w:sz w:val="20"/>
          <w:szCs w:val="20"/>
          <w:color w:val="auto"/>
        </w:rPr>
      </w:pPr>
    </w:p>
    <w:p>
      <w:pPr>
        <w:ind w:right="100"/>
        <w:spacing w:after="0" w:line="356" w:lineRule="auto"/>
        <w:rPr>
          <w:sz w:val="20"/>
          <w:szCs w:val="20"/>
          <w:color w:val="auto"/>
        </w:rPr>
      </w:pPr>
      <w:r>
        <w:rPr>
          <w:rFonts w:ascii="Arial" w:cs="Arial" w:eastAsia="Arial" w:hAnsi="Arial"/>
          <w:sz w:val="15"/>
          <w:szCs w:val="15"/>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 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170"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7" w:name="page28"/>
    <w:bookmarkEnd w:id="27"/>
    <w:p>
      <w:pPr>
        <w:ind w:right="360"/>
        <w:spacing w:after="0" w:line="261" w:lineRule="auto"/>
        <w:rPr>
          <w:sz w:val="20"/>
          <w:szCs w:val="20"/>
          <w:color w:val="auto"/>
        </w:rPr>
      </w:pPr>
      <w:r>
        <w:rPr>
          <w:rFonts w:ascii="Arial" w:cs="Arial" w:eastAsia="Arial" w:hAnsi="Arial"/>
          <w:sz w:val="18"/>
          <w:szCs w:val="18"/>
          <w:color w:val="auto"/>
        </w:rPr>
        <w:t>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claims brought by our customers, which could be costly and time consuming to defend.</w:t>
      </w:r>
    </w:p>
    <w:p>
      <w:pPr>
        <w:spacing w:after="0" w:line="10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8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3"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p>
    <w:p>
      <w:pPr>
        <w:spacing w:after="0" w:line="180"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In addition, we may be required to spend significant resources to monitor and protect our contractual, intellectual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0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74" w:lineRule="exact"/>
        <w:rPr>
          <w:sz w:val="20"/>
          <w:szCs w:val="20"/>
          <w:color w:val="auto"/>
        </w:rPr>
      </w:pPr>
    </w:p>
    <w:p>
      <w:pPr>
        <w:ind w:right="720" w:firstLine="509"/>
        <w:spacing w:after="0" w:line="291" w:lineRule="auto"/>
        <w:rPr>
          <w:sz w:val="20"/>
          <w:szCs w:val="20"/>
          <w:color w:val="auto"/>
        </w:rPr>
      </w:pPr>
      <w:r>
        <w:rPr>
          <w:rFonts w:ascii="Arial" w:cs="Arial" w:eastAsia="Arial" w:hAnsi="Arial"/>
          <w:sz w:val="17"/>
          <w:szCs w:val="17"/>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legal liability for collecting, displaying or distributing information.</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proprietary and intellectual property rights in our data analytics or data science.</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8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8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86"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by others that we are infringing on their intellectual property rights.</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9" w:name="page30"/>
    <w:bookmarkEnd w:id="29"/>
    <w:p>
      <w:pPr>
        <w:ind w:right="240"/>
        <w:spacing w:after="0" w:line="261" w:lineRule="auto"/>
        <w:rPr>
          <w:sz w:val="20"/>
          <w:szCs w:val="20"/>
          <w:color w:val="auto"/>
        </w:rPr>
      </w:pPr>
      <w:r>
        <w:rPr>
          <w:rFonts w:ascii="Arial" w:cs="Arial" w:eastAsia="Arial" w:hAnsi="Arial"/>
          <w:sz w:val="18"/>
          <w:szCs w:val="18"/>
          <w:color w:val="auto"/>
        </w:rPr>
        <w:t>period of time there may currently be pending applications, unknown to us, that later result in issued patents that could cover one or more aspects of our technology and services.</w:t>
      </w:r>
    </w:p>
    <w:p>
      <w:pPr>
        <w:spacing w:after="0" w:line="171"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Third parties may assert claims that we or our customers infringe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80"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adversely impacted by changes in laws and regulations related to the Internet or changes in access to the Internet generally.</w:t>
      </w:r>
    </w:p>
    <w:p>
      <w:pPr>
        <w:spacing w:after="0" w:line="138"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6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61"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Certain Tax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04"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will be subject to taxes in the U.S. and certain foreign jurisdictions. Due to economic and political conditions, tax rates in various jurisdictions, including the U.S., may be subject to change. In particular, there are current proposals from the president and Congress in the U.S., which if enacted,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0" w:name="page31"/>
    <w:bookmarkEnd w:id="30"/>
    <w:p>
      <w:pPr>
        <w:ind w:right="240"/>
        <w:spacing w:after="0" w:line="261" w:lineRule="auto"/>
        <w:rPr>
          <w:sz w:val="20"/>
          <w:szCs w:val="20"/>
          <w:color w:val="auto"/>
        </w:rPr>
      </w:pPr>
      <w:r>
        <w:rPr>
          <w:rFonts w:ascii="Arial" w:cs="Arial" w:eastAsia="Arial" w:hAnsi="Arial"/>
          <w:sz w:val="18"/>
          <w:szCs w:val="18"/>
          <w:color w:val="auto"/>
        </w:rPr>
        <w:t>changes in the mix of earnings in countries with differing statutory tax rates, changes in the valuation of deferred tax assets and liabilities and changes in tax laws or their interpretation.</w:t>
      </w:r>
    </w:p>
    <w:p>
      <w:pPr>
        <w:spacing w:after="0" w:line="17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3"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68"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28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80"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Accounting and Financial Reporting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change in deferred revenue may not be accurate indicators of our future financial results.</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annualized value of some customer subscriptions may not be completely reflected in deferred revenue at any single point in time. We may agree to allow customers to change the renewal dates of their orders to, for example, align more closely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right="60"/>
        <w:spacing w:after="0" w:line="274" w:lineRule="auto"/>
        <w:rPr>
          <w:sz w:val="20"/>
          <w:szCs w:val="20"/>
          <w:color w:val="auto"/>
        </w:rPr>
      </w:pPr>
      <w:r>
        <w:rPr>
          <w:rFonts w:ascii="Arial" w:cs="Arial" w:eastAsia="Arial" w:hAnsi="Arial"/>
          <w:sz w:val="16"/>
          <w:szCs w:val="16"/>
          <w:color w:val="auto"/>
        </w:rPr>
        <w:t>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7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3"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15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balances and may not use them effectively.</w:t>
      </w:r>
    </w:p>
    <w:p>
      <w:pPr>
        <w:spacing w:after="0" w:line="104" w:lineRule="exact"/>
        <w:rPr>
          <w:sz w:val="20"/>
          <w:szCs w:val="20"/>
          <w:color w:val="auto"/>
        </w:rPr>
      </w:pPr>
    </w:p>
    <w:p>
      <w:pPr>
        <w:ind w:right="360" w:firstLine="509"/>
        <w:spacing w:after="0" w:line="243" w:lineRule="auto"/>
        <w:rPr>
          <w:sz w:val="20"/>
          <w:szCs w:val="20"/>
          <w:color w:val="auto"/>
        </w:rPr>
      </w:pPr>
      <w:r>
        <w:rPr>
          <w:rFonts w:ascii="Arial" w:cs="Arial" w:eastAsia="Arial" w:hAnsi="Arial"/>
          <w:sz w:val="18"/>
          <w:szCs w:val="18"/>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9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as of December 31, 2021 and 2020, and intangible assets, net of $352.5 million and $410.2 million as of December 31, 2021 and 2020, respectively.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63" w:lineRule="exact"/>
        <w:rPr>
          <w:sz w:val="20"/>
          <w:szCs w:val="20"/>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2" w:name="page33"/>
    <w:bookmarkEnd w:id="32"/>
    <w:p>
      <w:pPr>
        <w:ind w:right="440" w:firstLine="509"/>
        <w:spacing w:after="0" w:line="270" w:lineRule="auto"/>
        <w:rPr>
          <w:sz w:val="20"/>
          <w:szCs w:val="20"/>
          <w:color w:val="auto"/>
        </w:rPr>
      </w:pPr>
      <w:r>
        <w:rPr>
          <w:rFonts w:ascii="Arial" w:cs="Arial" w:eastAsia="Arial" w:hAnsi="Arial"/>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secure sufficient additional financing on favorable terms, or at all, to meet our future capital needs.</w:t>
      </w:r>
    </w:p>
    <w:p>
      <w:pPr>
        <w:spacing w:after="0" w:line="10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default under our debt agreements could have significant consequences.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Credit Agreement contains covenants imposing certain restrictions on our business. These restrictions may affect our ability to operate our business and may limit our ability to take advantage of potential business opportunities as they arise. The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commencing on the last day of the fiscal quarter ended December 31, 2021, maintain a maximum total leverage ratio.</w:t>
      </w:r>
    </w:p>
    <w:p>
      <w:pPr>
        <w:spacing w:after="0" w:line="191" w:lineRule="exact"/>
        <w:rPr>
          <w:sz w:val="20"/>
          <w:szCs w:val="20"/>
          <w:color w:val="auto"/>
        </w:rPr>
      </w:pPr>
    </w:p>
    <w:p>
      <w:pPr>
        <w:ind w:right="400" w:firstLine="509"/>
        <w:spacing w:after="0"/>
        <w:rPr>
          <w:sz w:val="20"/>
          <w:szCs w:val="20"/>
          <w:color w:val="auto"/>
        </w:rPr>
      </w:pPr>
      <w:r>
        <w:rPr>
          <w:rFonts w:ascii="Arial" w:cs="Arial" w:eastAsia="Arial" w:hAnsi="Arial"/>
          <w:sz w:val="18"/>
          <w:szCs w:val="18"/>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Bank of America, N.A.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impacted by the potential discontinuation of the London Interbank Offered Rate (“LIBOR”).</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recommended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If LIBOR is discontinued and no agreement on its replacement is reached, the loans under our Credit Agreement will use alternate base rate (“ABR”) as a reference rate.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indebtedness could have a material adverse effect on our business, financial condition and results of operations.</w:t>
      </w:r>
    </w:p>
    <w:p>
      <w:pPr>
        <w:spacing w:after="0" w:line="10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total principal amount of debt outstanding, excluding unamortized debt issuance costs, under the 2021 Credit Agreement as of December 31, 2021 was $273.3 million. The loans under the 2019 Credit Agreement were repaid and the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2019 Credit Agreement was terminated on September 17, 2021 in connection with the IPO Transactions and the Credit Agreement.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indebtedness could have significant effects on our business, such as:</w:t>
      </w:r>
    </w:p>
    <w:p>
      <w:pPr>
        <w:spacing w:after="0" w:line="104" w:lineRule="exact"/>
        <w:rPr>
          <w:sz w:val="20"/>
          <w:szCs w:val="20"/>
          <w:color w:val="auto"/>
        </w:rPr>
      </w:pPr>
    </w:p>
    <w:p>
      <w:pPr>
        <w:ind w:left="1140" w:right="120" w:hanging="504"/>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acquisitions, debt service requirements, execution of our growth strategy, capital expenditures and other purposes;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26" w:lineRule="exact"/>
        <w:rPr>
          <w:rFonts w:ascii="Arial" w:cs="Arial" w:eastAsia="Arial" w:hAnsi="Arial"/>
          <w:sz w:val="16"/>
          <w:szCs w:val="16"/>
          <w:color w:val="auto"/>
        </w:rPr>
      </w:pPr>
    </w:p>
    <w:p>
      <w:pPr>
        <w:ind w:left="1140" w:hanging="504"/>
        <w:spacing w:after="0" w:line="248"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73" w:lineRule="exact"/>
        <w:rPr>
          <w:rFonts w:ascii="Arial" w:cs="Arial" w:eastAsia="Arial" w:hAnsi="Arial"/>
          <w:sz w:val="18"/>
          <w:szCs w:val="18"/>
          <w:color w:val="auto"/>
        </w:rPr>
      </w:pPr>
    </w:p>
    <w:p>
      <w:pPr>
        <w:ind w:left="1140" w:right="120" w:hanging="504"/>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03" w:lineRule="exact"/>
        <w:rPr>
          <w:rFonts w:ascii="Arial" w:cs="Arial" w:eastAsia="Arial" w:hAnsi="Arial"/>
          <w:sz w:val="18"/>
          <w:szCs w:val="18"/>
          <w:color w:val="auto"/>
        </w:rPr>
      </w:pPr>
    </w:p>
    <w:p>
      <w:pPr>
        <w:ind w:left="1140" w:right="440" w:hanging="504"/>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89"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Pursuant to our Credit Agreement, we are required to maintain, commencing on the last day of the fiscal quarter ending December 31, 2021,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9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08" w:lineRule="exact"/>
        <w:rPr>
          <w:sz w:val="20"/>
          <w:szCs w:val="20"/>
          <w:color w:val="auto"/>
        </w:rPr>
      </w:pPr>
    </w:p>
    <w:p>
      <w:pPr>
        <w:ind w:right="240"/>
        <w:spacing w:after="0" w:line="356" w:lineRule="auto"/>
        <w:rPr>
          <w:sz w:val="20"/>
          <w:szCs w:val="20"/>
          <w:color w:val="auto"/>
        </w:rPr>
      </w:pPr>
      <w:r>
        <w:rPr>
          <w:rFonts w:ascii="Arial" w:cs="Arial" w:eastAsia="Arial" w:hAnsi="Arial"/>
          <w:sz w:val="15"/>
          <w:szCs w:val="15"/>
          <w:b w:val="1"/>
          <w:bCs w:val="1"/>
          <w:i w:val="1"/>
          <w:iCs w:val="1"/>
          <w:color w:val="auto"/>
        </w:rPr>
        <w:t>We are a holding company and our principal asset is our 63.6% ownership interest in Definitive OpCo, and we are accordingly dependent upon distributions from Definitive OpCo to pay dividends, if any, and taxes, make payments under the Tax Receivable Agreement and pay other expenses.</w:t>
      </w:r>
    </w:p>
    <w:p>
      <w:pPr>
        <w:spacing w:after="0" w:line="1"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We are a holding company and our principal asset is our ownership of 63.6% of the outstanding LLC Units (as of December 31, 2021), exclusive of unvested LLC Units. We have no independent means of generating revenue. Definitive OpCo is, and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to Unitholders, including us. Accordingly, we incur income taxes on our allocable share of any taxable income of Definitive OpCo. We also incur expenses related to our operations, and have</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4" w:name="page35"/>
    <w:bookmarkEnd w:id="34"/>
    <w:p>
      <w:pPr>
        <w:spacing w:after="0" w:line="241" w:lineRule="auto"/>
        <w:rPr>
          <w:sz w:val="20"/>
          <w:szCs w:val="20"/>
          <w:color w:val="auto"/>
        </w:rPr>
      </w:pPr>
      <w:r>
        <w:rPr>
          <w:rFonts w:ascii="Arial" w:cs="Arial" w:eastAsia="Arial" w:hAnsi="Arial"/>
          <w:sz w:val="18"/>
          <w:szCs w:val="18"/>
          <w:color w:val="auto"/>
        </w:rPr>
        <w:t>obligations to make payments under the Tax Receivable Agreement. As the sole managing member of Definitive OpCo, we will cause Definitive OpCo to make distributions to the holders of LLC Units (including us) in amounts sufficient to (i) cover all of the income taxes payable on our and the other LLC Unit holders’ respective allocable shares of the taxable income of Definitive OpCo, (ii) allow us to make any payments required under the Tax Receivable Agreement, (iii) fund dividends to our stockholders in accordance with our dividend policy, to the extent that our board of directors declares such dividends and (iv) pay our expenses.</w:t>
      </w:r>
    </w:p>
    <w:p>
      <w:pPr>
        <w:spacing w:after="0" w:line="18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9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3"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an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w:t>
      </w:r>
    </w:p>
    <w:p>
      <w:pPr>
        <w:spacing w:after="0" w:line="28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The Tax Receivable Agreement with the TRA Parties requires us to make cash payments to them in respect of certain tax benefits to which we may become entitled, and we expect that the payments we are required to make will be substantial.</w:t>
      </w:r>
    </w:p>
    <w:p>
      <w:pPr>
        <w:spacing w:after="0" w:line="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Under the Tax Receivable Agreement, we are required to make cash payments to the TRA Parties equal to 85% of the tax benefits, if any, that we actually realize, or in certain circumstances are deemed to realize, as a result of (i) certain favorable tax attributes we acquired from the Blocker Companies, (ii) tax basis adjustments resulting from (a) acquisitions by us of LLC Units from existing holders and (b) future exchanges of LLC Units by Unitholders for Class A Common Stock or other consideration and (iii) certain payments made under the Tax Receivable Agreement. The payment obligations under the Tax Receivable Agreement are obligations of the Company and we expect that the amount of the cash payments that we are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27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63" w:lineRule="exact"/>
        <w:rPr>
          <w:sz w:val="20"/>
          <w:szCs w:val="20"/>
          <w:color w:val="auto"/>
        </w:rPr>
      </w:pPr>
    </w:p>
    <w:p>
      <w:pPr>
        <w:ind w:right="500" w:firstLine="509"/>
        <w:spacing w:after="0" w:line="243" w:lineRule="auto"/>
        <w:rPr>
          <w:sz w:val="20"/>
          <w:szCs w:val="20"/>
          <w:color w:val="auto"/>
        </w:rPr>
      </w:pPr>
      <w:r>
        <w:rPr>
          <w:rFonts w:ascii="Arial" w:cs="Arial" w:eastAsia="Arial" w:hAnsi="Arial"/>
          <w:sz w:val="18"/>
          <w:szCs w:val="18"/>
          <w:color w:val="auto"/>
        </w:rPr>
        <w:t>Our organizational structure, including the Tax Receivable Agreement, confers certain benefits upon the TRA Parties that will not benefit the holders of our Class A Common Stock to the same extent that it will benefit the TRA Parties. We entered into the Tax Receivable Agreement with Definitive OpCo and the TRA Parties, which provides for the payment by us to the TRA Parties of 85% of the amount of tax benefits, if any, that we actually realize, or in certain circumstances are deemed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ind w:right="300"/>
        <w:spacing w:after="0" w:line="262" w:lineRule="auto"/>
        <w:rPr>
          <w:sz w:val="20"/>
          <w:szCs w:val="20"/>
          <w:color w:val="auto"/>
        </w:rPr>
      </w:pPr>
      <w:r>
        <w:rPr>
          <w:rFonts w:ascii="Arial" w:cs="Arial" w:eastAsia="Arial" w:hAnsi="Arial"/>
          <w:sz w:val="17"/>
          <w:szCs w:val="17"/>
          <w:color w:val="auto"/>
        </w:rPr>
        <w:t>to realize, as a result of (i) certain favorable tax attributes we acquired from the Blocker Companies, (ii) tax basis adjustments resulting from (a) acquisitions by us of LLC Units from existing holders and (b) future exchanges of LLC Units by Unitholders for Class A Common Stock or other consideration and (iii) certain payments made under the Tax Receivable Agreement. Although we hold 15% of the amount of such tax benefits, this and other aspects of our organizational structure may adversely impact the future trading market for our Class A Common Stock.</w:t>
      </w:r>
    </w:p>
    <w:p>
      <w:pPr>
        <w:spacing w:after="0" w:line="28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163"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83"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39"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8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 in the event that any tax benefits are disallowed.</w:t>
      </w:r>
    </w:p>
    <w:p>
      <w:pPr>
        <w:spacing w:after="0" w:line="63"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spacing w:after="0" w:line="261" w:lineRule="auto"/>
        <w:rPr>
          <w:sz w:val="20"/>
          <w:szCs w:val="20"/>
          <w:color w:val="auto"/>
        </w:rPr>
      </w:pPr>
      <w:r>
        <w:rPr>
          <w:rFonts w:ascii="Arial" w:cs="Arial" w:eastAsia="Arial" w:hAnsi="Arial"/>
          <w:sz w:val="18"/>
          <w:szCs w:val="18"/>
          <w:color w:val="auto"/>
        </w:rPr>
        <w:t>payments made under the Tax Receivable Agreement could be significantly in excess of any tax savings that we realize from the tax attributes could be that are the subject of the Tax Receivable Agreement</w:t>
      </w:r>
    </w:p>
    <w:p>
      <w:pPr>
        <w:spacing w:after="0" w:line="279"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4"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As the sole managing member of Definitive OpCo, we control and operate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offerings of debt or equity securities by us may have a material adverse effect on the market price of our Class A Common Stock.</w:t>
      </w:r>
    </w:p>
    <w:p>
      <w:pPr>
        <w:spacing w:after="0" w:line="11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directors and stockholders will not have any obligation to present business opportunities to us and may compete with us.</w:t>
      </w:r>
    </w:p>
    <w:p>
      <w:pPr>
        <w:spacing w:after="0" w:line="115"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Our amended and restated certificate of incorporation provides that our directors and stockholders affiliated with Advent, Spectrum Equity and 22C Capital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7" w:name="page38"/>
    <w:bookmarkEnd w:id="37"/>
    <w:p>
      <w:pPr>
        <w:ind w:right="20" w:firstLine="509"/>
        <w:spacing w:after="0" w:line="241" w:lineRule="auto"/>
        <w:rPr>
          <w:sz w:val="20"/>
          <w:szCs w:val="20"/>
          <w:color w:val="auto"/>
        </w:rPr>
      </w:pPr>
      <w:r>
        <w:rPr>
          <w:rFonts w:ascii="Arial" w:cs="Arial" w:eastAsia="Arial" w:hAnsi="Arial"/>
          <w:sz w:val="18"/>
          <w:szCs w:val="18"/>
          <w:color w:val="auto"/>
        </w:rPr>
        <w:t>As a result, our directors and stockholders affiliated with Advent, Spectrum Equity and 22C Capital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dividends on our Class A Common Stock in the foreseeable future.</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w:t>
      </w:r>
    </w:p>
    <w:p>
      <w:pPr>
        <w:spacing w:after="0" w:line="296" w:lineRule="exact"/>
        <w:rPr>
          <w:sz w:val="20"/>
          <w:szCs w:val="20"/>
          <w:color w:val="auto"/>
        </w:rPr>
      </w:pPr>
    </w:p>
    <w:p>
      <w:pPr>
        <w:ind w:right="680"/>
        <w:spacing w:after="0" w:line="291" w:lineRule="auto"/>
        <w:rPr>
          <w:sz w:val="20"/>
          <w:szCs w:val="20"/>
          <w:color w:val="auto"/>
        </w:rPr>
      </w:pPr>
      <w:r>
        <w:rPr>
          <w:rFonts w:ascii="Arial" w:cs="Arial" w:eastAsia="Arial" w:hAnsi="Arial"/>
          <w:sz w:val="17"/>
          <w:szCs w:val="17"/>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3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publish inaccurate or unfavorable research about our business, our stock price and trading volume could decline.</w:t>
      </w:r>
    </w:p>
    <w:p>
      <w:pPr>
        <w:spacing w:after="0" w:line="127"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The trading market for our Class A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w:t>
      </w:r>
    </w:p>
    <w:p>
      <w:pPr>
        <w:spacing w:after="0" w:line="26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3"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Shares of our Class A Common Stock may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81" w:lineRule="exact"/>
        <w:rPr>
          <w:sz w:val="20"/>
          <w:szCs w:val="20"/>
          <w:color w:val="auto"/>
        </w:rPr>
      </w:pPr>
    </w:p>
    <w:p>
      <w:pPr>
        <w:ind w:left="1140" w:hanging="50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w:t>
      </w:r>
    </w:p>
    <w:p>
      <w:pPr>
        <w:spacing w:after="0" w:line="103" w:lineRule="exact"/>
        <w:rPr>
          <w:rFonts w:ascii="Arial" w:cs="Arial" w:eastAsia="Arial" w:hAnsi="Arial"/>
          <w:sz w:val="18"/>
          <w:szCs w:val="18"/>
          <w:color w:val="auto"/>
        </w:rPr>
      </w:pPr>
    </w:p>
    <w:p>
      <w:pPr>
        <w:ind w:left="1140" w:right="100" w:hanging="504"/>
        <w:spacing w:after="0" w:line="261"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results of operations and those expected by investors and analysts;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contents of published research reports about us or our industry or the failure of securities analysts to cover our Class A Common Stock;</w:t>
      </w:r>
    </w:p>
    <w:p>
      <w:pPr>
        <w:spacing w:after="0" w:line="126" w:lineRule="exact"/>
        <w:rPr>
          <w:rFonts w:ascii="Arial" w:cs="Arial" w:eastAsia="Arial" w:hAnsi="Arial"/>
          <w:sz w:val="16"/>
          <w:szCs w:val="16"/>
          <w:color w:val="auto"/>
        </w:rPr>
      </w:pPr>
    </w:p>
    <w:p>
      <w:pPr>
        <w:ind w:left="1140" w:hanging="50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8" w:name="page39"/>
    <w:bookmarkEnd w:id="38"/>
    <w:p>
      <w:pPr>
        <w:ind w:left="1140" w:hanging="50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03" w:lineRule="exact"/>
        <w:rPr>
          <w:rFonts w:ascii="Arial" w:cs="Arial" w:eastAsia="Arial" w:hAnsi="Arial"/>
          <w:sz w:val="18"/>
          <w:szCs w:val="18"/>
          <w:color w:val="auto"/>
        </w:rPr>
      </w:pPr>
    </w:p>
    <w:p>
      <w:pPr>
        <w:ind w:left="1140" w:right="120" w:hanging="504"/>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212"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6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The market price of our Class A Common Stock could be negatively affected by sales of substantial amounts of our Class A Common Stock in the public markets.</w:t>
      </w:r>
    </w:p>
    <w:p>
      <w:pPr>
        <w:spacing w:after="0" w:line="6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As of December 31, 2021, approximately 64.4% of our outstanding Class A Common Stock are indirectly beneficially owned by Advent, and can be resold into the public markets in the future in accordance with the requirements of Rule 144.</w:t>
      </w:r>
    </w:p>
    <w:p>
      <w:pPr>
        <w:spacing w:after="0" w:line="171" w:lineRule="exact"/>
        <w:rPr>
          <w:sz w:val="20"/>
          <w:szCs w:val="20"/>
          <w:color w:val="auto"/>
        </w:rPr>
      </w:pPr>
    </w:p>
    <w:p>
      <w:pPr>
        <w:jc w:val="both"/>
        <w:ind w:right="540" w:firstLine="509"/>
        <w:spacing w:after="0" w:line="243" w:lineRule="auto"/>
        <w:rPr>
          <w:sz w:val="20"/>
          <w:szCs w:val="20"/>
          <w:color w:val="auto"/>
        </w:rPr>
      </w:pPr>
      <w:r>
        <w:rPr>
          <w:rFonts w:ascii="Arial" w:cs="Arial" w:eastAsia="Arial" w:hAnsi="Arial"/>
          <w:sz w:val="18"/>
          <w:szCs w:val="18"/>
          <w:color w:val="auto"/>
        </w:rPr>
        <w:t>In connection with our IPO, we and our officers, directors and holders of substantially all of our outstanding capital stock and other securities agreed, subject to specified exceptions, including an exception granted by Goldman Sachs &amp; Co. LLC and J.P. Morgan Securities LLC to permit the participation in the synthetic secondary by certain of our stockholders, unitholders, Sponsors, officers, directors and their affiliates, not to directly or indirectly:</w:t>
      </w:r>
    </w:p>
    <w:p>
      <w:pPr>
        <w:spacing w:after="0" w:line="80" w:lineRule="exact"/>
        <w:rPr>
          <w:sz w:val="20"/>
          <w:szCs w:val="20"/>
          <w:color w:val="auto"/>
        </w:rPr>
      </w:pPr>
    </w:p>
    <w:p>
      <w:pPr>
        <w:ind w:left="1140" w:right="80" w:hanging="504"/>
        <w:spacing w:after="0" w:line="261"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Exchange Act,</w:t>
      </w:r>
    </w:p>
    <w:p>
      <w:pPr>
        <w:spacing w:after="0" w:line="62" w:lineRule="exact"/>
        <w:rPr>
          <w:rFonts w:ascii="Arial" w:cs="Arial" w:eastAsia="Arial" w:hAnsi="Arial"/>
          <w:sz w:val="18"/>
          <w:szCs w:val="18"/>
          <w:color w:val="auto"/>
        </w:rPr>
      </w:pPr>
    </w:p>
    <w:p>
      <w:pPr>
        <w:ind w:left="1140" w:right="160" w:hanging="504"/>
        <w:spacing w:after="0" w:line="243"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dispose of any shares of Class A Common Stock, options or warrants to acquire shares of Class A Common Stock, or securities exchangeable or exercisable for or convertible into shares of Class A Common Stock currently or hereafter owned either of record or beneficially, or publicly announce an intention to do any of the foregoing through March 13, 2022 without the prior written consent of the representatives of the underwriters.</w:t>
      </w:r>
    </w:p>
    <w:p>
      <w:pPr>
        <w:spacing w:after="0" w:line="188"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This restriction terminates after the close of trading of the Class A Common Stock on and including March 13, 2022. Goldman Sachs &amp; Co. LLC and J.P. Morgan Securities LLC may, in their sole discretion and at any time or from time to time before the termination of such restriction, release all or any portion of the securities subject to such agreements.</w:t>
      </w:r>
    </w:p>
    <w:p>
      <w:pPr>
        <w:spacing w:after="0" w:line="182"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290"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The future issuance of additional Class A Common Stock in connection with any equity plans, acquisitions or otherwise will dilute all other stockholdings.</w:t>
      </w:r>
    </w:p>
    <w:p>
      <w:pPr>
        <w:spacing w:after="0" w:line="63"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As of December 31, 2021, we had an aggregate of 492,482,693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owners of our Class A Common Stock.</w:t>
      </w:r>
    </w:p>
    <w:p>
      <w:pPr>
        <w:spacing w:after="0" w:line="28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6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right="20"/>
        <w:spacing w:after="0" w:line="239" w:lineRule="auto"/>
        <w:rPr>
          <w:sz w:val="20"/>
          <w:szCs w:val="20"/>
          <w:color w:val="auto"/>
        </w:rPr>
      </w:pPr>
      <w:r>
        <w:rPr>
          <w:rFonts w:ascii="Arial" w:cs="Arial" w:eastAsia="Arial" w:hAnsi="Arial"/>
          <w:sz w:val="18"/>
          <w:szCs w:val="18"/>
          <w:color w:val="auto"/>
        </w:rPr>
        <w:t>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91"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 -Oxley Act, we are undertaking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resources may not be sufficient to fulfill our public company obligations.</w:t>
      </w:r>
    </w:p>
    <w:p>
      <w:pPr>
        <w:spacing w:after="0" w:line="10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As a public company, we are subject to various regulatory requirements, including those of the SEC and Nasdaq.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99"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3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63"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5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6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3"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Definitive Healthcare Corp. is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right="460"/>
        <w:spacing w:after="0" w:line="261" w:lineRule="auto"/>
        <w:rPr>
          <w:sz w:val="20"/>
          <w:szCs w:val="20"/>
          <w:color w:val="auto"/>
        </w:rPr>
      </w:pPr>
      <w:r>
        <w:rPr>
          <w:rFonts w:ascii="Arial" w:cs="Arial" w:eastAsia="Arial" w:hAnsi="Arial"/>
          <w:sz w:val="18"/>
          <w:szCs w:val="18"/>
          <w:color w:val="auto"/>
        </w:rPr>
        <w:t>restated bylaws may make it more difficult for, or prevent a third-party from, acquiring control of us without the approval of our Board. Among other things, these provisions generally:</w:t>
      </w:r>
    </w:p>
    <w:p>
      <w:pPr>
        <w:spacing w:after="0" w:line="63" w:lineRule="exact"/>
        <w:rPr>
          <w:sz w:val="20"/>
          <w:szCs w:val="20"/>
          <w:color w:val="auto"/>
        </w:rPr>
      </w:pPr>
    </w:p>
    <w:p>
      <w:pPr>
        <w:ind w:left="1140" w:hanging="50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a classified Board with staggered three-year terms;</w:t>
      </w:r>
    </w:p>
    <w:p>
      <w:pPr>
        <w:spacing w:after="0" w:line="103" w:lineRule="exact"/>
        <w:rPr>
          <w:rFonts w:ascii="Arial" w:cs="Arial" w:eastAsia="Arial" w:hAnsi="Arial"/>
          <w:sz w:val="18"/>
          <w:szCs w:val="18"/>
          <w:color w:val="auto"/>
        </w:rPr>
      </w:pPr>
    </w:p>
    <w:p>
      <w:pPr>
        <w:ind w:left="1140" w:right="440" w:hanging="504"/>
        <w:spacing w:after="0" w:line="26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delegate the sole power of a majority of the Board to fix the number of directors;</w:t>
      </w:r>
    </w:p>
    <w:p>
      <w:pPr>
        <w:spacing w:after="0" w:line="103" w:lineRule="exact"/>
        <w:rPr>
          <w:rFonts w:ascii="Arial" w:cs="Arial" w:eastAsia="Arial" w:hAnsi="Arial"/>
          <w:sz w:val="18"/>
          <w:szCs w:val="18"/>
          <w:color w:val="auto"/>
        </w:rPr>
      </w:pPr>
    </w:p>
    <w:p>
      <w:pPr>
        <w:ind w:left="1140" w:right="260" w:hanging="504"/>
        <w:spacing w:after="0" w:line="26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the Board has the sole power to fill any vacancy on our Board, whether such vacancy occurs as a result of an increase in the number of directors or otherwise;</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preferred stock without any need for action by stockholders;</w:t>
      </w:r>
    </w:p>
    <w:p>
      <w:pPr>
        <w:spacing w:after="0" w:line="103" w:lineRule="exact"/>
        <w:rPr>
          <w:rFonts w:ascii="Arial" w:cs="Arial" w:eastAsia="Arial" w:hAnsi="Arial"/>
          <w:sz w:val="18"/>
          <w:szCs w:val="18"/>
          <w:color w:val="auto"/>
        </w:rPr>
      </w:pPr>
    </w:p>
    <w:p>
      <w:pPr>
        <w:ind w:left="1140" w:hanging="50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not permit stockholders to call special meetings of stockholders;</w:t>
      </w:r>
    </w:p>
    <w:p>
      <w:pPr>
        <w:spacing w:after="0" w:line="103" w:lineRule="exact"/>
        <w:rPr>
          <w:rFonts w:ascii="Arial" w:cs="Arial" w:eastAsia="Arial" w:hAnsi="Arial"/>
          <w:sz w:val="18"/>
          <w:szCs w:val="18"/>
          <w:color w:val="auto"/>
        </w:rPr>
      </w:pPr>
    </w:p>
    <w:p>
      <w:pPr>
        <w:ind w:left="1140" w:right="620" w:hanging="504"/>
        <w:spacing w:after="0" w:line="248"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our stockholders from acting by written consent once Advent’s ownership falls below 30%; and establish advance notice requirements for nominations for election to our Board or for proposing matters that can be acted on by stockholders at stockholder meetings.</w:t>
      </w:r>
    </w:p>
    <w:p>
      <w:pPr>
        <w:spacing w:after="0" w:line="182"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82"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w:t>
      </w:r>
    </w:p>
    <w:p>
      <w:pPr>
        <w:spacing w:after="0" w:line="29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3"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77"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4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jc w:val="both"/>
        <w:ind w:right="40" w:firstLine="509"/>
        <w:spacing w:after="0" w:line="29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4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w:t>
      </w:r>
    </w:p>
    <w:p>
      <w:pPr>
        <w:spacing w:after="0" w:line="18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By agreeing to this provision, however, stockholders are not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issue preferred stock may deter takeover attempts.</w:t>
      </w:r>
    </w:p>
    <w:p>
      <w:pPr>
        <w:spacing w:after="0" w:line="21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corporate headquarters is located in Framingham, Massachusetts and consists of approximately 96,936 square feet of space under leases that expire in January 2029, with extension options. As of December 31, 2021,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8" w:right="439" w:bottom="1440" w:gutter="0" w:footer="0" w:header="0"/>
        </w:sectPr>
      </w:pPr>
    </w:p>
    <w:bookmarkStart w:id="43" w:name="page44"/>
    <w:bookmarkEnd w:id="43"/>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860"/>
        <w:spacing w:after="0" w:line="42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Class A Common Stock is listed and traded on the Nasdaq Global Select Market under the trading symbol "DH". There is no established public trading market for our Class B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08"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As of March 11, 2022, there were 60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i w:val="1"/>
          <w:iCs w:val="1"/>
          <w:color w:val="auto"/>
        </w:rPr>
        <w:t>The following shall not be deemed “filed” with the SEC for purposes of Section 18 of the Exchange Act, or otherwise subject to the liabilities under that Section, and shall not be deemed to be incorporated by reference into any of our other filings under the Securities Act or the Exchange Act.</w:t>
      </w:r>
    </w:p>
    <w:p>
      <w:pPr>
        <w:spacing w:after="0" w:line="1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Nasdaq Composite Total Return (^XCMP) and the S&amp;P 500 Health Care Technology Industry Index, assuming an initial investment of $100 at the market close on September 15, 2021, the date our stock commenced trading on the Nasdaq Global Select Market. Data for the Nasdaq Composite Total Return and S&amp;P 500 Health Care Technology Index assume reinvestment of dividends.</w:t>
      </w:r>
    </w:p>
    <w:p>
      <w:pPr>
        <w:spacing w:after="0" w:line="80"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comparisons in the graph below are based upon historical data and are not indicative of, nor intended to forecast,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4" w:name="page45"/>
    <w:bookmarkEnd w:id="44"/>
    <w:p>
      <w:pPr>
        <w:ind w:left="520"/>
        <w:spacing w:after="0"/>
        <w:rPr>
          <w:sz w:val="20"/>
          <w:szCs w:val="20"/>
          <w:color w:val="auto"/>
        </w:rPr>
      </w:pPr>
      <w:r>
        <w:rPr>
          <w:rFonts w:ascii="Arial" w:cs="Arial" w:eastAsia="Arial" w:hAnsi="Arial"/>
          <w:sz w:val="18"/>
          <w:szCs w:val="18"/>
          <w:color w:val="auto"/>
        </w:rPr>
        <w:t>See "Recent Developments—</w:t>
      </w:r>
      <w:r>
        <w:rPr>
          <w:rFonts w:ascii="Arial" w:cs="Arial" w:eastAsia="Arial" w:hAnsi="Arial"/>
          <w:sz w:val="18"/>
          <w:szCs w:val="18"/>
          <w:i w:val="1"/>
          <w:iCs w:val="1"/>
          <w:color w:val="auto"/>
        </w:rPr>
        <w:t>Initial Public Offering</w:t>
      </w:r>
      <w:r>
        <w:rPr>
          <w:rFonts w:ascii="Arial" w:cs="Arial" w:eastAsia="Arial" w:hAnsi="Arial"/>
          <w:sz w:val="18"/>
          <w:szCs w:val="18"/>
          <w:color w:val="auto"/>
        </w:rPr>
        <w:t>" and "Recent Developments—</w:t>
      </w:r>
      <w:r>
        <w:rPr>
          <w:rFonts w:ascii="Arial" w:cs="Arial" w:eastAsia="Arial" w:hAnsi="Arial"/>
          <w:sz w:val="18"/>
          <w:szCs w:val="18"/>
          <w:i w:val="1"/>
          <w:iCs w:val="1"/>
          <w:color w:val="auto"/>
        </w:rPr>
        <w:t>Follow-On Offering"</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i w:val="1"/>
          <w:iCs w:val="1"/>
          <w:color w:val="auto"/>
        </w:rPr>
        <w:t>The following discussion includes a comparison of our results of operations, financial condition, and liquidity and capital resources for fiscal years 2021 and 2020. For a comparison of our results of operations and financial condition, and liquidity and capital resources for fiscal years 2020 and 2019, see “Management’s Discussion and Analysis of Financial Condition and Results of Operations” in our Prospectus filed with the SEC on September 16, 2021. This discussion is provided as a supplement to, and should be read in conjunction with, our consolidated financial statements and accompanying Notes to the Financial Statements found in Part II, Item 8 of this Form 10-K. It contains forward-looking statements that involve risks and uncertainties and our actual results may differ materially from those discussed. Factors that could cause or contribute to these differences include, but are not limited to, those identified below and those discussed in “Risk Factors” under Part I, Item 1A of this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color w:val="auto"/>
        </w:rPr>
        <w:t>Definitive Healthcare provides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over 2,800 customers as of December 31, 2021. We define a customer as a company that maintains one or more active paid subscriptions to our platform.</w:t>
      </w:r>
    </w:p>
    <w:p>
      <w:pPr>
        <w:spacing w:after="0" w:line="47"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 which accounted for 99% of revenue in 2021.</w:t>
      </w:r>
    </w:p>
    <w:p>
      <w:pPr>
        <w:spacing w:after="0" w:line="51"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56"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Definitive Healthcare Corp. was incorporated in May 2021, with no operating assets or operations for the purposes of facilitating an IPO of its Class A Common Stock (the “IPO”) and other related transactions in order to carry on the business of Definitive OpCo following the consummation of the Reorganization Transactions.</w:t>
      </w:r>
    </w:p>
    <w:p>
      <w:pPr>
        <w:spacing w:after="0" w:line="74"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Following the completion of the Reorganization Transactions, Definitive Healthcare Corp. became a holding company, with its sole material asset being a controlling equity interest in Definitive OpCo. Definitive Healthcare Corp. operates and controls all of our business and affairs, and consolidates the financial results of Definitive OpCo. Accordingly, Definitive Healthcare Corp. reports a non-controlling interest related to the LLC Units held by certain pre-IPO members that continue to hold LLC Units in Definitive OpCo in our consolidated financial statements.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On September 17, 2021, Definitive Healthcare Corp. completed the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 excluding other offering expenses). The IPO was registered pursuant to a registration statement on Form S-1 (File No. 333-258990) that was declared effective by the SEC on September 14, 2021.</w:t>
      </w:r>
    </w:p>
    <w:p>
      <w:pPr>
        <w:spacing w:after="0" w:line="4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Definitive Healthcare Corp. used net proceeds from the IPO to (i) acquire 14,222,222 newly issued LLC Units ("LLC Units") from Definitive OpCo, (ii) acquire 1,169,378 LLC Units from certain holders who hold their ownership in Definitive OpCo in the form of LLC Units (the holders of all outstanding LLC Units in Definitive OpCo are collectively referred to herein as the "Unitholders") and (iii) repurchase 2,497,288 shares of Class A Common Stock received by certain of our stockholders in the Reorganization Transactions at a purchase price per LLC Unit and share of Class A Common Stock, in each case equal to the IPO price of Class A Common Stock, after deducting the underwriting discounts and commissions. Definitive OpCo used net proceeds from the IPO to pay fees and expenses of approximately $11.4 million in connection with the IPO and the Reorganization Transactions and to repay $199.6 million, inclusive of accrued interest expense, of the outstanding borrowings under our 2019 Credit Agreement; and used the remainder for general corporate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Definitive OpCo Units and Common Stock</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In connection with the Reorganization Transactions, the limited liability company agreement of Definitive OpCo was amended and restated to, among other things, give holders of LLC Units prior to the IPO who continued holding LLC Units after the IPO, the right to require Definitive OpCo to exchange all or a portion of their LLC Units for newly issued shares of Class A Common Stock, on a one-for-one basis (subject to customary adjustments, including for stock splits, stock dividends and reclassifications) in accordance with the terms of the Amended LLC. The Amended LLC Agreement also authorizes the cancellation of shares of Class B Common Stock following an exchange by a holder of LLC Units. The holders of vested Reclassified Management Holdings Class B Units (as defined below) will have the right, pursuant to the terms of the amended and restated limited liability company agreement of AIDH Management Holdings, LLC, to exchange their Reclassified Management Holdings Class B Units for Reclassified Class B LLC Units and immediately thereafter Definitive OpCo would exchange such Reclassified Class B LLC Units for newly issued shares of Class A Common Stock on a one-for-one basis pursuant to the terms of the Amended LLC Agreement.</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Prior to the Reorganization Transactions, in addition to Class A LLC Units in AIDH Management Holdings, LLC (the “Management LLC Class A Units”) that correspond to Class A Units in Definitive OpCo (the “Topco Class A Units”) on a one-for-one basis, AIDH Management Holdings, LLC granted Class B Units (the “Management LLC Class B Units”) intended to be treated as “profits interests” for U.S. federal income tax purposes which have economic characteristics similar to SARs and which are subject to vesting. Such Management LLC Class B Units corresponded on a one-for-one basis to Class B Units issued to AIDH Management Holdings, LLC by Definitive OpCo, also intended to be treated as “profits interests” for U.S. federal income tax purposes. Management LLC Class B Units only had value to the extent there was appreciation in the value of Definitive OpCo above an applicable floor amount from and after the applicable grant date. In connection with the Reorganization Transactions, the Management LLC Class B Units were exchanged and reclassified into Management LLC Class A Units (the “Reclassified Management Holdings Class B Units”) and the Class B Units issued to AIDH Management Holdings, LLC by Definitive OpCo were exchanged and reclassified into LLC Units (the “Reclassified Class B LLC Units”) subject to vesting. In connection with the Reorganization Transactions, Class B Common Stock was issued to each holder of Management LLC Class A Units and Reclassified Management Holdings Class B Units, on a one-for-one basis to such holder’s Management, LLC Class A Units and Reclassified Management Holdings Class B Units; provided that Class B Common Stock issued to a holder of Reclassified Management Holdings Class B Units is not entitled to any voting rights until such time as such Reclassified Management Holdings Class B Units vest.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On November 15, 2021, Definitive Healthcare Corp. completed a follow-on offering, in which it sold 11,000,000 shares of Class A Common Stock at a public offering price of $36.00 per share for net proceeds of $382.1 million, after deducting underwriters’ discounts and commissions (but excluding other offering expenses and reimbursements).</w:t>
      </w:r>
    </w:p>
    <w:p>
      <w:pPr>
        <w:spacing w:after="0" w:line="7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Definitive Healthcare Corp. used net proceeds from the follow-on offering to (i) acquire 7,000,000 LLC Units from Definitive OpCo; (ii) purchase 1,766,762 LLC Units from certain unitholders; and (iii) repurchase 2,233,238 shares of Class A Common Stock received by certain of our stockholders at a purchase price per LLC Unit and share of Class A Common Stock, in each case equal to the follow-on price of Class A Common Stock, after deducting the underwriting discounts and commissions. Definitive OpCo used net proceeds from the follow-on offering to pay fees and expenses of approximately $1.6 million in connection with the follow-on offering and used the remainder for general corporate purposes.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effects of the COVID-19 pandemic continue to evolve and its impact on the economy and healthcare ecosystem have been vast. However, other than a brief slowdown in new bookings during the second quarter of 2020 at the outset of the pandemic, the pandemic has not adversely affected our business, results of operations or financial condition. We continued to invest in our sales force and the business and have not experienced any known business disruptions as a result of the pandemic. Most of our services are already delivered remotely or are capable of being delivered remotely. We have demonstrated our agility to respond to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December 31, 2021 and December 31, 2020, we had over 2,800 and 2,600 customers, respectively.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there is a significant opportunity to generate additional revenue from our existing customer base.</w:t>
      </w:r>
    </w:p>
    <w:p>
      <w:pPr>
        <w:spacing w:after="0" w:line="104" w:lineRule="exact"/>
        <w:rPr>
          <w:sz w:val="20"/>
          <w:szCs w:val="20"/>
          <w:color w:val="auto"/>
        </w:rPr>
      </w:pPr>
    </w:p>
    <w:p>
      <w:pPr>
        <w:ind w:right="280" w:firstLine="509"/>
        <w:spacing w:after="0" w:line="241" w:lineRule="auto"/>
        <w:rPr>
          <w:sz w:val="20"/>
          <w:szCs w:val="20"/>
          <w:color w:val="auto"/>
        </w:rPr>
      </w:pPr>
      <w:r>
        <w:rPr>
          <w:rFonts w:ascii="Arial" w:cs="Arial" w:eastAsia="Arial" w:hAnsi="Arial"/>
          <w:sz w:val="18"/>
          <w:szCs w:val="18"/>
          <w:color w:val="auto"/>
        </w:rPr>
        <w:t>Our customers have historically increased their spending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platform currently offers 16 intelligence modules. Our success in expanding usage of our platform with our existing customers is demonstrated by our NDR (see "Key Metrics"). For the year ended December 31, 2021, our NDR for customers generating more than $100,000 in ARR ("Enterprise Customers") was 120% and our NDR for all customers over $17,500 ARR was 111%. For the year ended December 31, 2020, our NDR for Enterprise Customers was 124% and our NDR for all customers over $17,500 ARR was 108%.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The growth of our business is driven in part by our ability to apply our deep healthcare domain expertise to innovate and expand our platform. We have continually created new products since our founding in 2011 and have launched 16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ind w:right="440" w:firstLine="509"/>
        <w:spacing w:after="0" w:line="243" w:lineRule="auto"/>
        <w:rPr>
          <w:sz w:val="20"/>
          <w:szCs w:val="20"/>
          <w:color w:val="auto"/>
        </w:rPr>
      </w:pPr>
      <w:r>
        <w:rPr>
          <w:rFonts w:ascii="Arial" w:cs="Arial" w:eastAsia="Arial" w:hAnsi="Arial"/>
          <w:sz w:val="18"/>
          <w:szCs w:val="18"/>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7" w:name="page48"/>
    <w:bookmarkEnd w:id="47"/>
    <w:p>
      <w:pPr>
        <w:ind w:right="460"/>
        <w:spacing w:after="0" w:line="261" w:lineRule="auto"/>
        <w:rPr>
          <w:sz w:val="20"/>
          <w:szCs w:val="20"/>
          <w:color w:val="auto"/>
        </w:rPr>
      </w:pPr>
      <w:r>
        <w:rPr>
          <w:rFonts w:ascii="Arial" w:cs="Arial" w:eastAsia="Arial" w:hAnsi="Arial"/>
          <w:sz w:val="18"/>
          <w:szCs w:val="18"/>
          <w:color w:val="auto"/>
        </w:rPr>
        <w:t>financial performance and additional information about our underlying results and trends by excluding certain items that may not be indicative of our business, results of operations, or outlook.</w:t>
      </w:r>
    </w:p>
    <w:p>
      <w:pPr>
        <w:spacing w:after="0" w:line="63"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view Adjusted Gross Profit, Adjusted Gross Margin, Adjusted EBITDA, and Adjusted EBITDA Margin as operating performance measures. As such, we believe the most directly comparable GAAP financial measure to Adjusted Gross Profit and Adjusted Gross Margin is GAAP Gross Profit, and the most directly comparable GAAP financial measure to Adjusted EBITDA and Adjusted EBITDA Margin is GAAP net loss.</w:t>
      </w:r>
    </w:p>
    <w:p>
      <w:pPr>
        <w:spacing w:after="0" w:line="56"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04" w:lineRule="exact"/>
        <w:rPr>
          <w:sz w:val="20"/>
          <w:szCs w:val="20"/>
          <w:color w:val="auto"/>
        </w:rPr>
      </w:pPr>
    </w:p>
    <w:p>
      <w:pPr>
        <w:ind w:right="340" w:firstLine="509"/>
        <w:spacing w:after="0" w:line="262" w:lineRule="auto"/>
        <w:rPr>
          <w:sz w:val="20"/>
          <w:szCs w:val="20"/>
          <w:color w:val="auto"/>
        </w:rPr>
      </w:pPr>
      <w:r>
        <w:rPr>
          <w:rFonts w:ascii="Arial" w:cs="Arial" w:eastAsia="Arial" w:hAnsi="Arial"/>
          <w:sz w:val="17"/>
          <w:szCs w:val="17"/>
          <w:color w:val="auto"/>
        </w:rPr>
        <w:t>We define Adjusted Gross Profit as revenue less cost of revenue (excluding acquisition-related depreciation and amortization and equity compensation costs) and Adjusted Gross Margin represents Adjusted Gross Profit as a percentage of revenue. Adjusted Gross Profit differs from gross profit, in that gross profit includes acquisition-related depreciation and amortization expense and equity compensation costs. Adjusted Gross Profit and Adjusted Gross Margin are key metrics used by management and our board of directors to assess our operations.</w:t>
      </w:r>
    </w:p>
    <w:p>
      <w:pPr>
        <w:spacing w:after="0" w:line="64"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We exclude acquisition-related depreciation and amortization expense as they have no direct correlation to the cost of operating our business on an ongoing basis. A small quantity of equity-based compensation is included in cost of revenue in accordance with GAAP but is excluded from our Adjusted Gross Profit calculations due to its non-cash nature.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a reconciliation of Gross Profit to Adjusted Gross Profit and Adjusted Gross Margin for the periods presented:</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6660" w:type="dxa"/>
            <w:vAlign w:val="bottom"/>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Reported gross profit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125,465</w:t>
            </w:r>
          </w:p>
        </w:tc>
        <w:tc>
          <w:tcPr>
            <w:tcW w:w="4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87,849</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8"/>
                <w:szCs w:val="18"/>
                <w:color w:val="auto"/>
              </w:rPr>
              <w:t>Amortization of intangible assets resulting from acquisition-</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20,220</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19,169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related purchase accounting adjustments </w:t>
            </w:r>
            <w:r>
              <w:rPr>
                <w:rFonts w:ascii="Arial" w:cs="Arial" w:eastAsia="Arial" w:hAnsi="Arial"/>
                <w:sz w:val="24"/>
                <w:szCs w:val="24"/>
                <w:color w:val="auto"/>
                <w:vertAlign w:val="superscript"/>
              </w:rPr>
              <w:t>(a)</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Equity-based compensation</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277</w:t>
            </w:r>
          </w:p>
        </w:tc>
        <w:tc>
          <w:tcPr>
            <w:tcW w:w="4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Gross Profit</w:t>
            </w:r>
          </w:p>
        </w:tc>
        <w:tc>
          <w:tcPr>
            <w:tcW w:w="3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145,962</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107,080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166,154</w:t>
            </w:r>
          </w:p>
        </w:tc>
        <w:tc>
          <w:tcPr>
            <w:tcW w:w="4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118,317</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line="202" w:lineRule="exact"/>
              <w:rPr>
                <w:sz w:val="20"/>
                <w:szCs w:val="20"/>
                <w:color w:val="auto"/>
              </w:rPr>
            </w:pPr>
            <w:r>
              <w:rPr>
                <w:rFonts w:ascii="Arial" w:cs="Arial" w:eastAsia="Arial" w:hAnsi="Arial"/>
                <w:sz w:val="18"/>
                <w:szCs w:val="18"/>
                <w:b w:val="1"/>
                <w:bCs w:val="1"/>
                <w:color w:val="auto"/>
              </w:rPr>
              <w:t>Adjusted Gross Margin</w:t>
            </w:r>
          </w:p>
        </w:tc>
        <w:tc>
          <w:tcPr>
            <w:tcW w:w="32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88 %</w:t>
            </w:r>
          </w:p>
        </w:tc>
        <w:tc>
          <w:tcPr>
            <w:tcW w:w="32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-416560</wp:posOffset>
            </wp:positionV>
            <wp:extent cx="15430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-416560</wp:posOffset>
            </wp:positionV>
            <wp:extent cx="15430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168" w:lineRule="exact"/>
        <w:rPr>
          <w:sz w:val="20"/>
          <w:szCs w:val="20"/>
          <w:color w:val="auto"/>
        </w:rPr>
      </w:pPr>
    </w:p>
    <w:p>
      <w:pPr>
        <w:ind w:left="520" w:right="66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present “Adjusted EBITDA” as a measure of our operating performance. EBITDA is defined as earnings before (i) debt-related costs, including interest expense and loss on extinguishment of debt, (ii) interest income, (iii) income taxes and (iv) depreciation and amortization. Management further adjusts EBITDA in its presentation of Adjusted EBITDA to exclude (i) other (income) expense, (ii) equity-based compensation, (iii) transaction expenses and (iv) other non-recurring expenses.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8" w:name="page49"/>
    <w:bookmarkEnd w:id="48"/>
    <w:p>
      <w:pPr>
        <w:ind w:left="520"/>
        <w:spacing w:after="0"/>
        <w:rPr>
          <w:sz w:val="20"/>
          <w:szCs w:val="20"/>
          <w:color w:val="auto"/>
        </w:rPr>
      </w:pPr>
      <w:r>
        <w:rPr>
          <w:rFonts w:ascii="Arial" w:cs="Arial" w:eastAsia="Arial" w:hAnsi="Arial"/>
          <w:sz w:val="18"/>
          <w:szCs w:val="18"/>
          <w:color w:val="auto"/>
        </w:rPr>
        <w:t>The following table presents a reconciliation of Net loss to Adjusted EBITDA for the periods presented:</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jc w:val="right"/>
              <w:ind w:right="97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6640" w:type="dxa"/>
            <w:vAlign w:val="bottom"/>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(61,257</w:t>
            </w:r>
          </w:p>
        </w:tc>
        <w:tc>
          <w:tcPr>
            <w:tcW w:w="400" w:type="dxa"/>
            <w:vAlign w:val="bottom"/>
            <w:shd w:val="clear" w:color="auto" w:fill="CFF0FC"/>
          </w:tcPr>
          <w:p>
            <w:pPr>
              <w:jc w:val="right"/>
              <w:ind w:right="26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(51,157</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25,871</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36,490</w:t>
            </w:r>
          </w:p>
        </w:tc>
        <w:tc>
          <w:tcPr>
            <w:tcW w:w="26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9,873</w:t>
            </w:r>
          </w:p>
        </w:tc>
        <w:tc>
          <w:tcPr>
            <w:tcW w:w="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675</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Depreciation &amp; amortization</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59,947</w:t>
            </w:r>
          </w:p>
        </w:tc>
        <w:tc>
          <w:tcPr>
            <w:tcW w:w="4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59,580</w:t>
            </w:r>
          </w:p>
        </w:tc>
        <w:tc>
          <w:tcPr>
            <w:tcW w:w="26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EBITDA</w:t>
            </w:r>
          </w:p>
        </w:tc>
        <w:tc>
          <w:tcPr>
            <w:tcW w:w="3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35,109</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44,913</w:t>
            </w:r>
          </w:p>
        </w:tc>
        <w:tc>
          <w:tcPr>
            <w:tcW w:w="26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23"/>
                <w:szCs w:val="23"/>
                <w:color w:val="auto"/>
                <w:vertAlign w:val="superscript"/>
              </w:rPr>
              <w:t>(a)</w:t>
            </w: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61"/>
              <w:spacing w:after="0" w:line="202" w:lineRule="exact"/>
              <w:rPr>
                <w:sz w:val="20"/>
                <w:szCs w:val="20"/>
                <w:color w:val="auto"/>
              </w:rPr>
            </w:pPr>
            <w:r>
              <w:rPr>
                <w:rFonts w:ascii="Arial" w:cs="Arial" w:eastAsia="Arial" w:hAnsi="Arial"/>
                <w:sz w:val="18"/>
                <w:szCs w:val="18"/>
                <w:color w:val="auto"/>
              </w:rPr>
              <w:t>(143 )</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w:t>
            </w:r>
          </w:p>
        </w:tc>
        <w:tc>
          <w:tcPr>
            <w:tcW w:w="26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7"/>
                <w:szCs w:val="17"/>
                <w:color w:val="auto"/>
              </w:rPr>
              <w:t xml:space="preserve">Equity-based compensation </w:t>
            </w:r>
            <w:r>
              <w:rPr>
                <w:rFonts w:ascii="Arial" w:cs="Arial" w:eastAsia="Arial" w:hAnsi="Arial"/>
                <w:sz w:val="23"/>
                <w:szCs w:val="23"/>
                <w:color w:val="auto"/>
                <w:vertAlign w:val="superscript"/>
              </w:rPr>
              <w:t>(b)</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9,957</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1,747</w:t>
            </w:r>
          </w:p>
        </w:tc>
        <w:tc>
          <w:tcPr>
            <w:tcW w:w="26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Transaction expenses </w:t>
            </w:r>
            <w:r>
              <w:rPr>
                <w:rFonts w:ascii="Arial" w:cs="Arial" w:eastAsia="Arial" w:hAnsi="Arial"/>
                <w:sz w:val="23"/>
                <w:szCs w:val="23"/>
                <w:color w:val="auto"/>
                <w:vertAlign w:val="superscript"/>
              </w:rPr>
              <w:t>(c)</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6,287</w:t>
            </w:r>
          </w:p>
        </w:tc>
        <w:tc>
          <w:tcPr>
            <w:tcW w:w="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3,776</w:t>
            </w:r>
          </w:p>
        </w:tc>
        <w:tc>
          <w:tcPr>
            <w:tcW w:w="26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7"/>
                <w:szCs w:val="17"/>
                <w:color w:val="auto"/>
              </w:rPr>
              <w:t xml:space="preserve">Other non-recurring items </w:t>
            </w:r>
            <w:r>
              <w:rPr>
                <w:rFonts w:ascii="Arial" w:cs="Arial" w:eastAsia="Arial" w:hAnsi="Arial"/>
                <w:sz w:val="23"/>
                <w:szCs w:val="23"/>
                <w:color w:val="auto"/>
                <w:vertAlign w:val="superscript"/>
              </w:rPr>
              <w:t>(d)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4,780</w:t>
            </w:r>
          </w:p>
        </w:tc>
        <w:tc>
          <w:tcPr>
            <w:tcW w:w="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2,847</w:t>
            </w:r>
          </w:p>
        </w:tc>
        <w:tc>
          <w:tcPr>
            <w:tcW w:w="260" w:type="dxa"/>
            <w:vAlign w:val="bottom"/>
          </w:tcPr>
          <w:p>
            <w:pPr>
              <w:spacing w:after="0"/>
              <w:rPr>
                <w:sz w:val="17"/>
                <w:szCs w:val="17"/>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55,990</w:t>
            </w:r>
          </w:p>
        </w:tc>
        <w:tc>
          <w:tcPr>
            <w:tcW w:w="4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53,505</w:t>
            </w:r>
          </w:p>
        </w:tc>
        <w:tc>
          <w:tcPr>
            <w:tcW w:w="26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166,154</w:t>
            </w:r>
          </w:p>
        </w:tc>
        <w:tc>
          <w:tcPr>
            <w:tcW w:w="4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118,317</w:t>
            </w:r>
          </w:p>
        </w:tc>
        <w:tc>
          <w:tcPr>
            <w:tcW w:w="260" w:type="dxa"/>
            <w:vAlign w:val="bottom"/>
          </w:tcPr>
          <w:p>
            <w:pPr>
              <w:spacing w:after="0"/>
              <w:rPr>
                <w:sz w:val="17"/>
                <w:szCs w:val="17"/>
                <w:color w:val="auto"/>
              </w:rPr>
            </w:pPr>
          </w:p>
        </w:tc>
      </w:tr>
      <w:tr>
        <w:trPr>
          <w:trHeight w:val="222"/>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Adjusted EBITDA Margin</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34 %</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-1068070</wp:posOffset>
            </wp:positionV>
            <wp:extent cx="15430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-1068070</wp:posOffset>
            </wp:positionV>
            <wp:extent cx="1543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154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543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-25400</wp:posOffset>
            </wp:positionV>
            <wp:extent cx="1543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-7620</wp:posOffset>
            </wp:positionV>
            <wp:extent cx="154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11" w:lineRule="exact"/>
        <w:rPr>
          <w:rFonts w:ascii="Arial" w:cs="Arial" w:eastAsia="Arial" w:hAnsi="Arial"/>
          <w:sz w:val="18"/>
          <w:szCs w:val="18"/>
          <w:color w:val="auto"/>
        </w:rPr>
      </w:pPr>
    </w:p>
    <w:p>
      <w:pPr>
        <w:ind w:left="520" w:right="460" w:hanging="512"/>
        <w:spacing w:after="0" w:line="23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Equity-based compensation represents non-cash compensation expense recognized in association with equity awards made to employees and directors.</w:t>
      </w:r>
    </w:p>
    <w:p>
      <w:pPr>
        <w:spacing w:after="0" w:line="1" w:lineRule="exact"/>
        <w:rPr>
          <w:rFonts w:ascii="Arial" w:cs="Arial" w:eastAsia="Arial" w:hAnsi="Arial"/>
          <w:sz w:val="18"/>
          <w:szCs w:val="18"/>
          <w:color w:val="auto"/>
        </w:rPr>
      </w:pPr>
    </w:p>
    <w:p>
      <w:pPr>
        <w:ind w:left="520" w:right="40" w:hanging="512"/>
        <w:spacing w:after="0" w:line="23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8"/>
          <w:szCs w:val="18"/>
          <w:color w:val="auto"/>
        </w:rPr>
      </w:pPr>
    </w:p>
    <w:p>
      <w:pPr>
        <w:ind w:left="520" w:right="320" w:hanging="512"/>
        <w:spacing w:after="0" w:line="243"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professional fees and other costs related to IPO readiness for the year ended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Dollar Retention Rate</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Remaining Performance Obligations ("cRPO")</w:t>
      </w:r>
    </w:p>
    <w:p>
      <w:pPr>
        <w:spacing w:after="0" w:line="10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remaining performance obligations, including cRPO as of December 31, 2021 and 2020:</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r>
      <w:tr>
        <w:trPr>
          <w:trHeight w:val="185"/>
        </w:trPr>
        <w:tc>
          <w:tcPr>
            <w:tcW w:w="6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(cRPO)</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155,134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114,284</w:t>
            </w:r>
          </w:p>
        </w:tc>
        <w:tc>
          <w:tcPr>
            <w:tcW w:w="8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Non-current</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95,354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58,250</w:t>
            </w:r>
          </w:p>
        </w:tc>
        <w:tc>
          <w:tcPr>
            <w:tcW w:w="80" w:type="dxa"/>
            <w:vAlign w:val="bottom"/>
          </w:tcPr>
          <w:p>
            <w:pPr>
              <w:spacing w:after="0"/>
              <w:rPr>
                <w:sz w:val="17"/>
                <w:szCs w:val="17"/>
                <w:color w:val="auto"/>
              </w:rPr>
            </w:pPr>
          </w:p>
        </w:tc>
      </w:tr>
      <w:tr>
        <w:trPr>
          <w:trHeight w:val="236"/>
        </w:trPr>
        <w:tc>
          <w:tcPr>
            <w:tcW w:w="67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remaining performance obligation</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250,488</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172,534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431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-24765</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-8255</wp:posOffset>
            </wp:positionV>
            <wp:extent cx="43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Acquisitions and Investments</w:t>
      </w:r>
    </w:p>
    <w:p>
      <w:pPr>
        <w:spacing w:after="0" w:line="10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seek to enhance our platform, data and business through internal development and through acquisitions of and investments in businesses that broaden and strengthen our platform. In December 2021, we made a $40.0 million investment in Analytical Wizards Inc., a company that specializes in automating complex analytic models using tools that expedite efficient big data mining through A.I. and M.L. power to uncover deep insights. In October 2020, we acquired Monocl, a cloud-based platform with millions of expert profiles. In December 2019, we acquired HSE, a software analytics firm that helps life science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4"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 world data and intelligence for the healthcare supply chain. These acquisitions and investments have strengthened our data platform and our business. Acquisitions can result in transaction costs, amortization expense and other adjustments as purchase accounting requires that all assets acquired and liabilities assumed be recorded at fair value on the acquisition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For the year ended December 31, 2021, we derived approximately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excluding amortization of acquired technology and data, consists of direct expenses related to the support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51"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equity-based compensation, and other employee-related benefits. Operating expenses also include non-personnel costs such as facilities, technology, professional fees, and marketing.</w:t>
      </w:r>
    </w:p>
    <w:p>
      <w:pPr>
        <w:spacing w:after="0" w:line="7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primarily consist of personnel costs such as salaries, bonuses, sales commissions, equity-based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employee-related benefits for our sales and marketing teams, as well as non-personnel costs including overhead costs, technology and marketing costs. We expect that sales and marketing expenses as a percentage of revenue may stay consistent in 2022 and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17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i w:val="1"/>
          <w:iCs w:val="1"/>
          <w:color w:val="auto"/>
        </w:rPr>
        <w:t>Product development</w:t>
      </w:r>
      <w:r>
        <w:rPr>
          <w:rFonts w:ascii="Arial" w:cs="Arial" w:eastAsia="Arial" w:hAnsi="Arial"/>
          <w:sz w:val="16"/>
          <w:szCs w:val="16"/>
          <w:color w:val="auto"/>
        </w:rPr>
        <w:t>. Product development expenses primarily consist of personnel costs such as salaries, bonuses, equity-based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customers, enhance our software development team and continue to invest in automation and A.I. to drive higher quality data and deeper insights.</w:t>
      </w:r>
    </w:p>
    <w:p>
      <w:pPr>
        <w:spacing w:after="0" w:line="115"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primarily consist of personnel costs such as salaries, bonuses, equity-based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executive, finance, legal, human resources, IT and other administrative teams, as well as non-personnel costs including overhead costs, professional fees, expenses associated with preparation for the IPO and other corporate expenses. We anticipate that general and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Due primarily to the costs associated with operating as a public company, we expect general and administrative costs as a percentage of revenue to increase in 2022 and then stay consistent, or modestly decrease thereafter, as we realize operating leverage in the business.</w:t>
      </w:r>
    </w:p>
    <w:p>
      <w:pPr>
        <w:spacing w:after="0" w:line="5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consist primarily of amortization of customer relationships and trade names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the accounting for the Advent Acquisition, as well as depreciation of property and equipment. We anticipate depreciation of property and equipment as a percentage of revenue to moderately decrease, although amortization will increase if we make additional acquisitions in the future.</w:t>
      </w:r>
    </w:p>
    <w:p>
      <w:pPr>
        <w:spacing w:after="0" w:line="80"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i w:val="1"/>
          <w:iCs w:val="1"/>
          <w:color w:val="auto"/>
        </w:rPr>
        <w:t>Transaction expenses</w:t>
      </w:r>
      <w:r>
        <w:rPr>
          <w:rFonts w:ascii="Arial" w:cs="Arial" w:eastAsia="Arial" w:hAnsi="Arial"/>
          <w:sz w:val="18"/>
          <w:szCs w:val="18"/>
          <w:color w:val="auto"/>
        </w:rPr>
        <w:t>. Transaction expenses are costs directly associated with various acquisition and integration activities we have undertaken,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accounting and legal due diligence, and consulting and advisory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expense, net consists primarily of interest expense, net, loss on extinguishment of debt, and foreign currency transaction gains or loss.</w:t>
      </w:r>
    </w:p>
    <w:p>
      <w:pPr>
        <w:spacing w:after="0" w:line="11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consists primarily of interest expense on our debt obligations and the amortization of debt discounts and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interest income. We expect to realize a reduction in our interest expense during 2022 over prior periods as a result of a loan refinancing that occurred in conjunction with our IPO in September 2021.</w:t>
      </w:r>
    </w:p>
    <w:p>
      <w:pPr>
        <w:spacing w:after="0" w:line="74" w:lineRule="exact"/>
        <w:rPr>
          <w:sz w:val="20"/>
          <w:szCs w:val="20"/>
          <w:color w:val="auto"/>
        </w:rPr>
      </w:pPr>
    </w:p>
    <w:p>
      <w:pPr>
        <w:ind w:right="760" w:firstLine="509"/>
        <w:spacing w:after="0" w:line="261"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consists of losses resulting from the write-off of unamortized deferred financing costs associated with loan</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in conjunction with the September 2021 refinancing.</w:t>
      </w:r>
    </w:p>
    <w:p>
      <w:pPr>
        <w:spacing w:after="0" w:line="63"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i w:val="1"/>
          <w:iCs w:val="1"/>
          <w:color w:val="auto"/>
        </w:rPr>
        <w:t xml:space="preserve">Foreign currency transaction loss </w:t>
      </w:r>
      <w:r>
        <w:rPr>
          <w:rFonts w:ascii="Arial" w:cs="Arial" w:eastAsia="Arial" w:hAnsi="Arial"/>
          <w:sz w:val="18"/>
          <w:szCs w:val="18"/>
          <w:color w:val="auto"/>
        </w:rPr>
        <w:t>consists primarily of realized and unrealized gains and losses related to the impact of transactions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a foreign currency. We do not have significant exposure to foreign exchange volatility and do not anticipate foreign currency transaction gains or losses to materially impact our results of operations.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6"/>
          </w:tcPr>
          <w:p>
            <w:pPr>
              <w:jc w:val="right"/>
              <w:ind w:right="83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6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6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166,154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118,317</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Cost of revenue exclusive of amortization shown below</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19,421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11,085</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360"/>
              <w:spacing w:after="0" w:line="202" w:lineRule="exact"/>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19,383</w:t>
            </w:r>
          </w:p>
        </w:tc>
        <w:tc>
          <w:tcPr>
            <w:tcW w:w="100" w:type="dxa"/>
            <w:vAlign w:val="bottom"/>
          </w:tcPr>
          <w:p>
            <w:pPr>
              <w:spacing w:after="0"/>
              <w:rPr>
                <w:sz w:val="17"/>
                <w:szCs w:val="17"/>
                <w:color w:val="auto"/>
              </w:rPr>
            </w:pPr>
          </w:p>
        </w:tc>
      </w:tr>
      <w:tr>
        <w:trPr>
          <w:trHeight w:val="196"/>
        </w:trPr>
        <w:tc>
          <w:tcPr>
            <w:tcW w:w="674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40,689</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30,468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tcPr>
          <w:p>
            <w:pPr>
              <w:ind w:left="540"/>
              <w:spacing w:after="0" w:line="196" w:lineRule="exact"/>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125,465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87,849</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360"/>
              <w:spacing w:after="0" w:line="202" w:lineRule="exact"/>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56,387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34,332</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Product development</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11,062</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30,528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12,927</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38,679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40,197</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360"/>
              <w:spacing w:after="0" w:line="202" w:lineRule="exact"/>
              <w:rPr>
                <w:sz w:val="20"/>
                <w:szCs w:val="20"/>
                <w:color w:val="auto"/>
              </w:rPr>
            </w:pPr>
            <w:r>
              <w:rPr>
                <w:rFonts w:ascii="Arial" w:cs="Arial" w:eastAsia="Arial" w:hAnsi="Arial"/>
                <w:sz w:val="18"/>
                <w:szCs w:val="18"/>
                <w:color w:val="auto"/>
              </w:rPr>
              <w:t>Transaction expenses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3,776</w:t>
            </w:r>
          </w:p>
        </w:tc>
        <w:tc>
          <w:tcPr>
            <w:tcW w:w="100" w:type="dxa"/>
            <w:vAlign w:val="bottom"/>
          </w:tcPr>
          <w:p>
            <w:pPr>
              <w:spacing w:after="0"/>
              <w:rPr>
                <w:sz w:val="17"/>
                <w:szCs w:val="17"/>
                <w:color w:val="auto"/>
              </w:rPr>
            </w:pPr>
          </w:p>
        </w:tc>
      </w:tr>
      <w:tr>
        <w:trPr>
          <w:trHeight w:val="196"/>
        </w:trPr>
        <w:tc>
          <w:tcPr>
            <w:tcW w:w="6740" w:type="dxa"/>
            <w:vAlign w:val="bottom"/>
            <w:tcBorders>
              <w:bottom w:val="single" w:sz="8" w:color="CFF0FC"/>
            </w:tcBorders>
            <w:shd w:val="clear" w:color="auto" w:fill="CFF0FC"/>
          </w:tcPr>
          <w:p>
            <w:pPr>
              <w:ind w:left="540"/>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150,446</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102,294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tcPr>
          <w:p>
            <w:pPr>
              <w:ind w:left="720"/>
              <w:spacing w:after="0" w:line="196" w:lineRule="exact"/>
              <w:rPr>
                <w:sz w:val="20"/>
                <w:szCs w:val="20"/>
                <w:color w:val="auto"/>
              </w:rPr>
            </w:pPr>
            <w:r>
              <w:rPr>
                <w:rFonts w:ascii="Arial" w:cs="Arial" w:eastAsia="Arial" w:hAnsi="Arial"/>
                <w:sz w:val="18"/>
                <w:szCs w:val="18"/>
                <w:color w:val="auto"/>
              </w:rPr>
              <w:t>(Loss) Income from operations</w:t>
            </w:r>
          </w:p>
        </w:tc>
        <w:tc>
          <w:tcPr>
            <w:tcW w:w="36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(24,981 )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(14,445 )</w:t>
            </w:r>
          </w:p>
        </w:tc>
      </w:tr>
      <w:tr>
        <w:trPr>
          <w:trHeight w:val="203"/>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net:</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740" w:type="dxa"/>
            <w:vAlign w:val="bottom"/>
          </w:tcPr>
          <w:p>
            <w:pPr>
              <w:ind w:left="360"/>
              <w:spacing w:after="0" w:line="202" w:lineRule="exact"/>
              <w:rPr>
                <w:sz w:val="20"/>
                <w:szCs w:val="20"/>
                <w:color w:val="auto"/>
              </w:rPr>
            </w:pPr>
            <w:r>
              <w:rPr>
                <w:rFonts w:ascii="Arial" w:cs="Arial" w:eastAsia="Arial" w:hAnsi="Arial"/>
                <w:sz w:val="18"/>
                <w:szCs w:val="18"/>
                <w:color w:val="auto"/>
              </w:rPr>
              <w:t>Foreign currency transaction gain (loss)</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(222 )</w:t>
            </w:r>
          </w:p>
        </w:tc>
      </w:tr>
      <w:tr>
        <w:trPr>
          <w:trHeight w:val="203"/>
        </w:trPr>
        <w:tc>
          <w:tcPr>
            <w:tcW w:w="67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(25,871 )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(36,490 )</w:t>
            </w:r>
          </w:p>
        </w:tc>
      </w:tr>
      <w:tr>
        <w:trPr>
          <w:trHeight w:val="203"/>
        </w:trPr>
        <w:tc>
          <w:tcPr>
            <w:tcW w:w="6740" w:type="dxa"/>
            <w:vAlign w:val="bottom"/>
          </w:tcPr>
          <w:p>
            <w:pPr>
              <w:ind w:left="360"/>
              <w:spacing w:after="0" w:line="202" w:lineRule="exact"/>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(9,873 )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6740" w:type="dxa"/>
            <w:vAlign w:val="bottom"/>
            <w:tcBorders>
              <w:bottom w:val="single" w:sz="8" w:color="CFF0FC"/>
            </w:tcBorders>
            <w:shd w:val="clear" w:color="auto" w:fill="CFF0FC"/>
          </w:tcPr>
          <w:p>
            <w:pPr>
              <w:ind w:left="540"/>
              <w:spacing w:after="0" w:line="196" w:lineRule="exact"/>
              <w:rPr>
                <w:sz w:val="20"/>
                <w:szCs w:val="20"/>
                <w:color w:val="auto"/>
              </w:rPr>
            </w:pPr>
            <w:r>
              <w:rPr>
                <w:rFonts w:ascii="Arial" w:cs="Arial" w:eastAsia="Arial" w:hAnsi="Arial"/>
                <w:sz w:val="18"/>
                <w:szCs w:val="18"/>
                <w:color w:val="auto"/>
              </w:rPr>
              <w:t>Total other expense, net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(35,601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(36,712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740" w:type="dxa"/>
            <w:vAlign w:val="bottom"/>
          </w:tcPr>
          <w:p>
            <w:pPr>
              <w:ind w:left="540"/>
              <w:spacing w:after="0" w:line="196" w:lineRule="exact"/>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(60,582 )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(51,157 )</w:t>
            </w:r>
          </w:p>
        </w:tc>
      </w:tr>
      <w:tr>
        <w:trPr>
          <w:trHeight w:val="203"/>
        </w:trPr>
        <w:tc>
          <w:tcPr>
            <w:tcW w:w="67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(675 )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
        </w:trPr>
        <w:tc>
          <w:tcPr>
            <w:tcW w:w="6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40" w:type="dxa"/>
            <w:vAlign w:val="bottom"/>
          </w:tcPr>
          <w:p>
            <w:pPr>
              <w:ind w:left="720"/>
              <w:spacing w:after="0" w:line="196" w:lineRule="exact"/>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(61,257 )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(51,157 )</w:t>
            </w:r>
          </w:p>
        </w:tc>
      </w:tr>
      <w:tr>
        <w:trPr>
          <w:trHeight w:val="196"/>
        </w:trPr>
        <w:tc>
          <w:tcPr>
            <w:tcW w:w="67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w w:val="95"/>
              </w:rPr>
              <w:t>Less: Net loss attributable to Definitive OpCo prior to the Reorganization Transactions</w:t>
            </w:r>
          </w:p>
        </w:tc>
        <w:tc>
          <w:tcPr>
            <w:tcW w:w="3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(33,343</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(51,157</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Less: Net loss attributable to noncontrolling interests</w:t>
            </w:r>
          </w:p>
        </w:tc>
        <w:tc>
          <w:tcPr>
            <w:tcW w:w="36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(10,237 )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36"/>
        </w:trPr>
        <w:tc>
          <w:tcPr>
            <w:tcW w:w="6740" w:type="dxa"/>
            <w:vAlign w:val="bottom"/>
            <w:tcBorders>
              <w:bottom w:val="single" w:sz="8" w:color="CFF0FC"/>
            </w:tcBorders>
            <w:shd w:val="clear" w:color="auto" w:fill="CFF0FC"/>
          </w:tcPr>
          <w:p>
            <w:pPr>
              <w:ind w:left="540"/>
              <w:spacing w:after="0" w:line="196" w:lineRule="exact"/>
              <w:rPr>
                <w:sz w:val="20"/>
                <w:szCs w:val="20"/>
                <w:color w:val="auto"/>
              </w:rPr>
            </w:pPr>
            <w:r>
              <w:rPr>
                <w:rFonts w:ascii="Arial" w:cs="Arial" w:eastAsia="Arial" w:hAnsi="Arial"/>
                <w:sz w:val="18"/>
                <w:szCs w:val="18"/>
                <w:color w:val="auto"/>
              </w:rPr>
              <w:t>Net loss attributable to Definitive Healthcare Corp.</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(17,677</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-2662555</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-2662555</wp:posOffset>
            </wp:positionV>
            <wp:extent cx="6032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-1616710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-1616710</wp:posOffset>
            </wp:positionV>
            <wp:extent cx="6032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-828040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-828040</wp:posOffset>
            </wp:positionV>
            <wp:extent cx="6032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-561975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-561975</wp:posOffset>
            </wp:positionV>
            <wp:extent cx="6032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Revenue increased $47.8 million, or 40%, for the year ended December 31, 2021 compared with the same period in the prior year, driven almost entirely by higher subscription revenue. This increase was primarily due to net expansion with existing customers as well as organic addition of new customers, and to a lesser extent, new customers acquired through the acquisition of Monocl.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Revenue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Cost of revenue increased $10.2 million, or 34%, for the year ended December 31, 2021 compared with the same period in the prior year, primarily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due to:</w:t>
      </w:r>
    </w:p>
    <w:p>
      <w:pPr>
        <w:spacing w:after="0" w:line="88" w:lineRule="exact"/>
        <w:rPr>
          <w:sz w:val="20"/>
          <w:szCs w:val="20"/>
          <w:color w:val="auto"/>
        </w:rPr>
      </w:pPr>
    </w:p>
    <w:p>
      <w:pPr>
        <w:ind w:left="1020" w:hanging="503"/>
        <w:spacing w:after="0" w:line="24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cost of revenue exclusive of amortization expense of $8.3 million for the year ended December 31, 2021, due primarily to additional data subscription contracts, increased hosting fees associated with additional product offerings, and, to a lesser extent, incremental personnel costs resulting from additional hiring during the year;</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amortization expense of $1.9 million for the year ended December 31, 2021 driven primarily by technology and data acquired in the Monocl acquisition in October 2020.</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Operating expenses increased $48.2 million, or 47%, for the year ended December 31, 2021 compared with the same period in the prior year. The increase was primarily due to:</w:t>
      </w:r>
    </w:p>
    <w:p>
      <w:pPr>
        <w:spacing w:after="0" w:line="63" w:lineRule="exact"/>
        <w:rPr>
          <w:sz w:val="20"/>
          <w:szCs w:val="20"/>
          <w:color w:val="auto"/>
        </w:rPr>
      </w:pPr>
    </w:p>
    <w:p>
      <w:pPr>
        <w:ind w:left="1020" w:right="320" w:hanging="503"/>
        <w:spacing w:after="0" w:line="29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increase in sales and marketing expense of $22.1 million for the year ended December 31, 2021, due primarily to increased personnel costs resulting from additional hiring, including sales and marketing resources added through the Monocl acquisition;</w:t>
      </w:r>
    </w:p>
    <w:p>
      <w:pPr>
        <w:spacing w:after="0" w:line="38" w:lineRule="exact"/>
        <w:rPr>
          <w:rFonts w:ascii="Arial" w:cs="Arial" w:eastAsia="Arial" w:hAnsi="Arial"/>
          <w:sz w:val="17"/>
          <w:szCs w:val="17"/>
          <w:color w:val="auto"/>
        </w:rPr>
      </w:pPr>
    </w:p>
    <w:p>
      <w:pPr>
        <w:ind w:left="1020" w:right="220" w:hanging="503"/>
        <w:spacing w:after="0" w:line="24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$17.6 million for the year ended December 31, 2021, due primarily to increased personnel costs arising from additional hiring and the Monocl acquisition, incremental costs associated with preparing for an IPO and additional accounting, legal and insurance expenses. The increase was also driven by higher equity-based compensation relating to awards under a new post-IPO equity incentive plan and from the acceleration of an equity award associated with the retirement of an executive officer during the third quarter of 2021;</w:t>
      </w:r>
    </w:p>
    <w:p>
      <w:pPr>
        <w:spacing w:after="0" w:line="81" w:lineRule="exact"/>
        <w:rPr>
          <w:rFonts w:ascii="Arial" w:cs="Arial" w:eastAsia="Arial" w:hAnsi="Arial"/>
          <w:sz w:val="18"/>
          <w:szCs w:val="18"/>
          <w:color w:val="auto"/>
        </w:rPr>
      </w:pPr>
    </w:p>
    <w:p>
      <w:pPr>
        <w:ind w:left="1020" w:right="320" w:hanging="503"/>
        <w:spacing w:after="0" w:line="29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increase in product development expense of $7.5 million for the year ended December 31, 2021, due primarily to increased personnel costs resulting from additional hiring, including product development resources added through the Monocl acquisition;</w:t>
      </w:r>
    </w:p>
    <w:p>
      <w:pPr>
        <w:spacing w:after="0" w:line="38" w:lineRule="exact"/>
        <w:rPr>
          <w:rFonts w:ascii="Arial" w:cs="Arial" w:eastAsia="Arial" w:hAnsi="Arial"/>
          <w:sz w:val="17"/>
          <w:szCs w:val="17"/>
          <w:color w:val="auto"/>
        </w:rPr>
      </w:pPr>
    </w:p>
    <w:p>
      <w:pPr>
        <w:ind w:left="1020" w:right="160" w:hanging="503"/>
        <w:spacing w:after="0" w:line="324"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transaction expenses of $2.5 million for the year ended December 31, 2021, due primarily to fair value adjustments for contingent consideration arising from the Monocl acquisition and increased costs associated with prospective acquisitions and investments;</w:t>
      </w:r>
    </w:p>
    <w:p>
      <w:pPr>
        <w:spacing w:after="0" w:line="16" w:lineRule="exact"/>
        <w:rPr>
          <w:rFonts w:ascii="Arial" w:cs="Arial" w:eastAsia="Arial" w:hAnsi="Arial"/>
          <w:sz w:val="16"/>
          <w:szCs w:val="16"/>
          <w:color w:val="auto"/>
        </w:rPr>
      </w:pPr>
    </w:p>
    <w:p>
      <w:pPr>
        <w:ind w:left="1020" w:right="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increases were partially offset by decreases in depreciation and amortization expense of $1.5 million for the year ended December 31, 2021.</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Expense, Net</w:t>
      </w:r>
    </w:p>
    <w:p>
      <w:pPr>
        <w:spacing w:after="0" w:line="108"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Other expense, net decreased $1.1 million, or 3%, for the year ended December 31, 2021, compared with the same period in the prior year, primarily due to a decrease in interest expense, net of $10.6 million for the year ended December 31, 2021. The decrease was primarily attributable to lower outstanding debt in 2021 as well as lower interest rates as a result of a refinancing that occurred in September 2021. This was partially offset by a loss on the extinguishment of debt of $9.9 million resulting from the repayment in full of our term loan under the September 2021 refinancing.</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loss</w:t>
      </w:r>
    </w:p>
    <w:p>
      <w:pPr>
        <w:spacing w:after="0" w:line="108"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Net loss for the year ended December 31, 2021 increased by $10.1 million, or 20%, compared with the same period in the prior year, which was driven by the factors described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As of December 31, 2021, we had $387.5 million of cash and cash equivalents and $75.0 million available under our revolving credit facility. Our principal sources of liquidity are cash and cash equivalents on hand, primarily from our IPO and follow-on offerings that occurred in September and November 2021, respectively, as well as the cash flows we generate from operations. Our principal uses of liquidity have been primarily for investment in long-term growth of the business through capital expenditures and acquisitions as well as debt service and distributions to members of Definitive OpCo..</w:t>
      </w:r>
    </w:p>
    <w:p>
      <w:pPr>
        <w:spacing w:after="0" w:line="47"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Definitive Healthcare Corp. is a holding company and its sole material asset is its ownership interest in Definitive OpCo. All of our business is conducted through Definitive OpCo and its consolidated subsidiaries and affiliates, and the financial results are included in the consolidated financial statements of Definitive Healthcare Corp. Definitive Healthcare Corp. has no independent means of generating revenue. The amended limited liability company agreement of Definitive OpCo, a copy of which is attached hereto as Exhibit 3.3, and the terms of which are incorporated herein by reference,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3" w:name="page54"/>
    <w:bookmarkEnd w:id="53"/>
    <w:p>
      <w:pPr>
        <w:ind w:right="140"/>
        <w:spacing w:after="0" w:line="261" w:lineRule="auto"/>
        <w:rPr>
          <w:sz w:val="20"/>
          <w:szCs w:val="20"/>
          <w:color w:val="auto"/>
        </w:rPr>
      </w:pPr>
      <w:r>
        <w:rPr>
          <w:rFonts w:ascii="Arial" w:cs="Arial" w:eastAsia="Arial" w:hAnsi="Arial"/>
          <w:sz w:val="18"/>
          <w:szCs w:val="18"/>
          <w:color w:val="auto"/>
        </w:rPr>
        <w:t>exceptions), as applicable, exceed the fair value of its assets. Subsidiaries of DH Holdings are generally subject to similar legal limitations on their ability to make distributions to DH Holdings.</w:t>
      </w:r>
    </w:p>
    <w:p>
      <w:pPr>
        <w:spacing w:after="0" w:line="63" w:lineRule="exact"/>
        <w:rPr>
          <w:sz w:val="20"/>
          <w:szCs w:val="20"/>
          <w:color w:val="auto"/>
        </w:rPr>
      </w:pPr>
    </w:p>
    <w:p>
      <w:pPr>
        <w:ind w:right="380" w:firstLine="509"/>
        <w:spacing w:after="0" w:line="262" w:lineRule="auto"/>
        <w:rPr>
          <w:sz w:val="20"/>
          <w:szCs w:val="20"/>
          <w:color w:val="auto"/>
        </w:rPr>
      </w:pPr>
      <w:r>
        <w:rPr>
          <w:rFonts w:ascii="Arial" w:cs="Arial" w:eastAsia="Arial" w:hAnsi="Arial"/>
          <w:sz w:val="17"/>
          <w:szCs w:val="17"/>
          <w:color w:val="auto"/>
        </w:rPr>
        <w:t>We believe that our cash flow from operations, availability under the 2021 Credit Agreement and available cash and cash equivalents will be sufficient to meet our short-term and long-term cash requirements relating to our current operations.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64"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Additionally, our liquidity and our ability to meet our obligations and fund our capital requirements are also dependent on our future financial performance, which is subject to general economic, financial and other factors that are beyond our control. See “Risk Factors” include elsewhere in this report. Accordingly, we cannot provide assurance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ectPr>
          <w:pgSz w:w="11900" w:h="16838" w:orient="portrait"/>
          <w:cols w:equalWidth="0" w:num="1">
            <w:col w:w="11220"/>
          </w:cols>
          <w:pgMar w:left="320" w:top="436" w:right="35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cash flows for the periods presented:</w:t>
      </w:r>
    </w:p>
    <w:p>
      <w:pPr>
        <w:spacing w:after="0" w:line="200" w:lineRule="exact"/>
        <w:rPr>
          <w:sz w:val="20"/>
          <w:szCs w:val="20"/>
          <w:color w:val="auto"/>
        </w:rPr>
      </w:pPr>
    </w:p>
    <w:p>
      <w:pPr>
        <w:spacing w:after="0" w:line="233"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wp:posOffset>
            </wp:positionV>
            <wp:extent cx="641223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Cash provided by (used in):</w:t>
      </w:r>
    </w:p>
    <w:p>
      <w:pPr>
        <w:ind w:left="760"/>
        <w:spacing w:after="0" w:line="234" w:lineRule="auto"/>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760"/>
        <w:spacing w:after="0" w:line="235" w:lineRule="auto"/>
        <w:rPr>
          <w:sz w:val="20"/>
          <w:szCs w:val="20"/>
          <w:color w:val="auto"/>
        </w:rPr>
      </w:pPr>
      <w:r>
        <w:rPr>
          <w:rFonts w:ascii="Arial" w:cs="Arial" w:eastAsia="Arial" w:hAnsi="Arial"/>
          <w:sz w:val="18"/>
          <w:szCs w:val="18"/>
          <w:color w:val="auto"/>
        </w:rPr>
        <w:t>Investing activities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4445</wp:posOffset>
            </wp:positionV>
            <wp:extent cx="6412230"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240030"/>
                    </a:xfrm>
                    <a:prstGeom prst="rect">
                      <a:avLst/>
                    </a:prstGeom>
                    <a:noFill/>
                  </pic:spPr>
                </pic:pic>
              </a:graphicData>
            </a:graphic>
          </wp:anchor>
        </w:drawing>
      </w:r>
    </w:p>
    <w:p>
      <w:pPr>
        <w:ind w:left="720" w:right="860" w:hanging="134"/>
        <w:spacing w:after="0" w:line="226" w:lineRule="auto"/>
        <w:rPr>
          <w:sz w:val="20"/>
          <w:szCs w:val="20"/>
          <w:color w:val="auto"/>
        </w:rPr>
      </w:pPr>
      <w:r>
        <w:rPr>
          <w:rFonts w:ascii="Arial" w:cs="Arial" w:eastAsia="Arial" w:hAnsi="Arial"/>
          <w:sz w:val="18"/>
          <w:szCs w:val="18"/>
          <w:color w:val="auto"/>
        </w:rPr>
        <w:t>Change in cash and cash equivalents (excluding effect of exchange rate changes)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384"/>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25,212</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23,217</w:t>
            </w:r>
          </w:p>
        </w:tc>
        <w:tc>
          <w:tcPr>
            <w:tcW w:w="8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(46,731 )</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(23,862 )</w:t>
            </w:r>
          </w:p>
        </w:tc>
      </w:tr>
      <w:tr>
        <w:trPr>
          <w:trHeight w:val="217"/>
        </w:trPr>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384,372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80" w:type="dxa"/>
            <w:vAlign w:val="bottom"/>
          </w:tcPr>
          <w:p>
            <w:pPr>
              <w:spacing w:after="0"/>
              <w:rPr>
                <w:sz w:val="18"/>
                <w:szCs w:val="18"/>
                <w:color w:val="auto"/>
              </w:rPr>
            </w:pPr>
          </w:p>
        </w:tc>
      </w:tr>
      <w:tr>
        <w:trPr>
          <w:trHeight w:val="331"/>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362,853</w:t>
            </w:r>
          </w:p>
        </w:tc>
        <w:tc>
          <w:tcPr>
            <w:tcW w:w="260" w:type="dxa"/>
            <w:vAlign w:val="bottom"/>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16,010</w:t>
            </w:r>
          </w:p>
        </w:tc>
        <w:tc>
          <w:tcPr>
            <w:tcW w:w="80" w:type="dxa"/>
            <w:vAlign w:val="bottom"/>
          </w:tcPr>
          <w:p>
            <w:pPr>
              <w:spacing w:after="0"/>
              <w:rPr>
                <w:sz w:val="24"/>
                <w:szCs w:val="24"/>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39" w:lineRule="exact"/>
        <w:rPr>
          <w:sz w:val="20"/>
          <w:szCs w:val="20"/>
          <w:color w:val="auto"/>
        </w:rPr>
      </w:pPr>
    </w:p>
    <w:p>
      <w:pPr>
        <w:sectPr>
          <w:pgSz w:w="11900" w:h="16838" w:orient="portrait"/>
          <w:cols w:equalWidth="0" w:num="2">
            <w:col w:w="6580" w:space="720"/>
            <w:col w:w="3920"/>
          </w:cols>
          <w:pgMar w:left="320" w:top="436" w:right="359" w:bottom="1440" w:gutter="0" w:footer="0" w:header="0"/>
          <w:type w:val="continuous"/>
        </w:sectPr>
      </w:pPr>
    </w:p>
    <w:p>
      <w:pPr>
        <w:ind w:right="60" w:firstLine="509"/>
        <w:spacing w:after="0" w:line="253" w:lineRule="auto"/>
        <w:rPr>
          <w:sz w:val="20"/>
          <w:szCs w:val="20"/>
          <w:color w:val="auto"/>
        </w:rPr>
      </w:pPr>
      <w:r>
        <w:rPr>
          <w:rFonts w:ascii="Arial" w:cs="Arial" w:eastAsia="Arial" w:hAnsi="Arial"/>
          <w:sz w:val="17"/>
          <w:szCs w:val="17"/>
          <w:color w:val="auto"/>
        </w:rPr>
        <w:t>Net cash provided by operations was $25.2 million during the year ended December 31, 2021, resulting primarily from a net loss of $61.3 million and a $4.8 million net decrease in our operating assets and liabilities, offset by non-cash charges of $91.3 million. The non-cash charges were primarily comprised of amortization of intangible assets of $58.2 million, a loss on the extinguishment of the previous debt facility of $9.9 million, equity compensation costs of $10.0 million, changes in fair value of contingent consideration of $3.8 million, amortization of deferred contract costs of $4.8 million, amortization of debt issuance costs of $1.7 million, and deferred income tax expense of $0.7 million. The change in operating assets and liabilities was primarily the result of an increase in deferred contract costs of $14.4 million, an increase in accounts receivable of $10.7 million, and an increase in prepaid expenses and other assets of $3.7 million. These factors were partially offset by an increase in deferred revenue of $23.0 million due to the timing of billings and cash received in advance of revenue recognition for subscription services and an increase in accounts payable of $1.0 million due to the timing of invoices received and payments made.</w:t>
      </w:r>
    </w:p>
    <w:p>
      <w:pPr>
        <w:spacing w:after="0" w:line="76"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Net cash provided by operations was $23.2 million for the year ended December 31, 2020, resulting from a net loss of $51.2 million and a $1.6 million net decrease in our operating assets and liabilities, offset by non-cash charges of $76.0 million. The non-cash charges were primarily comprised of amortization of intangible assets of $58.4 million, non-cash paid in kind interest expense of $7.4 million, changes in fair value of contingent consideration of $2.6 million and amortization of debt issuance costs of $2.1 million. The change in operating assets and liabilities was primarily the result of increases in accounts receivable of $8.3 million and deferred contract costs of $7.7 million, partially offset by an increase in deferred revenue of $12.1 million due to the timing of billings and cash received in advance of revenue recognition for subscription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0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Cash used in investing activities during the year ended December 31, 2021 was $46.7 million, primarily consisting of a $40.0 million cash investment in Analytical Wizards, LLC ("Analytical Wizards"), a privately-held data analytics company. This investment includes a 35% ownership stake in the company and an option to purchase the remaining 65%. Cash used in investing activities for the period also includes $6.7 million of capital expenditures, primarily relating to purchases of data and expenditures associated with the buildout of leased office facilities.</w:t>
      </w:r>
    </w:p>
    <w:p>
      <w:pPr>
        <w:spacing w:after="0" w:line="6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Cash used in investing activities during the year ended December 31, 2020 was $23.9 million, primarily as a result of cash payments for the acquisition of Monocl of $15.5 million, $6.9 million paid to former members in conjunction with the Advent Acquisition and purchases of property and equipment of $1.4 million.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Cash provided by financing activities during the year ended December 31, 2021 was $384.4 million, primarily consisting of proceeds received from the Company's IPO and follow-on offering transactions (net of underwriting discounts and commissions) of $835.0 million, proceeds of $275.0 million from term loan borrowings under the 2021 Credit Agreement executed in the third quarter of 2021 and member contributions of $5.5 million. These cash inflows were partially offset by repurchases of shares and Definitive OpCo units in conjunction with the IPO and follow-on offerings of $231.8 million, repayments on our term and delayed draw term loans of $474.5, including the full repayment of the loans under the 2019 Credit Agreement, payments of deferred IPO costs of $11.7 million, distributions paid to members of $8.1 million, payments of contingent consideration of $1.5 million and payments of debt issuance costs of $3.5 million.</w:t>
      </w:r>
    </w:p>
    <w:p>
      <w:pPr>
        <w:spacing w:after="0" w:line="83"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Cash provided by financing activities during the year ended December 31, 2020 was $16.7 million, primarily consisting of proceeds from the Delayed Draw Term Loan of $18.0 million and contributions from members of $6.4 million, partially offset by distributions to members of $2.9 million and repayments on the 2019 Term Loan and debt issuance costs of $4.8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0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On September 17, 2021, DH Holdings entered into the 2021 Credit Agreement pursuant to which the lenders thereunder agreed to provide the 2021 Term Loan and the 2021 Revolving Line of Credit. The 2021 Credit Agreement includes certain financial covenants and the 2021 Credit Facilities thereunder are guaranteed by all of DH Holdings' wholly-owned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51"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The 2021 Term Loan is for $275.0 million and has a maturity date of September 17, 2026. The 2021 Term Loan was recorded net of $3.5 million in issuance costs. The issuance costs are amortized to interest expense over the term of the 2021 Term Loan using the effective interest method.</w:t>
      </w:r>
    </w:p>
    <w:p>
      <w:pPr>
        <w:spacing w:after="0" w:line="16"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$273.3 million outstanding on the 2021 Term Loan at December 31, 2021.</w:t>
      </w:r>
    </w:p>
    <w:p>
      <w:pPr>
        <w:spacing w:after="0" w:line="81"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The 2021 Revolving Line of Credit is committed for $75.0 million and has a maturity date of September 17, 2026. There was no outstanding balance on the 2021 Revolving Line of Credit as of December 31, 2021.</w:t>
      </w:r>
    </w:p>
    <w:p>
      <w:pPr>
        <w:spacing w:after="0" w:line="63"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On September 17, 2021, DH Holdings repaid the outstanding principal balances of the 2019 Term Loan of $452.5 million and the 2019 Delayed Draw Term Loan of $17.9 million.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DH Holdings was compliant with its financial covenants under both the 2021 and 2019 Credit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Financing obligations generally include repayment of principal amounts of our term loan (as detailed above in "Debt Obligations"), lease payments and purchase obligations. The leases relate to office facilities and expire at various times through 2030. The lease obligations include $3.1 million to be paid in 2022 and $13.3 million thereafter. Estimated purchase commitments, which currently run through 2025, are $6.1 million in 2022 and $15.8 million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("TRA")</w:t>
      </w:r>
    </w:p>
    <w:p>
      <w:pPr>
        <w:spacing w:after="0" w:line="104"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In connection with the Reorganization Transactions and the IPO, the Company entered into the TRA with certain of our pre- IPO Unitholders and the former shareholders of certain Blocker Companies. The TRA provides for the payment by Definitive Healthcare Corp. of 85.0% of the amount of any tax benefits that it actually realizes, or in some cases is deemed to realize, as a result of (i) certain favorable tax attributes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the acquisition of LLC Units by Definitive Healthcare Corp. and (iii) certain payments made under the TRA.</w:t>
      </w:r>
    </w:p>
    <w:p>
      <w:pPr>
        <w:spacing w:after="0" w:line="5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5" w:name="page56"/>
    <w:bookmarkEnd w:id="55"/>
    <w:p>
      <w:pPr>
        <w:spacing w:after="0" w:line="251" w:lineRule="auto"/>
        <w:rPr>
          <w:sz w:val="20"/>
          <w:szCs w:val="20"/>
          <w:color w:val="auto"/>
        </w:rPr>
      </w:pPr>
      <w:r>
        <w:rPr>
          <w:rFonts w:ascii="Arial" w:cs="Arial" w:eastAsia="Arial" w:hAnsi="Arial"/>
          <w:sz w:val="17"/>
          <w:szCs w:val="17"/>
          <w:color w:val="auto"/>
        </w:rPr>
        <w:t>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7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in our consolidated financial statements included in Part II, Item 8 of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Capital expenditures increased by $5.3 million to $6.7 million for the year ended December 31, 2021 compared to $1.4 million for the same period in the prior year, primarily due to the purchases of data and expenditures related to the buildout of one of our office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Our consolidated financial statements and notes have been prepared in accordance with GAAP. Our critical accounting policies are those that are reflective of uncertainties resulting from significant, complex and subjective judgements, though the accounting treatment for the majority of our revenue, expenses, assets, and liabilities is specifically dictated by GAAP, with no need for the application of judgement.</w:t>
      </w:r>
    </w:p>
    <w:p>
      <w:pPr>
        <w:spacing w:after="0" w:line="74" w:lineRule="exact"/>
        <w:rPr>
          <w:sz w:val="20"/>
          <w:szCs w:val="20"/>
          <w:color w:val="auto"/>
        </w:rPr>
      </w:pPr>
    </w:p>
    <w:p>
      <w:pPr>
        <w:jc w:val="both"/>
        <w:ind w:right="180" w:firstLine="509"/>
        <w:spacing w:after="0" w:line="262" w:lineRule="auto"/>
        <w:rPr>
          <w:sz w:val="20"/>
          <w:szCs w:val="20"/>
          <w:color w:val="auto"/>
        </w:rPr>
      </w:pPr>
      <w:r>
        <w:rPr>
          <w:rFonts w:ascii="Arial" w:cs="Arial" w:eastAsia="Arial" w:hAnsi="Arial"/>
          <w:sz w:val="17"/>
          <w:szCs w:val="17"/>
          <w:color w:val="auto"/>
        </w:rPr>
        <w:t>In certain circumstances, the preparation of consolidated financial statements in conformity with GAAP requires us to make certain estimates and assumptions that affect reported amounts. The estimates and assumptions are based on historical experience, current conditions, and various other factors that we believe to be reasonable under the circumstances. Our actual results may differ from those estimates, though we believe such differences are not likely to be material. We review these estimates on a periodic basis to ensure reasonableness and adequacy.</w:t>
      </w:r>
    </w:p>
    <w:p>
      <w:pPr>
        <w:spacing w:after="0" w:line="64"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 xml:space="preserve">While our significant accounting policies are discussed more fully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the following topics pertain to accounting policies we believe are most critical to the preparation of our financial statements and that require our more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ind w:right="100" w:firstLine="509"/>
        <w:spacing w:after="0" w:line="294" w:lineRule="auto"/>
        <w:rPr>
          <w:sz w:val="20"/>
          <w:szCs w:val="20"/>
          <w:color w:val="auto"/>
        </w:rPr>
      </w:pPr>
      <w:r>
        <w:rPr>
          <w:rFonts w:ascii="Arial" w:cs="Arial" w:eastAsia="Arial" w:hAnsi="Arial"/>
          <w:sz w:val="16"/>
          <w:szCs w:val="16"/>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39" w:lineRule="exact"/>
        <w:rPr>
          <w:sz w:val="20"/>
          <w:szCs w:val="20"/>
          <w:color w:val="auto"/>
        </w:rPr>
      </w:pPr>
    </w:p>
    <w:p>
      <w:pPr>
        <w:jc w:val="both"/>
        <w:ind w:right="320" w:firstLine="509"/>
        <w:spacing w:after="0" w:line="248" w:lineRule="auto"/>
        <w:rPr>
          <w:sz w:val="20"/>
          <w:szCs w:val="20"/>
          <w:color w:val="auto"/>
        </w:rPr>
      </w:pPr>
      <w:r>
        <w:rPr>
          <w:rFonts w:ascii="Arial" w:cs="Arial" w:eastAsia="Arial" w:hAnsi="Arial"/>
          <w:sz w:val="18"/>
          <w:szCs w:val="18"/>
          <w:color w:val="auto"/>
        </w:rPr>
        <w:t>We recognize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6" w:name="page57"/>
    <w:bookmarkEnd w:id="56"/>
    <w:p>
      <w:pPr>
        <w:ind w:right="60" w:firstLine="509"/>
        <w:spacing w:after="0" w:line="248"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74"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3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80"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6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w:t>
      </w:r>
    </w:p>
    <w:p>
      <w:pPr>
        <w:spacing w:after="0" w:line="81"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Company historically has not experienced any significant incidents that affected the defined levels of reliability and performance as required by the contracts.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account for business combinations using the acquisition method in accordance with ASC 805—Business Combinations.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6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81"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6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04"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Equity instruments issued in exchange for services performed by officers, employees, consultants, and directors of the Company are accounted for using a fair-value based method, and the fair value of such equity instruments are recognized as expense in the consolidated statements of operations. The Company has issued restricted stock units ("RSUs"), the fair values of which are determined by the closing stock price on the date of grant, and prior to the IPO, issued profit interest units ("PIUs") to certain employees and officers with a return threshold that was set based on the fair value of the Company.</w:t>
      </w:r>
    </w:p>
    <w:p>
      <w:pPr>
        <w:spacing w:after="0" w:line="47"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For PIUs, fair value was determined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required the Company to make estimates and assumptions, such as expected volatility, expected term and expected risk-free interest rate.</w:t>
      </w:r>
    </w:p>
    <w:p>
      <w:pPr>
        <w:spacing w:after="0" w:line="5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 xml:space="preserve">Effective January 1, 2020, the Company adopted ASU 2018-07 and, as a result, accounts for RSUs and PIUs in accordance with ASC 718—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 Equity-based compensation expense is measured at the grant date of the awards and is recognized on a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over the requisite service periods, which is generally the vesting period of the respective award. For the units which had a performance condition, we recognized compensation expense based on the Company's assessment of the probability that the performance condition(s) would be achieved. Any related compensation expense was recognized when the probability of the event was likely and performance criteria were met. Forfeitures are recognized as they occur.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04" w:lineRule="exact"/>
        <w:rPr>
          <w:sz w:val="20"/>
          <w:szCs w:val="20"/>
          <w:color w:val="auto"/>
        </w:rPr>
      </w:pPr>
    </w:p>
    <w:p>
      <w:pPr>
        <w:jc w:val="both"/>
        <w:ind w:right="100" w:firstLine="509"/>
        <w:spacing w:after="0" w:line="284" w:lineRule="auto"/>
        <w:rPr>
          <w:sz w:val="20"/>
          <w:szCs w:val="20"/>
          <w:color w:val="auto"/>
        </w:rPr>
      </w:pPr>
      <w:r>
        <w:rPr>
          <w:rFonts w:ascii="Arial" w:cs="Arial" w:eastAsia="Arial" w:hAnsi="Arial"/>
          <w:sz w:val="16"/>
          <w:szCs w:val="16"/>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years ended December 31, 2021 or 2020.</w:t>
      </w:r>
    </w:p>
    <w:p>
      <w:pPr>
        <w:spacing w:after="0" w:line="4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w:t>
      </w:r>
    </w:p>
    <w:p>
      <w:pPr>
        <w:spacing w:after="0" w:line="8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Definitive Healthcare Corp. is subject to U.S. federal, state and local income taxes with respect to its allocable share of any taxable income of Definitive OpCo and will be taxed at the prevailing corporate tax rates. In addition to tax expenses, we will also make payments under the Tax Receivable Agreement, which we expect to be significant. We anticipate that we will</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8" w:name="page59"/>
    <w:bookmarkEnd w:id="58"/>
    <w:p>
      <w:pPr>
        <w:jc w:val="both"/>
        <w:ind w:right="560"/>
        <w:spacing w:after="0" w:line="248" w:lineRule="auto"/>
        <w:rPr>
          <w:sz w:val="20"/>
          <w:szCs w:val="20"/>
          <w:color w:val="auto"/>
        </w:rPr>
      </w:pPr>
      <w:r>
        <w:rPr>
          <w:rFonts w:ascii="Arial" w:cs="Arial" w:eastAsia="Arial" w:hAnsi="Arial"/>
          <w:sz w:val="18"/>
          <w:szCs w:val="18"/>
          <w:color w:val="auto"/>
        </w:rPr>
        <w:t>account for the income tax effects and corresponding Tax Receivable Agreement’s effects resulting from future taxable exchanges of LLC Units of Unitholders by us or Definitive OpCo by recognizing an increase in our deferred tax assets, based on enacted tax rates at the date of the purchase or exchange.</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76"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Under the provisions of ASC 740—</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2021 and 2020, we did not have any uncertain tax positions.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0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 xml:space="preserve">For a summary of recent accounting pronouncements applicable to our consolidated financial statements, refer to Note 2.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in the Notes to our consolidated financial statements included in Part II, Item 8 of this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right="440" w:firstLine="509"/>
        <w:spacing w:after="0" w:line="291" w:lineRule="auto"/>
        <w:rPr>
          <w:sz w:val="20"/>
          <w:szCs w:val="20"/>
          <w:color w:val="auto"/>
        </w:rPr>
      </w:pPr>
      <w:r>
        <w:rPr>
          <w:rFonts w:ascii="Arial" w:cs="Arial" w:eastAsia="Arial" w:hAnsi="Arial"/>
          <w:sz w:val="17"/>
          <w:szCs w:val="17"/>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Our cash and cash equivalents primarily consist of cash on hand and highly liquid investments in money market funds and U.S. government securities. As of December 31, 2021 we had cash and cash equivalents of $387.5 million.</w:t>
      </w:r>
    </w:p>
    <w:p>
      <w:pPr>
        <w:spacing w:after="0" w:line="6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operating results are subject to market risk from interest rate fluctuations on our 2021 Term Loan, which bears a variable interest rate based on the LIBO Rate plus an applicable margin. As of December 31, 2021, the total principal balance outstanding was $273.3 million. A hypothetical 1.0% increase or decrease in the interest rate associated with borrowings under the 2021 Credit Agreement would result in an approximately $2.7 million impact to interest expense on an annual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180" w:firstLine="509"/>
        <w:spacing w:after="0" w:line="279" w:lineRule="auto"/>
        <w:rPr>
          <w:sz w:val="20"/>
          <w:szCs w:val="20"/>
          <w:color w:val="auto"/>
        </w:rPr>
      </w:pPr>
      <w:r>
        <w:rPr>
          <w:rFonts w:ascii="Arial" w:cs="Arial" w:eastAsia="Arial" w:hAnsi="Arial"/>
          <w:sz w:val="16"/>
          <w:szCs w:val="16"/>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derivative or hedging transactions, but we may do so in the future if our exposure to foreign currency becomes more significant.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consolidated financial statements, together with the reports of our independent registered public accounting firms, appear beginning on page F-1 of this Annual Report for the year ended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right="260" w:firstLine="509"/>
        <w:spacing w:after="0" w:line="272" w:lineRule="auto"/>
        <w:rPr>
          <w:sz w:val="20"/>
          <w:szCs w:val="20"/>
          <w:color w:val="auto"/>
        </w:rPr>
      </w:pPr>
      <w:r>
        <w:rPr>
          <w:rFonts w:ascii="Arial" w:cs="Arial" w:eastAsia="Arial" w:hAnsi="Arial"/>
          <w:sz w:val="16"/>
          <w:szCs w:val="16"/>
          <w:color w:val="auto"/>
        </w:rPr>
        <w:t>As of the end of the period covered by this Annual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December 31, 2021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Controls Over Financial Reporting</w:t>
      </w:r>
    </w:p>
    <w:p>
      <w:pPr>
        <w:spacing w:after="0" w:line="104"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This report on Form 10-K does not include a report of management's assessment regarding internal control over financial reporting or an attestation report of the Company's registered public accounting firm due to a transition period established by rules of the SEC for newly-public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During the quarter ended December 31, 2021,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2021.</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1000" w:hanging="49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the Index to Consolidated Financial Statements in the Financial Statements Section beginning on page F-1 of this Annual Report on Form 10-K.</w:t>
      </w:r>
    </w:p>
    <w:p>
      <w:pPr>
        <w:spacing w:after="0" w:line="127" w:lineRule="exact"/>
        <w:rPr>
          <w:sz w:val="20"/>
          <w:szCs w:val="20"/>
          <w:color w:val="auto"/>
        </w:rPr>
      </w:pPr>
    </w:p>
    <w:p>
      <w:pPr>
        <w:ind w:left="1000" w:hanging="49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4" w:lineRule="exact"/>
        <w:rPr>
          <w:sz w:val="20"/>
          <w:szCs w:val="20"/>
          <w:color w:val="auto"/>
        </w:rPr>
      </w:pPr>
    </w:p>
    <w:p>
      <w:pPr>
        <w:ind w:left="500" w:right="160"/>
        <w:spacing w:after="0" w:line="261" w:lineRule="auto"/>
        <w:rPr>
          <w:sz w:val="20"/>
          <w:szCs w:val="20"/>
          <w:color w:val="auto"/>
        </w:rPr>
      </w:pPr>
      <w:r>
        <w:rPr>
          <w:rFonts w:ascii="Arial" w:cs="Arial" w:eastAsia="Arial" w:hAnsi="Arial"/>
          <w:sz w:val="18"/>
          <w:szCs w:val="18"/>
          <w:color w:val="auto"/>
        </w:rPr>
        <w:t>All financial statement schedules have been omitted as they are not required, not applicable, or the required information is included in the financial statements or notes to the financial statements.</w:t>
      </w:r>
    </w:p>
    <w:p>
      <w:pPr>
        <w:spacing w:after="0" w:line="63" w:lineRule="exact"/>
        <w:rPr>
          <w:sz w:val="20"/>
          <w:szCs w:val="20"/>
          <w:color w:val="auto"/>
        </w:rPr>
      </w:pPr>
    </w:p>
    <w:p>
      <w:pPr>
        <w:ind w:left="1000" w:hanging="49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0" w:type="dxa"/>
            <w:vAlign w:val="bottom"/>
            <w:gridSpan w:val="30"/>
          </w:tcPr>
          <w:p>
            <w:pPr>
              <w:ind w:left="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260" w:type="dxa"/>
            <w:vAlign w:val="bottom"/>
          </w:tcPr>
          <w:p>
            <w:pPr>
              <w:spacing w:after="0"/>
              <w:rPr>
                <w:sz w:val="24"/>
                <w:szCs w:val="24"/>
                <w:color w:val="auto"/>
              </w:rPr>
            </w:pPr>
          </w:p>
        </w:tc>
        <w:tc>
          <w:tcPr>
            <w:tcW w:w="980" w:type="dxa"/>
            <w:vAlign w:val="bottom"/>
          </w:tcPr>
          <w:p>
            <w:pPr>
              <w:jc w:val="center"/>
              <w:ind w:right="168"/>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0" w:type="dxa"/>
            <w:vAlign w:val="bottom"/>
            <w:gridSpan w:val="29"/>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highlight w:val="white"/>
                <w:w w:val="87"/>
              </w:rPr>
              <w:t>3.1</w:t>
            </w:r>
          </w:p>
        </w:tc>
        <w:tc>
          <w:tcPr>
            <w:tcW w:w="9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gridSpan w:val="2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34"/>
          </w:tcPr>
          <w:p>
            <w:pPr>
              <w:spacing w:after="0" w:line="156" w:lineRule="exact"/>
              <w:rPr>
                <w:rFonts w:ascii="Arial" w:cs="Arial" w:eastAsia="Arial" w:hAnsi="Arial"/>
                <w:sz w:val="18"/>
                <w:szCs w:val="18"/>
                <w:color w:val="0000FF"/>
                <w:w w:val="95"/>
              </w:rPr>
            </w:pPr>
            <w:hyperlink r:id="rId106">
              <w:r>
                <w:rPr>
                  <w:rFonts w:ascii="Arial" w:cs="Arial" w:eastAsia="Arial" w:hAnsi="Arial"/>
                  <w:sz w:val="18"/>
                  <w:szCs w:val="18"/>
                  <w:color w:val="0000FF"/>
                  <w:w w:val="95"/>
                </w:rPr>
                <w:t>Amended and Restated Certificate of Incorporation of Definitive Healthcare Corp. (incorporated by reference to Exhibit 3.1 to the</w:t>
              </w:r>
            </w:hyperlink>
          </w:p>
        </w:tc>
        <w:tc>
          <w:tcPr>
            <w:tcW w:w="0" w:type="dxa"/>
            <w:vAlign w:val="bottom"/>
          </w:tcPr>
          <w:p>
            <w:pPr>
              <w:spacing w:after="0"/>
              <w:rPr>
                <w:sz w:val="1"/>
                <w:szCs w:val="1"/>
                <w:color w:val="auto"/>
              </w:rPr>
            </w:pPr>
          </w:p>
        </w:tc>
      </w:tr>
      <w:tr>
        <w:trPr>
          <w:trHeight w:val="156"/>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w w:val="87"/>
              </w:rPr>
              <w:t>3.2</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Company’s Quarterly Report on Form 10-Q (File No. 001-40815) filed with the SEC on November 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5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4"/>
          </w:tcPr>
          <w:p>
            <w:pPr>
              <w:spacing w:after="0" w:line="169" w:lineRule="exact"/>
              <w:rPr>
                <w:rFonts w:ascii="Arial" w:cs="Arial" w:eastAsia="Arial" w:hAnsi="Arial"/>
                <w:sz w:val="18"/>
                <w:szCs w:val="18"/>
                <w:color w:val="0000FF"/>
                <w:w w:val="93"/>
              </w:rPr>
            </w:pPr>
            <w:hyperlink r:id="rId107">
              <w:r>
                <w:rPr>
                  <w:rFonts w:ascii="Arial" w:cs="Arial" w:eastAsia="Arial" w:hAnsi="Arial"/>
                  <w:sz w:val="18"/>
                  <w:szCs w:val="18"/>
                  <w:color w:val="0000FF"/>
                  <w:w w:val="93"/>
                </w:rPr>
                <w:t>Amended and Restated Bylaws of Definitive Healthcare Corp. (incorporated by reference to Exhibit 3.2 to the Company’s Quarterly</w:t>
              </w:r>
            </w:hyperlink>
          </w:p>
        </w:tc>
        <w:tc>
          <w:tcPr>
            <w:tcW w:w="0" w:type="dxa"/>
            <w:vAlign w:val="bottom"/>
          </w:tcPr>
          <w:p>
            <w:pPr>
              <w:spacing w:after="0"/>
              <w:rPr>
                <w:sz w:val="1"/>
                <w:szCs w:val="1"/>
                <w:color w:val="auto"/>
              </w:rPr>
            </w:pPr>
          </w:p>
        </w:tc>
      </w:tr>
      <w:tr>
        <w:trPr>
          <w:trHeight w:val="156"/>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w w:val="87"/>
              </w:rPr>
              <w:t>3.3</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Report on Form 10-Q (File No. 001-40815) filed with the SEC on November 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3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4"/>
          </w:tcPr>
          <w:p>
            <w:pPr>
              <w:spacing w:after="0" w:line="169" w:lineRule="exact"/>
              <w:rPr>
                <w:rFonts w:ascii="Arial" w:cs="Arial" w:eastAsia="Arial" w:hAnsi="Arial"/>
                <w:sz w:val="18"/>
                <w:szCs w:val="18"/>
                <w:color w:val="0000FF"/>
                <w:w w:val="94"/>
              </w:rPr>
            </w:pPr>
            <w:hyperlink r:id="rId108">
              <w:r>
                <w:rPr>
                  <w:rFonts w:ascii="Arial" w:cs="Arial" w:eastAsia="Arial" w:hAnsi="Arial"/>
                  <w:sz w:val="18"/>
                  <w:szCs w:val="18"/>
                  <w:color w:val="0000FF"/>
                  <w:w w:val="94"/>
                </w:rPr>
                <w:t>Second Amended and Restated Limited Liability Company Agreement of AIDH TopCo, LLC (incorporated by reference to Exhibit</w:t>
              </w:r>
            </w:hyperlink>
          </w:p>
        </w:tc>
        <w:tc>
          <w:tcPr>
            <w:tcW w:w="0" w:type="dxa"/>
            <w:vAlign w:val="bottom"/>
          </w:tcPr>
          <w:p>
            <w:pPr>
              <w:spacing w:after="0"/>
              <w:rPr>
                <w:sz w:val="1"/>
                <w:szCs w:val="1"/>
                <w:color w:val="auto"/>
              </w:rPr>
            </w:pPr>
          </w:p>
        </w:tc>
      </w:tr>
      <w:tr>
        <w:trPr>
          <w:trHeight w:val="155"/>
        </w:trPr>
        <w:tc>
          <w:tcPr>
            <w:tcW w:w="260" w:type="dxa"/>
            <w:vAlign w:val="bottom"/>
            <w:vMerge w:val="restart"/>
          </w:tcPr>
          <w:p>
            <w:pPr>
              <w:ind w:left="20"/>
              <w:spacing w:after="0"/>
              <w:rPr>
                <w:sz w:val="20"/>
                <w:szCs w:val="20"/>
                <w:color w:val="auto"/>
              </w:rPr>
            </w:pPr>
            <w:r>
              <w:rPr>
                <w:rFonts w:ascii="Arial" w:cs="Arial" w:eastAsia="Arial" w:hAnsi="Arial"/>
                <w:sz w:val="18"/>
                <w:szCs w:val="18"/>
                <w:color w:val="auto"/>
                <w:w w:val="87"/>
              </w:rPr>
              <w:t>4.1</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3.</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Quarterly Report on Form 10-Q (File No. 001-4081) filed with the SEC on November 8, 2021).</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6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w:anchor="page106">
              <w:r>
                <w:rPr>
                  <w:rFonts w:ascii="Arial" w:cs="Arial" w:eastAsia="Arial" w:hAnsi="Arial"/>
                  <w:sz w:val="18"/>
                  <w:szCs w:val="18"/>
                  <w:color w:val="0000FF"/>
                </w:rPr>
                <w:t>Description of Registrant’s Securities.</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10.1</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4"/>
          </w:tcPr>
          <w:p>
            <w:pPr>
              <w:spacing w:after="0" w:line="169"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Credit Agreement, dated September 17, 2021, by and among DH Holdings and Administrative Agent, the lenders party thereto and the</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3"/>
          </w:tcPr>
          <w:p>
            <w:pPr>
              <w:spacing w:after="0" w:line="15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issuing banks from time to time party thereto (incorporated by reference to Exhibit 10.1 to the Company’s current report on Form 8-K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(File No. 001-40815), filed with the SEC on September 20,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9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gridSpan w:val="7"/>
          </w:tcPr>
          <w:p>
            <w:pPr>
              <w:spacing w:after="0" w:line="169"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Reorganization Agreement, dated September 14, 2021, between</w:t>
              </w:r>
            </w:hyperlink>
          </w:p>
        </w:tc>
        <w:tc>
          <w:tcPr>
            <w:tcW w:w="4940" w:type="dxa"/>
            <w:vAlign w:val="bottom"/>
            <w:gridSpan w:val="27"/>
          </w:tcPr>
          <w:p>
            <w:pPr>
              <w:spacing w:after="0" w:line="169"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Definitive Healthcare Corp., AIDH TopCo, LLC and the parties</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named therein (incorporated by reference to Exhibit 10.8 to the Company’s Quarterly Report on Form 10-Q (File No. 001-4081)</w:t>
              </w:r>
            </w:hyperlink>
          </w:p>
        </w:tc>
        <w:tc>
          <w:tcPr>
            <w:tcW w:w="460" w:type="dxa"/>
            <w:vAlign w:val="bottom"/>
            <w:gridSpan w:val="16"/>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filed</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with the SEC on November 8, 2021).</w:t>
              </w:r>
            </w:hyperlink>
          </w:p>
        </w:tc>
        <w:tc>
          <w:tcPr>
            <w:tcW w:w="60" w:type="dxa"/>
            <w:vAlign w:val="bottom"/>
            <w:tcBorders>
              <w:top w:val="single" w:sz="8" w:color="0000FF"/>
              <w:bottom w:val="single" w:sz="8" w:color="0000EE"/>
            </w:tcBorders>
          </w:tcPr>
          <w:p>
            <w:pPr>
              <w:spacing w:after="0"/>
              <w:rPr>
                <w:sz w:val="13"/>
                <w:szCs w:val="13"/>
                <w:color w:val="auto"/>
              </w:rPr>
            </w:pPr>
          </w:p>
        </w:tc>
        <w:tc>
          <w:tcPr>
            <w:tcW w:w="6940" w:type="dxa"/>
            <w:vAlign w:val="bottom"/>
            <w:tcBorders>
              <w:top w:val="single" w:sz="8" w:color="0000FF"/>
            </w:tcBorders>
            <w:gridSpan w:val="2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Borders>
              <w:bottom w:val="single" w:sz="8" w:color="0000FF"/>
            </w:tcBorders>
            <w:gridSpan w:val="4"/>
          </w:tcPr>
          <w:p>
            <w:pPr>
              <w:spacing w:after="0" w:line="169" w:lineRule="exact"/>
              <w:rPr>
                <w:rFonts w:ascii="Arial" w:cs="Arial" w:eastAsia="Arial" w:hAnsi="Arial"/>
                <w:sz w:val="18"/>
                <w:szCs w:val="18"/>
                <w:color w:val="0000FF"/>
                <w:w w:val="89"/>
              </w:rPr>
            </w:pPr>
            <w:hyperlink r:id="rId111">
              <w:r>
                <w:rPr>
                  <w:rFonts w:ascii="Arial" w:cs="Arial" w:eastAsia="Arial" w:hAnsi="Arial"/>
                  <w:sz w:val="18"/>
                  <w:szCs w:val="18"/>
                  <w:color w:val="0000FF"/>
                  <w:w w:val="89"/>
                </w:rPr>
                <w:t>Registration Rights Agreement, dated</w:t>
              </w:r>
            </w:hyperlink>
          </w:p>
        </w:tc>
        <w:tc>
          <w:tcPr>
            <w:tcW w:w="6740" w:type="dxa"/>
            <w:vAlign w:val="bottom"/>
            <w:tcBorders>
              <w:bottom w:val="single" w:sz="8" w:color="0000FF"/>
            </w:tcBorders>
            <w:gridSpan w:val="19"/>
          </w:tcPr>
          <w:p>
            <w:pPr>
              <w:ind w:left="20"/>
              <w:spacing w:after="0" w:line="169"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September 14, 2021, by and among Definitive Healthcare Corp. and the Continuing Pro-IPO</w:t>
              </w:r>
            </w:hyperlink>
          </w:p>
        </w:tc>
        <w:tc>
          <w:tcPr>
            <w:tcW w:w="2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34"/>
          </w:tcPr>
          <w:p>
            <w:pPr>
              <w:spacing w:after="0" w:line="156" w:lineRule="exact"/>
              <w:rPr>
                <w:rFonts w:ascii="Arial" w:cs="Arial" w:eastAsia="Arial" w:hAnsi="Arial"/>
                <w:sz w:val="18"/>
                <w:szCs w:val="18"/>
                <w:color w:val="0000FF"/>
                <w:w w:val="93"/>
              </w:rPr>
            </w:pPr>
            <w:hyperlink r:id="rId111">
              <w:r>
                <w:rPr>
                  <w:rFonts w:ascii="Arial" w:cs="Arial" w:eastAsia="Arial" w:hAnsi="Arial"/>
                  <w:sz w:val="18"/>
                  <w:szCs w:val="18"/>
                  <w:color w:val="0000FF"/>
                  <w:w w:val="93"/>
                </w:rPr>
                <w:t>LLC Members (incorporated by reference to Exhibit 10.9 to the Company’s Quarterly Report on Form 10-Q(File No. 001-4081) filed</w:t>
              </w:r>
            </w:hyperlink>
          </w:p>
        </w:tc>
        <w:tc>
          <w:tcPr>
            <w:tcW w:w="0" w:type="dxa"/>
            <w:vAlign w:val="bottom"/>
          </w:tcPr>
          <w:p>
            <w:pPr>
              <w:spacing w:after="0"/>
              <w:rPr>
                <w:sz w:val="1"/>
                <w:szCs w:val="1"/>
                <w:color w:val="auto"/>
              </w:rPr>
            </w:pPr>
          </w:p>
        </w:tc>
      </w:tr>
      <w:tr>
        <w:trPr>
          <w:trHeight w:val="156"/>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FF"/>
              <w:bottom w:val="single" w:sz="8" w:color="0000EE"/>
            </w:tcBorders>
            <w:gridSpan w:val="4"/>
          </w:tcPr>
          <w:p>
            <w:pPr>
              <w:spacing w:after="0" w:line="156"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with the SEC on November 8, 2021).</w:t>
              </w:r>
            </w:hyperlink>
          </w:p>
        </w:tc>
        <w:tc>
          <w:tcPr>
            <w:tcW w:w="6920" w:type="dxa"/>
            <w:vAlign w:val="bottom"/>
            <w:tcBorders>
              <w:top w:val="single" w:sz="8" w:color="0000FF"/>
            </w:tcBorders>
            <w:gridSpan w:val="2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4"/>
          </w:tcPr>
          <w:p>
            <w:pPr>
              <w:spacing w:after="0" w:line="169" w:lineRule="exact"/>
              <w:rPr>
                <w:rFonts w:ascii="Arial" w:cs="Arial" w:eastAsia="Arial" w:hAnsi="Arial"/>
                <w:sz w:val="18"/>
                <w:szCs w:val="18"/>
                <w:color w:val="0000FF"/>
                <w:w w:val="93"/>
              </w:rPr>
            </w:pPr>
            <w:hyperlink r:id="rId112">
              <w:r>
                <w:rPr>
                  <w:rFonts w:ascii="Arial" w:cs="Arial" w:eastAsia="Arial" w:hAnsi="Arial"/>
                  <w:sz w:val="18"/>
                  <w:szCs w:val="18"/>
                  <w:color w:val="0000FF"/>
                  <w:w w:val="93"/>
                </w:rPr>
                <w:t>Tax Receivable Agreement, dated September 14, 2021, between Definitive Healthcare Corp. and the TRA Parties (incorporated by</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reference to Exhibit 10.10 to the Company’s Quarterly Report on Form10-Q (File No. 001-4081) filed with the SEC on November</w:t>
              </w:r>
            </w:hyperlink>
          </w:p>
        </w:tc>
        <w:tc>
          <w:tcPr>
            <w:tcW w:w="120" w:type="dxa"/>
            <w:vAlign w:val="bottom"/>
            <w:tcBorders>
              <w:bottom w:val="single" w:sz="8" w:color="0000FF"/>
            </w:tcBorders>
            <w:gridSpan w:val="5"/>
          </w:tcPr>
          <w:p>
            <w:pPr>
              <w:jc w:val="right"/>
              <w:ind w:right="20"/>
              <w:spacing w:after="0"/>
              <w:rPr>
                <w:rFonts w:ascii="Arial" w:cs="Arial" w:eastAsia="Arial" w:hAnsi="Arial"/>
                <w:sz w:val="13"/>
                <w:szCs w:val="13"/>
                <w:color w:val="0000FF"/>
                <w:w w:val="73"/>
              </w:rPr>
            </w:pPr>
            <w:hyperlink r:id="rId112">
              <w:r>
                <w:rPr>
                  <w:rFonts w:ascii="Arial" w:cs="Arial" w:eastAsia="Arial" w:hAnsi="Arial"/>
                  <w:sz w:val="13"/>
                  <w:szCs w:val="13"/>
                  <w:color w:val="0000FF"/>
                  <w:w w:val="73"/>
                </w:rPr>
                <w:t>8,</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10.5</w:t>
            </w:r>
          </w:p>
        </w:tc>
        <w:tc>
          <w:tcPr>
            <w:tcW w:w="260" w:type="dxa"/>
            <w:vAlign w:val="bottom"/>
            <w:gridSpan w:val="2"/>
          </w:tcPr>
          <w:p>
            <w:pPr>
              <w:spacing w:after="0"/>
              <w:rPr>
                <w:sz w:val="13"/>
                <w:szCs w:val="13"/>
                <w:color w:val="auto"/>
              </w:rPr>
            </w:pPr>
          </w:p>
        </w:tc>
        <w:tc>
          <w:tcPr>
            <w:tcW w:w="46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12">
              <w:r>
                <w:rPr>
                  <w:rFonts w:ascii="Arial" w:cs="Arial" w:eastAsia="Arial" w:hAnsi="Arial"/>
                  <w:sz w:val="18"/>
                  <w:szCs w:val="18"/>
                  <w:color w:val="0000FF"/>
                  <w:w w:val="86"/>
                </w:rPr>
                <w:t>2021).</w:t>
              </w:r>
            </w:hyperlink>
          </w:p>
        </w:tc>
        <w:tc>
          <w:tcPr>
            <w:tcW w:w="20" w:type="dxa"/>
            <w:vAlign w:val="bottom"/>
            <w:tcBorders>
              <w:bottom w:val="single" w:sz="8" w:color="0000EE"/>
            </w:tcBorders>
          </w:tcPr>
          <w:p>
            <w:pPr>
              <w:spacing w:after="0"/>
              <w:rPr>
                <w:sz w:val="13"/>
                <w:szCs w:val="13"/>
                <w:color w:val="auto"/>
              </w:rPr>
            </w:pP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4"/>
          </w:tcPr>
          <w:p>
            <w:pPr>
              <w:spacing w:after="0" w:line="169"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Nominating Agreement, dated September 17, 2021, between the Company and Advent (incorporated by reference to Exhibit 10.11 to</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the Company’s Quarterly Report on Form 10-Q (File No. 001-4081) filed with the SEC on November 8, 2021).</w:t>
              </w:r>
            </w:hyperlink>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gridSpan w:val="5"/>
            <w:shd w:val="clear" w:color="auto" w:fill="0000FF"/>
          </w:tcPr>
          <w:p>
            <w:pPr>
              <w:spacing w:after="0" w:line="20" w:lineRule="exact"/>
              <w:rPr>
                <w:sz w:val="1"/>
                <w:szCs w:val="1"/>
                <w:color w:val="auto"/>
              </w:rPr>
            </w:pPr>
          </w:p>
        </w:tc>
        <w:tc>
          <w:tcPr>
            <w:tcW w:w="3680" w:type="dxa"/>
            <w:vAlign w:val="bottom"/>
            <w:tcBorders>
              <w:right w:val="single" w:sz="8" w:color="0000EE"/>
            </w:tcBorders>
            <w:gridSpan w:val="7"/>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4"/>
          </w:tcPr>
          <w:p>
            <w:pPr>
              <w:spacing w:after="0" w:line="169"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Nominating Agreement, dated September 17, 2021 between the Company and SE VII DHC AIV, L.P. (incorporated by reference to</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14">
              <w:r>
                <w:rPr>
                  <w:rFonts w:ascii="Arial" w:cs="Arial" w:eastAsia="Arial" w:hAnsi="Arial"/>
                  <w:sz w:val="18"/>
                  <w:szCs w:val="18"/>
                  <w:color w:val="0000FF"/>
                  <w:w w:val="92"/>
                </w:rPr>
                <w:t>Exhibit 10.12 to the Company’s Quarterly Report on Form10-Q (File No. 001-4081) filed with the SEC on November 8, 2021).</w:t>
              </w:r>
            </w:hyperlink>
          </w:p>
        </w:tc>
        <w:tc>
          <w:tcPr>
            <w:tcW w:w="320" w:type="dxa"/>
            <w:vAlign w:val="bottom"/>
            <w:tcBorders>
              <w:top w:val="single" w:sz="8" w:color="0000FF"/>
            </w:tcBorders>
            <w:gridSpan w:val="8"/>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4"/>
          </w:tcPr>
          <w:p>
            <w:pPr>
              <w:spacing w:after="0" w:line="169"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Nominating Agreement, dated September 17, 2021, between the Company and Jason Krantz (incorporated by reference to Exhibit</w:t>
              </w:r>
            </w:hyperlink>
          </w:p>
        </w:tc>
        <w:tc>
          <w:tcPr>
            <w:tcW w:w="0" w:type="dxa"/>
            <w:vAlign w:val="bottom"/>
          </w:tcPr>
          <w:p>
            <w:pPr>
              <w:spacing w:after="0"/>
              <w:rPr>
                <w:sz w:val="1"/>
                <w:szCs w:val="1"/>
                <w:color w:val="auto"/>
              </w:rPr>
            </w:pPr>
          </w:p>
        </w:tc>
      </w:tr>
      <w:tr>
        <w:trPr>
          <w:trHeight w:val="15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13</w:t>
              </w:r>
              <w:r>
                <w:rPr>
                  <w:rFonts w:ascii="Arial" w:cs="Arial" w:eastAsia="Arial" w:hAnsi="Arial"/>
                  <w:sz w:val="18"/>
                  <w:szCs w:val="18"/>
                  <w:color w:val="0000FF"/>
                  <w:w w:val="91"/>
                </w:rPr>
                <w:t xml:space="preserve"> to the Company’s Quarterly Report on Form10-Q (File No. 001-4081) filed with the SEC on November 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20" w:type="dxa"/>
            <w:vAlign w:val="bottom"/>
            <w:tcBorders>
              <w:top w:val="single" w:sz="8" w:color="0000FF"/>
            </w:tcBorders>
            <w:gridSpan w:val="6"/>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34"/>
          </w:tcPr>
          <w:p>
            <w:pPr>
              <w:spacing w:after="0" w:line="169" w:lineRule="exact"/>
              <w:rPr>
                <w:rFonts w:ascii="Arial" w:cs="Arial" w:eastAsia="Arial" w:hAnsi="Arial"/>
                <w:sz w:val="18"/>
                <w:szCs w:val="18"/>
                <w:color w:val="0000FF"/>
                <w:w w:val="94"/>
              </w:rPr>
            </w:pPr>
            <w:hyperlink r:id="rId116">
              <w:r>
                <w:rPr>
                  <w:rFonts w:ascii="Arial" w:cs="Arial" w:eastAsia="Arial" w:hAnsi="Arial"/>
                  <w:sz w:val="18"/>
                  <w:szCs w:val="18"/>
                  <w:color w:val="0000FF"/>
                  <w:w w:val="94"/>
                </w:rPr>
                <w:t>Reimbursement Agreement, dated September 17, 2021, between Definitive Healthcare Corp. and Jason Krantz and certain other</w:t>
              </w:r>
            </w:hyperlink>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stockholders (incorporated by reference to Exhibit 10.14 to the Company’s Quarterly Report on Form10-Q (File No. 001-4081)</w:t>
              </w:r>
            </w:hyperlink>
          </w:p>
        </w:tc>
        <w:tc>
          <w:tcPr>
            <w:tcW w:w="480" w:type="dxa"/>
            <w:vAlign w:val="bottom"/>
            <w:gridSpan w:val="17"/>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filed</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with the SEC on November 8, 2021).</w:t>
              </w:r>
            </w:hyperlink>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10.9†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Borders>
              <w:top w:val="single" w:sz="8" w:color="0000EE"/>
              <w:bottom w:val="single" w:sz="8" w:color="0000FF"/>
            </w:tcBorders>
            <w:gridSpan w:val="3"/>
          </w:tcPr>
          <w:p>
            <w:pPr>
              <w:spacing w:after="0" w:line="169"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Stock and Unit Purchase Agreement,</w:t>
              </w:r>
            </w:hyperlink>
          </w:p>
        </w:tc>
        <w:tc>
          <w:tcPr>
            <w:tcW w:w="60" w:type="dxa"/>
            <w:vAlign w:val="bottom"/>
            <w:tcBorders>
              <w:top w:val="single" w:sz="8" w:color="0000EE"/>
              <w:bottom w:val="single" w:sz="8" w:color="0000FF"/>
            </w:tcBorders>
          </w:tcPr>
          <w:p>
            <w:pPr>
              <w:spacing w:after="0"/>
              <w:rPr>
                <w:sz w:val="14"/>
                <w:szCs w:val="14"/>
                <w:color w:val="auto"/>
              </w:rPr>
            </w:pPr>
          </w:p>
        </w:tc>
        <w:tc>
          <w:tcPr>
            <w:tcW w:w="6660" w:type="dxa"/>
            <w:vAlign w:val="bottom"/>
            <w:tcBorders>
              <w:bottom w:val="single" w:sz="8" w:color="0000FF"/>
            </w:tcBorders>
            <w:gridSpan w:val="15"/>
          </w:tcPr>
          <w:p>
            <w:pPr>
              <w:spacing w:after="0" w:line="169"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dated September 7, 2021, by and among Definitive Health Care Corp. and the parties named</w:t>
              </w:r>
            </w:hyperlink>
          </w:p>
        </w:tc>
        <w:tc>
          <w:tcPr>
            <w:tcW w:w="3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34"/>
          </w:tcPr>
          <w:p>
            <w:pPr>
              <w:spacing w:after="0" w:line="15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therein (incorporated by reference to Exhibit 10.19 to Amendment No. 2 to the Company’s Registration Statement on Form S-1 (File</w:t>
              </w:r>
            </w:hyperlink>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No. 333-258990) filed with the SEC on September 7, 2021).</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533"/>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4340" w:type="dxa"/>
            <w:vAlign w:val="bottom"/>
            <w:tcBorders>
              <w:top w:val="single" w:sz="8" w:color="0000FF"/>
            </w:tcBorders>
            <w:gridSpan w:val="5"/>
          </w:tcPr>
          <w:p>
            <w:pPr>
              <w:ind w:left="404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-3985895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10.10†</w:t>
            </w:r>
          </w:p>
        </w:tc>
        <w:tc>
          <w:tcPr>
            <w:tcW w:w="9700" w:type="dxa"/>
            <w:vAlign w:val="bottom"/>
            <w:gridSpan w:val="36"/>
          </w:tcPr>
          <w:p>
            <w:pPr>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Stock and Unit Purchase Agreement, dated November 10, 2021, by and among Definitive Healthcare Corp. and the parties named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therein (incorporated by reference to Exhibit 10.21 to the Company’s Registration Statement on Form S-1 (File No. 333-261083)</w:t>
              </w:r>
            </w:hyperlink>
          </w:p>
        </w:tc>
        <w:tc>
          <w:tcPr>
            <w:tcW w:w="300" w:type="dxa"/>
            <w:vAlign w:val="bottom"/>
            <w:tcBorders>
              <w:bottom w:val="single" w:sz="8" w:color="0000FF"/>
            </w:tcBorders>
            <w:gridSpan w:val="10"/>
          </w:tcPr>
          <w:p>
            <w:pPr>
              <w:spacing w:after="0" w:line="156" w:lineRule="exact"/>
              <w:rPr>
                <w:rFonts w:ascii="Arial" w:cs="Arial" w:eastAsia="Arial" w:hAnsi="Arial"/>
                <w:sz w:val="18"/>
                <w:szCs w:val="18"/>
                <w:color w:val="0000FF"/>
                <w:w w:val="84"/>
              </w:rPr>
            </w:pPr>
            <w:hyperlink r:id="rId121">
              <w:r>
                <w:rPr>
                  <w:rFonts w:ascii="Arial" w:cs="Arial" w:eastAsia="Arial" w:hAnsi="Arial"/>
                  <w:sz w:val="18"/>
                  <w:szCs w:val="18"/>
                  <w:color w:val="0000FF"/>
                  <w:w w:val="84"/>
                </w:rPr>
                <w:t>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700" w:type="dxa"/>
            <w:vAlign w:val="bottom"/>
            <w:gridSpan w:val="36"/>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with the SEC on November 15,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10.11†</w:t>
            </w:r>
          </w:p>
        </w:tc>
        <w:tc>
          <w:tcPr>
            <w:tcW w:w="276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84"/>
              </w:rPr>
            </w:pPr>
            <w:hyperlink r:id="rId122">
              <w:r>
                <w:rPr>
                  <w:rFonts w:ascii="Arial" w:cs="Arial" w:eastAsia="Arial" w:hAnsi="Arial"/>
                  <w:sz w:val="18"/>
                  <w:szCs w:val="18"/>
                  <w:color w:val="0000FF"/>
                  <w:w w:val="84"/>
                </w:rPr>
                <w:t>2019 Equity Incentive Plan (incorporated</w:t>
              </w:r>
            </w:hyperlink>
          </w:p>
        </w:tc>
        <w:tc>
          <w:tcPr>
            <w:tcW w:w="20" w:type="dxa"/>
            <w:vAlign w:val="bottom"/>
            <w:tcBorders>
              <w:top w:val="single" w:sz="8" w:color="0000EE"/>
              <w:bottom w:val="single" w:sz="8" w:color="0000FF"/>
            </w:tcBorders>
          </w:tcPr>
          <w:p>
            <w:pPr>
              <w:spacing w:after="0"/>
              <w:rPr>
                <w:sz w:val="14"/>
                <w:szCs w:val="14"/>
                <w:color w:val="auto"/>
              </w:rPr>
            </w:pPr>
          </w:p>
        </w:tc>
        <w:tc>
          <w:tcPr>
            <w:tcW w:w="6920" w:type="dxa"/>
            <w:vAlign w:val="bottom"/>
            <w:tcBorders>
              <w:bottom w:val="single" w:sz="8" w:color="0000FF"/>
            </w:tcBorders>
            <w:gridSpan w:val="27"/>
          </w:tcPr>
          <w:p>
            <w:pPr>
              <w:ind w:left="240"/>
              <w:spacing w:after="0" w:line="169"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by reference to Exhibit 10.1 to the Company’s Registration Statement on Form S-1 (File No.</w:t>
              </w:r>
            </w:hyperlink>
          </w:p>
        </w:tc>
        <w:tc>
          <w:tcPr>
            <w:tcW w:w="2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10.12†</w:t>
            </w:r>
          </w:p>
        </w:tc>
        <w:tc>
          <w:tcPr>
            <w:tcW w:w="9700" w:type="dxa"/>
            <w:vAlign w:val="bottom"/>
            <w:gridSpan w:val="36"/>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333-258990) filed with the SEC on August 20,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38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113">
              <w:r>
                <w:rPr>
                  <w:rFonts w:ascii="Arial" w:cs="Arial" w:eastAsia="Arial" w:hAnsi="Arial"/>
                  <w:sz w:val="18"/>
                  <w:szCs w:val="18"/>
                  <w:color w:val="0000FF"/>
                </w:rPr>
                <w:t>2021 Equity Incentive Plan.</w:t>
              </w:r>
            </w:hyperlink>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line="189" w:lineRule="exact"/>
              <w:rPr>
                <w:sz w:val="20"/>
                <w:szCs w:val="20"/>
                <w:color w:val="auto"/>
              </w:rPr>
            </w:pPr>
            <w:r>
              <w:rPr>
                <w:rFonts w:ascii="Arial" w:cs="Arial" w:eastAsia="Arial" w:hAnsi="Arial"/>
                <w:sz w:val="18"/>
                <w:szCs w:val="18"/>
                <w:color w:val="auto"/>
              </w:rPr>
              <w:t>10.13†</w:t>
            </w: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00" w:type="dxa"/>
            <w:vAlign w:val="bottom"/>
            <w:gridSpan w:val="36"/>
          </w:tcPr>
          <w:p>
            <w:pPr>
              <w:spacing w:after="0" w:line="169" w:lineRule="exact"/>
              <w:rPr>
                <w:rFonts w:ascii="Arial" w:cs="Arial" w:eastAsia="Arial" w:hAnsi="Arial"/>
                <w:sz w:val="18"/>
                <w:szCs w:val="18"/>
                <w:color w:val="0000FF"/>
                <w:w w:val="95"/>
              </w:rPr>
            </w:pPr>
            <w:hyperlink r:id="rId123">
              <w:r>
                <w:rPr>
                  <w:rFonts w:ascii="Arial" w:cs="Arial" w:eastAsia="Arial" w:hAnsi="Arial"/>
                  <w:sz w:val="18"/>
                  <w:szCs w:val="18"/>
                  <w:color w:val="0000FF"/>
                  <w:w w:val="95"/>
                </w:rPr>
                <w:t>Form of equity award agreements under 2019 Equity Incentive Plan (incorporated by reference to Exhibit 10.3 to the Company’s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10.14†</w:t>
            </w:r>
          </w:p>
        </w:tc>
        <w:tc>
          <w:tcPr>
            <w:tcW w:w="93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Registration Statement on Form S-1 (File No. 333-258990) filed with the SEC on August 20, 2021).</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00" w:type="dxa"/>
            <w:vAlign w:val="bottom"/>
            <w:gridSpan w:val="36"/>
          </w:tcPr>
          <w:p>
            <w:pPr>
              <w:spacing w:after="0" w:line="169" w:lineRule="exact"/>
              <w:rPr>
                <w:rFonts w:ascii="Arial" w:cs="Arial" w:eastAsia="Arial" w:hAnsi="Arial"/>
                <w:sz w:val="18"/>
                <w:szCs w:val="18"/>
                <w:color w:val="0000FF"/>
                <w:w w:val="96"/>
              </w:rPr>
            </w:pPr>
            <w:hyperlink r:id="rId124">
              <w:r>
                <w:rPr>
                  <w:rFonts w:ascii="Arial" w:cs="Arial" w:eastAsia="Arial" w:hAnsi="Arial"/>
                  <w:sz w:val="18"/>
                  <w:szCs w:val="18"/>
                  <w:color w:val="0000FF"/>
                  <w:w w:val="96"/>
                </w:rPr>
                <w:t>Form of executive equity award agreements under 2021 Equity Incentive Plan (incorporated by reference to Exhibit 10.4 to the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Arial" w:cs="Arial" w:eastAsia="Arial" w:hAnsi="Arial"/>
                <w:sz w:val="18"/>
                <w:szCs w:val="18"/>
                <w:color w:val="auto"/>
              </w:rPr>
              <w:t>10.15</w:t>
            </w:r>
          </w:p>
        </w:tc>
        <w:tc>
          <w:tcPr>
            <w:tcW w:w="808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Company’s Registration Statement on Form S-1 (File No. 333-258990) filed with the SEC on August 20,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080" w:type="dxa"/>
            <w:vAlign w:val="bottom"/>
            <w:tcBorders>
              <w:top w:val="single" w:sz="8" w:color="0000FF"/>
            </w:tcBorders>
            <w:gridSpan w:val="2"/>
          </w:tcPr>
          <w:p>
            <w:pPr>
              <w:spacing w:after="0"/>
              <w:rPr>
                <w:sz w:val="13"/>
                <w:szCs w:val="13"/>
                <w:color w:val="auto"/>
              </w:rPr>
            </w:pPr>
          </w:p>
        </w:tc>
        <w:tc>
          <w:tcPr>
            <w:tcW w:w="2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00" w:type="dxa"/>
            <w:vAlign w:val="bottom"/>
            <w:gridSpan w:val="36"/>
          </w:tcPr>
          <w:p>
            <w:pPr>
              <w:spacing w:after="0" w:line="169"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Form of 2021 Executive Officer and Director Indemnification Agreement for Definitive Healthcare Corp. (incorporated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10.16†</w:t>
            </w:r>
          </w:p>
        </w:tc>
        <w:tc>
          <w:tcPr>
            <w:tcW w:w="9620" w:type="dxa"/>
            <w:vAlign w:val="bottom"/>
            <w:tcBorders>
              <w:top w:val="single" w:sz="8" w:color="0000FF"/>
              <w:bottom w:val="single" w:sz="8" w:color="0000FF"/>
            </w:tcBorders>
            <w:gridSpan w:val="32"/>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to Exhibit 10.6 to the Company’s Registration Statement on Form S-1 (File No. 333-258990) filed with the SEC on August 20, 2021)</w:t>
              </w:r>
            </w:hyperlink>
          </w:p>
        </w:tc>
        <w:tc>
          <w:tcPr>
            <w:tcW w:w="60" w:type="dxa"/>
            <w:vAlign w:val="bottom"/>
            <w:tcBorders>
              <w:bottom w:val="single" w:sz="8" w:color="0000FF"/>
            </w:tcBorders>
            <w:gridSpan w:val="3"/>
          </w:tcPr>
          <w:p>
            <w:pPr>
              <w:jc w:val="right"/>
              <w:ind w:right="40"/>
              <w:spacing w:after="0"/>
              <w:rPr>
                <w:rFonts w:ascii="Arial" w:cs="Arial" w:eastAsia="Arial" w:hAnsi="Arial"/>
                <w:sz w:val="1"/>
                <w:szCs w:val="1"/>
                <w:color w:val="0000FF"/>
                <w:w w:val="4294967279"/>
              </w:rPr>
            </w:pPr>
            <w:hyperlink r:id="rId125">
              <w:r>
                <w:rPr>
                  <w:rFonts w:ascii="Arial" w:cs="Arial" w:eastAsia="Arial" w:hAnsi="Arial"/>
                  <w:sz w:val="1"/>
                  <w:szCs w:val="1"/>
                  <w:color w:val="0000FF"/>
                  <w:w w:val="4294967279"/>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00" w:type="dxa"/>
            <w:vAlign w:val="bottom"/>
            <w:tcBorders>
              <w:bottom w:val="single" w:sz="8" w:color="0000FF"/>
            </w:tcBorders>
            <w:gridSpan w:val="36"/>
          </w:tcPr>
          <w:p>
            <w:pPr>
              <w:spacing w:after="0" w:line="169"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2021 Employee Stock Purchase Plan (incorporated by reference to Exhibit 10.7 to the Company’s Registration Statement on Form S-1</w:t>
              </w:r>
            </w:hyperlink>
          </w:p>
        </w:tc>
        <w:tc>
          <w:tcPr>
            <w:tcW w:w="2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9700" w:type="dxa"/>
            <w:vAlign w:val="bottom"/>
            <w:gridSpan w:val="36"/>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(File No. 333-258990) filed with the SEC on August 20,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440" w:type="dxa"/>
            <w:vAlign w:val="bottom"/>
            <w:tcBorders>
              <w:bottom w:val="single" w:sz="8" w:color="0000FF"/>
            </w:tcBorders>
            <w:gridSpan w:val="27"/>
          </w:tcPr>
          <w:p>
            <w:pPr>
              <w:spacing w:after="0" w:line="169"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Employment Agreement, dated February 18, 2015, by and between Definitive Healthcare, LLC and Jason Krantz (incorporated by</w:t>
              </w:r>
            </w:hyperlink>
          </w:p>
        </w:tc>
        <w:tc>
          <w:tcPr>
            <w:tcW w:w="26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660" w:type="dxa"/>
            <w:vAlign w:val="bottom"/>
            <w:tcBorders>
              <w:bottom w:val="single" w:sz="8" w:color="0000FF"/>
            </w:tcBorders>
            <w:gridSpan w:val="34"/>
          </w:tcPr>
          <w:p>
            <w:pPr>
              <w:spacing w:after="0" w:line="156"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reference to Exhibit 10.8 to the Company’s Registration Statement on Form S-1 (File No. 333-258990) filed with the SEC on August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7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27">
              <w:r>
                <w:rPr>
                  <w:rFonts w:ascii="Arial" w:cs="Arial" w:eastAsia="Arial" w:hAnsi="Arial"/>
                  <w:sz w:val="18"/>
                  <w:szCs w:val="18"/>
                  <w:color w:val="0000FF"/>
                  <w:w w:val="86"/>
                </w:rPr>
                <w:t>20, 2021).</w:t>
              </w:r>
            </w:hyperlink>
          </w:p>
        </w:tc>
        <w:tc>
          <w:tcPr>
            <w:tcW w:w="20" w:type="dxa"/>
            <w:vAlign w:val="bottom"/>
            <w:tcBorders>
              <w:bottom w:val="single" w:sz="8" w:color="0000EE"/>
            </w:tcBorders>
          </w:tcPr>
          <w:p>
            <w:pPr>
              <w:spacing w:after="0"/>
              <w:rPr>
                <w:sz w:val="13"/>
                <w:szCs w:val="13"/>
                <w:color w:val="auto"/>
              </w:rPr>
            </w:pPr>
          </w:p>
        </w:tc>
        <w:tc>
          <w:tcPr>
            <w:tcW w:w="8960" w:type="dxa"/>
            <w:vAlign w:val="bottom"/>
            <w:gridSpan w:val="34"/>
            <w:vMerge w:val="restart"/>
          </w:tcPr>
          <w:p>
            <w:pPr>
              <w:ind w:left="220"/>
              <w:spacing w:after="0"/>
              <w:rPr>
                <w:rFonts w:ascii="Arial" w:cs="Arial" w:eastAsia="Arial" w:hAnsi="Arial"/>
                <w:sz w:val="18"/>
                <w:szCs w:val="18"/>
                <w:color w:val="0000FF"/>
                <w:w w:val="94"/>
              </w:rPr>
            </w:pPr>
            <w:hyperlink r:id="rId128">
              <w:r>
                <w:rPr>
                  <w:rFonts w:ascii="Arial" w:cs="Arial" w:eastAsia="Arial" w:hAnsi="Arial"/>
                  <w:sz w:val="18"/>
                  <w:szCs w:val="18"/>
                  <w:color w:val="0000FF"/>
                  <w:w w:val="94"/>
                </w:rPr>
                <w:t>Agreement, dated January 29, 2021, by and between Definitive Healthcare, LLC and Richard Booth (incorporated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740" w:type="dxa"/>
            <w:vAlign w:val="bottom"/>
            <w:gridSpan w:val="2"/>
          </w:tcPr>
          <w:p>
            <w:pPr>
              <w:spacing w:after="0" w:line="169" w:lineRule="exact"/>
              <w:rPr>
                <w:rFonts w:ascii="Arial" w:cs="Arial" w:eastAsia="Arial" w:hAnsi="Arial"/>
                <w:sz w:val="18"/>
                <w:szCs w:val="18"/>
                <w:color w:val="0000FF"/>
                <w:w w:val="71"/>
              </w:rPr>
            </w:pPr>
            <w:hyperlink r:id="rId128">
              <w:r>
                <w:rPr>
                  <w:rFonts w:ascii="Arial" w:cs="Arial" w:eastAsia="Arial" w:hAnsi="Arial"/>
                  <w:sz w:val="18"/>
                  <w:szCs w:val="18"/>
                  <w:color w:val="0000FF"/>
                  <w:w w:val="71"/>
                </w:rPr>
                <w:t>Employment</w:t>
              </w:r>
            </w:hyperlink>
          </w:p>
        </w:tc>
        <w:tc>
          <w:tcPr>
            <w:tcW w:w="8960" w:type="dxa"/>
            <w:vAlign w:val="bottom"/>
            <w:gridSpan w:val="34"/>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reference to Exhibit 10.9 to the Company’s Registration Statement on Form S-1 (File No. 333-258990) filed with the SEC on August</w:t>
              </w:r>
            </w:hyperlink>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10.19†</w:t>
            </w:r>
          </w:p>
        </w:tc>
        <w:tc>
          <w:tcPr>
            <w:tcW w:w="7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28">
              <w:r>
                <w:rPr>
                  <w:rFonts w:ascii="Arial" w:cs="Arial" w:eastAsia="Arial" w:hAnsi="Arial"/>
                  <w:sz w:val="18"/>
                  <w:szCs w:val="18"/>
                  <w:color w:val="0000FF"/>
                  <w:w w:val="86"/>
                </w:rPr>
                <w:t>20, 2021).</w:t>
              </w:r>
            </w:hyperlink>
          </w:p>
        </w:tc>
        <w:tc>
          <w:tcPr>
            <w:tcW w:w="20" w:type="dxa"/>
            <w:vAlign w:val="bottom"/>
            <w:tcBorders>
              <w:bottom w:val="single" w:sz="8" w:color="0000EE"/>
            </w:tcBorders>
          </w:tcPr>
          <w:p>
            <w:pPr>
              <w:spacing w:after="0"/>
              <w:rPr>
                <w:sz w:val="13"/>
                <w:szCs w:val="13"/>
                <w:color w:val="auto"/>
              </w:rPr>
            </w:pPr>
          </w:p>
        </w:tc>
        <w:tc>
          <w:tcPr>
            <w:tcW w:w="8780" w:type="dxa"/>
            <w:vAlign w:val="bottom"/>
            <w:gridSpan w:val="27"/>
            <w:vMerge w:val="restart"/>
          </w:tcPr>
          <w:p>
            <w:pPr>
              <w:ind w:left="220"/>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Agreement, dated February 1, 2021, by and between Definitive Healthcare, LLC and David Samuels (incorporated by</w:t>
              </w:r>
            </w:hyperlink>
          </w:p>
        </w:tc>
        <w:tc>
          <w:tcPr>
            <w:tcW w:w="180" w:type="dxa"/>
            <w:vAlign w:val="bottom"/>
            <w:gridSpan w:val="7"/>
            <w:vMerge w:val="restart"/>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740" w:type="dxa"/>
            <w:vAlign w:val="bottom"/>
            <w:tcBorders>
              <w:bottom w:val="single" w:sz="8" w:color="0000FF"/>
            </w:tcBorders>
            <w:gridSpan w:val="2"/>
          </w:tcPr>
          <w:p>
            <w:pPr>
              <w:spacing w:after="0" w:line="169" w:lineRule="exact"/>
              <w:rPr>
                <w:rFonts w:ascii="Arial" w:cs="Arial" w:eastAsia="Arial" w:hAnsi="Arial"/>
                <w:sz w:val="18"/>
                <w:szCs w:val="18"/>
                <w:color w:val="0000FF"/>
                <w:w w:val="71"/>
              </w:rPr>
            </w:pPr>
            <w:hyperlink r:id="rId129">
              <w:r>
                <w:rPr>
                  <w:rFonts w:ascii="Arial" w:cs="Arial" w:eastAsia="Arial" w:hAnsi="Arial"/>
                  <w:sz w:val="18"/>
                  <w:szCs w:val="18"/>
                  <w:color w:val="0000FF"/>
                  <w:w w:val="71"/>
                </w:rPr>
                <w:t>Employment</w:t>
              </w:r>
            </w:hyperlink>
          </w:p>
        </w:tc>
        <w:tc>
          <w:tcPr>
            <w:tcW w:w="8780" w:type="dxa"/>
            <w:vAlign w:val="bottom"/>
            <w:tcBorders>
              <w:bottom w:val="single" w:sz="8" w:color="0000FF"/>
            </w:tcBorders>
            <w:gridSpan w:val="27"/>
            <w:vMerge w:val="continue"/>
          </w:tcPr>
          <w:p>
            <w:pPr>
              <w:spacing w:after="0"/>
              <w:rPr>
                <w:sz w:val="14"/>
                <w:szCs w:val="14"/>
                <w:color w:val="auto"/>
              </w:rPr>
            </w:pPr>
          </w:p>
        </w:tc>
        <w:tc>
          <w:tcPr>
            <w:tcW w:w="18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700" w:type="dxa"/>
            <w:vAlign w:val="bottom"/>
            <w:tcBorders>
              <w:bottom w:val="single" w:sz="8" w:color="0000FF"/>
            </w:tcBorders>
            <w:gridSpan w:val="36"/>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reference to Exhibit 10.10 to the Company’s Registration Statement on Form S-1 (File No. 333-258990) filed with the SEC on August</w:t>
              </w:r>
            </w:hyperlink>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vMerge w:val="restart"/>
          </w:tcPr>
          <w:p>
            <w:pPr>
              <w:spacing w:after="0"/>
              <w:rPr>
                <w:sz w:val="20"/>
                <w:szCs w:val="20"/>
                <w:color w:val="auto"/>
              </w:rPr>
            </w:pPr>
            <w:r>
              <w:rPr>
                <w:rFonts w:ascii="Arial" w:cs="Arial" w:eastAsia="Arial" w:hAnsi="Arial"/>
                <w:sz w:val="18"/>
                <w:szCs w:val="18"/>
                <w:color w:val="auto"/>
              </w:rPr>
              <w:t>10.20†</w:t>
            </w:r>
          </w:p>
        </w:tc>
        <w:tc>
          <w:tcPr>
            <w:tcW w:w="7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129">
              <w:r>
                <w:rPr>
                  <w:rFonts w:ascii="Arial" w:cs="Arial" w:eastAsia="Arial" w:hAnsi="Arial"/>
                  <w:sz w:val="18"/>
                  <w:szCs w:val="18"/>
                  <w:color w:val="0000FF"/>
                  <w:w w:val="86"/>
                </w:rPr>
                <w:t>20, 2021).</w:t>
              </w:r>
            </w:hyperlink>
          </w:p>
        </w:tc>
        <w:tc>
          <w:tcPr>
            <w:tcW w:w="20" w:type="dxa"/>
            <w:vAlign w:val="bottom"/>
            <w:tcBorders>
              <w:bottom w:val="single" w:sz="8" w:color="0000EE"/>
            </w:tcBorders>
          </w:tcPr>
          <w:p>
            <w:pPr>
              <w:spacing w:after="0"/>
              <w:rPr>
                <w:sz w:val="13"/>
                <w:szCs w:val="13"/>
                <w:color w:val="auto"/>
              </w:rPr>
            </w:pPr>
          </w:p>
        </w:tc>
        <w:tc>
          <w:tcPr>
            <w:tcW w:w="8960" w:type="dxa"/>
            <w:vAlign w:val="bottom"/>
            <w:gridSpan w:val="34"/>
            <w:vMerge w:val="restart"/>
          </w:tcPr>
          <w:p>
            <w:pPr>
              <w:ind w:left="220"/>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Agreement dated October 7, 2021 by and between Definitive Healthcare Corp. and Robert Musslewhite (incorporated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740" w:type="dxa"/>
            <w:vAlign w:val="bottom"/>
            <w:tcBorders>
              <w:bottom w:val="single" w:sz="8" w:color="0000FF"/>
            </w:tcBorders>
            <w:gridSpan w:val="2"/>
          </w:tcPr>
          <w:p>
            <w:pPr>
              <w:spacing w:after="0" w:line="169" w:lineRule="exact"/>
              <w:rPr>
                <w:rFonts w:ascii="Arial" w:cs="Arial" w:eastAsia="Arial" w:hAnsi="Arial"/>
                <w:sz w:val="18"/>
                <w:szCs w:val="18"/>
                <w:color w:val="0000FF"/>
                <w:w w:val="71"/>
              </w:rPr>
            </w:pPr>
            <w:hyperlink r:id="rId130">
              <w:r>
                <w:rPr>
                  <w:rFonts w:ascii="Arial" w:cs="Arial" w:eastAsia="Arial" w:hAnsi="Arial"/>
                  <w:sz w:val="18"/>
                  <w:szCs w:val="18"/>
                  <w:color w:val="0000FF"/>
                  <w:w w:val="71"/>
                </w:rPr>
                <w:t>Employment</w:t>
              </w:r>
            </w:hyperlink>
          </w:p>
        </w:tc>
        <w:tc>
          <w:tcPr>
            <w:tcW w:w="8960" w:type="dxa"/>
            <w:vAlign w:val="bottom"/>
            <w:tcBorders>
              <w:bottom w:val="single" w:sz="8" w:color="0000FF"/>
            </w:tcBorders>
            <w:gridSpan w:val="34"/>
            <w:vMerge w:val="continue"/>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Arial" w:cs="Arial" w:eastAsia="Arial" w:hAnsi="Arial"/>
                <w:sz w:val="18"/>
                <w:szCs w:val="18"/>
                <w:color w:val="auto"/>
              </w:rPr>
              <w:t>10.21†</w:t>
            </w:r>
          </w:p>
        </w:tc>
        <w:tc>
          <w:tcPr>
            <w:tcW w:w="9700" w:type="dxa"/>
            <w:vAlign w:val="bottom"/>
            <w:gridSpan w:val="36"/>
          </w:tcPr>
          <w:p>
            <w:pPr>
              <w:spacing w:after="0" w:line="156"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reference to Exhibit 10.1 to the Company’s Current Report on Form 8-K (File No. 1-40815) filed with the SEC on October 7,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520" w:type="dxa"/>
            <w:vAlign w:val="bottom"/>
            <w:tcBorders>
              <w:bottom w:val="single" w:sz="8" w:color="0000FF"/>
            </w:tcBorders>
            <w:gridSpan w:val="29"/>
          </w:tcPr>
          <w:p>
            <w:pPr>
              <w:spacing w:after="0" w:line="169" w:lineRule="exact"/>
              <w:rPr>
                <w:rFonts w:ascii="Arial" w:cs="Arial" w:eastAsia="Arial" w:hAnsi="Arial"/>
                <w:sz w:val="18"/>
                <w:szCs w:val="18"/>
                <w:color w:val="0000FF"/>
                <w:w w:val="89"/>
              </w:rPr>
            </w:pPr>
            <w:hyperlink r:id="rId131">
              <w:r>
                <w:rPr>
                  <w:rFonts w:ascii="Arial" w:cs="Arial" w:eastAsia="Arial" w:hAnsi="Arial"/>
                  <w:sz w:val="18"/>
                  <w:szCs w:val="18"/>
                  <w:color w:val="0000FF"/>
                  <w:w w:val="89"/>
                </w:rPr>
                <w:t>Severance Agreement dated September 30, 2021 by and between Definitive Healthcare Corp. and Kevin Shone, effective September</w:t>
              </w:r>
            </w:hyperlink>
          </w:p>
        </w:tc>
        <w:tc>
          <w:tcPr>
            <w:tcW w:w="6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700" w:type="dxa"/>
            <w:vAlign w:val="bottom"/>
            <w:tcBorders>
              <w:bottom w:val="single" w:sz="8" w:color="0000FF"/>
            </w:tcBorders>
            <w:gridSpan w:val="36"/>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30, 2021 (incorporated by reference to Exhibit 10.16 to the Company’s Quarterly Report on Form 10-Q (File No. 001-4081) filed with</w:t>
              </w:r>
            </w:hyperlink>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9700" w:type="dxa"/>
            <w:vAlign w:val="bottom"/>
            <w:gridSpan w:val="36"/>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the SEC on November 8,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10.22†</w:t>
            </w:r>
          </w:p>
        </w:tc>
        <w:tc>
          <w:tcPr>
            <w:tcW w:w="2300" w:type="dxa"/>
            <w:vAlign w:val="bottom"/>
            <w:tcBorders>
              <w:top w:val="single" w:sz="8" w:color="0000FF"/>
            </w:tcBorders>
            <w:gridSpan w:val="4"/>
          </w:tcPr>
          <w:p>
            <w:pPr>
              <w:spacing w:after="0" w:line="169" w:lineRule="exact"/>
              <w:rPr>
                <w:rFonts w:ascii="Arial" w:cs="Arial" w:eastAsia="Arial" w:hAnsi="Arial"/>
                <w:sz w:val="18"/>
                <w:szCs w:val="18"/>
                <w:color w:val="0000FF"/>
                <w:w w:val="86"/>
              </w:rPr>
            </w:pPr>
            <w:hyperlink r:id="rId132">
              <w:r>
                <w:rPr>
                  <w:rFonts w:ascii="Arial" w:cs="Arial" w:eastAsia="Arial" w:hAnsi="Arial"/>
                  <w:sz w:val="18"/>
                  <w:szCs w:val="18"/>
                  <w:color w:val="0000FF"/>
                  <w:w w:val="86"/>
                </w:rPr>
                <w:t>Independent Contractor Services</w:t>
              </w:r>
            </w:hyperlink>
          </w:p>
        </w:tc>
        <w:tc>
          <w:tcPr>
            <w:tcW w:w="20" w:type="dxa"/>
            <w:vAlign w:val="bottom"/>
            <w:tcBorders>
              <w:top w:val="single" w:sz="8" w:color="0000EE"/>
            </w:tcBorders>
          </w:tcPr>
          <w:p>
            <w:pPr>
              <w:spacing w:after="0"/>
              <w:rPr>
                <w:sz w:val="14"/>
                <w:szCs w:val="14"/>
                <w:color w:val="auto"/>
              </w:rPr>
            </w:pPr>
          </w:p>
        </w:tc>
        <w:tc>
          <w:tcPr>
            <w:tcW w:w="7380" w:type="dxa"/>
            <w:vAlign w:val="bottom"/>
            <w:gridSpan w:val="31"/>
          </w:tcPr>
          <w:p>
            <w:pPr>
              <w:ind w:left="80"/>
              <w:spacing w:after="0" w:line="169" w:lineRule="exact"/>
              <w:rPr>
                <w:rFonts w:ascii="Arial" w:cs="Arial" w:eastAsia="Arial" w:hAnsi="Arial"/>
                <w:sz w:val="18"/>
                <w:szCs w:val="18"/>
                <w:color w:val="0000FF"/>
                <w:w w:val="92"/>
              </w:rPr>
            </w:pPr>
            <w:hyperlink r:id="rId132">
              <w:r>
                <w:rPr>
                  <w:rFonts w:ascii="Arial" w:cs="Arial" w:eastAsia="Arial" w:hAnsi="Arial"/>
                  <w:sz w:val="18"/>
                  <w:szCs w:val="18"/>
                  <w:color w:val="0000FF"/>
                  <w:w w:val="92"/>
                </w:rPr>
                <w:t>Agreement dated October 1, 2021 by and between Definitive Healthcare Corp. and Kevin Shone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58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Contractor (incorporated by reference to Exhibit 10.17 to the Company’s Quarterly Report on Form 10-Q (File No. 001-4081)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with the SEC on November 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6820" w:type="dxa"/>
            <w:vAlign w:val="bottom"/>
            <w:tcBorders>
              <w:top w:val="single" w:sz="8" w:color="0000FF"/>
            </w:tcBorders>
            <w:gridSpan w:val="2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21.1</w:t>
            </w:r>
          </w:p>
        </w:tc>
        <w:tc>
          <w:tcPr>
            <w:tcW w:w="2700" w:type="dxa"/>
            <w:vAlign w:val="bottom"/>
            <w:gridSpan w:val="7"/>
          </w:tcPr>
          <w:p>
            <w:pPr>
              <w:spacing w:after="0" w:line="169" w:lineRule="exact"/>
              <w:rPr>
                <w:rFonts w:ascii="Arial" w:cs="Arial" w:eastAsia="Arial" w:hAnsi="Arial"/>
                <w:sz w:val="18"/>
                <w:szCs w:val="18"/>
                <w:color w:val="0000FF"/>
                <w:w w:val="94"/>
              </w:rPr>
            </w:pPr>
            <w:hyperlink r:id="rId133">
              <w:r>
                <w:rPr>
                  <w:rFonts w:ascii="Arial" w:cs="Arial" w:eastAsia="Arial" w:hAnsi="Arial"/>
                  <w:sz w:val="18"/>
                  <w:szCs w:val="18"/>
                  <w:color w:val="0000FF"/>
                  <w:w w:val="94"/>
                </w:rPr>
                <w:t>List of subsidiaries (incorporated by</w:t>
              </w:r>
            </w:hyperlink>
          </w:p>
        </w:tc>
        <w:tc>
          <w:tcPr>
            <w:tcW w:w="7000" w:type="dxa"/>
            <w:vAlign w:val="bottom"/>
            <w:gridSpan w:val="29"/>
          </w:tcPr>
          <w:p>
            <w:pPr>
              <w:jc w:val="center"/>
              <w:ind w:right="260"/>
              <w:spacing w:after="0" w:line="169"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reference to Exhibit 21.1 to the Company's Registration Statement on Form S-1 (File No. 333-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94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258990) filed with the SEC on August 20, 2021).</w:t>
              </w:r>
            </w:hyperlink>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23.1</w:t>
            </w:r>
          </w:p>
        </w:tc>
        <w:tc>
          <w:tcPr>
            <w:tcW w:w="3540" w:type="dxa"/>
            <w:vAlign w:val="bottom"/>
            <w:tcBorders>
              <w:top w:val="single" w:sz="8" w:color="0000FF"/>
            </w:tcBorders>
            <w:gridSpan w:val="12"/>
          </w:tcPr>
          <w:p>
            <w:pPr>
              <w:spacing w:after="0" w:line="169" w:lineRule="exact"/>
              <w:rPr>
                <w:rFonts w:ascii="Arial" w:cs="Arial" w:eastAsia="Arial" w:hAnsi="Arial"/>
                <w:sz w:val="18"/>
                <w:szCs w:val="18"/>
                <w:color w:val="0000FF"/>
                <w:w w:val="92"/>
              </w:rPr>
            </w:pPr>
            <w:hyperlink w:anchor="page137">
              <w:r>
                <w:rPr>
                  <w:rFonts w:ascii="Arial" w:cs="Arial" w:eastAsia="Arial" w:hAnsi="Arial"/>
                  <w:sz w:val="18"/>
                  <w:szCs w:val="18"/>
                  <w:color w:val="0000FF"/>
                  <w:w w:val="92"/>
                </w:rPr>
                <w:t>Consent of Deloitte &amp; Touche LLP, Independent</w:t>
              </w:r>
            </w:hyperlink>
          </w:p>
        </w:tc>
        <w:tc>
          <w:tcPr>
            <w:tcW w:w="20" w:type="dxa"/>
            <w:vAlign w:val="bottom"/>
            <w:tcBorders>
              <w:top w:val="single" w:sz="8" w:color="0000EE"/>
            </w:tcBorders>
          </w:tcPr>
          <w:p>
            <w:pPr>
              <w:spacing w:after="0"/>
              <w:rPr>
                <w:sz w:val="14"/>
                <w:szCs w:val="14"/>
                <w:color w:val="auto"/>
              </w:rPr>
            </w:pPr>
          </w:p>
        </w:tc>
        <w:tc>
          <w:tcPr>
            <w:tcW w:w="6140" w:type="dxa"/>
            <w:vAlign w:val="bottom"/>
            <w:gridSpan w:val="23"/>
          </w:tcPr>
          <w:p>
            <w:pPr>
              <w:jc w:val="center"/>
              <w:ind w:right="1140"/>
              <w:spacing w:after="0" w:line="169" w:lineRule="exact"/>
              <w:rPr>
                <w:rFonts w:ascii="Arial" w:cs="Arial" w:eastAsia="Arial" w:hAnsi="Arial"/>
                <w:sz w:val="18"/>
                <w:szCs w:val="18"/>
                <w:color w:val="0000FF"/>
                <w:w w:val="91"/>
              </w:rPr>
            </w:pPr>
            <w:hyperlink w:anchor="page137">
              <w:r>
                <w:rPr>
                  <w:rFonts w:ascii="Arial" w:cs="Arial" w:eastAsia="Arial" w:hAnsi="Arial"/>
                  <w:sz w:val="18"/>
                  <w:szCs w:val="18"/>
                  <w:color w:val="0000FF"/>
                  <w:w w:val="91"/>
                </w:rPr>
                <w:t>Registered Public Accounting Firm, as to Definitive Healthcare Corp.</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24.1</w:t>
            </w:r>
          </w:p>
        </w:tc>
        <w:tc>
          <w:tcPr>
            <w:tcW w:w="34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Power of Attorney (included on signature page).</w:t>
              </w:r>
            </w:hyperlink>
          </w:p>
        </w:tc>
        <w:tc>
          <w:tcPr>
            <w:tcW w:w="20" w:type="dxa"/>
            <w:vAlign w:val="bottom"/>
            <w:tcBorders>
              <w:top w:val="single" w:sz="8" w:color="0000FF"/>
              <w:bottom w:val="single" w:sz="8" w:color="0000EE"/>
            </w:tcBorders>
          </w:tcPr>
          <w:p>
            <w:pPr>
              <w:spacing w:after="0"/>
              <w:rPr>
                <w:sz w:val="14"/>
                <w:szCs w:val="14"/>
                <w:color w:val="auto"/>
              </w:rPr>
            </w:pPr>
          </w:p>
        </w:tc>
        <w:tc>
          <w:tcPr>
            <w:tcW w:w="5060" w:type="dxa"/>
            <w:vAlign w:val="bottom"/>
            <w:tcBorders>
              <w:top w:val="single" w:sz="8" w:color="0000FF"/>
            </w:tcBorders>
            <w:gridSpan w:val="12"/>
          </w:tcPr>
          <w:p>
            <w:pPr>
              <w:spacing w:after="0"/>
              <w:rPr>
                <w:sz w:val="14"/>
                <w:szCs w:val="14"/>
                <w:color w:val="auto"/>
              </w:rPr>
            </w:pPr>
          </w:p>
        </w:tc>
        <w:tc>
          <w:tcPr>
            <w:tcW w:w="104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9700" w:type="dxa"/>
            <w:vAlign w:val="bottom"/>
            <w:gridSpan w:val="36"/>
          </w:tcPr>
          <w:p>
            <w:pPr>
              <w:spacing w:after="0" w:line="169" w:lineRule="exact"/>
              <w:rPr>
                <w:rFonts w:ascii="Arial" w:cs="Arial" w:eastAsia="Arial" w:hAnsi="Arial"/>
                <w:sz w:val="18"/>
                <w:szCs w:val="18"/>
                <w:color w:val="0000FF"/>
                <w:w w:val="91"/>
              </w:rPr>
            </w:pPr>
            <w:hyperlink w:anchor="page138">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49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w:anchor="page138">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6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vMerge w:val="continue"/>
          </w:tcPr>
          <w:p>
            <w:pPr>
              <w:spacing w:after="0"/>
              <w:rPr>
                <w:sz w:val="14"/>
                <w:szCs w:val="14"/>
                <w:color w:val="auto"/>
              </w:rPr>
            </w:pPr>
          </w:p>
        </w:tc>
        <w:tc>
          <w:tcPr>
            <w:tcW w:w="9700" w:type="dxa"/>
            <w:vAlign w:val="bottom"/>
            <w:gridSpan w:val="36"/>
          </w:tcPr>
          <w:p>
            <w:pPr>
              <w:spacing w:after="0" w:line="169" w:lineRule="exact"/>
              <w:rPr>
                <w:rFonts w:ascii="Arial" w:cs="Arial" w:eastAsia="Arial" w:hAnsi="Arial"/>
                <w:sz w:val="18"/>
                <w:szCs w:val="18"/>
                <w:color w:val="0000FF"/>
                <w:w w:val="92"/>
              </w:rPr>
            </w:pPr>
            <w:hyperlink w:anchor="page139">
              <w:r>
                <w:rPr>
                  <w:rFonts w:ascii="Arial" w:cs="Arial" w:eastAsia="Arial" w:hAnsi="Arial"/>
                  <w:sz w:val="18"/>
                  <w:szCs w:val="18"/>
                  <w:color w:val="0000FF"/>
                  <w:w w:val="92"/>
                </w:rPr>
                <w:t>Certification of Principal Financial Officer pursuant to Rules 13a-14(a) and 15d-14(a) under the Securities Exchange Act of 1934,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w:anchor="page139">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32.1*</w:t>
            </w:r>
          </w:p>
        </w:tc>
        <w:tc>
          <w:tcPr>
            <w:tcW w:w="5000" w:type="dxa"/>
            <w:vAlign w:val="bottom"/>
            <w:gridSpan w:val="19"/>
          </w:tcPr>
          <w:p>
            <w:pPr>
              <w:spacing w:after="0" w:line="169" w:lineRule="exact"/>
              <w:rPr>
                <w:rFonts w:ascii="Arial" w:cs="Arial" w:eastAsia="Arial" w:hAnsi="Arial"/>
                <w:sz w:val="18"/>
                <w:szCs w:val="18"/>
                <w:color w:val="0000FF"/>
                <w:w w:val="96"/>
              </w:rPr>
            </w:pPr>
            <w:hyperlink w:anchor="page140">
              <w:r>
                <w:rPr>
                  <w:rFonts w:ascii="Arial" w:cs="Arial" w:eastAsia="Arial" w:hAnsi="Arial"/>
                  <w:sz w:val="18"/>
                  <w:szCs w:val="18"/>
                  <w:color w:val="0000FF"/>
                  <w:w w:val="96"/>
                </w:rPr>
                <w:t>Certification of Principal Executive Officer and Principal Financial</w:t>
              </w:r>
            </w:hyperlink>
          </w:p>
        </w:tc>
        <w:tc>
          <w:tcPr>
            <w:tcW w:w="4700" w:type="dxa"/>
            <w:vAlign w:val="bottom"/>
            <w:gridSpan w:val="17"/>
          </w:tcPr>
          <w:p>
            <w:pPr>
              <w:spacing w:after="0" w:line="169" w:lineRule="exact"/>
              <w:rPr>
                <w:rFonts w:ascii="Arial" w:cs="Arial" w:eastAsia="Arial" w:hAnsi="Arial"/>
                <w:sz w:val="18"/>
                <w:szCs w:val="18"/>
                <w:color w:val="0000FF"/>
                <w:w w:val="90"/>
              </w:rPr>
            </w:pPr>
            <w:hyperlink w:anchor="page140">
              <w:r>
                <w:rPr>
                  <w:rFonts w:ascii="Arial" w:cs="Arial" w:eastAsia="Arial" w:hAnsi="Arial"/>
                  <w:sz w:val="18"/>
                  <w:szCs w:val="18"/>
                  <w:color w:val="0000FF"/>
                  <w:w w:val="90"/>
                </w:rPr>
                <w:t>Officer pursuant to 18 U.S.C. Section 1350, as Adopted Pursuant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6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w:anchor="page140">
              <w:r>
                <w:rPr>
                  <w:rFonts w:ascii="Arial" w:cs="Arial" w:eastAsia="Arial" w:hAnsi="Arial"/>
                  <w:sz w:val="18"/>
                  <w:szCs w:val="18"/>
                  <w:color w:val="0000FF"/>
                  <w:w w:val="90"/>
                </w:rPr>
                <w:t>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598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vMerge w:val="continue"/>
          </w:tcPr>
          <w:p>
            <w:pPr>
              <w:spacing w:after="0"/>
              <w:rPr>
                <w:sz w:val="13"/>
                <w:szCs w:val="13"/>
                <w:color w:val="auto"/>
              </w:rPr>
            </w:pPr>
          </w:p>
        </w:tc>
        <w:tc>
          <w:tcPr>
            <w:tcW w:w="9700" w:type="dxa"/>
            <w:vAlign w:val="bottom"/>
            <w:gridSpan w:val="36"/>
          </w:tcPr>
          <w:p>
            <w:pPr>
              <w:spacing w:after="0" w:line="156" w:lineRule="exact"/>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XBRL tags 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spacing w:after="0"/>
              <w:rPr>
                <w:sz w:val="16"/>
                <w:szCs w:val="16"/>
                <w:color w:val="auto"/>
              </w:rPr>
            </w:pPr>
          </w:p>
        </w:tc>
        <w:tc>
          <w:tcPr>
            <w:tcW w:w="9700" w:type="dxa"/>
            <w:vAlign w:val="bottom"/>
            <w:gridSpan w:val="36"/>
          </w:tcPr>
          <w:p>
            <w:pPr>
              <w:spacing w:after="0" w:line="189" w:lineRule="exact"/>
              <w:rPr>
                <w:sz w:val="20"/>
                <w:szCs w:val="20"/>
                <w:color w:val="auto"/>
              </w:rPr>
            </w:pPr>
            <w:r>
              <w:rPr>
                <w:rFonts w:ascii="Arial" w:cs="Arial" w:eastAsia="Arial" w:hAnsi="Arial"/>
                <w:sz w:val="18"/>
                <w:szCs w:val="18"/>
                <w:color w:val="auto"/>
              </w:rPr>
              <w:t>embedded within the Inline XBRL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101.SCH</w:t>
            </w:r>
          </w:p>
        </w:tc>
        <w:tc>
          <w:tcPr>
            <w:tcW w:w="9700" w:type="dxa"/>
            <w:vAlign w:val="bottom"/>
            <w:gridSpan w:val="36"/>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101.CAL</w:t>
            </w:r>
          </w:p>
        </w:tc>
        <w:tc>
          <w:tcPr>
            <w:tcW w:w="9700" w:type="dxa"/>
            <w:vAlign w:val="bottom"/>
            <w:gridSpan w:val="36"/>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101.DEF</w:t>
            </w:r>
          </w:p>
        </w:tc>
        <w:tc>
          <w:tcPr>
            <w:tcW w:w="9700" w:type="dxa"/>
            <w:vAlign w:val="bottom"/>
            <w:gridSpan w:val="36"/>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8"/>
                <w:szCs w:val="18"/>
                <w:color w:val="auto"/>
              </w:rPr>
              <w:t>101.LAB</w:t>
            </w:r>
          </w:p>
        </w:tc>
        <w:tc>
          <w:tcPr>
            <w:tcW w:w="9700" w:type="dxa"/>
            <w:vAlign w:val="bottom"/>
            <w:gridSpan w:val="36"/>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80" w:type="dxa"/>
            <w:vAlign w:val="bottom"/>
          </w:tcPr>
          <w:p>
            <w:pPr>
              <w:spacing w:after="0" w:line="205" w:lineRule="exact"/>
              <w:rPr>
                <w:sz w:val="20"/>
                <w:szCs w:val="20"/>
                <w:color w:val="auto"/>
              </w:rPr>
            </w:pPr>
            <w:r>
              <w:rPr>
                <w:rFonts w:ascii="Arial" w:cs="Arial" w:eastAsia="Arial" w:hAnsi="Arial"/>
                <w:sz w:val="18"/>
                <w:szCs w:val="18"/>
                <w:color w:val="auto"/>
              </w:rPr>
              <w:t>101.PRE</w:t>
            </w:r>
          </w:p>
        </w:tc>
        <w:tc>
          <w:tcPr>
            <w:tcW w:w="9700" w:type="dxa"/>
            <w:vAlign w:val="bottom"/>
            <w:gridSpan w:val="36"/>
          </w:tcPr>
          <w:p>
            <w:pPr>
              <w:spacing w:after="0" w:line="205" w:lineRule="exact"/>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480" w:right="260" w:hanging="1479"/>
        <w:spacing w:after="0" w:line="226"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14230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97" w:right="359" w:bottom="1440" w:gutter="0" w:footer="0" w:header="0"/>
        </w:sectPr>
      </w:pPr>
    </w:p>
    <w:bookmarkStart w:id="64" w:name="page65"/>
    <w:bookmarkEnd w:id="64"/>
    <w:p>
      <w:pPr>
        <w:ind w:left="140" w:hanging="132"/>
        <w:spacing w:after="0"/>
        <w:tabs>
          <w:tab w:leader="none" w:pos="1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certifications attached as Exhibits 31.1, 31.2 and 32.1 that accompany this Annual Report on Form 10-K are not</w:t>
      </w:r>
    </w:p>
    <w:p>
      <w:pPr>
        <w:spacing w:after="0" w:line="11" w:lineRule="exact"/>
        <w:rPr>
          <w:rFonts w:ascii="Arial" w:cs="Arial" w:eastAsia="Arial" w:hAnsi="Arial"/>
          <w:sz w:val="18"/>
          <w:szCs w:val="18"/>
          <w:color w:val="231F20"/>
        </w:rPr>
      </w:pPr>
    </w:p>
    <w:p>
      <w:pPr>
        <w:ind w:left="160"/>
        <w:spacing w:after="0" w:line="239" w:lineRule="auto"/>
        <w:rPr>
          <w:rFonts w:ascii="Arial" w:cs="Arial" w:eastAsia="Arial" w:hAnsi="Arial"/>
          <w:sz w:val="18"/>
          <w:szCs w:val="18"/>
          <w:color w:val="231F20"/>
        </w:rPr>
      </w:pPr>
      <w:r>
        <w:rPr>
          <w:rFonts w:ascii="Arial" w:cs="Arial" w:eastAsia="Arial" w:hAnsi="Arial"/>
          <w:sz w:val="18"/>
          <w:szCs w:val="18"/>
          <w:color w:val="231F20"/>
        </w:rPr>
        <w:t>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231F20"/>
        </w:rPr>
        <w:t>† Management contract or compensatory plan or arrangement.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4240" w:type="dxa"/>
            <w:vAlign w:val="bottom"/>
            <w:gridSpan w:val="2"/>
          </w:tcPr>
          <w:p>
            <w:pPr>
              <w:ind w:left="1920"/>
              <w:spacing w:after="0"/>
              <w:rPr>
                <w:sz w:val="20"/>
                <w:szCs w:val="20"/>
                <w:color w:val="auto"/>
              </w:rPr>
            </w:pPr>
            <w:r>
              <w:rPr>
                <w:rFonts w:ascii="Arial" w:cs="Arial" w:eastAsia="Arial" w:hAnsi="Arial"/>
                <w:sz w:val="18"/>
                <w:szCs w:val="18"/>
                <w:color w:val="auto"/>
              </w:rPr>
              <w:t>Definitive Healthcare Corp.</w:t>
            </w:r>
          </w:p>
        </w:tc>
        <w:tc>
          <w:tcPr>
            <w:tcW w:w="3480" w:type="dxa"/>
            <w:vAlign w:val="bottom"/>
          </w:tcPr>
          <w:p>
            <w:pPr>
              <w:spacing w:after="0"/>
              <w:rPr>
                <w:sz w:val="20"/>
                <w:szCs w:val="20"/>
                <w:color w:val="auto"/>
              </w:rPr>
            </w:pPr>
          </w:p>
        </w:tc>
      </w:tr>
      <w:tr>
        <w:trPr>
          <w:trHeight w:val="351"/>
        </w:trPr>
        <w:tc>
          <w:tcPr>
            <w:tcW w:w="3500" w:type="dxa"/>
            <w:vAlign w:val="bottom"/>
          </w:tcPr>
          <w:p>
            <w:pPr>
              <w:spacing w:after="0"/>
              <w:rPr>
                <w:sz w:val="20"/>
                <w:szCs w:val="20"/>
                <w:color w:val="auto"/>
              </w:rPr>
            </w:pPr>
            <w:r>
              <w:rPr>
                <w:rFonts w:ascii="Arial" w:cs="Arial" w:eastAsia="Arial" w:hAnsi="Arial"/>
                <w:sz w:val="18"/>
                <w:szCs w:val="18"/>
                <w:color w:val="auto"/>
              </w:rPr>
              <w:t>Date: March 15, 2022</w:t>
            </w:r>
          </w:p>
        </w:tc>
        <w:tc>
          <w:tcPr>
            <w:tcW w:w="424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3480" w:type="dxa"/>
            <w:vAlign w:val="bottom"/>
          </w:tcPr>
          <w:p>
            <w:pPr>
              <w:jc w:val="center"/>
              <w:ind w:right="1610"/>
              <w:spacing w:after="0"/>
              <w:rPr>
                <w:sz w:val="20"/>
                <w:szCs w:val="20"/>
                <w:color w:val="auto"/>
              </w:rPr>
            </w:pPr>
            <w:r>
              <w:rPr>
                <w:rFonts w:ascii="Arial" w:cs="Arial" w:eastAsia="Arial" w:hAnsi="Arial"/>
                <w:sz w:val="18"/>
                <w:szCs w:val="18"/>
                <w:color w:val="auto"/>
                <w:w w:val="88"/>
              </w:rPr>
              <w:t>/s/ Jason Krantz</w:t>
            </w:r>
          </w:p>
        </w:tc>
      </w:tr>
      <w:tr>
        <w:trPr>
          <w:trHeight w:val="171"/>
        </w:trPr>
        <w:tc>
          <w:tcPr>
            <w:tcW w:w="3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3480" w:type="dxa"/>
            <w:vAlign w:val="bottom"/>
            <w:tcBorders>
              <w:top w:val="single" w:sz="8" w:color="auto"/>
            </w:tcBorders>
          </w:tcPr>
          <w:p>
            <w:pPr>
              <w:jc w:val="center"/>
              <w:ind w:right="1610"/>
              <w:spacing w:after="0" w:line="170" w:lineRule="exact"/>
              <w:rPr>
                <w:sz w:val="20"/>
                <w:szCs w:val="20"/>
                <w:color w:val="auto"/>
              </w:rPr>
            </w:pPr>
            <w:r>
              <w:rPr>
                <w:rFonts w:ascii="Arial" w:cs="Arial" w:eastAsia="Arial" w:hAnsi="Arial"/>
                <w:sz w:val="18"/>
                <w:szCs w:val="18"/>
                <w:b w:val="1"/>
                <w:bCs w:val="1"/>
                <w:color w:val="auto"/>
                <w:w w:val="90"/>
              </w:rPr>
              <w:t>Jason Krantz</w:t>
            </w:r>
          </w:p>
        </w:tc>
      </w:tr>
    </w:tbl>
    <w:p>
      <w:pPr>
        <w:ind w:left="71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8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p>
      <w:pPr>
        <w:ind w:left="1680"/>
        <w:spacing w:after="0"/>
        <w:tabs>
          <w:tab w:leader="none" w:pos="612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89"/>
              </w:rPr>
              <w:t>/s/ Jason Krantz</w:t>
            </w:r>
          </w:p>
        </w:tc>
        <w:tc>
          <w:tcPr>
            <w:tcW w:w="4800" w:type="dxa"/>
            <w:vAlign w:val="bottom"/>
          </w:tcPr>
          <w:p>
            <w:pPr>
              <w:ind w:left="140"/>
              <w:spacing w:after="0"/>
              <w:rPr>
                <w:sz w:val="20"/>
                <w:szCs w:val="20"/>
                <w:color w:val="auto"/>
              </w:rPr>
            </w:pPr>
            <w:r>
              <w:rPr>
                <w:rFonts w:ascii="Arial" w:cs="Arial" w:eastAsia="Arial" w:hAnsi="Arial"/>
                <w:sz w:val="18"/>
                <w:szCs w:val="18"/>
                <w:color w:val="auto"/>
                <w:w w:val="99"/>
              </w:rPr>
              <w:t>Chairman and Chief Executive Officer (Principal Executive</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208"/>
        </w:trPr>
        <w:tc>
          <w:tcPr>
            <w:tcW w:w="3720" w:type="dxa"/>
            <w:vAlign w:val="bottom"/>
            <w:tcBorders>
              <w:bottom w:val="single" w:sz="8" w:color="auto"/>
            </w:tcBorders>
            <w:vMerge w:val="continue"/>
          </w:tcPr>
          <w:p>
            <w:pPr>
              <w:spacing w:after="0"/>
              <w:rPr>
                <w:sz w:val="17"/>
                <w:szCs w:val="17"/>
                <w:color w:val="auto"/>
              </w:rPr>
            </w:pPr>
          </w:p>
        </w:tc>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Officer)</w:t>
            </w:r>
          </w:p>
        </w:tc>
        <w:tc>
          <w:tcPr>
            <w:tcW w:w="2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Jason Krantz</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2"/>
              </w:rPr>
              <w:t>/s/ Richard Booth</w:t>
            </w:r>
          </w:p>
        </w:tc>
        <w:tc>
          <w:tcPr>
            <w:tcW w:w="4800" w:type="dxa"/>
            <w:vAlign w:val="bottom"/>
          </w:tcPr>
          <w:p>
            <w:pPr>
              <w:ind w:left="140"/>
              <w:spacing w:after="0" w:line="206" w:lineRule="exact"/>
              <w:rPr>
                <w:sz w:val="20"/>
                <w:szCs w:val="20"/>
                <w:color w:val="auto"/>
              </w:rPr>
            </w:pPr>
            <w:r>
              <w:rPr>
                <w:rFonts w:ascii="Arial" w:cs="Arial" w:eastAsia="Arial" w:hAnsi="Arial"/>
                <w:sz w:val="18"/>
                <w:szCs w:val="18"/>
                <w:color w:val="auto"/>
              </w:rPr>
              <w:t>Chief Financial Officer (Principal Financial and Accounting</w:t>
            </w:r>
          </w:p>
        </w:tc>
        <w:tc>
          <w:tcPr>
            <w:tcW w:w="2720" w:type="dxa"/>
            <w:vAlign w:val="bottom"/>
            <w:vMerge w:val="restart"/>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208"/>
        </w:trPr>
        <w:tc>
          <w:tcPr>
            <w:tcW w:w="3720" w:type="dxa"/>
            <w:vAlign w:val="bottom"/>
            <w:tcBorders>
              <w:bottom w:val="single" w:sz="8" w:color="auto"/>
            </w:tcBorders>
            <w:vMerge w:val="continue"/>
          </w:tcPr>
          <w:p>
            <w:pPr>
              <w:spacing w:after="0"/>
              <w:rPr>
                <w:sz w:val="17"/>
                <w:szCs w:val="17"/>
                <w:color w:val="auto"/>
              </w:rPr>
            </w:pPr>
          </w:p>
        </w:tc>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Officer)</w:t>
            </w:r>
          </w:p>
        </w:tc>
        <w:tc>
          <w:tcPr>
            <w:tcW w:w="2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Richard Booth</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Musslewhite</w:t>
            </w:r>
          </w:p>
        </w:tc>
        <w:tc>
          <w:tcPr>
            <w:tcW w:w="4800" w:type="dxa"/>
            <w:vAlign w:val="bottom"/>
          </w:tcPr>
          <w:p>
            <w:pPr>
              <w:ind w:left="140"/>
              <w:spacing w:after="0"/>
              <w:rPr>
                <w:sz w:val="20"/>
                <w:szCs w:val="20"/>
                <w:color w:val="auto"/>
              </w:rPr>
            </w:pPr>
            <w:r>
              <w:rPr>
                <w:rFonts w:ascii="Arial" w:cs="Arial" w:eastAsia="Arial" w:hAnsi="Arial"/>
                <w:sz w:val="18"/>
                <w:szCs w:val="18"/>
                <w:color w:val="auto"/>
              </w:rPr>
              <w:t>President and Director</w:t>
            </w:r>
          </w:p>
        </w:tc>
        <w:tc>
          <w:tcPr>
            <w:tcW w:w="2720" w:type="dxa"/>
            <w:vAlign w:val="bottom"/>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Robert Musslewhite</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 Egan</w:t>
            </w:r>
          </w:p>
        </w:tc>
        <w:tc>
          <w:tcPr>
            <w:tcW w:w="48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Chris Egan</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Samuel A. Hamood</w:t>
            </w:r>
          </w:p>
        </w:tc>
        <w:tc>
          <w:tcPr>
            <w:tcW w:w="48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Samuel A. Hamood</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 Haywood</w:t>
            </w:r>
          </w:p>
        </w:tc>
        <w:tc>
          <w:tcPr>
            <w:tcW w:w="48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Jeff Haywood</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Jill Larsen</w:t>
            </w:r>
          </w:p>
        </w:tc>
        <w:tc>
          <w:tcPr>
            <w:tcW w:w="48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Jill Larsen</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Chris Mitchell</w:t>
            </w:r>
          </w:p>
        </w:tc>
        <w:tc>
          <w:tcPr>
            <w:tcW w:w="48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Chris Mitchell</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 Randall Winn</w:t>
            </w:r>
          </w:p>
        </w:tc>
        <w:tc>
          <w:tcPr>
            <w:tcW w:w="48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D. Randall Winn</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Kathleen A. Winters</w:t>
            </w:r>
          </w:p>
        </w:tc>
        <w:tc>
          <w:tcPr>
            <w:tcW w:w="48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Kathleen A. Winters</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Lauren Young</w:t>
            </w:r>
          </w:p>
        </w:tc>
        <w:tc>
          <w:tcPr>
            <w:tcW w:w="48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3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Lauren Young</w:t>
            </w:r>
          </w:p>
        </w:tc>
        <w:tc>
          <w:tcPr>
            <w:tcW w:w="4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2"/>
        </w:trPr>
        <w:tc>
          <w:tcPr>
            <w:tcW w:w="3720" w:type="dxa"/>
            <w:vAlign w:val="bottom"/>
          </w:tcPr>
          <w:p>
            <w:pPr>
              <w:spacing w:after="0"/>
              <w:rPr>
                <w:sz w:val="24"/>
                <w:szCs w:val="24"/>
                <w:color w:val="auto"/>
              </w:rPr>
            </w:pPr>
          </w:p>
        </w:tc>
        <w:tc>
          <w:tcPr>
            <w:tcW w:w="4800" w:type="dxa"/>
            <w:vAlign w:val="bottom"/>
          </w:tcPr>
          <w:p>
            <w:pPr>
              <w:ind w:left="1820"/>
              <w:spacing w:after="0"/>
              <w:rPr>
                <w:sz w:val="20"/>
                <w:szCs w:val="20"/>
                <w:color w:val="auto"/>
              </w:rPr>
            </w:pPr>
            <w:r>
              <w:rPr>
                <w:rFonts w:ascii="Arial" w:cs="Arial" w:eastAsia="Arial" w:hAnsi="Arial"/>
                <w:sz w:val="18"/>
                <w:szCs w:val="18"/>
                <w:color w:val="auto"/>
              </w:rPr>
              <w:t>61</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gridSpan w:val="5"/>
          </w:tcPr>
          <w:p>
            <w:pPr>
              <w:jc w:val="center"/>
              <w:ind w:right="1250"/>
              <w:spacing w:after="0"/>
              <w:rPr>
                <w:sz w:val="20"/>
                <w:szCs w:val="20"/>
                <w:color w:val="auto"/>
              </w:rPr>
            </w:pPr>
            <w:r>
              <w:rPr>
                <w:rFonts w:ascii="Arial" w:cs="Arial" w:eastAsia="Arial" w:hAnsi="Arial"/>
                <w:sz w:val="18"/>
                <w:szCs w:val="18"/>
                <w:b w:val="1"/>
                <w:bCs w:val="1"/>
                <w:color w:val="auto"/>
              </w:rPr>
              <w:t>INDEX TO CONSOLIDATED FINANCIAL STATEMENTS</w:t>
            </w:r>
          </w:p>
        </w:tc>
        <w:tc>
          <w:tcPr>
            <w:tcW w:w="182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9400" w:type="dxa"/>
            <w:vAlign w:val="bottom"/>
            <w:gridSpan w:val="11"/>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Report of Independent Registered Public Accounting Firm</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69"/>
        </w:trPr>
        <w:tc>
          <w:tcPr>
            <w:tcW w:w="20" w:type="dxa"/>
            <w:vAlign w:val="bottom"/>
            <w:tcBorders>
              <w:top w:val="single" w:sz="8" w:color="0000EE"/>
            </w:tcBorders>
          </w:tcPr>
          <w:p>
            <w:pPr>
              <w:spacing w:after="0"/>
              <w:rPr>
                <w:sz w:val="14"/>
                <w:szCs w:val="14"/>
                <w:color w:val="auto"/>
              </w:rPr>
            </w:pPr>
          </w:p>
        </w:tc>
        <w:tc>
          <w:tcPr>
            <w:tcW w:w="422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Consolidated Balance Sheets</w:t>
              </w:r>
            </w:hyperlink>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20" w:type="dxa"/>
            <w:vAlign w:val="bottom"/>
          </w:tcPr>
          <w:p>
            <w:pPr>
              <w:jc w:val="right"/>
              <w:spacing w:after="0" w:line="169" w:lineRule="exact"/>
              <w:rPr>
                <w:sz w:val="20"/>
                <w:szCs w:val="20"/>
                <w:color w:val="auto"/>
              </w:rPr>
            </w:pPr>
            <w:r>
              <w:rPr>
                <w:rFonts w:ascii="Arial" w:cs="Arial" w:eastAsia="Arial" w:hAnsi="Arial"/>
                <w:sz w:val="18"/>
                <w:szCs w:val="18"/>
                <w:color w:val="auto"/>
              </w:rPr>
              <w:t>F-3</w:t>
            </w: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20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3"/>
              </w:rPr>
            </w:pPr>
            <w:hyperlink w:anchor="page70">
              <w:r>
                <w:rPr>
                  <w:rFonts w:ascii="Arial" w:cs="Arial" w:eastAsia="Arial" w:hAnsi="Arial"/>
                  <w:sz w:val="18"/>
                  <w:szCs w:val="18"/>
                  <w:color w:val="0000FF"/>
                  <w:w w:val="93"/>
                </w:rPr>
                <w:t>Consolidated Statements of</w:t>
              </w:r>
            </w:hyperlink>
          </w:p>
        </w:tc>
        <w:tc>
          <w:tcPr>
            <w:tcW w:w="20" w:type="dxa"/>
            <w:vAlign w:val="bottom"/>
            <w:tcBorders>
              <w:top w:val="single" w:sz="8" w:color="0000EE"/>
              <w:bottom w:val="single" w:sz="8" w:color="0000FF"/>
            </w:tcBorders>
          </w:tcPr>
          <w:p>
            <w:pPr>
              <w:spacing w:after="0"/>
              <w:rPr>
                <w:sz w:val="14"/>
                <w:szCs w:val="14"/>
                <w:color w:val="auto"/>
              </w:rPr>
            </w:pPr>
          </w:p>
        </w:tc>
        <w:tc>
          <w:tcPr>
            <w:tcW w:w="720" w:type="dxa"/>
            <w:vAlign w:val="bottom"/>
            <w:tcBorders>
              <w:bottom w:val="single" w:sz="8" w:color="0000FF"/>
            </w:tcBorders>
          </w:tcPr>
          <w:p>
            <w:pPr>
              <w:spacing w:after="0" w:line="169" w:lineRule="exact"/>
              <w:rPr>
                <w:rFonts w:ascii="Arial" w:cs="Arial" w:eastAsia="Arial" w:hAnsi="Arial"/>
                <w:sz w:val="18"/>
                <w:szCs w:val="18"/>
                <w:color w:val="0000FF"/>
                <w:w w:val="79"/>
              </w:rPr>
            </w:pPr>
            <w:hyperlink w:anchor="page70">
              <w:r>
                <w:rPr>
                  <w:rFonts w:ascii="Arial" w:cs="Arial" w:eastAsia="Arial" w:hAnsi="Arial"/>
                  <w:sz w:val="18"/>
                  <w:szCs w:val="18"/>
                  <w:color w:val="0000FF"/>
                  <w:w w:val="79"/>
                </w:rPr>
                <w:t>Operations</w:t>
              </w:r>
            </w:hyperlink>
          </w:p>
        </w:tc>
        <w:tc>
          <w:tcPr>
            <w:tcW w:w="6580" w:type="dxa"/>
            <w:vAlign w:val="bottom"/>
            <w:gridSpan w:val="8"/>
          </w:tcPr>
          <w:p>
            <w:pPr>
              <w:spacing w:after="0"/>
              <w:rPr>
                <w:sz w:val="14"/>
                <w:szCs w:val="14"/>
                <w:color w:val="auto"/>
              </w:rPr>
            </w:pPr>
          </w:p>
        </w:tc>
        <w:tc>
          <w:tcPr>
            <w:tcW w:w="1820" w:type="dxa"/>
            <w:vAlign w:val="bottom"/>
          </w:tcPr>
          <w:p>
            <w:pPr>
              <w:jc w:val="right"/>
              <w:spacing w:after="0" w:line="169" w:lineRule="exact"/>
              <w:rPr>
                <w:sz w:val="20"/>
                <w:szCs w:val="20"/>
                <w:color w:val="auto"/>
              </w:rPr>
            </w:pPr>
            <w:r>
              <w:rPr>
                <w:rFonts w:ascii="Arial" w:cs="Arial" w:eastAsia="Arial" w:hAnsi="Arial"/>
                <w:sz w:val="18"/>
                <w:szCs w:val="18"/>
                <w:color w:val="auto"/>
              </w:rPr>
              <w:t>F-4</w:t>
            </w:r>
          </w:p>
        </w:tc>
      </w:tr>
      <w:tr>
        <w:trPr>
          <w:trHeight w:val="169"/>
        </w:trPr>
        <w:tc>
          <w:tcPr>
            <w:tcW w:w="20" w:type="dxa"/>
            <w:vAlign w:val="bottom"/>
            <w:tcBorders>
              <w:bottom w:val="single" w:sz="8" w:color="0000EE"/>
            </w:tcBorders>
          </w:tcPr>
          <w:p>
            <w:pPr>
              <w:spacing w:after="0"/>
              <w:rPr>
                <w:sz w:val="14"/>
                <w:szCs w:val="14"/>
                <w:color w:val="auto"/>
              </w:rPr>
            </w:pPr>
          </w:p>
        </w:tc>
        <w:tc>
          <w:tcPr>
            <w:tcW w:w="3540" w:type="dxa"/>
            <w:vAlign w:val="bottom"/>
            <w:tcBorders>
              <w:bottom w:val="single" w:sz="8" w:color="0000FF"/>
            </w:tcBorders>
            <w:gridSpan w:val="7"/>
          </w:tcPr>
          <w:p>
            <w:pPr>
              <w:spacing w:after="0" w:line="16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Consolidated Statements of Comprehensive Loss</w:t>
              </w:r>
            </w:hyperlink>
          </w:p>
        </w:tc>
        <w:tc>
          <w:tcPr>
            <w:tcW w:w="20" w:type="dxa"/>
            <w:vAlign w:val="bottom"/>
            <w:tcBorders>
              <w:bottom w:val="single" w:sz="8" w:color="0000EE"/>
            </w:tcBorders>
          </w:tcPr>
          <w:p>
            <w:pPr>
              <w:spacing w:after="0"/>
              <w:rPr>
                <w:sz w:val="14"/>
                <w:szCs w:val="14"/>
                <w:color w:val="auto"/>
              </w:rPr>
            </w:pPr>
          </w:p>
        </w:tc>
        <w:tc>
          <w:tcPr>
            <w:tcW w:w="5840" w:type="dxa"/>
            <w:vAlign w:val="bottom"/>
            <w:gridSpan w:val="3"/>
          </w:tcPr>
          <w:p>
            <w:pPr>
              <w:spacing w:after="0"/>
              <w:rPr>
                <w:sz w:val="14"/>
                <w:szCs w:val="14"/>
                <w:color w:val="auto"/>
              </w:rPr>
            </w:pPr>
          </w:p>
        </w:tc>
        <w:tc>
          <w:tcPr>
            <w:tcW w:w="1820" w:type="dxa"/>
            <w:vAlign w:val="bottom"/>
          </w:tcPr>
          <w:p>
            <w:pPr>
              <w:jc w:val="right"/>
              <w:spacing w:after="0" w:line="169" w:lineRule="exact"/>
              <w:rPr>
                <w:sz w:val="20"/>
                <w:szCs w:val="20"/>
                <w:color w:val="auto"/>
              </w:rPr>
            </w:pPr>
            <w:r>
              <w:rPr>
                <w:rFonts w:ascii="Arial" w:cs="Arial" w:eastAsia="Arial" w:hAnsi="Arial"/>
                <w:sz w:val="18"/>
                <w:szCs w:val="18"/>
                <w:color w:val="auto"/>
              </w:rPr>
              <w:t>F-5</w:t>
            </w:r>
          </w:p>
        </w:tc>
      </w:tr>
      <w:tr>
        <w:trPr>
          <w:trHeight w:val="169"/>
        </w:trPr>
        <w:tc>
          <w:tcPr>
            <w:tcW w:w="20" w:type="dxa"/>
            <w:vAlign w:val="bottom"/>
          </w:tcPr>
          <w:p>
            <w:pPr>
              <w:spacing w:after="0"/>
              <w:rPr>
                <w:sz w:val="14"/>
                <w:szCs w:val="14"/>
                <w:color w:val="auto"/>
              </w:rPr>
            </w:pPr>
          </w:p>
        </w:tc>
        <w:tc>
          <w:tcPr>
            <w:tcW w:w="3560" w:type="dxa"/>
            <w:vAlign w:val="bottom"/>
            <w:gridSpan w:val="8"/>
          </w:tcPr>
          <w:p>
            <w:pPr>
              <w:spacing w:after="0" w:line="169" w:lineRule="exact"/>
              <w:rPr>
                <w:rFonts w:ascii="Arial" w:cs="Arial" w:eastAsia="Arial" w:hAnsi="Arial"/>
                <w:sz w:val="18"/>
                <w:szCs w:val="18"/>
                <w:color w:val="0000FF"/>
                <w:w w:val="88"/>
              </w:rPr>
            </w:pPr>
            <w:hyperlink w:anchor="page72">
              <w:r>
                <w:rPr>
                  <w:rFonts w:ascii="Arial" w:cs="Arial" w:eastAsia="Arial" w:hAnsi="Arial"/>
                  <w:sz w:val="18"/>
                  <w:szCs w:val="18"/>
                  <w:color w:val="0000FF"/>
                  <w:w w:val="88"/>
                </w:rPr>
                <w:t>Consolidated Statements of Changes in Members'</w:t>
              </w:r>
            </w:hyperlink>
          </w:p>
        </w:tc>
        <w:tc>
          <w:tcPr>
            <w:tcW w:w="5840" w:type="dxa"/>
            <w:vAlign w:val="bottom"/>
            <w:gridSpan w:val="3"/>
          </w:tcPr>
          <w:p>
            <w:pPr>
              <w:ind w:left="80"/>
              <w:spacing w:after="0" w:line="169" w:lineRule="exact"/>
              <w:rPr>
                <w:rFonts w:ascii="Arial" w:cs="Arial" w:eastAsia="Arial" w:hAnsi="Arial"/>
                <w:sz w:val="18"/>
                <w:szCs w:val="18"/>
                <w:color w:val="0000FF"/>
              </w:rPr>
            </w:pPr>
            <w:hyperlink w:anchor="page72">
              <w:r>
                <w:rPr>
                  <w:rFonts w:ascii="Arial" w:cs="Arial" w:eastAsia="Arial" w:hAnsi="Arial"/>
                  <w:sz w:val="18"/>
                  <w:szCs w:val="18"/>
                  <w:color w:val="0000FF"/>
                </w:rPr>
                <w:t>Equity and Total Equity</w:t>
              </w:r>
            </w:hyperlink>
          </w:p>
        </w:tc>
        <w:tc>
          <w:tcPr>
            <w:tcW w:w="1820" w:type="dxa"/>
            <w:vAlign w:val="bottom"/>
          </w:tcPr>
          <w:p>
            <w:pPr>
              <w:jc w:val="right"/>
              <w:spacing w:after="0" w:line="169" w:lineRule="exact"/>
              <w:rPr>
                <w:sz w:val="20"/>
                <w:szCs w:val="20"/>
                <w:color w:val="auto"/>
              </w:rPr>
            </w:pPr>
            <w:r>
              <w:rPr>
                <w:rFonts w:ascii="Arial" w:cs="Arial" w:eastAsia="Arial" w:hAnsi="Arial"/>
                <w:sz w:val="18"/>
                <w:szCs w:val="18"/>
                <w:color w:val="auto"/>
              </w:rPr>
              <w:t>F-6</w:t>
            </w: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28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Consolidated Statements of Cash Flows</w:t>
              </w:r>
            </w:hyperlink>
          </w:p>
        </w:tc>
        <w:tc>
          <w:tcPr>
            <w:tcW w:w="40" w:type="dxa"/>
            <w:vAlign w:val="bottom"/>
            <w:tcBorders>
              <w:top w:val="single" w:sz="8" w:color="0000FF"/>
              <w:bottom w:val="single" w:sz="8" w:color="0000EE"/>
            </w:tcBorders>
          </w:tcPr>
          <w:p>
            <w:pPr>
              <w:spacing w:after="0"/>
              <w:rPr>
                <w:sz w:val="14"/>
                <w:szCs w:val="14"/>
                <w:color w:val="auto"/>
              </w:rPr>
            </w:pPr>
          </w:p>
        </w:tc>
        <w:tc>
          <w:tcPr>
            <w:tcW w:w="2440" w:type="dxa"/>
            <w:vAlign w:val="bottom"/>
            <w:tcBorders>
              <w:top w:val="single" w:sz="8" w:color="0000FF"/>
            </w:tcBorders>
            <w:gridSpan w:val="5"/>
          </w:tcPr>
          <w:p>
            <w:pPr>
              <w:spacing w:after="0"/>
              <w:rPr>
                <w:sz w:val="14"/>
                <w:szCs w:val="14"/>
                <w:color w:val="auto"/>
              </w:rPr>
            </w:pPr>
          </w:p>
        </w:tc>
        <w:tc>
          <w:tcPr>
            <w:tcW w:w="4040" w:type="dxa"/>
            <w:vAlign w:val="bottom"/>
          </w:tcPr>
          <w:p>
            <w:pPr>
              <w:spacing w:after="0"/>
              <w:rPr>
                <w:sz w:val="14"/>
                <w:szCs w:val="14"/>
                <w:color w:val="auto"/>
              </w:rPr>
            </w:pPr>
          </w:p>
        </w:tc>
        <w:tc>
          <w:tcPr>
            <w:tcW w:w="1820" w:type="dxa"/>
            <w:vAlign w:val="bottom"/>
          </w:tcPr>
          <w:p>
            <w:pPr>
              <w:jc w:val="right"/>
              <w:spacing w:after="0" w:line="169" w:lineRule="exact"/>
              <w:rPr>
                <w:sz w:val="20"/>
                <w:szCs w:val="20"/>
                <w:color w:val="auto"/>
              </w:rPr>
            </w:pPr>
            <w:r>
              <w:rPr>
                <w:rFonts w:ascii="Arial" w:cs="Arial" w:eastAsia="Arial" w:hAnsi="Arial"/>
                <w:sz w:val="18"/>
                <w:szCs w:val="18"/>
                <w:color w:val="auto"/>
              </w:rPr>
              <w:t>F-8</w:t>
            </w:r>
          </w:p>
        </w:tc>
      </w:tr>
      <w:tr>
        <w:trPr>
          <w:trHeight w:val="169"/>
        </w:trPr>
        <w:tc>
          <w:tcPr>
            <w:tcW w:w="20" w:type="dxa"/>
            <w:vAlign w:val="bottom"/>
          </w:tcPr>
          <w:p>
            <w:pPr>
              <w:spacing w:after="0"/>
              <w:rPr>
                <w:sz w:val="14"/>
                <w:szCs w:val="14"/>
                <w:color w:val="auto"/>
              </w:rPr>
            </w:pPr>
          </w:p>
        </w:tc>
        <w:tc>
          <w:tcPr>
            <w:tcW w:w="9400" w:type="dxa"/>
            <w:vAlign w:val="bottom"/>
            <w:gridSpan w:val="11"/>
          </w:tcPr>
          <w:p>
            <w:pPr>
              <w:spacing w:after="0" w:line="169" w:lineRule="exact"/>
              <w:rPr>
                <w:rFonts w:ascii="Arial" w:cs="Arial" w:eastAsia="Arial" w:hAnsi="Arial"/>
                <w:sz w:val="18"/>
                <w:szCs w:val="18"/>
                <w:color w:val="0000FF"/>
              </w:rPr>
            </w:pPr>
            <w:hyperlink w:anchor="page76">
              <w:r>
                <w:rPr>
                  <w:rFonts w:ascii="Arial" w:cs="Arial" w:eastAsia="Arial" w:hAnsi="Arial"/>
                  <w:sz w:val="18"/>
                  <w:szCs w:val="18"/>
                  <w:color w:val="0000FF"/>
                </w:rPr>
                <w:t>Notes to Consolidated Financial Statements</w:t>
              </w:r>
            </w:hyperlink>
          </w:p>
        </w:tc>
        <w:tc>
          <w:tcPr>
            <w:tcW w:w="1820" w:type="dxa"/>
            <w:vAlign w:val="bottom"/>
          </w:tcPr>
          <w:p>
            <w:pPr>
              <w:jc w:val="right"/>
              <w:spacing w:after="0" w:line="169" w:lineRule="exact"/>
              <w:rPr>
                <w:sz w:val="20"/>
                <w:szCs w:val="20"/>
                <w:color w:val="auto"/>
              </w:rPr>
            </w:pPr>
            <w:r>
              <w:rPr>
                <w:rFonts w:ascii="Arial" w:cs="Arial" w:eastAsia="Arial" w:hAnsi="Arial"/>
                <w:sz w:val="18"/>
                <w:szCs w:val="18"/>
                <w:color w:val="auto"/>
              </w:rPr>
              <w:t>F-10</w:t>
            </w:r>
          </w:p>
        </w:tc>
      </w:tr>
      <w:tr>
        <w:trPr>
          <w:trHeight w:val="628"/>
        </w:trPr>
        <w:tc>
          <w:tcPr>
            <w:tcW w:w="20" w:type="dxa"/>
            <w:vAlign w:val="bottom"/>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40" w:type="dxa"/>
            <w:vAlign w:val="bottom"/>
          </w:tcPr>
          <w:p>
            <w:pPr>
              <w:jc w:val="center"/>
              <w:ind w:right="3470"/>
              <w:spacing w:after="0"/>
              <w:rPr>
                <w:sz w:val="20"/>
                <w:szCs w:val="20"/>
                <w:color w:val="auto"/>
              </w:rPr>
            </w:pPr>
            <w:r>
              <w:rPr>
                <w:rFonts w:ascii="Arial" w:cs="Arial" w:eastAsia="Arial" w:hAnsi="Arial"/>
                <w:sz w:val="18"/>
                <w:szCs w:val="18"/>
                <w:color w:val="auto"/>
                <w:w w:val="88"/>
              </w:rPr>
              <w:t>F-1</w:t>
            </w:r>
          </w:p>
        </w:tc>
        <w:tc>
          <w:tcPr>
            <w:tcW w:w="18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7" w:name="page68"/>
    <w:bookmarkEnd w:id="67"/>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Definitive Healthcare Corp.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audited the accompanying consolidated balance sheets of Definitive Healthcare Corp. and subsidiaries (the “Company”) as of December 31, 2021 (successor company) and 2020 (successor company), the related consolidated statements of operations, comprehensive loss, changes in members’ equity and total equity, and cash flows, for each of the two years in the period ended December 31, 2021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2021 (successor company) and 2020 (successor company), and the results of its operations and its cash flows for each of the two years in the period ended December 31, 2021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i w:val="1"/>
          <w:iCs w:val="1"/>
          <w:color w:val="auto"/>
        </w:rPr>
        <w:t>(in thousands, except number of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387,498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43,336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33,108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6,518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deferred contract costs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6,880</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444,232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63,845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5,069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8,273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Deferred contract costs, net of current portion</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11,667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asset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Investment in equity securities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32,675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352,470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410,237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1,261,444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1,261,444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2,115,988</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1,745,359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Total Equity</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4,651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5,662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22,658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deferred revenue</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83,611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61,060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term loan</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6,875</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117,795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88,723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 term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412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Term Loan, net of current portion</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263,808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457,197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Tax receivable agreements liability</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153,529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75,888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612,726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549,796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Commitments and Contingencies (Note 11)</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Equity:</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Members' equity</w:t>
            </w:r>
          </w:p>
        </w:tc>
        <w:tc>
          <w:tcPr>
            <w:tcW w:w="260" w:type="dxa"/>
            <w:vAlign w:val="bottom"/>
          </w:tcPr>
          <w:p>
            <w:pPr>
              <w:spacing w:after="0"/>
              <w:rPr>
                <w:sz w:val="17"/>
                <w:szCs w:val="17"/>
                <w:color w:val="auto"/>
              </w:rPr>
            </w:pPr>
          </w:p>
        </w:tc>
        <w:tc>
          <w:tcPr>
            <w:tcW w:w="1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1,195,694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2"/>
              </w:rPr>
              <w:t>Class A Common Stock, par value $0.001, 600,000,000 shares authorized, 97,030,095 shares issued</w:t>
            </w:r>
          </w:p>
        </w:tc>
        <w:tc>
          <w:tcPr>
            <w:tcW w:w="26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outstanding at December 31, 2021</w:t>
            </w:r>
          </w:p>
        </w:tc>
        <w:tc>
          <w:tcPr>
            <w:tcW w:w="26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w w:val="93"/>
              </w:rPr>
              <w:t>Class B Common Stock, no par value, 65,000,000 shares authorized, 58,244,627 shares issued and</w:t>
            </w:r>
          </w:p>
        </w:tc>
        <w:tc>
          <w:tcPr>
            <w:tcW w:w="260" w:type="dxa"/>
            <w:vAlign w:val="bottom"/>
          </w:tcPr>
          <w:p>
            <w:pPr>
              <w:spacing w:after="0"/>
              <w:rPr>
                <w:sz w:val="14"/>
                <w:szCs w:val="14"/>
                <w:color w:val="auto"/>
              </w:rPr>
            </w:pPr>
          </w:p>
        </w:tc>
        <w:tc>
          <w:tcPr>
            <w:tcW w:w="16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55,488,221 shares outstanding at December 31, 2021</w:t>
            </w:r>
          </w:p>
        </w:tc>
        <w:tc>
          <w:tcPr>
            <w:tcW w:w="2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890,724</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(17,677 )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630,056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1,503,262</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1,195,563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2,115,988</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1,745,359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-3522345</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-3522345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-3505200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-2722245</wp:posOffset>
            </wp:positionV>
            <wp:extent cx="5969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-2722245</wp:posOffset>
            </wp:positionV>
            <wp:extent cx="596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5969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i w:val="1"/>
          <w:iCs w:val="1"/>
          <w:color w:val="auto"/>
        </w:rPr>
        <w:t>(amounts in thousands, except share amounts and per share data)</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vMerge w:val="restart"/>
          </w:tcPr>
          <w:p>
            <w:pPr>
              <w:jc w:val="right"/>
              <w:ind w:right="241"/>
              <w:spacing w:after="0"/>
              <w:rPr>
                <w:sz w:val="20"/>
                <w:szCs w:val="20"/>
                <w:color w:val="auto"/>
              </w:rPr>
            </w:pPr>
            <w:r>
              <w:rPr>
                <w:rFonts w:ascii="Arial" w:cs="Arial" w:eastAsia="Arial" w:hAnsi="Arial"/>
                <w:sz w:val="14"/>
                <w:szCs w:val="14"/>
                <w:b w:val="1"/>
                <w:bCs w:val="1"/>
                <w:color w:val="auto"/>
                <w:w w:val="90"/>
              </w:rPr>
              <w:t>Successor Company</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gridSpan w:val="6"/>
            <w:vMerge w:val="restart"/>
          </w:tcPr>
          <w:p>
            <w:pPr>
              <w:jc w:val="right"/>
              <w:ind w:right="701"/>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4"/>
                <w:szCs w:val="14"/>
                <w:b w:val="1"/>
                <w:bCs w:val="1"/>
                <w:color w:val="auto"/>
                <w:w w:val="94"/>
              </w:rPr>
              <w:t>Period from</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74"/>
        </w:trPr>
        <w:tc>
          <w:tcPr>
            <w:tcW w:w="5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1380" w:type="dxa"/>
            <w:vAlign w:val="bottom"/>
            <w:tcBorders>
              <w:right w:val="single" w:sz="8" w:color="auto"/>
            </w:tcBorders>
            <w:gridSpan w:val="3"/>
          </w:tcPr>
          <w:p>
            <w:pPr>
              <w:jc w:val="center"/>
              <w:ind w:right="290"/>
              <w:spacing w:after="0"/>
              <w:rPr>
                <w:sz w:val="20"/>
                <w:szCs w:val="20"/>
                <w:color w:val="auto"/>
              </w:rPr>
            </w:pPr>
            <w:r>
              <w:rPr>
                <w:rFonts w:ascii="Arial" w:cs="Arial" w:eastAsia="Arial" w:hAnsi="Arial"/>
                <w:sz w:val="14"/>
                <w:szCs w:val="14"/>
                <w:b w:val="1"/>
                <w:bCs w:val="1"/>
                <w:color w:val="auto"/>
                <w:w w:val="92"/>
              </w:rPr>
              <w:t>July 16, 2019 to</w:t>
            </w:r>
          </w:p>
        </w:tc>
        <w:tc>
          <w:tcPr>
            <w:tcW w:w="120" w:type="dxa"/>
            <w:vAlign w:val="bottom"/>
          </w:tcPr>
          <w:p>
            <w:pPr>
              <w:spacing w:after="0"/>
              <w:rPr>
                <w:sz w:val="15"/>
                <w:szCs w:val="15"/>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1380" w:type="dxa"/>
            <w:vAlign w:val="bottom"/>
            <w:tcBorders>
              <w:right w:val="single" w:sz="8" w:color="auto"/>
            </w:tcBorders>
            <w:gridSpan w:val="3"/>
          </w:tcPr>
          <w:p>
            <w:pPr>
              <w:jc w:val="center"/>
              <w:ind w:right="33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 July 15, 2019</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1"/>
              <w:spacing w:after="0"/>
              <w:rPr>
                <w:sz w:val="20"/>
                <w:szCs w:val="20"/>
                <w:color w:val="auto"/>
              </w:rPr>
            </w:pPr>
            <w:r>
              <w:rPr>
                <w:rFonts w:ascii="Arial" w:cs="Arial" w:eastAsia="Arial" w:hAnsi="Arial"/>
                <w:sz w:val="14"/>
                <w:szCs w:val="14"/>
                <w:b w:val="1"/>
                <w:bCs w:val="1"/>
                <w:color w:val="auto"/>
                <w:w w:val="96"/>
              </w:rPr>
              <w:t>2019</w:t>
            </w:r>
          </w:p>
        </w:tc>
        <w:tc>
          <w:tcPr>
            <w:tcW w:w="3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166,154</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118,317</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40,045</w:t>
            </w:r>
          </w:p>
        </w:tc>
        <w:tc>
          <w:tcPr>
            <w:tcW w:w="3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45,458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Cost of revenue exclusive of amortization shown below</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19,421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11,085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4,668</w:t>
            </w:r>
          </w:p>
        </w:tc>
        <w:tc>
          <w:tcPr>
            <w:tcW w:w="3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80"/>
              <w:spacing w:after="0" w:line="202" w:lineRule="exact"/>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19,383</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8,614</w:t>
            </w:r>
          </w:p>
        </w:tc>
        <w:tc>
          <w:tcPr>
            <w:tcW w:w="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FF0FC"/>
            </w:tcBorders>
            <w:shd w:val="clear" w:color="auto" w:fill="CFF0FC"/>
          </w:tcPr>
          <w:p>
            <w:pPr>
              <w:ind w:left="54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125,465</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87,849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26,763</w:t>
            </w:r>
          </w:p>
        </w:tc>
        <w:tc>
          <w:tcPr>
            <w:tcW w:w="360" w:type="dxa"/>
            <w:vAlign w:val="bottom"/>
            <w:tcBorders>
              <w:bottom w:val="single" w:sz="8" w:color="CFF0FC"/>
              <w:right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40,130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56,387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34,332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10,814</w:t>
            </w:r>
          </w:p>
        </w:tc>
        <w:tc>
          <w:tcPr>
            <w:tcW w:w="3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80"/>
              <w:spacing w:after="0" w:line="202" w:lineRule="exact"/>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18,565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11,062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3,484</w:t>
            </w:r>
          </w:p>
        </w:tc>
        <w:tc>
          <w:tcPr>
            <w:tcW w:w="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30,528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12,927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6,365</w:t>
            </w:r>
          </w:p>
        </w:tc>
        <w:tc>
          <w:tcPr>
            <w:tcW w:w="3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38,679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40,197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22,459</w:t>
            </w:r>
          </w:p>
        </w:tc>
        <w:tc>
          <w:tcPr>
            <w:tcW w:w="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Transaction expenses</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6,287</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3,776</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14,703</w:t>
            </w:r>
          </w:p>
        </w:tc>
        <w:tc>
          <w:tcPr>
            <w:tcW w:w="360" w:type="dxa"/>
            <w:vAlign w:val="bottom"/>
            <w:tcBorders>
              <w:bottom w:val="single" w:sz="8" w:color="CFF0FC"/>
              <w:right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1,151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150,446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102,294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57,825</w:t>
            </w:r>
          </w:p>
        </w:tc>
        <w:tc>
          <w:tcPr>
            <w:tcW w:w="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ind w:left="540"/>
              <w:spacing w:after="0" w:line="196" w:lineRule="exact"/>
              <w:rPr>
                <w:sz w:val="20"/>
                <w:szCs w:val="20"/>
                <w:color w:val="auto"/>
              </w:rPr>
            </w:pPr>
            <w:r>
              <w:rPr>
                <w:rFonts w:ascii="Arial" w:cs="Arial" w:eastAsia="Arial" w:hAnsi="Arial"/>
                <w:sz w:val="18"/>
                <w:szCs w:val="18"/>
                <w:color w:val="auto"/>
              </w:rPr>
              <w:t>(Loss) Income from operations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(24,981</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(14,445</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(31,062</w:t>
            </w:r>
          </w:p>
        </w:tc>
        <w:tc>
          <w:tcPr>
            <w:tcW w:w="360" w:type="dxa"/>
            <w:vAlign w:val="bottom"/>
            <w:tcBorders>
              <w:right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 currency transaction gain (loss)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(222 )</w:t>
            </w:r>
          </w:p>
        </w:tc>
        <w:tc>
          <w:tcPr>
            <w:tcW w:w="120" w:type="dxa"/>
            <w:vAlign w:val="bottom"/>
            <w:shd w:val="clear" w:color="auto" w:fill="CFF0FC"/>
          </w:tcPr>
          <w:p>
            <w:pPr>
              <w:spacing w:after="0"/>
              <w:rPr>
                <w:sz w:val="17"/>
                <w:szCs w:val="17"/>
                <w:color w:val="auto"/>
              </w:rPr>
            </w:pPr>
          </w:p>
        </w:tc>
        <w:tc>
          <w:tcPr>
            <w:tcW w:w="1260" w:type="dxa"/>
            <w:vAlign w:val="bottom"/>
            <w:tcBorders>
              <w:right w:val="single" w:sz="8" w:color="auto"/>
            </w:tcBorders>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(25,871 )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(36,490 )</w:t>
            </w:r>
          </w:p>
        </w:tc>
        <w:tc>
          <w:tcPr>
            <w:tcW w:w="120" w:type="dxa"/>
            <w:vAlign w:val="bottom"/>
          </w:tcPr>
          <w:p>
            <w:pPr>
              <w:spacing w:after="0"/>
              <w:rPr>
                <w:sz w:val="17"/>
                <w:szCs w:val="17"/>
                <w:color w:val="auto"/>
              </w:rPr>
            </w:pPr>
          </w:p>
        </w:tc>
        <w:tc>
          <w:tcPr>
            <w:tcW w:w="1260" w:type="dxa"/>
            <w:vAlign w:val="bottom"/>
            <w:tcBorders>
              <w:right w:val="single" w:sz="8" w:color="auto"/>
            </w:tcBorders>
            <w:gridSpan w:val="2"/>
          </w:tcPr>
          <w:p>
            <w:pPr>
              <w:jc w:val="right"/>
              <w:ind w:right="190"/>
              <w:spacing w:after="0" w:line="202" w:lineRule="exact"/>
              <w:rPr>
                <w:sz w:val="20"/>
                <w:szCs w:val="20"/>
                <w:color w:val="auto"/>
              </w:rPr>
            </w:pPr>
            <w:r>
              <w:rPr>
                <w:rFonts w:ascii="Arial" w:cs="Arial" w:eastAsia="Arial" w:hAnsi="Arial"/>
                <w:sz w:val="18"/>
                <w:szCs w:val="18"/>
                <w:color w:val="auto"/>
              </w:rPr>
              <w:t>(18,204 )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(9,873 )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60" w:type="dxa"/>
            <w:vAlign w:val="bottom"/>
            <w:tcBorders>
              <w:right w:val="single" w:sz="8" w:color="auto"/>
            </w:tcBorders>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ind w:left="360"/>
              <w:spacing w:after="0" w:line="196" w:lineRule="exact"/>
              <w:rPr>
                <w:sz w:val="20"/>
                <w:szCs w:val="20"/>
                <w:color w:val="auto"/>
              </w:rPr>
            </w:pPr>
            <w:r>
              <w:rPr>
                <w:rFonts w:ascii="Arial" w:cs="Arial" w:eastAsia="Arial" w:hAnsi="Arial"/>
                <w:sz w:val="18"/>
                <w:szCs w:val="18"/>
                <w:color w:val="auto"/>
              </w:rPr>
              <w:t>Total other expense, net</w:t>
            </w:r>
          </w:p>
        </w:tc>
        <w:tc>
          <w:tcPr>
            <w:tcW w:w="24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(35,601 )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(36,712 )</w:t>
            </w:r>
          </w:p>
        </w:tc>
        <w:tc>
          <w:tcPr>
            <w:tcW w:w="120" w:type="dxa"/>
            <w:vAlign w:val="bottom"/>
          </w:tcPr>
          <w:p>
            <w:pPr>
              <w:spacing w:after="0"/>
              <w:rPr>
                <w:sz w:val="17"/>
                <w:szCs w:val="17"/>
                <w:color w:val="auto"/>
              </w:rPr>
            </w:pPr>
          </w:p>
        </w:tc>
        <w:tc>
          <w:tcPr>
            <w:tcW w:w="1260" w:type="dxa"/>
            <w:vAlign w:val="bottom"/>
            <w:tcBorders>
              <w:right w:val="single" w:sz="8" w:color="auto"/>
            </w:tcBorders>
            <w:gridSpan w:val="2"/>
          </w:tcPr>
          <w:p>
            <w:pPr>
              <w:jc w:val="right"/>
              <w:ind w:right="190"/>
              <w:spacing w:after="0" w:line="196" w:lineRule="exact"/>
              <w:rPr>
                <w:sz w:val="20"/>
                <w:szCs w:val="20"/>
                <w:color w:val="auto"/>
              </w:rPr>
            </w:pPr>
            <w:r>
              <w:rPr>
                <w:rFonts w:ascii="Arial" w:cs="Arial" w:eastAsia="Arial" w:hAnsi="Arial"/>
                <w:sz w:val="18"/>
                <w:szCs w:val="18"/>
                <w:color w:val="auto"/>
              </w:rPr>
              <w:t>(18,204 )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ind w:left="540"/>
              <w:spacing w:after="0" w:line="196" w:lineRule="exact"/>
              <w:rPr>
                <w:sz w:val="20"/>
                <w:szCs w:val="20"/>
                <w:color w:val="auto"/>
              </w:rPr>
            </w:pPr>
            <w:r>
              <w:rPr>
                <w:rFonts w:ascii="Arial" w:cs="Arial" w:eastAsia="Arial" w:hAnsi="Arial"/>
                <w:sz w:val="18"/>
                <w:szCs w:val="18"/>
                <w:color w:val="auto"/>
              </w:rPr>
              <w:t>(Loss) Income before income taxes</w:t>
            </w:r>
          </w:p>
        </w:tc>
        <w:tc>
          <w:tcPr>
            <w:tcW w:w="2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(60,582</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(51,157</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(49,266</w:t>
            </w:r>
          </w:p>
        </w:tc>
        <w:tc>
          <w:tcPr>
            <w:tcW w:w="360" w:type="dxa"/>
            <w:vAlign w:val="bottom"/>
            <w:tcBorders>
              <w:right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8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(675 )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60" w:type="dxa"/>
            <w:vAlign w:val="bottom"/>
            <w:tcBorders>
              <w:right w:val="single" w:sz="8" w:color="auto"/>
            </w:tcBorders>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FF0FC"/>
            </w:tcBorders>
            <w:shd w:val="clear" w:color="auto" w:fill="CFF0FC"/>
          </w:tcPr>
          <w:p>
            <w:pPr>
              <w:ind w:left="720"/>
              <w:spacing w:after="0" w:line="196" w:lineRule="exact"/>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(61,257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(51,157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(49,266</w:t>
            </w:r>
          </w:p>
        </w:tc>
        <w:tc>
          <w:tcPr>
            <w:tcW w:w="360" w:type="dxa"/>
            <w:vAlign w:val="bottom"/>
            <w:tcBorders>
              <w:bottom w:val="single" w:sz="8" w:color="CFF0FC"/>
              <w:right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12,868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560" w:type="dxa"/>
            <w:vAlign w:val="bottom"/>
          </w:tcPr>
          <w:p>
            <w:pPr>
              <w:ind w:left="180"/>
              <w:spacing w:after="0" w:line="156" w:lineRule="exact"/>
              <w:rPr>
                <w:sz w:val="20"/>
                <w:szCs w:val="20"/>
                <w:color w:val="auto"/>
              </w:rPr>
            </w:pPr>
            <w:r>
              <w:rPr>
                <w:rFonts w:ascii="Arial" w:cs="Arial" w:eastAsia="Arial" w:hAnsi="Arial"/>
                <w:sz w:val="18"/>
                <w:szCs w:val="18"/>
                <w:color w:val="auto"/>
              </w:rPr>
              <w:t>Less: Net (loss) income attributable to Definitive OpCo prior to the</w:t>
            </w:r>
          </w:p>
        </w:tc>
        <w:tc>
          <w:tcPr>
            <w:tcW w:w="240" w:type="dxa"/>
            <w:vAlign w:val="bottom"/>
          </w:tcPr>
          <w:p>
            <w:pPr>
              <w:spacing w:after="0"/>
              <w:rPr>
                <w:sz w:val="13"/>
                <w:szCs w:val="13"/>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(33,343 )</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restart"/>
          </w:tcPr>
          <w:p>
            <w:pPr>
              <w:jc w:val="right"/>
              <w:ind w:right="81"/>
              <w:spacing w:after="0"/>
              <w:rPr>
                <w:sz w:val="20"/>
                <w:szCs w:val="20"/>
                <w:color w:val="auto"/>
              </w:rPr>
            </w:pPr>
            <w:r>
              <w:rPr>
                <w:rFonts w:ascii="Arial" w:cs="Arial" w:eastAsia="Arial" w:hAnsi="Arial"/>
                <w:sz w:val="18"/>
                <w:szCs w:val="18"/>
                <w:color w:val="auto"/>
              </w:rPr>
              <w:t>(51,157 )</w:t>
            </w:r>
          </w:p>
        </w:tc>
        <w:tc>
          <w:tcPr>
            <w:tcW w:w="120" w:type="dxa"/>
            <w:vAlign w:val="bottom"/>
          </w:tcPr>
          <w:p>
            <w:pPr>
              <w:spacing w:after="0"/>
              <w:rPr>
                <w:sz w:val="13"/>
                <w:szCs w:val="13"/>
                <w:color w:val="auto"/>
              </w:rPr>
            </w:pPr>
          </w:p>
        </w:tc>
        <w:tc>
          <w:tcPr>
            <w:tcW w:w="1260" w:type="dxa"/>
            <w:vAlign w:val="bottom"/>
            <w:tcBorders>
              <w:right w:val="single" w:sz="8" w:color="auto"/>
            </w:tcBorders>
            <w:gridSpan w:val="2"/>
            <w:vMerge w:val="restart"/>
          </w:tcPr>
          <w:p>
            <w:pPr>
              <w:jc w:val="right"/>
              <w:ind w:right="190"/>
              <w:spacing w:after="0"/>
              <w:rPr>
                <w:sz w:val="20"/>
                <w:szCs w:val="20"/>
                <w:color w:val="auto"/>
              </w:rPr>
            </w:pPr>
            <w:r>
              <w:rPr>
                <w:rFonts w:ascii="Arial" w:cs="Arial" w:eastAsia="Arial" w:hAnsi="Arial"/>
                <w:sz w:val="18"/>
                <w:szCs w:val="18"/>
                <w:color w:val="auto"/>
              </w:rPr>
              <w:t>(49,266 )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12,868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Reorganization Transactions</w:t>
            </w: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right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Less: Net loss attributable to noncontrolling interests</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(10,237 )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60" w:type="dxa"/>
            <w:vAlign w:val="bottom"/>
            <w:tcBorders>
              <w:right w:val="single" w:sz="8" w:color="auto"/>
            </w:tcBorders>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ind w:left="540"/>
              <w:spacing w:after="0" w:line="196" w:lineRule="exact"/>
              <w:rPr>
                <w:sz w:val="20"/>
                <w:szCs w:val="20"/>
                <w:color w:val="auto"/>
              </w:rPr>
            </w:pPr>
            <w:r>
              <w:rPr>
                <w:rFonts w:ascii="Arial" w:cs="Arial" w:eastAsia="Arial" w:hAnsi="Arial"/>
                <w:sz w:val="18"/>
                <w:szCs w:val="18"/>
                <w:color w:val="auto"/>
              </w:rPr>
              <w:t>Net loss attributable to Definitive Healthcare Corp.</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(17,677 )</w:t>
            </w:r>
          </w:p>
        </w:tc>
        <w:tc>
          <w:tcPr>
            <w:tcW w:w="4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1"/>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auto"/>
            </w:tcBorders>
            <w:gridSpan w:val="2"/>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of Class A Common Stock:</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360"/>
              <w:spacing w:after="0" w:line="202" w:lineRule="exact"/>
              <w:rPr>
                <w:sz w:val="20"/>
                <w:szCs w:val="20"/>
                <w:color w:val="auto"/>
              </w:rPr>
            </w:pPr>
            <w:r>
              <w:rPr>
                <w:rFonts w:ascii="Arial" w:cs="Arial" w:eastAsia="Arial" w:hAnsi="Arial"/>
                <w:sz w:val="18"/>
                <w:szCs w:val="18"/>
                <w:color w:val="auto"/>
              </w:rPr>
              <w:t>Basic and diluted</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(0.19 )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260" w:type="dxa"/>
            <w:vAlign w:val="bottom"/>
            <w:tcBorders>
              <w:right w:val="single" w:sz="8" w:color="auto"/>
            </w:tcBorders>
            <w:gridSpan w:val="2"/>
          </w:tcPr>
          <w:p>
            <w:pPr>
              <w:jc w:val="right"/>
              <w:ind w:right="290"/>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5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Common Stock outstanding:</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6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360"/>
              <w:spacing w:after="0" w:line="202" w:lineRule="exact"/>
              <w:rPr>
                <w:sz w:val="20"/>
                <w:szCs w:val="20"/>
                <w:color w:val="auto"/>
              </w:rPr>
            </w:pPr>
            <w:r>
              <w:rPr>
                <w:rFonts w:ascii="Arial" w:cs="Arial" w:eastAsia="Arial" w:hAnsi="Arial"/>
                <w:sz w:val="17"/>
                <w:szCs w:val="17"/>
                <w:color w:val="auto"/>
              </w:rPr>
              <w:t xml:space="preserve">Basic and diluted </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91,916,151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260" w:type="dxa"/>
            <w:vAlign w:val="bottom"/>
            <w:tcBorders>
              <w:right w:val="single" w:sz="8" w:color="auto"/>
            </w:tcBorders>
            <w:gridSpan w:val="2"/>
          </w:tcPr>
          <w:p>
            <w:pPr>
              <w:jc w:val="right"/>
              <w:ind w:right="290"/>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-3159760</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-3159760</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-3159760</wp:posOffset>
            </wp:positionV>
            <wp:extent cx="1454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-3159760</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-2379345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-2379345</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-2379345</wp:posOffset>
            </wp:positionV>
            <wp:extent cx="14541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-2379345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-1590675</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-1590675</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-1590675</wp:posOffset>
            </wp:positionV>
            <wp:extent cx="14541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-1590675</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-1050925</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-1050925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-1050925</wp:posOffset>
            </wp:positionV>
            <wp:extent cx="14541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-1050925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-673735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-673735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-673735</wp:posOffset>
            </wp:positionV>
            <wp:extent cx="1454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7021830</wp:posOffset>
            </wp:positionH>
            <wp:positionV relativeFrom="paragraph">
              <wp:posOffset>-673735</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4" w:lineRule="exact"/>
        <w:rPr>
          <w:sz w:val="20"/>
          <w:szCs w:val="20"/>
          <w:color w:val="auto"/>
        </w:rPr>
      </w:pPr>
    </w:p>
    <w:p>
      <w:pPr>
        <w:jc w:val="both"/>
        <w:ind w:left="-20" w:right="40" w:firstLine="517"/>
        <w:spacing w:after="0" w:line="257" w:lineRule="auto"/>
        <w:tabs>
          <w:tab w:leader="none" w:pos="693"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Basic and diluted net loss per share of Class A Common Stock is applicable only for the period from September 15, 2021 through December 31, 2021, which is the period following the IPO and related Reorganization Transactions. See Note 16 for the number of shares used in the computation of net loss per share of Class A Common Stock and the basis for the computation of net loss per share.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24" w:right="39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ind w:right="40"/>
        <w:spacing w:after="0"/>
        <w:rPr>
          <w:sz w:val="20"/>
          <w:szCs w:val="20"/>
          <w:color w:val="auto"/>
        </w:rPr>
      </w:pPr>
      <w:r>
        <w:rPr>
          <w:rFonts w:ascii="Arial" w:cs="Arial" w:eastAsia="Arial" w:hAnsi="Arial"/>
          <w:sz w:val="18"/>
          <w:szCs w:val="18"/>
          <w:i w:val="1"/>
          <w:iCs w:val="1"/>
          <w:color w:val="auto"/>
        </w:rPr>
        <w:t>(amounts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1216"/>
              <w:spacing w:after="0"/>
              <w:rPr>
                <w:sz w:val="20"/>
                <w:szCs w:val="20"/>
                <w:color w:val="auto"/>
              </w:rPr>
            </w:pPr>
            <w:r>
              <w:rPr>
                <w:rFonts w:ascii="Arial" w:cs="Arial" w:eastAsia="Arial" w:hAnsi="Arial"/>
                <w:sz w:val="14"/>
                <w:szCs w:val="14"/>
                <w:b w:val="1"/>
                <w:bCs w:val="1"/>
                <w:color w:val="auto"/>
                <w:w w:val="88"/>
              </w:rPr>
              <w:t>Successor Company</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Predecessor Company</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5"/>
            <w:vMerge w:val="restart"/>
          </w:tcPr>
          <w:p>
            <w:pPr>
              <w:jc w:val="right"/>
              <w:ind w:right="390"/>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74"/>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4"/>
                <w:szCs w:val="14"/>
                <w:b w:val="1"/>
                <w:bCs w:val="1"/>
                <w:color w:val="auto"/>
                <w:w w:val="92"/>
              </w:rPr>
              <w:t>July 16, 2019 to</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(61,257</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(51,157</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(49,266</w:t>
            </w:r>
          </w:p>
        </w:tc>
        <w:tc>
          <w:tcPr>
            <w:tcW w:w="220" w:type="dxa"/>
            <w:vAlign w:val="bottom"/>
            <w:tcBorders>
              <w:right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(131 )</w:t>
            </w:r>
          </w:p>
        </w:tc>
        <w:tc>
          <w:tcPr>
            <w:tcW w:w="140" w:type="dxa"/>
            <w:vAlign w:val="bottom"/>
            <w:shd w:val="clear" w:color="auto" w:fill="CFF0FC"/>
          </w:tcPr>
          <w:p>
            <w:pPr>
              <w:spacing w:after="0"/>
              <w:rPr>
                <w:sz w:val="17"/>
                <w:szCs w:val="17"/>
                <w:color w:val="auto"/>
              </w:rPr>
            </w:pPr>
          </w:p>
        </w:tc>
        <w:tc>
          <w:tcPr>
            <w:tcW w:w="1560" w:type="dxa"/>
            <w:vAlign w:val="bottom"/>
            <w:tcBorders>
              <w:right w:val="single" w:sz="8" w:color="auto"/>
            </w:tcBorders>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Pr>
          <w:p>
            <w:pPr>
              <w:ind w:left="380"/>
              <w:spacing w:after="0" w:line="196" w:lineRule="exact"/>
              <w:rPr>
                <w:sz w:val="20"/>
                <w:szCs w:val="20"/>
                <w:color w:val="auto"/>
              </w:rPr>
            </w:pPr>
            <w:r>
              <w:rPr>
                <w:rFonts w:ascii="Arial" w:cs="Arial" w:eastAsia="Arial" w:hAnsi="Arial"/>
                <w:sz w:val="18"/>
                <w:szCs w:val="18"/>
                <w:color w:val="auto"/>
              </w:rPr>
              <w:t>Comprehensive (loss) income</w:t>
            </w:r>
          </w:p>
        </w:tc>
        <w:tc>
          <w:tcPr>
            <w:tcW w:w="180" w:type="dxa"/>
            <w:vAlign w:val="bottom"/>
          </w:tcPr>
          <w:p>
            <w:pPr>
              <w:spacing w:after="0"/>
              <w:rPr>
                <w:sz w:val="17"/>
                <w:szCs w:val="17"/>
                <w:color w:val="auto"/>
              </w:rPr>
            </w:pPr>
          </w:p>
        </w:tc>
        <w:tc>
          <w:tcPr>
            <w:tcW w:w="10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(61,064 )</w:t>
            </w:r>
          </w:p>
        </w:tc>
        <w:tc>
          <w:tcPr>
            <w:tcW w:w="100" w:type="dxa"/>
            <w:vAlign w:val="bottom"/>
          </w:tcPr>
          <w:p>
            <w:pPr>
              <w:spacing w:after="0"/>
              <w:rPr>
                <w:sz w:val="17"/>
                <w:szCs w:val="17"/>
                <w:color w:val="auto"/>
              </w:rPr>
            </w:pPr>
          </w:p>
        </w:tc>
        <w:tc>
          <w:tcPr>
            <w:tcW w:w="10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(51,288 )</w:t>
            </w:r>
          </w:p>
        </w:tc>
        <w:tc>
          <w:tcPr>
            <w:tcW w:w="140" w:type="dxa"/>
            <w:vAlign w:val="bottom"/>
          </w:tcPr>
          <w:p>
            <w:pPr>
              <w:spacing w:after="0"/>
              <w:rPr>
                <w:sz w:val="17"/>
                <w:szCs w:val="17"/>
                <w:color w:val="auto"/>
              </w:rPr>
            </w:pPr>
          </w:p>
        </w:tc>
        <w:tc>
          <w:tcPr>
            <w:tcW w:w="1560" w:type="dxa"/>
            <w:vAlign w:val="bottom"/>
            <w:tcBorders>
              <w:right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color w:val="auto"/>
              </w:rPr>
              <w:t>(49,266 )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9"/>
              </w:rPr>
              <w:t>Less: Comprehensive (loss) income attributable to Definitive OpCo</w:t>
            </w:r>
          </w:p>
        </w:tc>
        <w:tc>
          <w:tcPr>
            <w:tcW w:w="18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(33,201 )</w:t>
            </w:r>
          </w:p>
        </w:tc>
        <w:tc>
          <w:tcPr>
            <w:tcW w:w="10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(51,288 )</w:t>
            </w:r>
          </w:p>
        </w:tc>
        <w:tc>
          <w:tcPr>
            <w:tcW w:w="140" w:type="dxa"/>
            <w:vAlign w:val="bottom"/>
            <w:shd w:val="clear" w:color="auto" w:fill="CFF0FC"/>
          </w:tcPr>
          <w:p>
            <w:pPr>
              <w:spacing w:after="0"/>
              <w:rPr>
                <w:sz w:val="14"/>
                <w:szCs w:val="14"/>
                <w:color w:val="auto"/>
              </w:rPr>
            </w:pPr>
          </w:p>
        </w:tc>
        <w:tc>
          <w:tcPr>
            <w:tcW w:w="1560" w:type="dxa"/>
            <w:vAlign w:val="bottom"/>
            <w:tcBorders>
              <w:right w:val="single" w:sz="8" w:color="auto"/>
            </w:tcBorders>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(49,266 )</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prior to the Reorganization Transactions</w:t>
            </w:r>
          </w:p>
        </w:tc>
        <w:tc>
          <w:tcPr>
            <w:tcW w:w="18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tcBorders>
              <w:right w:val="single" w:sz="8" w:color="auto"/>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tcBorders>
              <w:right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Less: Comprehensive loss attributable to noncontrolling interests</w:t>
            </w:r>
          </w:p>
        </w:tc>
        <w:tc>
          <w:tcPr>
            <w:tcW w:w="180" w:type="dxa"/>
            <w:vAlign w:val="bottom"/>
          </w:tcPr>
          <w:p>
            <w:pPr>
              <w:spacing w:after="0"/>
              <w:rPr>
                <w:sz w:val="17"/>
                <w:szCs w:val="17"/>
                <w:color w:val="auto"/>
              </w:rPr>
            </w:pPr>
          </w:p>
        </w:tc>
        <w:tc>
          <w:tcPr>
            <w:tcW w:w="10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(10,237 )</w:t>
            </w:r>
          </w:p>
        </w:tc>
        <w:tc>
          <w:tcPr>
            <w:tcW w:w="100" w:type="dxa"/>
            <w:vAlign w:val="bottom"/>
          </w:tcPr>
          <w:p>
            <w:pPr>
              <w:spacing w:after="0"/>
              <w:rPr>
                <w:sz w:val="17"/>
                <w:szCs w:val="17"/>
                <w:color w:val="auto"/>
              </w:rPr>
            </w:pPr>
          </w:p>
        </w:tc>
        <w:tc>
          <w:tcPr>
            <w:tcW w:w="10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60" w:type="dxa"/>
            <w:vAlign w:val="bottom"/>
            <w:tcBorders>
              <w:right w:val="single" w:sz="8" w:color="auto"/>
            </w:tcBorders>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Comprehensive loss attributable to Definitive Healthcare Corp.</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(17,626</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-664845</wp:posOffset>
            </wp:positionV>
            <wp:extent cx="7747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-664845</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-664845</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-664845</wp:posOffset>
            </wp:positionV>
            <wp:extent cx="431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MEMBERS’ EQUITY AND TOTAL EQUITY</w:t>
      </w:r>
    </w:p>
    <w:p>
      <w:pPr>
        <w:jc w:val="center"/>
        <w:ind w:right="40"/>
        <w:spacing w:after="0"/>
        <w:rPr>
          <w:sz w:val="20"/>
          <w:szCs w:val="20"/>
          <w:color w:val="auto"/>
        </w:rPr>
      </w:pPr>
      <w:r>
        <w:rPr>
          <w:rFonts w:ascii="Arial" w:cs="Arial" w:eastAsia="Arial" w:hAnsi="Arial"/>
          <w:sz w:val="18"/>
          <w:szCs w:val="18"/>
          <w:i w:val="1"/>
          <w:iCs w:val="1"/>
          <w:color w:val="auto"/>
        </w:rPr>
        <w:t>(amounts 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1180" w:type="dxa"/>
            <w:vAlign w:val="bottom"/>
            <w:tcBorders>
              <w:right w:val="single" w:sz="8" w:color="auto"/>
            </w:tcBorders>
            <w:gridSpan w:val="2"/>
          </w:tcPr>
          <w:p>
            <w:pPr>
              <w:jc w:val="center"/>
              <w:ind w:right="33"/>
              <w:spacing w:after="0"/>
              <w:rPr>
                <w:sz w:val="20"/>
                <w:szCs w:val="20"/>
                <w:color w:val="auto"/>
              </w:rPr>
            </w:pPr>
            <w:r>
              <w:rPr>
                <w:rFonts w:ascii="Arial" w:cs="Arial" w:eastAsia="Arial" w:hAnsi="Arial"/>
                <w:sz w:val="13"/>
                <w:szCs w:val="13"/>
                <w:b w:val="1"/>
                <w:bCs w:val="1"/>
                <w:color w:val="auto"/>
                <w:w w:val="95"/>
              </w:rPr>
              <w:t>AIDH TopCo, LLC</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tcPr>
          <w:p>
            <w:pPr>
              <w:jc w:val="center"/>
              <w:ind w:right="153"/>
              <w:spacing w:after="0" w:line="122" w:lineRule="exact"/>
              <w:rPr>
                <w:sz w:val="20"/>
                <w:szCs w:val="20"/>
                <w:color w:val="auto"/>
              </w:rPr>
            </w:pPr>
            <w:r>
              <w:rPr>
                <w:rFonts w:ascii="Arial" w:cs="Arial" w:eastAsia="Arial" w:hAnsi="Arial"/>
                <w:sz w:val="13"/>
                <w:szCs w:val="13"/>
                <w:b w:val="1"/>
                <w:bCs w:val="1"/>
                <w:color w:val="auto"/>
                <w:w w:val="90"/>
              </w:rPr>
              <w:t>(Prior to</w:t>
            </w: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tcPr>
          <w:p>
            <w:pPr>
              <w:jc w:val="center"/>
              <w:ind w:right="153"/>
              <w:spacing w:after="0" w:line="122" w:lineRule="exact"/>
              <w:rPr>
                <w:sz w:val="20"/>
                <w:szCs w:val="20"/>
                <w:color w:val="auto"/>
              </w:rPr>
            </w:pPr>
            <w:r>
              <w:rPr>
                <w:rFonts w:ascii="Arial" w:cs="Arial" w:eastAsia="Arial" w:hAnsi="Arial"/>
                <w:sz w:val="13"/>
                <w:szCs w:val="13"/>
                <w:b w:val="1"/>
                <w:bCs w:val="1"/>
                <w:color w:val="auto"/>
                <w:w w:val="87"/>
              </w:rPr>
              <w:t>Reorganization</w:t>
            </w: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6"/>
            <w:vMerge w:val="restart"/>
          </w:tcPr>
          <w:p>
            <w:pPr>
              <w:ind w:left="260"/>
              <w:spacing w:after="0"/>
              <w:rPr>
                <w:sz w:val="20"/>
                <w:szCs w:val="20"/>
                <w:color w:val="auto"/>
              </w:rPr>
            </w:pPr>
            <w:r>
              <w:rPr>
                <w:rFonts w:ascii="Arial" w:cs="Arial" w:eastAsia="Arial" w:hAnsi="Arial"/>
                <w:sz w:val="13"/>
                <w:szCs w:val="13"/>
                <w:b w:val="1"/>
                <w:bCs w:val="1"/>
                <w:color w:val="auto"/>
                <w:w w:val="90"/>
              </w:rPr>
              <w:t>Definitive Healthcare Corp.</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84"/>
              </w:rPr>
              <w:t>Transactions)</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6"/>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133"/>
              <w:spacing w:after="0"/>
              <w:rPr>
                <w:sz w:val="20"/>
                <w:szCs w:val="20"/>
                <w:color w:val="auto"/>
              </w:rPr>
            </w:pPr>
            <w:r>
              <w:rPr>
                <w:rFonts w:ascii="Arial" w:cs="Arial" w:eastAsia="Arial" w:hAnsi="Arial"/>
                <w:sz w:val="13"/>
                <w:szCs w:val="13"/>
                <w:b w:val="1"/>
                <w:bCs w:val="1"/>
                <w:color w:val="auto"/>
                <w:w w:val="92"/>
              </w:rPr>
              <w:t>Members'</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Class A</w:t>
            </w:r>
          </w:p>
        </w:tc>
        <w:tc>
          <w:tcPr>
            <w:tcW w:w="140" w:type="dxa"/>
            <w:vAlign w:val="bottom"/>
          </w:tcPr>
          <w:p>
            <w:pPr>
              <w:spacing w:after="0"/>
              <w:rPr>
                <w:sz w:val="10"/>
                <w:szCs w:val="10"/>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96"/>
              </w:rPr>
              <w:t>Class A</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Class B</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6"/>
              </w:rPr>
              <w:t>Comprehensi</w:t>
            </w:r>
          </w:p>
        </w:tc>
        <w:tc>
          <w:tcPr>
            <w:tcW w:w="60" w:type="dxa"/>
            <w:vAlign w:val="bottom"/>
          </w:tcPr>
          <w:p>
            <w:pPr>
              <w:spacing w:after="0"/>
              <w:rPr>
                <w:sz w:val="10"/>
                <w:szCs w:val="10"/>
                <w:color w:val="auto"/>
              </w:rPr>
            </w:pPr>
          </w:p>
        </w:tc>
        <w:tc>
          <w:tcPr>
            <w:tcW w:w="940" w:type="dxa"/>
            <w:vAlign w:val="bottom"/>
            <w:gridSpan w:val="4"/>
            <w:vMerge w:val="restart"/>
          </w:tcPr>
          <w:p>
            <w:pPr>
              <w:jc w:val="right"/>
              <w:ind w:right="100"/>
              <w:spacing w:after="0"/>
              <w:rPr>
                <w:sz w:val="20"/>
                <w:szCs w:val="20"/>
                <w:color w:val="auto"/>
              </w:rPr>
            </w:pPr>
            <w:r>
              <w:rPr>
                <w:rFonts w:ascii="Arial" w:cs="Arial" w:eastAsia="Arial" w:hAnsi="Arial"/>
                <w:sz w:val="13"/>
                <w:szCs w:val="13"/>
                <w:b w:val="1"/>
                <w:bCs w:val="1"/>
                <w:color w:val="auto"/>
                <w:w w:val="88"/>
              </w:rPr>
              <w:t>Noncontrolling</w:t>
            </w:r>
          </w:p>
        </w:tc>
        <w:tc>
          <w:tcPr>
            <w:tcW w:w="14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rPr>
              <w:t>Accumulated</w:t>
            </w:r>
          </w:p>
        </w:tc>
        <w:tc>
          <w:tcPr>
            <w:tcW w:w="640" w:type="dxa"/>
            <w:vAlign w:val="bottom"/>
          </w:tcPr>
          <w:p>
            <w:pPr>
              <w:jc w:val="center"/>
              <w:ind w:right="93"/>
              <w:spacing w:after="0" w:line="144" w:lineRule="exact"/>
              <w:rPr>
                <w:sz w:val="20"/>
                <w:szCs w:val="20"/>
                <w:color w:val="auto"/>
              </w:rPr>
            </w:pPr>
            <w:r>
              <w:rPr>
                <w:rFonts w:ascii="Arial" w:cs="Arial" w:eastAsia="Arial" w:hAnsi="Arial"/>
                <w:sz w:val="13"/>
                <w:szCs w:val="13"/>
                <w:b w:val="1"/>
                <w:bCs w:val="1"/>
                <w:color w:val="auto"/>
                <w:w w:val="82"/>
              </w:rPr>
              <w:t>ve</w:t>
            </w:r>
          </w:p>
        </w:tc>
        <w:tc>
          <w:tcPr>
            <w:tcW w:w="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133"/>
              <w:spacing w:after="0"/>
              <w:rPr>
                <w:sz w:val="20"/>
                <w:szCs w:val="20"/>
                <w:color w:val="auto"/>
              </w:rPr>
            </w:pPr>
            <w:r>
              <w:rPr>
                <w:rFonts w:ascii="Arial" w:cs="Arial" w:eastAsia="Arial" w:hAnsi="Arial"/>
                <w:sz w:val="13"/>
                <w:szCs w:val="13"/>
                <w:b w:val="1"/>
                <w:bCs w:val="1"/>
                <w:color w:val="auto"/>
                <w:w w:val="90"/>
              </w:rPr>
              <w:t>Equity</w:t>
            </w: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7"/>
              </w:rPr>
              <w:t>Amount</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0"/>
                <w:szCs w:val="10"/>
                <w:color w:val="auto"/>
              </w:rPr>
            </w:pPr>
          </w:p>
        </w:tc>
        <w:tc>
          <w:tcPr>
            <w:tcW w:w="780" w:type="dxa"/>
            <w:vAlign w:val="bottom"/>
            <w:gridSpan w:val="3"/>
            <w:vMerge w:val="restart"/>
          </w:tcPr>
          <w:p>
            <w:pPr>
              <w:jc w:val="right"/>
              <w:ind w:right="335"/>
              <w:spacing w:after="0"/>
              <w:rPr>
                <w:sz w:val="20"/>
                <w:szCs w:val="20"/>
                <w:color w:val="auto"/>
              </w:rPr>
            </w:pPr>
            <w:r>
              <w:rPr>
                <w:rFonts w:ascii="Arial" w:cs="Arial" w:eastAsia="Arial" w:hAnsi="Arial"/>
                <w:sz w:val="13"/>
                <w:szCs w:val="13"/>
                <w:b w:val="1"/>
                <w:bCs w:val="1"/>
                <w:color w:val="auto"/>
                <w:w w:val="90"/>
              </w:rPr>
              <w:t>Deficit</w:t>
            </w:r>
          </w:p>
        </w:tc>
        <w:tc>
          <w:tcPr>
            <w:tcW w:w="640" w:type="dxa"/>
            <w:vAlign w:val="bottom"/>
          </w:tcPr>
          <w:p>
            <w:pPr>
              <w:jc w:val="center"/>
              <w:ind w:right="113"/>
              <w:spacing w:after="0" w:line="126" w:lineRule="exact"/>
              <w:rPr>
                <w:sz w:val="20"/>
                <w:szCs w:val="20"/>
                <w:color w:val="auto"/>
              </w:rPr>
            </w:pPr>
            <w:r>
              <w:rPr>
                <w:rFonts w:ascii="Arial" w:cs="Arial" w:eastAsia="Arial" w:hAnsi="Arial"/>
                <w:sz w:val="13"/>
                <w:szCs w:val="13"/>
                <w:b w:val="1"/>
                <w:bCs w:val="1"/>
                <w:color w:val="auto"/>
                <w:w w:val="87"/>
              </w:rPr>
              <w:t>(Loss)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Pr>
          <w:p>
            <w:pPr>
              <w:spacing w:after="0"/>
              <w:rPr>
                <w:sz w:val="10"/>
                <w:szCs w:val="10"/>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87"/>
              </w:rPr>
              <w:t>Income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2020</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1,195,694</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(131</w:t>
            </w:r>
          </w:p>
        </w:tc>
        <w:tc>
          <w:tcPr>
            <w:tcW w:w="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1,195,563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rPr>
              <w:t>Net loss prior to Reorganization</w:t>
            </w: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(33,343 )</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80" w:type="dxa"/>
            <w:vAlign w:val="bottom"/>
            <w:gridSpan w:val="3"/>
            <w:vMerge w:val="restart"/>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(33,343 )</w:t>
            </w: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3"/>
                <w:szCs w:val="13"/>
                <w:color w:val="auto"/>
              </w:rPr>
              <w:t>Transactions</w:t>
            </w:r>
          </w:p>
        </w:tc>
        <w:tc>
          <w:tcPr>
            <w:tcW w:w="10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w w:val="97"/>
              </w:rPr>
              <w:t>Other comprehensive income prior</w:t>
            </w:r>
          </w:p>
        </w:tc>
        <w:tc>
          <w:tcPr>
            <w:tcW w:w="100" w:type="dxa"/>
            <w:vAlign w:val="bottom"/>
            <w:shd w:val="clear" w:color="auto" w:fill="CFF0FC"/>
          </w:tcPr>
          <w:p>
            <w:pPr>
              <w:spacing w:after="0"/>
              <w:rPr>
                <w:sz w:val="10"/>
                <w:szCs w:val="10"/>
                <w:color w:val="auto"/>
              </w:rPr>
            </w:pPr>
          </w:p>
        </w:tc>
        <w:tc>
          <w:tcPr>
            <w:tcW w:w="1080" w:type="dxa"/>
            <w:vAlign w:val="bottom"/>
            <w:tcBorders>
              <w:right w:val="single" w:sz="8" w:color="auto"/>
            </w:tcBorders>
            <w:vMerge w:val="restart"/>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780" w:type="dxa"/>
            <w:vAlign w:val="bottom"/>
            <w:gridSpan w:val="3"/>
            <w:vMerge w:val="restart"/>
            <w:shd w:val="clear" w:color="auto" w:fill="CFF0FC"/>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142</w:t>
            </w: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142</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 Reorganization Transactions</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vMerge w:val="continue"/>
            <w:shd w:val="clear" w:color="auto" w:fill="CFF0FC"/>
          </w:tcPr>
          <w:p>
            <w:pPr>
              <w:spacing w:after="0"/>
              <w:rPr>
                <w:sz w:val="15"/>
                <w:szCs w:val="15"/>
                <w:color w:val="auto"/>
              </w:rPr>
            </w:pPr>
          </w:p>
        </w:tc>
        <w:tc>
          <w:tcPr>
            <w:tcW w:w="96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3"/>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w w:val="94"/>
              </w:rPr>
              <w:t>Equity-based compensation prior to</w:t>
            </w: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1,743</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80" w:type="dxa"/>
            <w:vAlign w:val="bottom"/>
            <w:gridSpan w:val="3"/>
            <w:vMerge w:val="restart"/>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1,743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3"/>
                <w:szCs w:val="13"/>
                <w:color w:val="auto"/>
              </w:rPr>
              <w:t>Reorganization Transactions</w:t>
            </w:r>
          </w:p>
        </w:tc>
        <w:tc>
          <w:tcPr>
            <w:tcW w:w="10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Members' contributions prior to</w:t>
            </w:r>
          </w:p>
        </w:tc>
        <w:tc>
          <w:tcPr>
            <w:tcW w:w="100" w:type="dxa"/>
            <w:vAlign w:val="bottom"/>
            <w:shd w:val="clear" w:color="auto" w:fill="CFF0FC"/>
          </w:tcPr>
          <w:p>
            <w:pPr>
              <w:spacing w:after="0"/>
              <w:rPr>
                <w:sz w:val="10"/>
                <w:szCs w:val="10"/>
                <w:color w:val="auto"/>
              </w:rPr>
            </w:pPr>
          </w:p>
        </w:tc>
        <w:tc>
          <w:tcPr>
            <w:tcW w:w="1080" w:type="dxa"/>
            <w:vAlign w:val="bottom"/>
            <w:tcBorders>
              <w:right w:val="single" w:sz="8" w:color="auto"/>
            </w:tcBorders>
            <w:vMerge w:val="restart"/>
            <w:shd w:val="clear" w:color="auto" w:fill="CFF0FC"/>
          </w:tcPr>
          <w:p>
            <w:pPr>
              <w:jc w:val="right"/>
              <w:ind w:right="53"/>
              <w:spacing w:after="0"/>
              <w:rPr>
                <w:sz w:val="20"/>
                <w:szCs w:val="20"/>
                <w:color w:val="auto"/>
              </w:rPr>
            </w:pPr>
            <w:r>
              <w:rPr>
                <w:rFonts w:ascii="Arial" w:cs="Arial" w:eastAsia="Arial" w:hAnsi="Arial"/>
                <w:sz w:val="13"/>
                <w:szCs w:val="13"/>
                <w:color w:val="auto"/>
              </w:rPr>
              <w:t>5,500</w:t>
            </w:r>
          </w:p>
        </w:tc>
        <w:tc>
          <w:tcPr>
            <w:tcW w:w="9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780" w:type="dxa"/>
            <w:vAlign w:val="bottom"/>
            <w:gridSpan w:val="3"/>
            <w:vMerge w:val="restart"/>
            <w:shd w:val="clear" w:color="auto" w:fill="CFF0FC"/>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5,500</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Reorganization Transactions</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vMerge w:val="continue"/>
            <w:shd w:val="clear" w:color="auto" w:fill="CFF0FC"/>
          </w:tcPr>
          <w:p>
            <w:pPr>
              <w:spacing w:after="0"/>
              <w:rPr>
                <w:sz w:val="15"/>
                <w:szCs w:val="15"/>
                <w:color w:val="auto"/>
              </w:rPr>
            </w:pPr>
          </w:p>
        </w:tc>
        <w:tc>
          <w:tcPr>
            <w:tcW w:w="96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3"/>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rPr>
              <w:t>Distributions to members prior to</w:t>
            </w: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(7,139 )</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80" w:type="dxa"/>
            <w:vAlign w:val="bottom"/>
            <w:gridSpan w:val="3"/>
            <w:vMerge w:val="restart"/>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(7,139 )</w:t>
            </w: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3"/>
                <w:szCs w:val="13"/>
                <w:color w:val="auto"/>
              </w:rPr>
              <w:t>Reorganization Transactions</w:t>
            </w:r>
          </w:p>
        </w:tc>
        <w:tc>
          <w:tcPr>
            <w:tcW w:w="10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Impacts of Reorganization</w:t>
            </w:r>
          </w:p>
        </w:tc>
        <w:tc>
          <w:tcPr>
            <w:tcW w:w="100" w:type="dxa"/>
            <w:vAlign w:val="bottom"/>
            <w:shd w:val="clear" w:color="auto" w:fill="CFF0FC"/>
          </w:tcPr>
          <w:p>
            <w:pPr>
              <w:spacing w:after="0"/>
              <w:rPr>
                <w:sz w:val="10"/>
                <w:szCs w:val="10"/>
                <w:color w:val="auto"/>
              </w:rPr>
            </w:pPr>
          </w:p>
        </w:tc>
        <w:tc>
          <w:tcPr>
            <w:tcW w:w="1080" w:type="dxa"/>
            <w:vAlign w:val="bottom"/>
            <w:tcBorders>
              <w:right w:val="single" w:sz="8" w:color="auto"/>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Transactions and Initial Public</w:t>
            </w:r>
          </w:p>
        </w:tc>
        <w:tc>
          <w:tcPr>
            <w:tcW w:w="100" w:type="dxa"/>
            <w:vAlign w:val="bottom"/>
            <w:shd w:val="clear" w:color="auto" w:fill="CFF0FC"/>
          </w:tcPr>
          <w:p>
            <w:pPr>
              <w:spacing w:after="0"/>
              <w:rPr>
                <w:sz w:val="11"/>
                <w:szCs w:val="11"/>
                <w:color w:val="auto"/>
              </w:rPr>
            </w:pPr>
          </w:p>
        </w:tc>
        <w:tc>
          <w:tcPr>
            <w:tcW w:w="1080" w:type="dxa"/>
            <w:vAlign w:val="bottom"/>
            <w:tcBorders>
              <w:right w:val="single" w:sz="8" w:color="auto"/>
            </w:tcBorders>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Offering IPO</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rPr>
              <w:t>Initial effect of the Reorganization</w:t>
            </w:r>
          </w:p>
        </w:tc>
        <w:tc>
          <w:tcPr>
            <w:tcW w:w="10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3"/>
                <w:szCs w:val="13"/>
                <w:color w:val="auto"/>
              </w:rPr>
              <w:t>Transactions and IPO on</w:t>
            </w:r>
          </w:p>
        </w:tc>
        <w:tc>
          <w:tcPr>
            <w:tcW w:w="100" w:type="dxa"/>
            <w:vAlign w:val="bottom"/>
          </w:tcPr>
          <w:p>
            <w:pPr>
              <w:spacing w:after="0"/>
              <w:rPr>
                <w:sz w:val="11"/>
                <w:szCs w:val="11"/>
                <w:color w:val="auto"/>
              </w:rPr>
            </w:pPr>
          </w:p>
        </w:tc>
        <w:tc>
          <w:tcPr>
            <w:tcW w:w="10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(1,162,455 )</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72,871,733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61,262,052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351,074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vMerge w:val="restart"/>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593,861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(217,447 )</w:t>
            </w: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Issuance of Class A Common</w:t>
            </w:r>
          </w:p>
        </w:tc>
        <w:tc>
          <w:tcPr>
            <w:tcW w:w="100" w:type="dxa"/>
            <w:vAlign w:val="bottom"/>
            <w:shd w:val="clear" w:color="auto" w:fill="CFF0FC"/>
          </w:tcPr>
          <w:p>
            <w:pPr>
              <w:spacing w:after="0"/>
              <w:rPr>
                <w:sz w:val="10"/>
                <w:szCs w:val="10"/>
                <w:color w:val="auto"/>
              </w:rPr>
            </w:pPr>
          </w:p>
        </w:tc>
        <w:tc>
          <w:tcPr>
            <w:tcW w:w="1080" w:type="dxa"/>
            <w:vAlign w:val="bottom"/>
            <w:tcBorders>
              <w:right w:val="single" w:sz="8" w:color="auto"/>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Stock in IPO, net of costs of</w:t>
            </w:r>
          </w:p>
        </w:tc>
        <w:tc>
          <w:tcPr>
            <w:tcW w:w="100" w:type="dxa"/>
            <w:vAlign w:val="bottom"/>
            <w:shd w:val="clear" w:color="auto" w:fill="CFF0FC"/>
          </w:tcPr>
          <w:p>
            <w:pPr>
              <w:spacing w:after="0"/>
              <w:rPr>
                <w:sz w:val="11"/>
                <w:szCs w:val="11"/>
                <w:color w:val="auto"/>
              </w:rPr>
            </w:pPr>
          </w:p>
        </w:tc>
        <w:tc>
          <w:tcPr>
            <w:tcW w:w="1080" w:type="dxa"/>
            <w:vAlign w:val="bottom"/>
            <w:tcBorders>
              <w:right w:val="single" w:sz="8" w:color="auto"/>
            </w:tcBorders>
            <w:vMerge w:val="restart"/>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17,888,888</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6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441,400</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gridSpan w:val="3"/>
            <w:vMerge w:val="restart"/>
            <w:shd w:val="clear" w:color="auto" w:fill="CFF0FC"/>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441,418</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$11,394</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vMerge w:val="continue"/>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3"/>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rPr>
              <w:t>Repurchase of Definitive</w:t>
            </w:r>
          </w:p>
        </w:tc>
        <w:tc>
          <w:tcPr>
            <w:tcW w:w="10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3"/>
                <w:szCs w:val="13"/>
                <w:color w:val="auto"/>
              </w:rPr>
              <w:t>Healthcare Corp. shares in</w:t>
            </w:r>
          </w:p>
        </w:tc>
        <w:tc>
          <w:tcPr>
            <w:tcW w:w="100" w:type="dxa"/>
            <w:vAlign w:val="bottom"/>
          </w:tcPr>
          <w:p>
            <w:pPr>
              <w:spacing w:after="0"/>
              <w:rPr>
                <w:sz w:val="11"/>
                <w:szCs w:val="11"/>
                <w:color w:val="auto"/>
              </w:rPr>
            </w:pPr>
          </w:p>
        </w:tc>
        <w:tc>
          <w:tcPr>
            <w:tcW w:w="108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3"/>
                <w:szCs w:val="13"/>
                <w:color w:val="auto"/>
              </w:rPr>
              <w:t>(2,497,288 )</w:t>
            </w:r>
          </w:p>
        </w:tc>
        <w:tc>
          <w:tcPr>
            <w:tcW w:w="14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(3 )</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(63,209 )</w:t>
            </w:r>
          </w:p>
        </w:tc>
        <w:tc>
          <w:tcPr>
            <w:tcW w:w="180" w:type="dxa"/>
            <w:vAlign w:val="bottom"/>
          </w:tcPr>
          <w:p>
            <w:pPr>
              <w:spacing w:after="0"/>
              <w:rPr>
                <w:sz w:val="11"/>
                <w:szCs w:val="11"/>
                <w:color w:val="auto"/>
              </w:rPr>
            </w:pPr>
          </w:p>
        </w:tc>
        <w:tc>
          <w:tcPr>
            <w:tcW w:w="780" w:type="dxa"/>
            <w:vAlign w:val="bottom"/>
            <w:gridSpan w:val="3"/>
            <w:vMerge w:val="restart"/>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(63,212 )</w:t>
            </w: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3"/>
                <w:szCs w:val="13"/>
                <w:color w:val="auto"/>
              </w:rPr>
              <w:t>connection with the IPO</w:t>
            </w:r>
          </w:p>
        </w:tc>
        <w:tc>
          <w:tcPr>
            <w:tcW w:w="10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Repurchase of Definitive OpCo</w:t>
            </w:r>
          </w:p>
        </w:tc>
        <w:tc>
          <w:tcPr>
            <w:tcW w:w="100" w:type="dxa"/>
            <w:vAlign w:val="bottom"/>
            <w:shd w:val="clear" w:color="auto" w:fill="CFF0FC"/>
          </w:tcPr>
          <w:p>
            <w:pPr>
              <w:spacing w:after="0"/>
              <w:rPr>
                <w:sz w:val="10"/>
                <w:szCs w:val="10"/>
                <w:color w:val="auto"/>
              </w:rPr>
            </w:pPr>
          </w:p>
        </w:tc>
        <w:tc>
          <w:tcPr>
            <w:tcW w:w="1080" w:type="dxa"/>
            <w:vAlign w:val="bottom"/>
            <w:tcBorders>
              <w:right w:val="single" w:sz="8" w:color="auto"/>
            </w:tcBorders>
            <w:vMerge w:val="restart"/>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(1,169,378 )</w:t>
            </w: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(29,600 )</w:t>
            </w:r>
          </w:p>
        </w:tc>
        <w:tc>
          <w:tcPr>
            <w:tcW w:w="180" w:type="dxa"/>
            <w:vAlign w:val="bottom"/>
            <w:shd w:val="clear" w:color="auto" w:fill="CFF0FC"/>
          </w:tcPr>
          <w:p>
            <w:pPr>
              <w:spacing w:after="0"/>
              <w:rPr>
                <w:sz w:val="10"/>
                <w:szCs w:val="10"/>
                <w:color w:val="auto"/>
              </w:rPr>
            </w:pPr>
          </w:p>
        </w:tc>
        <w:tc>
          <w:tcPr>
            <w:tcW w:w="780" w:type="dxa"/>
            <w:vAlign w:val="bottom"/>
            <w:gridSpan w:val="3"/>
            <w:vMerge w:val="restart"/>
            <w:shd w:val="clear" w:color="auto" w:fill="CFF0FC"/>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(29,600 )</w:t>
            </w:r>
          </w:p>
        </w:tc>
        <w:tc>
          <w:tcPr>
            <w:tcW w:w="0" w:type="dxa"/>
            <w:vAlign w:val="bottom"/>
          </w:tcPr>
          <w:p>
            <w:pPr>
              <w:spacing w:after="0"/>
              <w:rPr>
                <w:sz w:val="1"/>
                <w:szCs w:val="1"/>
                <w:color w:val="auto"/>
              </w:rPr>
            </w:pPr>
          </w:p>
        </w:tc>
      </w:tr>
      <w:tr>
        <w:trPr>
          <w:trHeight w:val="173"/>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units in connection with IPO</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vMerge w:val="continue"/>
            <w:shd w:val="clear" w:color="auto" w:fill="CFF0FC"/>
          </w:tcPr>
          <w:p>
            <w:pPr>
              <w:spacing w:after="0"/>
              <w:rPr>
                <w:sz w:val="15"/>
                <w:szCs w:val="15"/>
                <w:color w:val="auto"/>
              </w:rPr>
            </w:pPr>
          </w:p>
        </w:tc>
        <w:tc>
          <w:tcPr>
            <w:tcW w:w="96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3"/>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rPr>
              <w:t>Net loss subsequent to</w:t>
            </w: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80" w:type="dxa"/>
            <w:vAlign w:val="bottom"/>
            <w:gridSpan w:val="3"/>
            <w:vMerge w:val="restart"/>
          </w:tcPr>
          <w:p>
            <w:pPr>
              <w:jc w:val="right"/>
              <w:ind w:right="75"/>
              <w:spacing w:after="0"/>
              <w:rPr>
                <w:sz w:val="20"/>
                <w:szCs w:val="20"/>
                <w:color w:val="auto"/>
              </w:rPr>
            </w:pPr>
            <w:r>
              <w:rPr>
                <w:rFonts w:ascii="Arial" w:cs="Arial" w:eastAsia="Arial" w:hAnsi="Arial"/>
                <w:sz w:val="13"/>
                <w:szCs w:val="13"/>
                <w:color w:val="auto"/>
              </w:rPr>
              <w:t>(17,677 )</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(10,237 )</w:t>
            </w:r>
          </w:p>
        </w:tc>
        <w:tc>
          <w:tcPr>
            <w:tcW w:w="1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(27,914 )</w:t>
            </w: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3"/>
                <w:szCs w:val="13"/>
                <w:color w:val="auto"/>
              </w:rPr>
              <w:t>Reorganization Transactions</w:t>
            </w:r>
          </w:p>
        </w:tc>
        <w:tc>
          <w:tcPr>
            <w:tcW w:w="10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Other comprehensive income</w:t>
            </w:r>
          </w:p>
        </w:tc>
        <w:tc>
          <w:tcPr>
            <w:tcW w:w="100" w:type="dxa"/>
            <w:vAlign w:val="bottom"/>
            <w:shd w:val="clear" w:color="auto" w:fill="CFF0FC"/>
          </w:tcPr>
          <w:p>
            <w:pPr>
              <w:spacing w:after="0"/>
              <w:rPr>
                <w:sz w:val="10"/>
                <w:szCs w:val="10"/>
                <w:color w:val="auto"/>
              </w:rPr>
            </w:pPr>
          </w:p>
        </w:tc>
        <w:tc>
          <w:tcPr>
            <w:tcW w:w="1080" w:type="dxa"/>
            <w:vAlign w:val="bottom"/>
            <w:tcBorders>
              <w:right w:val="single" w:sz="8" w:color="auto"/>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subsequent to Reorganization</w:t>
            </w:r>
          </w:p>
        </w:tc>
        <w:tc>
          <w:tcPr>
            <w:tcW w:w="100" w:type="dxa"/>
            <w:vAlign w:val="bottom"/>
            <w:shd w:val="clear" w:color="auto" w:fill="CFF0FC"/>
          </w:tcPr>
          <w:p>
            <w:pPr>
              <w:spacing w:after="0"/>
              <w:rPr>
                <w:sz w:val="11"/>
                <w:szCs w:val="11"/>
                <w:color w:val="auto"/>
              </w:rPr>
            </w:pPr>
          </w:p>
        </w:tc>
        <w:tc>
          <w:tcPr>
            <w:tcW w:w="1080" w:type="dxa"/>
            <w:vAlign w:val="bottom"/>
            <w:tcBorders>
              <w:right w:val="single" w:sz="8" w:color="auto"/>
            </w:tcBorders>
            <w:vMerge w:val="restart"/>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780" w:type="dxa"/>
            <w:vAlign w:val="bottom"/>
            <w:gridSpan w:val="3"/>
            <w:vMerge w:val="restart"/>
            <w:shd w:val="clear" w:color="auto" w:fill="CFF0FC"/>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Transactions and IPO</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vMerge w:val="continue"/>
            <w:shd w:val="clear" w:color="auto" w:fill="CFF0FC"/>
          </w:tcPr>
          <w:p>
            <w:pPr>
              <w:spacing w:after="0"/>
              <w:rPr>
                <w:sz w:val="15"/>
                <w:szCs w:val="15"/>
                <w:color w:val="auto"/>
              </w:rPr>
            </w:pPr>
          </w:p>
        </w:tc>
        <w:tc>
          <w:tcPr>
            <w:tcW w:w="96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3"/>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rPr>
              <w:t>Equity-based compensation</w:t>
            </w:r>
          </w:p>
        </w:tc>
        <w:tc>
          <w:tcPr>
            <w:tcW w:w="10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3"/>
                <w:szCs w:val="13"/>
                <w:color w:val="auto"/>
              </w:rPr>
              <w:t>subsequent to Reorganization</w:t>
            </w:r>
          </w:p>
        </w:tc>
        <w:tc>
          <w:tcPr>
            <w:tcW w:w="100" w:type="dxa"/>
            <w:vAlign w:val="bottom"/>
          </w:tcPr>
          <w:p>
            <w:pPr>
              <w:spacing w:after="0"/>
              <w:rPr>
                <w:sz w:val="11"/>
                <w:szCs w:val="11"/>
                <w:color w:val="auto"/>
              </w:rPr>
            </w:pPr>
          </w:p>
        </w:tc>
        <w:tc>
          <w:tcPr>
            <w:tcW w:w="108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5,063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vMerge w:val="restart"/>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3,151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8,214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980" w:type="dxa"/>
            <w:vAlign w:val="bottom"/>
          </w:tcPr>
          <w:p>
            <w:pPr>
              <w:ind w:left="20"/>
              <w:spacing w:after="0"/>
              <w:rPr>
                <w:sz w:val="20"/>
                <w:szCs w:val="20"/>
                <w:color w:val="auto"/>
              </w:rPr>
            </w:pPr>
            <w:r>
              <w:rPr>
                <w:rFonts w:ascii="Arial" w:cs="Arial" w:eastAsia="Arial" w:hAnsi="Arial"/>
                <w:sz w:val="13"/>
                <w:szCs w:val="13"/>
                <w:color w:val="auto"/>
              </w:rPr>
              <w:t>Transactions</w:t>
            </w:r>
          </w:p>
        </w:tc>
        <w:tc>
          <w:tcPr>
            <w:tcW w:w="100" w:type="dxa"/>
            <w:vAlign w:val="bottom"/>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Forfeited unvested incentive units</w:t>
            </w:r>
          </w:p>
        </w:tc>
        <w:tc>
          <w:tcPr>
            <w:tcW w:w="100" w:type="dxa"/>
            <w:vAlign w:val="bottom"/>
            <w:shd w:val="clear" w:color="auto" w:fill="CFF0FC"/>
          </w:tcPr>
          <w:p>
            <w:pPr>
              <w:spacing w:after="0"/>
              <w:rPr>
                <w:sz w:val="14"/>
                <w:szCs w:val="14"/>
                <w:color w:val="auto"/>
              </w:rPr>
            </w:pPr>
          </w:p>
        </w:tc>
        <w:tc>
          <w:tcPr>
            <w:tcW w:w="1080" w:type="dxa"/>
            <w:vAlign w:val="bottom"/>
            <w:tcBorders>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(81,285 )</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w w:val="97"/>
              </w:rPr>
              <w:t>Allocation of vested incentive units</w:t>
            </w: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(694 )</w:t>
            </w:r>
          </w:p>
        </w:tc>
        <w:tc>
          <w:tcPr>
            <w:tcW w:w="180" w:type="dxa"/>
            <w:vAlign w:val="bottom"/>
          </w:tcPr>
          <w:p>
            <w:pPr>
              <w:spacing w:after="0"/>
              <w:rPr>
                <w:sz w:val="10"/>
                <w:szCs w:val="10"/>
                <w:color w:val="auto"/>
              </w:rPr>
            </w:pPr>
          </w:p>
        </w:tc>
        <w:tc>
          <w:tcPr>
            <w:tcW w:w="780" w:type="dxa"/>
            <w:vAlign w:val="bottom"/>
            <w:gridSpan w:val="3"/>
            <w:vMerge w:val="restart"/>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694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3"/>
                <w:szCs w:val="13"/>
                <w:color w:val="auto"/>
              </w:rPr>
              <w:t>to noncontrolling interests</w:t>
            </w:r>
          </w:p>
        </w:tc>
        <w:tc>
          <w:tcPr>
            <w:tcW w:w="10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Issuance of Class A Common</w:t>
            </w:r>
          </w:p>
        </w:tc>
        <w:tc>
          <w:tcPr>
            <w:tcW w:w="100" w:type="dxa"/>
            <w:vAlign w:val="bottom"/>
            <w:shd w:val="clear" w:color="auto" w:fill="CFF0FC"/>
          </w:tcPr>
          <w:p>
            <w:pPr>
              <w:spacing w:after="0"/>
              <w:rPr>
                <w:sz w:val="10"/>
                <w:szCs w:val="10"/>
                <w:color w:val="auto"/>
              </w:rPr>
            </w:pPr>
          </w:p>
        </w:tc>
        <w:tc>
          <w:tcPr>
            <w:tcW w:w="1080" w:type="dxa"/>
            <w:vAlign w:val="bottom"/>
            <w:tcBorders>
              <w:right w:val="single" w:sz="8" w:color="auto"/>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Stock in follow-on offering, net of</w:t>
            </w:r>
          </w:p>
        </w:tc>
        <w:tc>
          <w:tcPr>
            <w:tcW w:w="100" w:type="dxa"/>
            <w:vAlign w:val="bottom"/>
            <w:shd w:val="clear" w:color="auto" w:fill="CFF0FC"/>
          </w:tcPr>
          <w:p>
            <w:pPr>
              <w:spacing w:after="0"/>
              <w:rPr>
                <w:sz w:val="11"/>
                <w:szCs w:val="11"/>
                <w:color w:val="auto"/>
              </w:rPr>
            </w:pPr>
          </w:p>
        </w:tc>
        <w:tc>
          <w:tcPr>
            <w:tcW w:w="1080" w:type="dxa"/>
            <w:vAlign w:val="bottom"/>
            <w:tcBorders>
              <w:right w:val="single" w:sz="8" w:color="auto"/>
            </w:tcBorders>
            <w:vMerge w:val="restart"/>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11,000,000</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6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380,515</w:t>
            </w: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gridSpan w:val="3"/>
            <w:vMerge w:val="restart"/>
            <w:shd w:val="clear" w:color="auto" w:fill="CFF0FC"/>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380,526</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costs of $1,614</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vMerge w:val="continue"/>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3"/>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rPr>
              <w:t>Repurchase of Definitive</w:t>
            </w:r>
          </w:p>
        </w:tc>
        <w:tc>
          <w:tcPr>
            <w:tcW w:w="10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3"/>
                <w:szCs w:val="13"/>
                <w:color w:val="auto"/>
              </w:rPr>
              <w:t>Healthcare Corp. shares in</w:t>
            </w:r>
          </w:p>
        </w:tc>
        <w:tc>
          <w:tcPr>
            <w:tcW w:w="10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line="135" w:lineRule="exact"/>
              <w:rPr>
                <w:sz w:val="20"/>
                <w:szCs w:val="20"/>
                <w:color w:val="auto"/>
              </w:rPr>
            </w:pPr>
            <w:r>
              <w:rPr>
                <w:rFonts w:ascii="Arial" w:cs="Arial" w:eastAsia="Arial" w:hAnsi="Arial"/>
                <w:sz w:val="13"/>
                <w:szCs w:val="13"/>
                <w:color w:val="auto"/>
              </w:rPr>
              <w:t>connection with the follow-on</w:t>
            </w:r>
          </w:p>
        </w:tc>
        <w:tc>
          <w:tcPr>
            <w:tcW w:w="100" w:type="dxa"/>
            <w:vAlign w:val="bottom"/>
          </w:tcPr>
          <w:p>
            <w:pPr>
              <w:spacing w:after="0"/>
              <w:rPr>
                <w:sz w:val="11"/>
                <w:szCs w:val="11"/>
                <w:color w:val="auto"/>
              </w:rPr>
            </w:pPr>
          </w:p>
        </w:tc>
        <w:tc>
          <w:tcPr>
            <w:tcW w:w="108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3"/>
                <w:szCs w:val="13"/>
                <w:color w:val="auto"/>
              </w:rPr>
              <w:t>(2,233,238 )</w:t>
            </w:r>
          </w:p>
        </w:tc>
        <w:tc>
          <w:tcPr>
            <w:tcW w:w="14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(2 )</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(77,582 )</w:t>
            </w:r>
          </w:p>
        </w:tc>
        <w:tc>
          <w:tcPr>
            <w:tcW w:w="180" w:type="dxa"/>
            <w:vAlign w:val="bottom"/>
          </w:tcPr>
          <w:p>
            <w:pPr>
              <w:spacing w:after="0"/>
              <w:rPr>
                <w:sz w:val="11"/>
                <w:szCs w:val="11"/>
                <w:color w:val="auto"/>
              </w:rPr>
            </w:pPr>
          </w:p>
        </w:tc>
        <w:tc>
          <w:tcPr>
            <w:tcW w:w="780" w:type="dxa"/>
            <w:vAlign w:val="bottom"/>
            <w:gridSpan w:val="3"/>
            <w:vMerge w:val="restart"/>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(77,584 )</w:t>
            </w: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3"/>
                <w:szCs w:val="13"/>
                <w:color w:val="auto"/>
              </w:rPr>
              <w:t>offering</w:t>
            </w:r>
          </w:p>
        </w:tc>
        <w:tc>
          <w:tcPr>
            <w:tcW w:w="10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Repurchase of Definitive OpCo</w:t>
            </w:r>
          </w:p>
        </w:tc>
        <w:tc>
          <w:tcPr>
            <w:tcW w:w="100" w:type="dxa"/>
            <w:vAlign w:val="bottom"/>
            <w:shd w:val="clear" w:color="auto" w:fill="CFF0FC"/>
          </w:tcPr>
          <w:p>
            <w:pPr>
              <w:spacing w:after="0"/>
              <w:rPr>
                <w:sz w:val="10"/>
                <w:szCs w:val="10"/>
                <w:color w:val="auto"/>
              </w:rPr>
            </w:pPr>
          </w:p>
        </w:tc>
        <w:tc>
          <w:tcPr>
            <w:tcW w:w="1080" w:type="dxa"/>
            <w:vAlign w:val="bottom"/>
            <w:tcBorders>
              <w:right w:val="single" w:sz="8" w:color="auto"/>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units in connection with follow-on</w:t>
            </w:r>
          </w:p>
        </w:tc>
        <w:tc>
          <w:tcPr>
            <w:tcW w:w="100" w:type="dxa"/>
            <w:vAlign w:val="bottom"/>
            <w:shd w:val="clear" w:color="auto" w:fill="CFF0FC"/>
          </w:tcPr>
          <w:p>
            <w:pPr>
              <w:spacing w:after="0"/>
              <w:rPr>
                <w:sz w:val="11"/>
                <w:szCs w:val="11"/>
                <w:color w:val="auto"/>
              </w:rPr>
            </w:pPr>
          </w:p>
        </w:tc>
        <w:tc>
          <w:tcPr>
            <w:tcW w:w="1080" w:type="dxa"/>
            <w:vAlign w:val="bottom"/>
            <w:tcBorders>
              <w:right w:val="single" w:sz="8" w:color="auto"/>
            </w:tcBorders>
            <w:vMerge w:val="restart"/>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(1,766,762 )</w:t>
            </w: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(61,376 )</w:t>
            </w:r>
          </w:p>
        </w:tc>
        <w:tc>
          <w:tcPr>
            <w:tcW w:w="180" w:type="dxa"/>
            <w:vAlign w:val="bottom"/>
            <w:shd w:val="clear" w:color="auto" w:fill="CFF0FC"/>
          </w:tcPr>
          <w:p>
            <w:pPr>
              <w:spacing w:after="0"/>
              <w:rPr>
                <w:sz w:val="11"/>
                <w:szCs w:val="11"/>
                <w:color w:val="auto"/>
              </w:rPr>
            </w:pPr>
          </w:p>
        </w:tc>
        <w:tc>
          <w:tcPr>
            <w:tcW w:w="780" w:type="dxa"/>
            <w:vAlign w:val="bottom"/>
            <w:gridSpan w:val="3"/>
            <w:vMerge w:val="restart"/>
            <w:shd w:val="clear" w:color="auto" w:fill="CFF0FC"/>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(61,376 )</w:t>
            </w:r>
          </w:p>
        </w:tc>
        <w:tc>
          <w:tcPr>
            <w:tcW w:w="0" w:type="dxa"/>
            <w:vAlign w:val="bottom"/>
          </w:tcPr>
          <w:p>
            <w:pPr>
              <w:spacing w:after="0"/>
              <w:rPr>
                <w:sz w:val="1"/>
                <w:szCs w:val="1"/>
                <w:color w:val="auto"/>
              </w:rPr>
            </w:pPr>
          </w:p>
        </w:tc>
      </w:tr>
      <w:tr>
        <w:trPr>
          <w:trHeight w:val="173"/>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offering</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vMerge w:val="continue"/>
            <w:shd w:val="clear" w:color="auto" w:fill="CFF0FC"/>
          </w:tcPr>
          <w:p>
            <w:pPr>
              <w:spacing w:after="0"/>
              <w:rPr>
                <w:sz w:val="15"/>
                <w:szCs w:val="15"/>
                <w:color w:val="auto"/>
              </w:rPr>
            </w:pPr>
          </w:p>
        </w:tc>
        <w:tc>
          <w:tcPr>
            <w:tcW w:w="96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3"/>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rPr>
              <w:t>Effect of follow-on offering on tax</w:t>
            </w: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(11,291 )</w:t>
            </w:r>
          </w:p>
        </w:tc>
        <w:tc>
          <w:tcPr>
            <w:tcW w:w="180" w:type="dxa"/>
            <w:vAlign w:val="bottom"/>
          </w:tcPr>
          <w:p>
            <w:pPr>
              <w:spacing w:after="0"/>
              <w:rPr>
                <w:sz w:val="10"/>
                <w:szCs w:val="10"/>
                <w:color w:val="auto"/>
              </w:rPr>
            </w:pPr>
          </w:p>
        </w:tc>
        <w:tc>
          <w:tcPr>
            <w:tcW w:w="780" w:type="dxa"/>
            <w:vAlign w:val="bottom"/>
            <w:gridSpan w:val="3"/>
            <w:vMerge w:val="restart"/>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(11,291 )</w:t>
            </w:r>
          </w:p>
        </w:tc>
        <w:tc>
          <w:tcPr>
            <w:tcW w:w="0" w:type="dxa"/>
            <w:vAlign w:val="bottom"/>
          </w:tcPr>
          <w:p>
            <w:pPr>
              <w:spacing w:after="0"/>
              <w:rPr>
                <w:sz w:val="1"/>
                <w:szCs w:val="1"/>
                <w:color w:val="auto"/>
              </w:rPr>
            </w:pPr>
          </w:p>
        </w:tc>
      </w:tr>
      <w:tr>
        <w:trPr>
          <w:trHeight w:val="173"/>
        </w:trPr>
        <w:tc>
          <w:tcPr>
            <w:tcW w:w="1980" w:type="dxa"/>
            <w:vAlign w:val="bottom"/>
          </w:tcPr>
          <w:p>
            <w:pPr>
              <w:ind w:left="20"/>
              <w:spacing w:after="0"/>
              <w:rPr>
                <w:sz w:val="20"/>
                <w:szCs w:val="20"/>
                <w:color w:val="auto"/>
              </w:rPr>
            </w:pPr>
            <w:r>
              <w:rPr>
                <w:rFonts w:ascii="Arial" w:cs="Arial" w:eastAsia="Arial" w:hAnsi="Arial"/>
                <w:sz w:val="13"/>
                <w:szCs w:val="13"/>
                <w:color w:val="auto"/>
              </w:rPr>
              <w:t>receivable agreements liability</w:t>
            </w:r>
          </w:p>
        </w:tc>
        <w:tc>
          <w:tcPr>
            <w:tcW w:w="10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Effect of follow-on offering and</w:t>
            </w:r>
          </w:p>
        </w:tc>
        <w:tc>
          <w:tcPr>
            <w:tcW w:w="100" w:type="dxa"/>
            <w:vAlign w:val="bottom"/>
            <w:shd w:val="clear" w:color="auto" w:fill="CFF0FC"/>
          </w:tcPr>
          <w:p>
            <w:pPr>
              <w:spacing w:after="0"/>
              <w:rPr>
                <w:sz w:val="10"/>
                <w:szCs w:val="10"/>
                <w:color w:val="auto"/>
              </w:rPr>
            </w:pPr>
          </w:p>
        </w:tc>
        <w:tc>
          <w:tcPr>
            <w:tcW w:w="1080" w:type="dxa"/>
            <w:vAlign w:val="bottom"/>
            <w:tcBorders>
              <w:right w:val="single" w:sz="8" w:color="auto"/>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repurchase on noncontrolling</w:t>
            </w:r>
          </w:p>
        </w:tc>
        <w:tc>
          <w:tcPr>
            <w:tcW w:w="100" w:type="dxa"/>
            <w:vAlign w:val="bottom"/>
            <w:shd w:val="clear" w:color="auto" w:fill="CFF0FC"/>
          </w:tcPr>
          <w:p>
            <w:pPr>
              <w:spacing w:after="0"/>
              <w:rPr>
                <w:sz w:val="11"/>
                <w:szCs w:val="11"/>
                <w:color w:val="auto"/>
              </w:rPr>
            </w:pPr>
          </w:p>
        </w:tc>
        <w:tc>
          <w:tcPr>
            <w:tcW w:w="1080" w:type="dxa"/>
            <w:vAlign w:val="bottom"/>
            <w:tcBorders>
              <w:right w:val="single" w:sz="8" w:color="auto"/>
            </w:tcBorders>
            <w:vMerge w:val="restart"/>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(43,576 )</w:t>
            </w:r>
          </w:p>
        </w:tc>
        <w:tc>
          <w:tcPr>
            <w:tcW w:w="180" w:type="dxa"/>
            <w:vAlign w:val="bottom"/>
            <w:shd w:val="clear" w:color="auto" w:fill="CFF0FC"/>
          </w:tcPr>
          <w:p>
            <w:pPr>
              <w:spacing w:after="0"/>
              <w:rPr>
                <w:sz w:val="11"/>
                <w:szCs w:val="11"/>
                <w:color w:val="auto"/>
              </w:rPr>
            </w:pPr>
          </w:p>
        </w:tc>
        <w:tc>
          <w:tcPr>
            <w:tcW w:w="780" w:type="dxa"/>
            <w:vAlign w:val="bottom"/>
            <w:gridSpan w:val="3"/>
            <w:vMerge w:val="restart"/>
            <w:shd w:val="clear" w:color="auto" w:fill="CFF0FC"/>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43,576</w:t>
            </w: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interests</w:t>
            </w:r>
          </w:p>
        </w:tc>
        <w:tc>
          <w:tcPr>
            <w:tcW w:w="100" w:type="dxa"/>
            <w:vAlign w:val="bottom"/>
            <w:shd w:val="clear" w:color="auto" w:fill="CFF0FC"/>
          </w:tcPr>
          <w:p>
            <w:pPr>
              <w:spacing w:after="0"/>
              <w:rPr>
                <w:sz w:val="15"/>
                <w:szCs w:val="15"/>
                <w:color w:val="auto"/>
              </w:rPr>
            </w:pPr>
          </w:p>
        </w:tc>
        <w:tc>
          <w:tcPr>
            <w:tcW w:w="1080" w:type="dxa"/>
            <w:vAlign w:val="bottom"/>
            <w:tcBorders>
              <w:right w:val="single" w:sz="8" w:color="auto"/>
            </w:tcBorders>
            <w:vMerge w:val="continue"/>
            <w:shd w:val="clear" w:color="auto" w:fill="CFF0FC"/>
          </w:tcPr>
          <w:p>
            <w:pPr>
              <w:spacing w:after="0"/>
              <w:rPr>
                <w:sz w:val="15"/>
                <w:szCs w:val="15"/>
                <w:color w:val="auto"/>
              </w:rPr>
            </w:pPr>
          </w:p>
        </w:tc>
        <w:tc>
          <w:tcPr>
            <w:tcW w:w="96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3"/>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80" w:type="dxa"/>
            <w:vAlign w:val="bottom"/>
          </w:tcPr>
          <w:p>
            <w:pPr>
              <w:ind w:left="20"/>
              <w:spacing w:after="0" w:line="124" w:lineRule="exact"/>
              <w:rPr>
                <w:sz w:val="20"/>
                <w:szCs w:val="20"/>
                <w:color w:val="auto"/>
              </w:rPr>
            </w:pPr>
            <w:r>
              <w:rPr>
                <w:rFonts w:ascii="Arial" w:cs="Arial" w:eastAsia="Arial" w:hAnsi="Arial"/>
                <w:sz w:val="13"/>
                <w:szCs w:val="13"/>
                <w:color w:val="auto"/>
              </w:rPr>
              <w:t>Distributions to noncontrolling</w:t>
            </w:r>
          </w:p>
        </w:tc>
        <w:tc>
          <w:tcPr>
            <w:tcW w:w="100" w:type="dxa"/>
            <w:vAlign w:val="bottom"/>
          </w:tcPr>
          <w:p>
            <w:pPr>
              <w:spacing w:after="0"/>
              <w:rPr>
                <w:sz w:val="10"/>
                <w:szCs w:val="10"/>
                <w:color w:val="auto"/>
              </w:rPr>
            </w:pPr>
          </w:p>
        </w:tc>
        <w:tc>
          <w:tcPr>
            <w:tcW w:w="108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80" w:type="dxa"/>
            <w:vAlign w:val="bottom"/>
            <w:gridSpan w:val="3"/>
            <w:vMerge w:val="restart"/>
          </w:tcPr>
          <w:p>
            <w:pPr>
              <w:jc w:val="right"/>
              <w:ind w:right="155"/>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(989 )</w:t>
            </w:r>
          </w:p>
        </w:tc>
        <w:tc>
          <w:tcPr>
            <w:tcW w:w="1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(989 )</w:t>
            </w:r>
          </w:p>
        </w:tc>
        <w:tc>
          <w:tcPr>
            <w:tcW w:w="0" w:type="dxa"/>
            <w:vAlign w:val="bottom"/>
          </w:tcPr>
          <w:p>
            <w:pPr>
              <w:spacing w:after="0"/>
              <w:rPr>
                <w:sz w:val="1"/>
                <w:szCs w:val="1"/>
                <w:color w:val="auto"/>
              </w:rPr>
            </w:pPr>
          </w:p>
        </w:tc>
      </w:tr>
      <w:tr>
        <w:trPr>
          <w:trHeight w:val="159"/>
        </w:trPr>
        <w:tc>
          <w:tcPr>
            <w:tcW w:w="1980" w:type="dxa"/>
            <w:vAlign w:val="bottom"/>
          </w:tcPr>
          <w:p>
            <w:pPr>
              <w:ind w:left="2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December 31, 2021</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97,030,095</w:t>
            </w: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58,244,627</w:t>
            </w: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890,724</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(17,677</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630,056</w:t>
            </w: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1,503,262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-24765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-24765</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34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342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342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342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342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MEMBERS’ EQUITY AND TOTAL EQUITY (CONTINUED)</w:t>
      </w:r>
    </w:p>
    <w:p>
      <w:pPr>
        <w:jc w:val="center"/>
        <w:ind w:right="40"/>
        <w:spacing w:after="0"/>
        <w:rPr>
          <w:sz w:val="20"/>
          <w:szCs w:val="20"/>
          <w:color w:val="auto"/>
        </w:rPr>
      </w:pPr>
      <w:r>
        <w:rPr>
          <w:rFonts w:ascii="Arial" w:cs="Arial" w:eastAsia="Arial" w:hAnsi="Arial"/>
          <w:sz w:val="18"/>
          <w:szCs w:val="18"/>
          <w:i w:val="1"/>
          <w:iCs w:val="1"/>
          <w:color w:val="auto"/>
        </w:rPr>
        <w:t>(amounts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Retained</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Legacy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Legacy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Earnings</w:t>
            </w:r>
          </w:p>
        </w:tc>
        <w:tc>
          <w:tcPr>
            <w:tcW w:w="12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9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Class A</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Class B</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Class 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3"/>
              </w:rPr>
              <w:t>Class B</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6"/>
              </w:rPr>
              <w:t>Paid-In</w:t>
            </w:r>
          </w:p>
        </w:tc>
        <w:tc>
          <w:tcPr>
            <w:tcW w:w="74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w w:val="98"/>
              </w:rPr>
              <w:t>(Accumulat</w:t>
            </w:r>
          </w:p>
        </w:tc>
        <w:tc>
          <w:tcPr>
            <w:tcW w:w="82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w w:val="93"/>
              </w:rPr>
              <w:t>Comprehensi</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ed</w:t>
            </w:r>
          </w:p>
        </w:tc>
        <w:tc>
          <w:tcPr>
            <w:tcW w:w="120" w:type="dxa"/>
            <w:vAlign w:val="bottom"/>
          </w:tcPr>
          <w:p>
            <w:pPr>
              <w:spacing w:after="0"/>
              <w:rPr>
                <w:sz w:val="12"/>
                <w:szCs w:val="12"/>
                <w:color w:val="auto"/>
              </w:rPr>
            </w:pPr>
          </w:p>
        </w:tc>
        <w:tc>
          <w:tcPr>
            <w:tcW w:w="7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2"/>
              </w:rPr>
              <w:t>ve</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9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Units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0"/>
                <w:szCs w:val="10"/>
                <w:color w:val="auto"/>
              </w:rPr>
            </w:pPr>
          </w:p>
        </w:tc>
        <w:tc>
          <w:tcPr>
            <w:tcW w:w="68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Units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28"/>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0"/>
                <w:szCs w:val="10"/>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Units</w:t>
            </w:r>
          </w:p>
        </w:tc>
        <w:tc>
          <w:tcPr>
            <w:tcW w:w="100" w:type="dxa"/>
            <w:vAlign w:val="bottom"/>
          </w:tcPr>
          <w:p>
            <w:pPr>
              <w:spacing w:after="0"/>
              <w:rPr>
                <w:sz w:val="10"/>
                <w:szCs w:val="10"/>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5"/>
              </w:rPr>
              <w:t>Amount</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6"/>
              </w:rPr>
              <w:t>Units</w:t>
            </w:r>
          </w:p>
        </w:tc>
        <w:tc>
          <w:tcPr>
            <w:tcW w:w="10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0"/>
                <w:szCs w:val="10"/>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0"/>
                <w:szCs w:val="10"/>
                <w:color w:val="auto"/>
              </w:rPr>
            </w:pPr>
          </w:p>
        </w:tc>
        <w:tc>
          <w:tcPr>
            <w:tcW w:w="70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1"/>
              </w:rPr>
              <w:t>(Loss)</w:t>
            </w:r>
          </w:p>
        </w:tc>
        <w:tc>
          <w:tcPr>
            <w:tcW w:w="10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8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w w:val="96"/>
              </w:rPr>
              <w:t>Balance at January 1, 2019</w:t>
            </w:r>
          </w:p>
        </w:tc>
        <w:tc>
          <w:tcPr>
            <w:tcW w:w="940" w:type="dxa"/>
            <w:vAlign w:val="bottom"/>
            <w:tcBorders>
              <w:top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(Predecessor)</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7,750,000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77,500</w:t>
            </w: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88,716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(42,598 ) $</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38,925</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73,827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12,868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6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9"/>
              </w:rPr>
              <w:t>Adoption of ASC 606 (See</w:t>
            </w:r>
          </w:p>
        </w:tc>
        <w:tc>
          <w:tcPr>
            <w:tcW w:w="9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Note 2)</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5,415</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5,415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tcPr>
          <w:p>
            <w:pPr>
              <w:ind w:left="20"/>
              <w:spacing w:after="0"/>
              <w:rPr>
                <w:sz w:val="20"/>
                <w:szCs w:val="20"/>
                <w:color w:val="auto"/>
              </w:rPr>
            </w:pPr>
            <w:r>
              <w:rPr>
                <w:rFonts w:ascii="Arial" w:cs="Arial" w:eastAsia="Arial" w:hAnsi="Arial"/>
                <w:sz w:val="14"/>
                <w:szCs w:val="14"/>
                <w:color w:val="auto"/>
                <w:w w:val="94"/>
              </w:rPr>
              <w:t>Equity-based compensation</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 to members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(468 )</w:t>
            </w: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(468 )</w:t>
            </w: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Arial" w:cs="Arial" w:eastAsia="Arial" w:hAnsi="Arial"/>
                <w:sz w:val="14"/>
                <w:szCs w:val="14"/>
                <w:color w:val="auto"/>
              </w:rPr>
              <w:t>Vesting of Class B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180,137</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68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Balance at July 15, 2019</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7,750,000</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77,500</w:t>
            </w:r>
          </w:p>
        </w:tc>
        <w:tc>
          <w:tcPr>
            <w:tcW w:w="8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268,853</w:t>
            </w:r>
          </w:p>
        </w:tc>
        <w:tc>
          <w:tcPr>
            <w:tcW w:w="8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(31,844 ) $</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51,793</w:t>
            </w:r>
          </w:p>
        </w:tc>
        <w:tc>
          <w:tcPr>
            <w:tcW w:w="8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97,449</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(Predecessor)</w:t>
            </w:r>
          </w:p>
        </w:tc>
        <w:tc>
          <w:tcPr>
            <w:tcW w:w="940" w:type="dxa"/>
            <w:vAlign w:val="bottom"/>
            <w:vMerge w:val="continue"/>
            <w:shd w:val="clear" w:color="auto" w:fill="CFF0FC"/>
          </w:tcPr>
          <w:p>
            <w:pPr>
              <w:spacing w:after="0"/>
              <w:rPr>
                <w:sz w:val="14"/>
                <w:szCs w:val="14"/>
                <w:color w:val="auto"/>
              </w:rPr>
            </w:pPr>
          </w:p>
        </w:tc>
        <w:tc>
          <w:tcPr>
            <w:tcW w:w="4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4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6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80" w:type="dxa"/>
            <w:vAlign w:val="bottom"/>
            <w:tcBorders>
              <w:top w:val="single" w:sz="8" w:color="CFF0FC"/>
            </w:tcBorders>
          </w:tcPr>
          <w:p>
            <w:pPr>
              <w:ind w:left="20"/>
              <w:spacing w:after="0" w:line="137" w:lineRule="exact"/>
              <w:rPr>
                <w:sz w:val="20"/>
                <w:szCs w:val="20"/>
                <w:color w:val="auto"/>
              </w:rPr>
            </w:pPr>
            <w:r>
              <w:rPr>
                <w:rFonts w:ascii="Arial" w:cs="Arial" w:eastAsia="Arial" w:hAnsi="Arial"/>
                <w:sz w:val="14"/>
                <w:szCs w:val="14"/>
                <w:color w:val="auto"/>
                <w:w w:val="98"/>
              </w:rPr>
              <w:t>Recapitalization (See Note</w:t>
            </w:r>
          </w:p>
        </w:tc>
        <w:tc>
          <w:tcPr>
            <w:tcW w:w="940" w:type="dxa"/>
            <w:vAlign w:val="bottom"/>
            <w:tcBorders>
              <w:top w:val="single" w:sz="8" w:color="auto"/>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(7,750,00</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80" w:type="dxa"/>
            <w:vAlign w:val="bottom"/>
          </w:tcPr>
          <w:p>
            <w:pPr>
              <w:ind w:left="20"/>
              <w:spacing w:after="0"/>
              <w:rPr>
                <w:sz w:val="20"/>
                <w:szCs w:val="20"/>
                <w:color w:val="auto"/>
              </w:rPr>
            </w:pPr>
            <w:r>
              <w:rPr>
                <w:rFonts w:ascii="Arial" w:cs="Arial" w:eastAsia="Arial" w:hAnsi="Arial"/>
                <w:sz w:val="14"/>
                <w:szCs w:val="14"/>
                <w:color w:val="auto"/>
              </w:rPr>
              <w:t>12)</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0 )</w:t>
            </w:r>
          </w:p>
        </w:tc>
        <w:tc>
          <w:tcPr>
            <w:tcW w:w="10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(77,500 )</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(268,853 )</w:t>
            </w:r>
          </w:p>
        </w:tc>
        <w:tc>
          <w:tcPr>
            <w:tcW w:w="10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31,844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(51,793 )</w:t>
            </w: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(97,449 )</w:t>
            </w:r>
          </w:p>
        </w:tc>
        <w:tc>
          <w:tcPr>
            <w:tcW w:w="0" w:type="dxa"/>
            <w:vAlign w:val="bottom"/>
          </w:tcPr>
          <w:p>
            <w:pPr>
              <w:spacing w:after="0"/>
              <w:rPr>
                <w:sz w:val="1"/>
                <w:szCs w:val="1"/>
                <w:color w:val="auto"/>
              </w:rPr>
            </w:pPr>
          </w:p>
        </w:tc>
      </w:tr>
      <w:tr>
        <w:trPr>
          <w:trHeight w:val="143"/>
        </w:trPr>
        <w:tc>
          <w:tcPr>
            <w:tcW w:w="16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Capital contribution (See</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126,725,743</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9"/>
              </w:rPr>
              <w:t>1,267,257</w:t>
            </w:r>
          </w:p>
        </w:tc>
        <w:tc>
          <w:tcPr>
            <w:tcW w:w="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3"/>
              </w:rPr>
              <w:t>1,267,257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Notes 3 and 12)</w:t>
            </w:r>
          </w:p>
        </w:tc>
        <w:tc>
          <w:tcPr>
            <w:tcW w:w="9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80" w:type="dxa"/>
            <w:vAlign w:val="bottom"/>
            <w:tcBorders>
              <w:top w:val="single" w:sz="8" w:color="CFF0FC"/>
            </w:tcBorders>
          </w:tcPr>
          <w:p>
            <w:pPr>
              <w:ind w:left="20"/>
              <w:spacing w:after="0" w:line="137" w:lineRule="exact"/>
              <w:rPr>
                <w:sz w:val="20"/>
                <w:szCs w:val="20"/>
                <w:color w:val="auto"/>
              </w:rPr>
            </w:pPr>
            <w:r>
              <w:rPr>
                <w:rFonts w:ascii="Arial" w:cs="Arial" w:eastAsia="Arial" w:hAnsi="Arial"/>
                <w:sz w:val="14"/>
                <w:szCs w:val="14"/>
                <w:color w:val="auto"/>
              </w:rPr>
              <w:t>Balance at July 16, 2019</w:t>
            </w:r>
          </w:p>
        </w:tc>
        <w:tc>
          <w:tcPr>
            <w:tcW w:w="940" w:type="dxa"/>
            <w:vAlign w:val="bottom"/>
            <w:tcBorders>
              <w:top w:val="single" w:sz="8" w:color="auto"/>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80" w:type="dxa"/>
            <w:vAlign w:val="bottom"/>
          </w:tcPr>
          <w:p>
            <w:pPr>
              <w:ind w:left="20"/>
              <w:spacing w:after="0"/>
              <w:rPr>
                <w:sz w:val="20"/>
                <w:szCs w:val="20"/>
                <w:color w:val="auto"/>
              </w:rPr>
            </w:pPr>
            <w:r>
              <w:rPr>
                <w:rFonts w:ascii="Arial" w:cs="Arial" w:eastAsia="Arial" w:hAnsi="Arial"/>
                <w:sz w:val="14"/>
                <w:szCs w:val="14"/>
                <w:color w:val="auto"/>
              </w:rPr>
              <w:t>(Successor)</w:t>
            </w:r>
          </w:p>
        </w:tc>
        <w:tc>
          <w:tcPr>
            <w:tcW w:w="940" w:type="dxa"/>
            <w:vAlign w:val="bottom"/>
          </w:tcPr>
          <w:p>
            <w:pPr>
              <w:jc w:val="right"/>
              <w:spacing w:after="0"/>
              <w:rPr>
                <w:sz w:val="20"/>
                <w:szCs w:val="20"/>
                <w:color w:val="auto"/>
              </w:rPr>
            </w:pPr>
            <w:r>
              <w:rPr>
                <w:rFonts w:ascii="Arial" w:cs="Arial" w:eastAsia="Arial" w:hAnsi="Arial"/>
                <w:sz w:val="14"/>
                <w:szCs w:val="14"/>
                <w:color w:val="auto"/>
              </w:rPr>
              <w:t>126,725,743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1,267,257</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3"/>
          </w:tcPr>
          <w:p>
            <w:pPr>
              <w:ind w:left="400"/>
              <w:spacing w:after="0"/>
              <w:rPr>
                <w:sz w:val="20"/>
                <w:szCs w:val="20"/>
                <w:color w:val="auto"/>
              </w:rPr>
            </w:pPr>
            <w:r>
              <w:rPr>
                <w:rFonts w:ascii="Arial" w:cs="Arial" w:eastAsia="Arial" w:hAnsi="Arial"/>
                <w:sz w:val="14"/>
                <w:szCs w:val="14"/>
                <w:color w:val="auto"/>
              </w:rPr>
              <w:t>— $</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1,267,257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(49,266 )</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(49,266 )</w:t>
            </w: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Arial" w:cs="Arial" w:eastAsia="Arial" w:hAnsi="Arial"/>
                <w:sz w:val="14"/>
                <w:szCs w:val="14"/>
                <w:color w:val="auto"/>
              </w:rPr>
              <w:t>Distribution to members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(6,492 )</w:t>
            </w: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(6,492 )</w:t>
            </w:r>
          </w:p>
        </w:tc>
        <w:tc>
          <w:tcPr>
            <w:tcW w:w="0" w:type="dxa"/>
            <w:vAlign w:val="bottom"/>
          </w:tcPr>
          <w:p>
            <w:pPr>
              <w:spacing w:after="0"/>
              <w:rPr>
                <w:sz w:val="1"/>
                <w:szCs w:val="1"/>
                <w:color w:val="auto"/>
              </w:rPr>
            </w:pPr>
          </w:p>
        </w:tc>
      </w:tr>
      <w:tr>
        <w:trPr>
          <w:trHeight w:val="176"/>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4"/>
              </w:rPr>
              <w:t>Equity-based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w:t>
            </w:r>
          </w:p>
        </w:tc>
        <w:tc>
          <w:tcPr>
            <w:tcW w:w="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tcPr>
          <w:p>
            <w:pPr>
              <w:ind w:left="20"/>
              <w:spacing w:after="0"/>
              <w:rPr>
                <w:sz w:val="20"/>
                <w:szCs w:val="20"/>
                <w:color w:val="auto"/>
              </w:rPr>
            </w:pPr>
            <w:r>
              <w:rPr>
                <w:rFonts w:ascii="Arial" w:cs="Arial" w:eastAsia="Arial" w:hAnsi="Arial"/>
                <w:sz w:val="14"/>
                <w:szCs w:val="14"/>
                <w:color w:val="auto"/>
              </w:rPr>
              <w:t>Capital contributions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399,692</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3,997</w:t>
            </w:r>
          </w:p>
        </w:tc>
        <w:tc>
          <w:tcPr>
            <w:tcW w:w="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68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Balance at December 31,</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127,125,435</w:t>
            </w:r>
          </w:p>
        </w:tc>
        <w:tc>
          <w:tcPr>
            <w:tcW w:w="4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9"/>
              </w:rPr>
              <w:t>1,271,254</w:t>
            </w:r>
          </w:p>
        </w:tc>
        <w:tc>
          <w:tcPr>
            <w:tcW w:w="6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744</w:t>
            </w:r>
          </w:p>
        </w:tc>
        <w:tc>
          <w:tcPr>
            <w:tcW w:w="6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1"/>
                <w:szCs w:val="11"/>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14"/>
                <w:szCs w:val="14"/>
                <w:color w:val="auto"/>
                <w:w w:val="76"/>
              </w:rPr>
              <w:t>$</w:t>
            </w:r>
          </w:p>
        </w:tc>
        <w:tc>
          <w:tcPr>
            <w:tcW w:w="78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(55,758 ) $</w:t>
            </w:r>
          </w:p>
        </w:tc>
        <w:tc>
          <w:tcPr>
            <w:tcW w:w="7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3"/>
              </w:rPr>
              <w:t>1,216,240</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2019 (Successor)</w:t>
            </w:r>
          </w:p>
        </w:tc>
        <w:tc>
          <w:tcPr>
            <w:tcW w:w="940" w:type="dxa"/>
            <w:vAlign w:val="bottom"/>
            <w:vMerge w:val="continue"/>
            <w:shd w:val="clear" w:color="auto" w:fill="CFF0FC"/>
          </w:tcPr>
          <w:p>
            <w:pPr>
              <w:spacing w:after="0"/>
              <w:rPr>
                <w:sz w:val="14"/>
                <w:szCs w:val="14"/>
                <w:color w:val="auto"/>
              </w:rPr>
            </w:pPr>
          </w:p>
        </w:tc>
        <w:tc>
          <w:tcPr>
            <w:tcW w:w="4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4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780" w:type="dxa"/>
            <w:vAlign w:val="bottom"/>
            <w:gridSpan w:val="3"/>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(51,157 )</w:t>
            </w: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(51,157 )</w:t>
            </w:r>
          </w:p>
        </w:tc>
        <w:tc>
          <w:tcPr>
            <w:tcW w:w="0" w:type="dxa"/>
            <w:vAlign w:val="bottom"/>
          </w:tcPr>
          <w:p>
            <w:pPr>
              <w:spacing w:after="0"/>
              <w:rPr>
                <w:sz w:val="1"/>
                <w:szCs w:val="1"/>
                <w:color w:val="auto"/>
              </w:rPr>
            </w:pPr>
          </w:p>
        </w:tc>
      </w:tr>
      <w:tr>
        <w:trPr>
          <w:trHeight w:val="175"/>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 to members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(2,940 )</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(2,940 )</w:t>
            </w: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Arial" w:cs="Arial" w:eastAsia="Arial" w:hAnsi="Arial"/>
                <w:sz w:val="14"/>
                <w:szCs w:val="14"/>
                <w:color w:val="auto"/>
              </w:rPr>
              <w:t>Capital contributions</w:t>
            </w:r>
          </w:p>
        </w:tc>
        <w:tc>
          <w:tcPr>
            <w:tcW w:w="940" w:type="dxa"/>
            <w:vAlign w:val="bottom"/>
          </w:tcPr>
          <w:p>
            <w:pPr>
              <w:jc w:val="right"/>
              <w:spacing w:after="0"/>
              <w:rPr>
                <w:sz w:val="20"/>
                <w:szCs w:val="20"/>
                <w:color w:val="auto"/>
              </w:rPr>
            </w:pPr>
            <w:r>
              <w:rPr>
                <w:rFonts w:ascii="Arial" w:cs="Arial" w:eastAsia="Arial" w:hAnsi="Arial"/>
                <w:sz w:val="14"/>
                <w:szCs w:val="14"/>
                <w:color w:val="auto"/>
              </w:rPr>
              <w:t>3,120,555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31,804</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31,804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4"/>
              </w:rPr>
              <w:t>Equity-based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474,920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1,747</w:t>
            </w:r>
          </w:p>
        </w:tc>
        <w:tc>
          <w:tcPr>
            <w:tcW w:w="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8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Balance at December 31,</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130,245,990</w:t>
            </w:r>
          </w:p>
        </w:tc>
        <w:tc>
          <w:tcPr>
            <w:tcW w:w="4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9"/>
              </w:rPr>
              <w:t>1,303,058</w:t>
            </w:r>
          </w:p>
        </w:tc>
        <w:tc>
          <w:tcPr>
            <w:tcW w:w="60" w:type="dxa"/>
            <w:vAlign w:val="bottom"/>
            <w:vMerge w:val="restart"/>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474,920</w:t>
            </w:r>
          </w:p>
        </w:tc>
        <w:tc>
          <w:tcPr>
            <w:tcW w:w="8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2,491</w:t>
            </w:r>
          </w:p>
        </w:tc>
        <w:tc>
          <w:tcPr>
            <w:tcW w:w="6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FF0FC"/>
          </w:tcPr>
          <w:p>
            <w:pPr>
              <w:ind w:left="400"/>
              <w:spacing w:after="0"/>
              <w:rPr>
                <w:sz w:val="20"/>
                <w:szCs w:val="20"/>
                <w:color w:val="auto"/>
              </w:rPr>
            </w:pPr>
            <w:r>
              <w:rPr>
                <w:rFonts w:ascii="Arial" w:cs="Arial" w:eastAsia="Arial" w:hAnsi="Arial"/>
                <w:sz w:val="14"/>
                <w:szCs w:val="14"/>
                <w:color w:val="auto"/>
                <w:w w:val="99"/>
              </w:rPr>
              <w:t>—</w:t>
            </w:r>
          </w:p>
        </w:tc>
        <w:tc>
          <w:tcPr>
            <w:tcW w:w="4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1"/>
                <w:szCs w:val="11"/>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14"/>
                <w:szCs w:val="14"/>
                <w:color w:val="auto"/>
                <w:w w:val="76"/>
              </w:rPr>
              <w:t>$</w:t>
            </w:r>
          </w:p>
        </w:tc>
        <w:tc>
          <w:tcPr>
            <w:tcW w:w="78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w w:val="95"/>
              </w:rPr>
              <w:t>(109,855 ) $</w:t>
            </w:r>
          </w:p>
        </w:tc>
        <w:tc>
          <w:tcPr>
            <w:tcW w:w="80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(131 ) $</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3"/>
              </w:rPr>
              <w:t>1,195,563</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80" w:type="dxa"/>
            <w:vAlign w:val="bottom"/>
            <w:shd w:val="clear" w:color="auto" w:fill="CFF0FC"/>
          </w:tcPr>
          <w:p>
            <w:pPr>
              <w:ind w:left="20"/>
              <w:spacing w:after="0" w:line="121" w:lineRule="exact"/>
              <w:rPr>
                <w:sz w:val="20"/>
                <w:szCs w:val="20"/>
                <w:color w:val="auto"/>
              </w:rPr>
            </w:pPr>
            <w:r>
              <w:rPr>
                <w:rFonts w:ascii="Arial" w:cs="Arial" w:eastAsia="Arial" w:hAnsi="Arial"/>
                <w:sz w:val="13"/>
                <w:szCs w:val="13"/>
                <w:color w:val="auto"/>
              </w:rPr>
              <w:t>2020 (Successor)</w:t>
            </w:r>
          </w:p>
        </w:tc>
        <w:tc>
          <w:tcPr>
            <w:tcW w:w="940" w:type="dxa"/>
            <w:vAlign w:val="bottom"/>
            <w:vMerge w:val="continue"/>
            <w:shd w:val="clear" w:color="auto" w:fill="CFF0FC"/>
          </w:tcPr>
          <w:p>
            <w:pPr>
              <w:spacing w:after="0"/>
              <w:rPr>
                <w:sz w:val="13"/>
                <w:szCs w:val="13"/>
                <w:color w:val="auto"/>
              </w:rPr>
            </w:pPr>
          </w:p>
        </w:tc>
        <w:tc>
          <w:tcPr>
            <w:tcW w:w="40" w:type="dxa"/>
            <w:vAlign w:val="bottom"/>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60" w:type="dxa"/>
            <w:vAlign w:val="bottom"/>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4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780" w:type="dxa"/>
            <w:vAlign w:val="bottom"/>
            <w:gridSpan w:val="3"/>
            <w:vMerge w:val="continue"/>
            <w:shd w:val="clear" w:color="auto" w:fill="CFF0FC"/>
          </w:tcPr>
          <w:p>
            <w:pPr>
              <w:spacing w:after="0"/>
              <w:rPr>
                <w:sz w:val="13"/>
                <w:szCs w:val="13"/>
                <w:color w:val="auto"/>
              </w:rPr>
            </w:pPr>
          </w:p>
        </w:tc>
        <w:tc>
          <w:tcPr>
            <w:tcW w:w="80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-2053590</wp:posOffset>
            </wp:positionV>
            <wp:extent cx="342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-2053590</wp:posOffset>
            </wp:positionV>
            <wp:extent cx="431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-2053590</wp:posOffset>
            </wp:positionV>
            <wp:extent cx="431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-2053590</wp:posOffset>
            </wp:positionV>
            <wp:extent cx="431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-2053590</wp:posOffset>
            </wp:positionV>
            <wp:extent cx="514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-2053590</wp:posOffset>
            </wp:positionV>
            <wp:extent cx="5143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-2053590</wp:posOffset>
            </wp:positionV>
            <wp:extent cx="5143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-2053590</wp:posOffset>
            </wp:positionV>
            <wp:extent cx="342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-2053590</wp:posOffset>
            </wp:positionV>
            <wp:extent cx="431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-2053590</wp:posOffset>
            </wp:positionV>
            <wp:extent cx="431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-2053590</wp:posOffset>
            </wp:positionV>
            <wp:extent cx="431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-2053590</wp:posOffset>
            </wp:positionV>
            <wp:extent cx="431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-1642110</wp:posOffset>
            </wp:positionV>
            <wp:extent cx="3429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-1642110</wp:posOffset>
            </wp:positionV>
            <wp:extent cx="431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-1642110</wp:posOffset>
            </wp:positionV>
            <wp:extent cx="431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-1642110</wp:posOffset>
            </wp:positionV>
            <wp:extent cx="431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-1642110</wp:posOffset>
            </wp:positionV>
            <wp:extent cx="514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-1642110</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-1642110</wp:posOffset>
            </wp:positionV>
            <wp:extent cx="5143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-1642110</wp:posOffset>
            </wp:positionV>
            <wp:extent cx="342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-1642110</wp:posOffset>
            </wp:positionV>
            <wp:extent cx="431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-1642110</wp:posOffset>
            </wp:positionV>
            <wp:extent cx="431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-1642110</wp:posOffset>
            </wp:positionV>
            <wp:extent cx="431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-1642110</wp:posOffset>
            </wp:positionV>
            <wp:extent cx="431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-776605</wp:posOffset>
            </wp:positionV>
            <wp:extent cx="3429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-776605</wp:posOffset>
            </wp:positionV>
            <wp:extent cx="431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-776605</wp:posOffset>
            </wp:positionV>
            <wp:extent cx="431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-776605</wp:posOffset>
            </wp:positionV>
            <wp:extent cx="431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-776605</wp:posOffset>
            </wp:positionV>
            <wp:extent cx="514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-776605</wp:posOffset>
            </wp:positionV>
            <wp:extent cx="514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-776605</wp:posOffset>
            </wp:positionV>
            <wp:extent cx="5143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-776605</wp:posOffset>
            </wp:positionV>
            <wp:extent cx="342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-776605</wp:posOffset>
            </wp:positionV>
            <wp:extent cx="431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-776605</wp:posOffset>
            </wp:positionV>
            <wp:extent cx="431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-776605</wp:posOffset>
            </wp:positionV>
            <wp:extent cx="431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-776605</wp:posOffset>
            </wp:positionV>
            <wp:extent cx="431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-24765</wp:posOffset>
            </wp:positionV>
            <wp:extent cx="342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-7620</wp:posOffset>
            </wp:positionV>
            <wp:extent cx="342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-24765</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-7620</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-24765</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-7620</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342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431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431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-24765</wp:posOffset>
            </wp:positionV>
            <wp:extent cx="431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-7620</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i w:val="1"/>
          <w:iCs w:val="1"/>
          <w:color w:val="auto"/>
        </w:rPr>
        <w:t>(amounts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8"/>
              </w:rPr>
              <w:t>Successor Company</w:t>
            </w:r>
          </w:p>
        </w:tc>
        <w:tc>
          <w:tcPr>
            <w:tcW w:w="13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87"/>
              </w:rPr>
              <w:t>Predecessor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July 16, 2019 to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3"/>
              </w:rPr>
              <w:t>January 1, 2019 to</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4"/>
              </w:rPr>
              <w:t>July 15, 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(61,257 )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(51,157 )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(49,266 )</w:t>
            </w:r>
          </w:p>
        </w:tc>
        <w:tc>
          <w:tcPr>
            <w:tcW w:w="1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12,868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52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9"/>
              </w:rPr>
              <w:t>Adjustments to reconcile net (loss) income to net cash provided by</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423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58,196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58,429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30,617</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deferred contract costs</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4,793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189</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9,957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rPr>
              <w:t>Noncash paid in-kind interest expense</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7,371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3,041</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1,082</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9,843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Changes in fair value of contingent consideration</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3,764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rPr>
              <w:t>Provision for doubtful accounts receivable</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632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895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(10,726 )</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(8,294 )</w:t>
            </w: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(12,494 )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(3,729 )</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(709 )</w:t>
            </w: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Deferred contract costs</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(14,441 )</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(7,685 )</w:t>
            </w: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(3,075 )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(2,239 )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w w:val="95"/>
              </w:rPr>
              <w:t>Accounts payable, accrued expenses and other current liabilities</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2,996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7,396</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Borders>
              <w:bottom w:val="single" w:sz="8" w:color="CFF0FC"/>
            </w:tcBorders>
            <w:shd w:val="clear" w:color="auto" w:fill="CFF0FC"/>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22,961</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12,104</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13,805</w:t>
            </w:r>
          </w:p>
        </w:tc>
        <w:tc>
          <w:tcPr>
            <w:tcW w:w="220" w:type="dxa"/>
            <w:vAlign w:val="bottom"/>
            <w:tcBorders>
              <w:bottom w:val="single" w:sz="8" w:color="CFF0FC"/>
              <w:right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4,776</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80" w:type="dxa"/>
            <w:vAlign w:val="bottom"/>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25,212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23,217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(7,133 )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28,727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Purchases of property, equipment and other assets</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(6,731 )</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(1,395 )</w:t>
            </w:r>
          </w:p>
        </w:tc>
        <w:tc>
          <w:tcPr>
            <w:tcW w:w="14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(1,171 )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(729 )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8"/>
              </w:rPr>
              <w:t>Cash paid for acquisitions and investments, net of cash acquired</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(40,000 )</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(22,467 )</w:t>
            </w: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(1,108,197 )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(29,831 )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280" w:type="dxa"/>
            <w:vAlign w:val="bottom"/>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(46,731 )</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(23,862 )</w:t>
            </w:r>
          </w:p>
        </w:tc>
        <w:tc>
          <w:tcPr>
            <w:tcW w:w="14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(1,109,368 )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(30,560 )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term loan</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275,000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Proceeds from delayed draw term loan</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revolving credit facility</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Repayments of term loans and delayed draw term loan</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(474,460 )</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(4,545 )</w:t>
            </w: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(1,125 )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Repayments of revolving credit facility</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(25,000 )</w:t>
            </w:r>
          </w:p>
        </w:tc>
        <w:tc>
          <w:tcPr>
            <w:tcW w:w="14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Payment of contingent consideration</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(1,500 )</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(3,511 )</w:t>
            </w:r>
          </w:p>
        </w:tc>
        <w:tc>
          <w:tcPr>
            <w:tcW w:w="10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(225 )</w:t>
            </w:r>
          </w:p>
        </w:tc>
        <w:tc>
          <w:tcPr>
            <w:tcW w:w="14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160"/>
              <w:spacing w:after="0" w:line="202" w:lineRule="exact"/>
              <w:rPr>
                <w:sz w:val="20"/>
                <w:szCs w:val="20"/>
                <w:color w:val="auto"/>
              </w:rPr>
            </w:pPr>
            <w:r>
              <w:rPr>
                <w:rFonts w:ascii="Arial" w:cs="Arial" w:eastAsia="Arial" w:hAnsi="Arial"/>
                <w:sz w:val="18"/>
                <w:szCs w:val="18"/>
                <w:color w:val="auto"/>
              </w:rPr>
              <w:t>(14,255 )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Proceeds from equity offerings, net of underwriting discounts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834,952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Repurchase of outstanding equity/Definitive OpCo units</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(231,772 )</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Payments of equity offering issuance costs</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(11,709 )</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Member contributions</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5,500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6,365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696,991</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Member distributions</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(8,128 )</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(2,940 )</w:t>
            </w: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(6,492 )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(468 )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280" w:type="dxa"/>
            <w:vAlign w:val="bottom"/>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384,372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16,655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1,125,119</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(468 )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362,853</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16,010</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8,618</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(129 )</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24,774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8,618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tcBorders>
              <w:right w:val="single" w:sz="8" w:color="auto"/>
            </w:tcBorders>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19,359</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8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387,498</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24,774</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8,618</w:t>
            </w:r>
          </w:p>
        </w:tc>
        <w:tc>
          <w:tcPr>
            <w:tcW w:w="22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17,058</w:t>
            </w:r>
          </w:p>
        </w:tc>
        <w:tc>
          <w:tcPr>
            <w:tcW w:w="100" w:type="dxa"/>
            <w:vAlign w:val="bottom"/>
            <w:tcBorders>
              <w:top w:val="single" w:sz="8" w:color="CFF0FC"/>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900"/>
              <w:spacing w:after="0"/>
              <w:rPr>
                <w:sz w:val="20"/>
                <w:szCs w:val="20"/>
                <w:color w:val="auto"/>
              </w:rPr>
            </w:pPr>
            <w:r>
              <w:rPr>
                <w:rFonts w:ascii="Arial" w:cs="Arial" w:eastAsia="Arial" w:hAnsi="Arial"/>
                <w:sz w:val="18"/>
                <w:szCs w:val="18"/>
                <w:color w:val="auto"/>
                <w:w w:val="88"/>
              </w:rPr>
              <w:t>F-8</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9A9A9A"/>
            </w:tcBorders>
          </w:tcPr>
          <w:p>
            <w:pPr>
              <w:spacing w:after="0"/>
              <w:rPr>
                <w:sz w:val="8"/>
                <w:szCs w:val="8"/>
                <w:color w:val="auto"/>
              </w:rPr>
            </w:pPr>
          </w:p>
        </w:tc>
        <w:tc>
          <w:tcPr>
            <w:tcW w:w="5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-3451225</wp:posOffset>
            </wp:positionV>
            <wp:extent cx="7747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-3451225</wp:posOffset>
            </wp:positionV>
            <wp:extent cx="685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-3451225</wp:posOffset>
            </wp:positionV>
            <wp:extent cx="685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-3451225</wp:posOffset>
            </wp:positionV>
            <wp:extent cx="685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-2919730</wp:posOffset>
            </wp:positionV>
            <wp:extent cx="7747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-2919730</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-2919730</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-2919730</wp:posOffset>
            </wp:positionV>
            <wp:extent cx="685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-1102360</wp:posOffset>
            </wp:positionV>
            <wp:extent cx="7747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-1102360</wp:posOffset>
            </wp:positionV>
            <wp:extent cx="685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-1102360</wp:posOffset>
            </wp:positionV>
            <wp:extent cx="685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-1102360</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-570865</wp:posOffset>
            </wp:positionV>
            <wp:extent cx="7747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-570865</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-570865</wp:posOffset>
            </wp:positionV>
            <wp:extent cx="685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-570865</wp:posOffset>
            </wp:positionV>
            <wp:extent cx="685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5"/>
              </w:rPr>
              <w:t>Successor Company</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Company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Period from</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July 16, 2019 to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January 1, 2019 to</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July 15, 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cash flow disclosures:</w:t>
            </w: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Cash paid during the year for: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Interest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29,569</w:t>
            </w:r>
          </w:p>
        </w:tc>
        <w:tc>
          <w:tcPr>
            <w:tcW w:w="500" w:type="dxa"/>
            <w:vAlign w:val="bottom"/>
            <w:gridSpan w:val="2"/>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25,958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9,939</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line="202" w:lineRule="exact"/>
              <w:rPr>
                <w:sz w:val="20"/>
                <w:szCs w:val="20"/>
                <w:color w:val="auto"/>
              </w:rPr>
            </w:pPr>
            <w:r>
              <w:rPr>
                <w:rFonts w:ascii="Arial" w:cs="Arial" w:eastAsia="Arial" w:hAnsi="Arial"/>
                <w:sz w:val="18"/>
                <w:szCs w:val="18"/>
                <w:color w:val="auto"/>
              </w:rPr>
              <w:t>Income taxes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50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Acquisitions: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560"/>
              <w:spacing w:after="0" w:line="202" w:lineRule="exact"/>
              <w:rPr>
                <w:sz w:val="20"/>
                <w:szCs w:val="20"/>
                <w:color w:val="auto"/>
              </w:rPr>
            </w:pPr>
            <w:r>
              <w:rPr>
                <w:rFonts w:ascii="Arial" w:cs="Arial" w:eastAsia="Arial" w:hAnsi="Arial"/>
                <w:sz w:val="18"/>
                <w:szCs w:val="18"/>
                <w:color w:val="auto"/>
              </w:rPr>
              <w:t>Net assets acquired, net of cash acquired</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43,571</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1,689,395</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29,831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Capital contribution</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(25,439 )</w:t>
            </w:r>
          </w:p>
        </w:tc>
        <w:tc>
          <w:tcPr>
            <w:tcW w:w="120" w:type="dxa"/>
            <w:vAlign w:val="bottom"/>
            <w:shd w:val="clear" w:color="auto" w:fill="CFF0FC"/>
          </w:tcPr>
          <w:p>
            <w:pPr>
              <w:spacing w:after="0"/>
              <w:rPr>
                <w:sz w:val="17"/>
                <w:szCs w:val="17"/>
                <w:color w:val="auto"/>
              </w:rPr>
            </w:pPr>
          </w:p>
        </w:tc>
        <w:tc>
          <w:tcPr>
            <w:tcW w:w="1540" w:type="dxa"/>
            <w:vAlign w:val="bottom"/>
            <w:tcBorders>
              <w:right w:val="single" w:sz="8" w:color="auto"/>
            </w:tcBorders>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(574,263 )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560"/>
              <w:spacing w:after="0" w:line="202" w:lineRule="exact"/>
              <w:rPr>
                <w:sz w:val="20"/>
                <w:szCs w:val="20"/>
                <w:color w:val="auto"/>
              </w:rPr>
            </w:pPr>
            <w:r>
              <w:rPr>
                <w:rFonts w:ascii="Arial" w:cs="Arial" w:eastAsia="Arial" w:hAnsi="Arial"/>
                <w:sz w:val="18"/>
                <w:szCs w:val="18"/>
                <w:color w:val="auto"/>
              </w:rPr>
              <w:t>Contingent consideration</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(2,600 )</w:t>
            </w:r>
          </w:p>
        </w:tc>
        <w:tc>
          <w:tcPr>
            <w:tcW w:w="120" w:type="dxa"/>
            <w:vAlign w:val="bottom"/>
          </w:tcPr>
          <w:p>
            <w:pPr>
              <w:spacing w:after="0"/>
              <w:rPr>
                <w:sz w:val="17"/>
                <w:szCs w:val="17"/>
                <w:color w:val="auto"/>
              </w:rPr>
            </w:pPr>
          </w:p>
        </w:tc>
        <w:tc>
          <w:tcPr>
            <w:tcW w:w="154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FF0FC"/>
          </w:tcPr>
          <w:p>
            <w:pPr>
              <w:ind w:left="560"/>
              <w:spacing w:after="0" w:line="162" w:lineRule="exact"/>
              <w:rPr>
                <w:sz w:val="20"/>
                <w:szCs w:val="20"/>
                <w:color w:val="auto"/>
              </w:rPr>
            </w:pPr>
            <w:r>
              <w:rPr>
                <w:rFonts w:ascii="Arial" w:cs="Arial" w:eastAsia="Arial" w:hAnsi="Arial"/>
                <w:sz w:val="18"/>
                <w:szCs w:val="18"/>
                <w:color w:val="auto"/>
              </w:rPr>
              <w:t>Consideration paid to former members included in accrued</w:t>
            </w:r>
          </w:p>
        </w:tc>
        <w:tc>
          <w:tcPr>
            <w:tcW w:w="26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6,935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(6,935 )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expenses</w:t>
            </w:r>
          </w:p>
        </w:tc>
        <w:tc>
          <w:tcPr>
            <w:tcW w:w="26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tcBorders>
              <w:right w:val="single" w:sz="8" w:color="auto"/>
            </w:tcBorders>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FF0FC"/>
            </w:tcBorders>
          </w:tcPr>
          <w:p>
            <w:pPr>
              <w:ind w:left="740"/>
              <w:spacing w:after="0" w:line="196" w:lineRule="exact"/>
              <w:rPr>
                <w:sz w:val="20"/>
                <w:szCs w:val="20"/>
                <w:color w:val="auto"/>
              </w:rPr>
            </w:pPr>
            <w:r>
              <w:rPr>
                <w:rFonts w:ascii="Arial" w:cs="Arial" w:eastAsia="Arial" w:hAnsi="Arial"/>
                <w:sz w:val="18"/>
                <w:szCs w:val="18"/>
                <w:color w:val="auto"/>
              </w:rPr>
              <w:t>Net cash paid for acquisitions</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22,467</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1,108,197</w:t>
            </w:r>
          </w:p>
        </w:tc>
        <w:tc>
          <w:tcPr>
            <w:tcW w:w="22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29,831</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non-cash investing activities: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200"/>
              <w:spacing w:after="0" w:line="162" w:lineRule="exact"/>
              <w:rPr>
                <w:sz w:val="20"/>
                <w:szCs w:val="20"/>
                <w:color w:val="auto"/>
              </w:rPr>
            </w:pPr>
            <w:r>
              <w:rPr>
                <w:rFonts w:ascii="Arial" w:cs="Arial" w:eastAsia="Arial" w:hAnsi="Arial"/>
                <w:sz w:val="18"/>
                <w:szCs w:val="18"/>
                <w:color w:val="auto"/>
              </w:rPr>
              <w:t>Capital expenditures included in accounts payable and accrued</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654</w:t>
            </w:r>
          </w:p>
        </w:tc>
        <w:tc>
          <w:tcPr>
            <w:tcW w:w="500" w:type="dxa"/>
            <w:vAlign w:val="bottom"/>
            <w:gridSpan w:val="2"/>
            <w:vMerge w:val="restart"/>
          </w:tcPr>
          <w:p>
            <w:pPr>
              <w:jc w:val="right"/>
              <w:ind w:right="79"/>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3,389</w:t>
            </w:r>
          </w:p>
        </w:tc>
        <w:tc>
          <w:tcPr>
            <w:tcW w:w="2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54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200"/>
              <w:spacing w:after="0" w:line="162" w:lineRule="exact"/>
              <w:rPr>
                <w:sz w:val="20"/>
                <w:szCs w:val="20"/>
                <w:color w:val="auto"/>
              </w:rPr>
            </w:pPr>
            <w:r>
              <w:rPr>
                <w:rFonts w:ascii="Arial" w:cs="Arial" w:eastAsia="Arial" w:hAnsi="Arial"/>
                <w:sz w:val="18"/>
                <w:szCs w:val="18"/>
                <w:color w:val="auto"/>
              </w:rPr>
              <w:t>Public offering costs included in accounts payable and accrued</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1,299</w:t>
            </w:r>
          </w:p>
        </w:tc>
        <w:tc>
          <w:tcPr>
            <w:tcW w:w="500" w:type="dxa"/>
            <w:vAlign w:val="bottom"/>
            <w:gridSpan w:val="2"/>
            <w:vMerge w:val="restart"/>
          </w:tcPr>
          <w:p>
            <w:pPr>
              <w:jc w:val="right"/>
              <w:ind w:right="79"/>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auto"/>
            </w:tcBorders>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4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-879475</wp:posOffset>
            </wp:positionV>
            <wp:extent cx="7747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-879475</wp:posOffset>
            </wp:positionV>
            <wp:extent cx="768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-879475</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-879475</wp:posOffset>
            </wp:positionV>
            <wp:extent cx="5143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5" w:name="page76"/>
    <w:bookmarkEnd w:id="75"/>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0"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08"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Definitive Healthcare Corp. (together with its subsidiaries, "Definitive Healthcare" or the "Company"), through its operating subsidiary, Definitive OpCo, provides comprehensive and up-to-date hospital and healthcare-related information and insight across the entire healthcare continuum via a multi-tenant database platform which combines proprietary and public sources to deliver insights. Unless otherwise stated, references to "we", "us", "our", "Definitive Healthcare", and the "Company" refer (1) prior to the consummation of the Reorganization Transactions, to Definitive OpCo and its consolidated subsidiaries, and (2) after consummation of the Reorganization Transactions, to Definitive Healthcare Corp. and its consolidated subsidiaries.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 xml:space="preserve">Definitive Healthcare LLC, a subsidiary of Definitive Healthcare Holdings, LLC ("Definitive Holdco"), was founded in 2011 for the purpose of providing healthcare commercial intelligence that enables all companies that compete within or sell into the healthcare ecosystem to be more successful. AIDH TopCo, LLC ("Definitive OpCo") is a Delaware limited liability company that was formed by investment funds affiliated with Advent International for the purposes of acquiring Definitive HoldCo. On July 16, 2019, Definitive OpCo acquired a majority of the issued and outstanding units of Definitive HoldCo for $1.7 billion. Refer to Note 3. </w:t>
      </w:r>
      <w:r>
        <w:rPr>
          <w:rFonts w:ascii="Arial" w:cs="Arial" w:eastAsia="Arial" w:hAnsi="Arial"/>
          <w:sz w:val="17"/>
          <w:szCs w:val="17"/>
          <w:i w:val="1"/>
          <w:iCs w:val="1"/>
          <w:color w:val="auto"/>
        </w:rPr>
        <w:t>Acquisitions and Investments</w:t>
      </w:r>
      <w:r>
        <w:rPr>
          <w:rFonts w:ascii="Arial" w:cs="Arial" w:eastAsia="Arial" w:hAnsi="Arial"/>
          <w:sz w:val="17"/>
          <w:szCs w:val="17"/>
          <w:color w:val="auto"/>
        </w:rPr>
        <w:t xml:space="preserve"> for more details. References to "Successor" or "Successor Company" refer to the financial position and results of operations of Definitive OpCo after the Advent Acquisition. References to "Predecessor" or "Predecessor Company" refer to the financial position and results of operations of the legacy Definitive HoldCo.</w:t>
      </w:r>
    </w:p>
    <w:p>
      <w:pPr>
        <w:spacing w:after="0" w:line="180"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On May 5, 2021, Definitive Healthcare Corp. was formed as a Delaware corporation for the purposes of facilitating an IPO and other related transactions in order to carry on the business of Definitive OpCo. Following consummation of the Reorganization Transactions, Definitive OpCo became an indirect subsidiary of Definitive Healthcare Corp.</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headquartered in Framingham, Massachusetts.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On September 17, 2021, Definitive Healthcare completed its initial public offering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 excluding other offering expenses and reimbursements).</w:t>
      </w:r>
    </w:p>
    <w:p>
      <w:pPr>
        <w:spacing w:after="0" w:line="188"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Definitive Healthcare Corp. used net proceeds from the IPO to (i) acquire 14,222,222 newly issued LLC Units from Definitive OpCo; (ii) purchase 1,169,378 LLC Units from certain unitholders; and (iii) repurchase 2,497,288 shares of Class A Common Stock received by the former shareholders of certain Blocker Companies (as defined below). Definitive OpCo used proceeds from the IPO to pay fees and expenses of approximately $11.4 million incurred in connection with the IPO and the Reorganization Transactions and to repay $199.6 million, inclusive of accrued interest expense, of the outstanding borrowings under our 2019 Credit Agreement, with the remaining proceeds intended to be used for general corporate purposes.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 to hold LLC Units have the right to require Definitive OpCo to exchange all or a portion of their LLC Units for newly issued shares of Class A Common Stock. Until exchanged, each LLC Unit is represented by one share of Definitive Healthcare Corp. Class B Common Stock. The total shares of Class B Common Stock outstanding is equal to the number of vested LLC Units outstanding. Entities treated as corporations for U.S. tax purposes that held LLC Units (individually, a “Blocker Company” and collectively, the "Blocker Companies") each merged with a merger subsidiary and subsequently merged into Definitive Healthcare Corp. and are now holders of Class A Common Stock.</w:t>
      </w:r>
    </w:p>
    <w:p>
      <w:pPr>
        <w:spacing w:after="0" w:line="180"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Following the Reorganization Transactions, Definitive Healthcare Corp. became a holding company, with its sole material asset being a controlling equity interest in Definitive OpCo. Definitive Healthcare Corp. operates and controls all of</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6" w:name="page77"/>
    <w:bookmarkEnd w:id="76"/>
    <w:p>
      <w:pPr>
        <w:jc w:val="both"/>
        <w:ind w:right="180"/>
        <w:spacing w:after="0" w:line="248" w:lineRule="auto"/>
        <w:rPr>
          <w:sz w:val="20"/>
          <w:szCs w:val="20"/>
          <w:color w:val="auto"/>
        </w:rPr>
      </w:pPr>
      <w:r>
        <w:rPr>
          <w:rFonts w:ascii="Arial" w:cs="Arial" w:eastAsia="Arial" w:hAnsi="Arial"/>
          <w:sz w:val="18"/>
          <w:szCs w:val="18"/>
          <w:color w:val="auto"/>
        </w:rPr>
        <w:t>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consolidated financial statements.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Reorganization Transactions and the IPO, Definitive Healthcare Corp entered into a tax receivable agreement. See Note 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On November 22, 2021, Definitive Healthcare Corp. completed a follow-on offering, in which it sold 11,000,000 shares of Class A Common Stock at a public offering price of $36.00 per share for net proceeds of $382.1 million, after deducting underwriters’ discounts and commissions (but excluding other offering expenses and reimbursements).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Definitive Healthcare Corp. used net proceeds from the follow-on offering to (i) acquire 7,000,000 newly issued LLC Units from Definitive OpCo;</w:t>
      </w:r>
    </w:p>
    <w:p>
      <w:pPr>
        <w:spacing w:after="0" w:line="35" w:lineRule="exact"/>
        <w:rPr>
          <w:sz w:val="20"/>
          <w:szCs w:val="20"/>
          <w:color w:val="auto"/>
        </w:rPr>
      </w:pPr>
    </w:p>
    <w:p>
      <w:pPr>
        <w:ind w:firstLine="8"/>
        <w:spacing w:after="0" w:line="283" w:lineRule="auto"/>
        <w:tabs>
          <w:tab w:leader="none" w:pos="2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purchase 1,766,762 LLC Units from certain unitholders; and (iii) repurchase 2,233,238 shares of Class A Common Stock received by the former shareholders of certain Blocker Companies. Definitive OpCo used net proceeds from the follow-on offering to pay fees and expenses of approximately $1.6 million incurred in connection with the follow-on offering, with the remaining proceeds intended to be used for general corporate purposes.</w:t>
      </w:r>
    </w:p>
    <w:p>
      <w:pPr>
        <w:spacing w:after="0" w:line="261" w:lineRule="exact"/>
        <w:rPr>
          <w:sz w:val="20"/>
          <w:szCs w:val="20"/>
          <w:color w:val="auto"/>
        </w:rPr>
      </w:pPr>
    </w:p>
    <w:p>
      <w:pPr>
        <w:ind w:right="7340" w:firstLine="8"/>
        <w:spacing w:after="0" w:line="362" w:lineRule="auto"/>
        <w:tabs>
          <w:tab w:leader="none" w:pos="509"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04" w:lineRule="exact"/>
        <w:rPr>
          <w:sz w:val="20"/>
          <w:szCs w:val="20"/>
          <w:color w:val="auto"/>
        </w:rPr>
      </w:pPr>
    </w:p>
    <w:p>
      <w:pPr>
        <w:ind w:right="260" w:firstLine="509"/>
        <w:spacing w:after="0" w:line="25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The Company derives revenue primarily from subscription license fees charged for access to the Company’s database platform, and professional services. The customer arrangements include a promise to allow customers to access a subscription license to the database platform which is hosted by the Company over the contract period, without allowing the customer to take possession of the subscription license or transfer hosting to a third party.</w:t>
      </w:r>
    </w:p>
    <w:p>
      <w:pPr>
        <w:spacing w:after="0" w:line="147"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The Company recognizes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2"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7" w:name="page78"/>
    <w:bookmarkEnd w:id="77"/>
    <w:p>
      <w:pPr>
        <w:ind w:firstLine="509"/>
        <w:spacing w:after="0" w:line="243" w:lineRule="auto"/>
        <w:rPr>
          <w:sz w:val="20"/>
          <w:szCs w:val="20"/>
          <w:color w:val="auto"/>
        </w:rPr>
      </w:pPr>
      <w:r>
        <w:rPr>
          <w:rFonts w:ascii="Arial" w:cs="Arial" w:eastAsia="Arial" w:hAnsi="Arial"/>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8"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6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Company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55" w:lineRule="exact"/>
        <w:rPr>
          <w:sz w:val="20"/>
          <w:szCs w:val="20"/>
          <w:color w:val="auto"/>
        </w:rPr>
      </w:pPr>
    </w:p>
    <w:p>
      <w:pPr>
        <w:ind w:left="520" w:right="2480"/>
        <w:spacing w:after="0" w:line="244" w:lineRule="auto"/>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 Level 2 - Other inputs that are directly or indirectly observable in the marketplace</w:t>
      </w:r>
    </w:p>
    <w:p>
      <w:pPr>
        <w:ind w:left="5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short-term, highly liquid investments with an original maturity of three months or less to be cash and cash equivalents.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8" w:name="page79"/>
    <w:bookmarkEnd w:id="78"/>
    <w:p>
      <w:pPr>
        <w:ind w:right="160" w:firstLine="509"/>
        <w:spacing w:after="0" w:line="291" w:lineRule="auto"/>
        <w:rPr>
          <w:sz w:val="20"/>
          <w:szCs w:val="20"/>
          <w:color w:val="auto"/>
        </w:rPr>
      </w:pPr>
      <w:r>
        <w:rPr>
          <w:rFonts w:ascii="Arial" w:cs="Arial" w:eastAsia="Arial" w:hAnsi="Arial"/>
          <w:sz w:val="17"/>
          <w:szCs w:val="17"/>
          <w:color w:val="auto"/>
        </w:rPr>
        <w:t>Concentrations of credit risk with respect to trade account receivables are limited due to the large number of customers comprising the Company’s customer base. No single customer accounted for more than 10% of total net sales or accounts receivable in 2021, 2020, and 2019.</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0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2021 and 2020, the allowance for doubtful accounts was $1.4 million and $0.9 million, respectively.</w:t>
      </w:r>
    </w:p>
    <w:p>
      <w:pPr>
        <w:spacing w:after="0" w:line="1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0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8"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straight-line basis over 2 years, which reflects the average renewal period. Renewal contracts with a term of one year or less are expensed.</w:t>
      </w:r>
    </w:p>
    <w:p>
      <w:pPr>
        <w:spacing w:after="0" w:line="155"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There were no impairments of these costs in the years ended December 31, 2021 or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220"/>
          </w:cols>
          <w:pgMar w:left="320" w:top="544" w:right="359" w:bottom="1440" w:gutter="0" w:footer="0" w:header="0"/>
        </w:sectPr>
      </w:pPr>
    </w:p>
    <w:p>
      <w:pPr>
        <w:spacing w:after="0" w:line="19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Furniture and equipment</w:t>
      </w:r>
    </w:p>
    <w:p>
      <w:pPr>
        <w:spacing w:after="0" w:line="3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Computers and software</w:t>
      </w:r>
    </w:p>
    <w:p>
      <w:pPr>
        <w:spacing w:after="0" w:line="19"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rPr>
          <w:sz w:val="20"/>
          <w:szCs w:val="20"/>
          <w:color w:val="auto"/>
        </w:rPr>
      </w:pPr>
      <w:r>
        <w:rPr>
          <w:rFonts w:ascii="Arial" w:cs="Arial" w:eastAsia="Arial" w:hAnsi="Arial"/>
          <w:sz w:val="16"/>
          <w:szCs w:val="16"/>
          <w:color w:val="auto"/>
        </w:rPr>
        <w:t>Lesser of the asset life or lease term</w:t>
      </w:r>
    </w:p>
    <w:p>
      <w:pPr>
        <w:spacing w:after="0" w:line="200" w:lineRule="exact"/>
        <w:rPr>
          <w:sz w:val="20"/>
          <w:szCs w:val="20"/>
          <w:color w:val="auto"/>
        </w:rPr>
      </w:pPr>
    </w:p>
    <w:p>
      <w:pPr>
        <w:sectPr>
          <w:pgSz w:w="11900" w:h="16838" w:orient="portrait"/>
          <w:cols w:equalWidth="0" w:num="2">
            <w:col w:w="4760" w:space="720"/>
            <w:col w:w="5740"/>
          </w:cols>
          <w:pgMar w:left="320" w:top="544" w:right="359" w:bottom="1440" w:gutter="0" w:footer="0" w:header="0"/>
          <w:type w:val="continuous"/>
        </w:sectPr>
      </w:pPr>
    </w:p>
    <w:p>
      <w:pPr>
        <w:spacing w:after="0" w:line="19"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04" w:lineRule="exact"/>
        <w:rPr>
          <w:sz w:val="20"/>
          <w:szCs w:val="20"/>
          <w:color w:val="auto"/>
        </w:rPr>
      </w:pPr>
    </w:p>
    <w:p>
      <w:pPr>
        <w:jc w:val="both"/>
        <w:ind w:right="240" w:firstLine="509"/>
        <w:spacing w:after="0" w:line="243" w:lineRule="auto"/>
        <w:rPr>
          <w:sz w:val="20"/>
          <w:szCs w:val="20"/>
          <w:color w:val="auto"/>
        </w:rPr>
      </w:pPr>
      <w:r>
        <w:rPr>
          <w:rFonts w:ascii="Arial" w:cs="Arial" w:eastAsia="Arial" w:hAnsi="Arial"/>
          <w:sz w:val="18"/>
          <w:szCs w:val="18"/>
          <w:color w:val="auto"/>
        </w:rPr>
        <w:t>The Company expenses advertising costs as incurred in accordance with ASC 720—</w:t>
      </w:r>
      <w:r>
        <w:rPr>
          <w:rFonts w:ascii="Arial" w:cs="Arial" w:eastAsia="Arial" w:hAnsi="Arial"/>
          <w:sz w:val="18"/>
          <w:szCs w:val="18"/>
          <w:i w:val="1"/>
          <w:iCs w:val="1"/>
          <w:color w:val="auto"/>
        </w:rPr>
        <w:t>Other Expenses – Advertising Cost</w:t>
      </w:r>
      <w:r>
        <w:rPr>
          <w:rFonts w:ascii="Arial" w:cs="Arial" w:eastAsia="Arial" w:hAnsi="Arial"/>
          <w:sz w:val="18"/>
          <w:szCs w:val="18"/>
          <w:color w:val="auto"/>
        </w:rPr>
        <w:t>. Advertising expenses of $0.9 million and $0.6 million for the years ended December 31, 2021 and 2020, respectively, and $0.2 million and $0.2 million for the periods from July 16, 2019 through December 31, 2019 (Successor) and from January 1, 2019 through July 15, 2019 (Predecessor), respectively, are included in sales and marketing expenses on the consolidated statements of operations.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Company accounts for its software development costs in accordance with the guidance set forth in ASC 350-40—</w:t>
      </w:r>
      <w:r>
        <w:rPr>
          <w:rFonts w:ascii="Arial" w:cs="Arial" w:eastAsia="Arial" w:hAnsi="Arial"/>
          <w:sz w:val="17"/>
          <w:szCs w:val="17"/>
          <w:i w:val="1"/>
          <w:iCs w:val="1"/>
          <w:color w:val="auto"/>
        </w:rPr>
        <w:t>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 Internal Use Software. </w:t>
      </w:r>
      <w:r>
        <w:rPr>
          <w:rFonts w:ascii="Arial" w:cs="Arial" w:eastAsia="Arial" w:hAnsi="Arial"/>
          <w:sz w:val="17"/>
          <w:szCs w:val="17"/>
          <w:color w:val="auto"/>
        </w:rPr>
        <w:t>The Company capitalizes costs to develop software for internal use incurred during the application development stage.</w:t>
      </w:r>
      <w:r>
        <w:rPr>
          <w:rFonts w:ascii="Arial" w:cs="Arial" w:eastAsia="Arial" w:hAnsi="Arial"/>
          <w:sz w:val="17"/>
          <w:szCs w:val="17"/>
          <w:i w:val="1"/>
          <w:iCs w:val="1"/>
          <w:color w:val="auto"/>
        </w:rPr>
        <w:t xml:space="preserve"> </w:t>
      </w:r>
      <w:r>
        <w:rPr>
          <w:rFonts w:ascii="Arial" w:cs="Arial" w:eastAsia="Arial" w:hAnsi="Arial"/>
          <w:sz w:val="17"/>
          <w:szCs w:val="17"/>
          <w:color w:val="auto"/>
        </w:rPr>
        <w:t>Costs related to preliminary project activities and post implementation activities are expensed as incurred. Capitalized costs of $0.6 million and $0.1 million for the years ended December 31, 2021 and 2020, respectively,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 xml:space="preserve">The Company accounts for business combinations using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9"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5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82" w:lineRule="exact"/>
        <w:rPr>
          <w:sz w:val="20"/>
          <w:szCs w:val="20"/>
          <w:color w:val="auto"/>
        </w:rPr>
      </w:pPr>
    </w:p>
    <w:p>
      <w:pPr>
        <w:ind w:right="140" w:firstLine="509"/>
        <w:spacing w:after="0" w:line="272" w:lineRule="auto"/>
        <w:rPr>
          <w:sz w:val="20"/>
          <w:szCs w:val="20"/>
          <w:color w:val="auto"/>
        </w:rPr>
      </w:pPr>
      <w:r>
        <w:rPr>
          <w:rFonts w:ascii="Arial" w:cs="Arial" w:eastAsia="Arial" w:hAnsi="Arial"/>
          <w:sz w:val="16"/>
          <w:szCs w:val="16"/>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80" w:name="page81"/>
    <w:bookmarkEnd w:id="80"/>
    <w:p>
      <w:pPr>
        <w:ind w:firstLine="509"/>
        <w:spacing w:after="0" w:line="243" w:lineRule="auto"/>
        <w:rPr>
          <w:sz w:val="20"/>
          <w:szCs w:val="20"/>
          <w:color w:val="auto"/>
        </w:rPr>
      </w:pPr>
      <w:r>
        <w:rPr>
          <w:rFonts w:ascii="Arial" w:cs="Arial" w:eastAsia="Arial" w:hAnsi="Arial"/>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1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4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80" w:type="dxa"/>
            <w:vAlign w:val="bottom"/>
          </w:tcPr>
          <w:p>
            <w:pPr>
              <w:ind w:left="1660"/>
              <w:spacing w:after="0"/>
              <w:rPr>
                <w:sz w:val="20"/>
                <w:szCs w:val="20"/>
                <w:color w:val="auto"/>
              </w:rPr>
            </w:pPr>
            <w:r>
              <w:rPr>
                <w:rFonts w:ascii="Arial" w:cs="Arial" w:eastAsia="Arial" w:hAnsi="Arial"/>
                <w:sz w:val="18"/>
                <w:szCs w:val="18"/>
                <w:color w:val="auto"/>
                <w:w w:val="99"/>
              </w:rPr>
              <w:t>14</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15 years</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Technology</w:t>
            </w:r>
          </w:p>
        </w:tc>
        <w:tc>
          <w:tcPr>
            <w:tcW w:w="2640" w:type="dxa"/>
            <w:vAlign w:val="bottom"/>
            <w:gridSpan w:val="2"/>
          </w:tcPr>
          <w:p>
            <w:pPr>
              <w:ind w:left="1660"/>
              <w:spacing w:after="0" w:line="202" w:lineRule="exact"/>
              <w:rPr>
                <w:sz w:val="20"/>
                <w:szCs w:val="20"/>
                <w:color w:val="auto"/>
              </w:rPr>
            </w:pPr>
            <w:r>
              <w:rPr>
                <w:rFonts w:ascii="Arial" w:cs="Arial" w:eastAsia="Arial" w:hAnsi="Arial"/>
                <w:sz w:val="18"/>
                <w:szCs w:val="18"/>
                <w:color w:val="auto"/>
              </w:rPr>
              <w:t>7 – 8 years</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Tradenames / trademark</w:t>
            </w:r>
          </w:p>
        </w:tc>
        <w:tc>
          <w:tcPr>
            <w:tcW w:w="1880" w:type="dxa"/>
            <w:vAlign w:val="bottom"/>
          </w:tcPr>
          <w:p>
            <w:pPr>
              <w:ind w:left="1660"/>
              <w:spacing w:after="0" w:line="202" w:lineRule="exact"/>
              <w:rPr>
                <w:sz w:val="20"/>
                <w:szCs w:val="20"/>
                <w:color w:val="auto"/>
              </w:rPr>
            </w:pPr>
            <w:r>
              <w:rPr>
                <w:rFonts w:ascii="Arial" w:cs="Arial" w:eastAsia="Arial" w:hAnsi="Arial"/>
                <w:sz w:val="18"/>
                <w:szCs w:val="18"/>
                <w:color w:val="auto"/>
                <w:w w:val="99"/>
              </w:rPr>
              <w:t>17</w:t>
            </w:r>
          </w:p>
        </w:tc>
        <w:tc>
          <w:tcPr>
            <w:tcW w:w="760" w:type="dxa"/>
            <w:vAlign w:val="bottom"/>
          </w:tcPr>
          <w:p>
            <w:pPr>
              <w:ind w:left="20"/>
              <w:spacing w:after="0" w:line="202" w:lineRule="exact"/>
              <w:rPr>
                <w:sz w:val="20"/>
                <w:szCs w:val="20"/>
                <w:color w:val="auto"/>
              </w:rPr>
            </w:pPr>
            <w:r>
              <w:rPr>
                <w:rFonts w:ascii="Arial" w:cs="Arial" w:eastAsia="Arial" w:hAnsi="Arial"/>
                <w:sz w:val="18"/>
                <w:szCs w:val="18"/>
                <w:color w:val="auto"/>
                <w:w w:val="85"/>
              </w:rPr>
              <w:t>– 19 years</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Data</w:t>
            </w:r>
          </w:p>
        </w:tc>
        <w:tc>
          <w:tcPr>
            <w:tcW w:w="2640" w:type="dxa"/>
            <w:vAlign w:val="bottom"/>
            <w:gridSpan w:val="2"/>
          </w:tcPr>
          <w:p>
            <w:pPr>
              <w:ind w:left="1660"/>
              <w:spacing w:after="0"/>
              <w:rPr>
                <w:sz w:val="20"/>
                <w:szCs w:val="20"/>
                <w:color w:val="auto"/>
              </w:rPr>
            </w:pPr>
            <w:r>
              <w:rPr>
                <w:rFonts w:ascii="Arial" w:cs="Arial" w:eastAsia="Arial" w:hAnsi="Arial"/>
                <w:sz w:val="18"/>
                <w:szCs w:val="18"/>
                <w:color w:val="auto"/>
              </w:rPr>
              <w:t>1– 4 years</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360" w:firstLine="509"/>
        <w:spacing w:after="0" w:line="284" w:lineRule="auto"/>
        <w:rPr>
          <w:sz w:val="20"/>
          <w:szCs w:val="20"/>
          <w:color w:val="auto"/>
        </w:rPr>
      </w:pPr>
      <w:r>
        <w:rPr>
          <w:rFonts w:ascii="Arial" w:cs="Arial" w:eastAsia="Arial" w:hAnsi="Arial"/>
          <w:sz w:val="16"/>
          <w:szCs w:val="16"/>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long term liabilities as deferred revenue on the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2021 and 2020, the Company had $2.6 million and $10.9 million, respectively, of unamortized deferred financing costs related to its non-revolving credit facilities.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Tax</w:t>
      </w:r>
    </w:p>
    <w:p>
      <w:pPr>
        <w:spacing w:after="0" w:line="10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right="80" w:firstLine="509"/>
        <w:spacing w:after="0" w:line="284" w:lineRule="auto"/>
        <w:rPr>
          <w:sz w:val="20"/>
          <w:szCs w:val="20"/>
          <w:color w:val="auto"/>
        </w:rPr>
      </w:pPr>
      <w:r>
        <w:rPr>
          <w:rFonts w:ascii="Arial" w:cs="Arial" w:eastAsia="Arial" w:hAnsi="Arial"/>
          <w:sz w:val="16"/>
          <w:szCs w:val="16"/>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years ended December 31, 2021, 2020, or 2019.</w:t>
      </w:r>
    </w:p>
    <w:p>
      <w:pPr>
        <w:spacing w:after="0" w:line="15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1" w:name="page82"/>
    <w:bookmarkEnd w:id="81"/>
    <w:p>
      <w:pPr>
        <w:ind w:right="120" w:firstLine="509"/>
        <w:spacing w:after="0" w:line="241" w:lineRule="auto"/>
        <w:rPr>
          <w:sz w:val="20"/>
          <w:szCs w:val="20"/>
          <w:color w:val="auto"/>
        </w:rPr>
      </w:pPr>
      <w:r>
        <w:rPr>
          <w:rFonts w:ascii="Arial" w:cs="Arial" w:eastAsia="Arial" w:hAnsi="Arial"/>
          <w:sz w:val="18"/>
          <w:szCs w:val="18"/>
          <w:color w:val="auto"/>
        </w:rPr>
        <w:t>Definitive Healthcare Corp. is subject to U.S. federal, state and local income taxes with respect to its allocable share of any taxable income of Definitive OpCo and will be taxed at the prevailing corporate tax rates. In addition to tax expenses, we will also make payments under the Tax Receivable Agreement, which we expect to be significant. We anticipate that we will account for the income tax effects and corresponding Tax Receivable Agreement’s effects resulting from future taxable exchanges of LLC Units of Unitholders by us or Definitive OpCo by recognizing an increase in our deferred tax assets, based on enacted tax rates at the date of the purchase or exchange.</w:t>
      </w:r>
    </w:p>
    <w:p>
      <w:pPr>
        <w:spacing w:after="0" w:line="189"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Further, the Company accounts for amounts payable under the Tax Receivable Agreement in accordance with ASC 450—</w:t>
      </w:r>
      <w:r>
        <w:rPr>
          <w:rFonts w:ascii="Arial" w:cs="Arial" w:eastAsia="Arial" w:hAnsi="Arial"/>
          <w:sz w:val="17"/>
          <w:szCs w:val="17"/>
          <w:i w:val="1"/>
          <w:iCs w:val="1"/>
          <w:color w:val="auto"/>
        </w:rPr>
        <w:t>Contingencies</w:t>
      </w:r>
      <w:r>
        <w:rPr>
          <w:rFonts w:ascii="Arial" w:cs="Arial" w:eastAsia="Arial" w:hAnsi="Arial"/>
          <w:sz w:val="17"/>
          <w:szCs w:val="17"/>
          <w:color w:val="auto"/>
        </w:rPr>
        <w:t>.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or loss. Similarly, the effect of subsequent changes in the enacted tax rates will be included in net income or loss. In assessing the realizability of deferred tax assets, management considers whether it is more likely than not that some or all of the deferred tax assets will be realized and, when necessary, a valuation allowance is established.</w:t>
      </w:r>
    </w:p>
    <w:p>
      <w:pPr>
        <w:spacing w:after="0" w:line="181"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Under the provisions of ASC 740—</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2021, 2020 and 2019, we did not have any uncertain tax positions.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Net income or loss per share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 xml:space="preserve">Basic net income or loss per share is computed by dividing the net income or loss by the weighted-average number of common shares of the Company outstanding during the period. Diluted net income or loss per share is computed by giving effect to all potential shares, including exchangeable Definitive OpCo LLC Units and restricted stock units, to the extent dilutive. The Company uses the treasury stock method to calculate potentially dilutive shares, as if they were converted into Common Stock at the beginning of the period. Basic and diluted net income or loss per share was the same for the period presented as the inclusion of all potential shares outstanding would have been anti-dilutive. See Note 16. </w:t>
      </w:r>
      <w:r>
        <w:rPr>
          <w:rFonts w:ascii="Arial" w:cs="Arial" w:eastAsia="Arial" w:hAnsi="Arial"/>
          <w:sz w:val="18"/>
          <w:szCs w:val="18"/>
          <w:i w:val="1"/>
          <w:iCs w:val="1"/>
          <w:color w:val="auto"/>
        </w:rPr>
        <w:t>Net Loss Per Share</w:t>
      </w:r>
      <w:r>
        <w:rPr>
          <w:rFonts w:ascii="Arial" w:cs="Arial" w:eastAsia="Arial" w:hAnsi="Arial"/>
          <w:sz w:val="18"/>
          <w:szCs w:val="18"/>
          <w:color w:val="auto"/>
        </w:rPr>
        <w:t xml:space="preserve"> for additional information on dilutive securities.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12"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Equity instruments issued in exchange for services performed by officers, employees, consultants, and directors of the Company are accounted for using a fair-value based method, and the fair value of such equity instruments are recognized as expense in the consolidated statements of operations. The Company has issued restricted stock units ("RSUs"), the fair values of which are determined by the closing stock price on the date of grant, and prior to the IPO, issued profit interest units ("PIUs") to certain employees and officers with a return threshold that was set based on the fair value of the Company.</w:t>
      </w:r>
    </w:p>
    <w:p>
      <w:pPr>
        <w:spacing w:after="0" w:line="155"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For PIUs, fair value was determined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required the Company to make estimates and assumptions, such as expected volatility, expected term and expected risk-free interest rate.</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2" w:name="page83"/>
    <w:bookmarkEnd w:id="82"/>
    <w:p>
      <w:pPr>
        <w:ind w:right="180" w:firstLine="509"/>
        <w:spacing w:after="0" w:line="284" w:lineRule="auto"/>
        <w:rPr>
          <w:sz w:val="20"/>
          <w:szCs w:val="20"/>
          <w:color w:val="auto"/>
        </w:rPr>
      </w:pPr>
      <w:r>
        <w:rPr>
          <w:rFonts w:ascii="Arial" w:cs="Arial" w:eastAsia="Arial" w:hAnsi="Arial"/>
          <w:sz w:val="16"/>
          <w:szCs w:val="16"/>
          <w:color w:val="auto"/>
        </w:rPr>
        <w:t>Equity-based compensation expense is measured at the grant date of the awards and is recognized on a straight-line basis over the requisite service periods, which is generally the vesting period of the respective award. For the units which had a performance condition, we recognized compensation expense based on the Company's assessment of the probability that the performance condition(s) would be achieved. Any related compensation expense was recognized when the probability of the event was likely and performance criteria were met. Forfeitures are recognized as they occur.</w:t>
      </w:r>
    </w:p>
    <w:p>
      <w:pPr>
        <w:spacing w:after="0" w:line="155"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salary and related costs are classified.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21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 </w:t>
      </w:r>
      <w:r>
        <w:rPr>
          <w:rFonts w:ascii="Arial" w:cs="Arial" w:eastAsia="Arial" w:hAnsi="Arial"/>
          <w:sz w:val="18"/>
          <w:szCs w:val="18"/>
          <w:i w:val="1"/>
          <w:iCs w:val="1"/>
          <w:color w:val="auto"/>
        </w:rPr>
        <w:t>Internal-Use Software</w:t>
      </w:r>
      <w:r>
        <w:rPr>
          <w:rFonts w:ascii="Arial" w:cs="Arial" w:eastAsia="Arial" w:hAnsi="Arial"/>
          <w:sz w:val="18"/>
          <w:szCs w:val="18"/>
          <w:color w:val="auto"/>
        </w:rPr>
        <w:t xml:space="preserve"> (Subtopic 350-40), </w:t>
      </w:r>
      <w:r>
        <w:rPr>
          <w:rFonts w:ascii="Arial" w:cs="Arial" w:eastAsia="Arial" w:hAnsi="Arial"/>
          <w:sz w:val="18"/>
          <w:szCs w:val="18"/>
          <w:i w:val="1"/>
          <w:iCs w:val="1"/>
          <w:color w:val="auto"/>
        </w:rPr>
        <w:t>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This standard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Company adopted the update effective January 1, 2021. The adoption did not have a material impact on the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2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Leases</w:t>
      </w:r>
      <w:r>
        <w:rPr>
          <w:rFonts w:ascii="Arial" w:cs="Arial" w:eastAsia="Arial" w:hAnsi="Arial"/>
          <w:sz w:val="18"/>
          <w:szCs w:val="18"/>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FASB has subsequently issued supplemental and/or clarifying ASUs inclusive of ASU 2020-05, which updated the effective date for certain non-public companies to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as an Emerging Growth Company as defined by the JOBS Act of 2012, can elect to take the extended transition period and adopt the standard following guidance for non-public entities which are a part of the “all other” category.</w:t>
      </w:r>
    </w:p>
    <w:p>
      <w:pPr>
        <w:spacing w:after="0" w:line="191" w:lineRule="exact"/>
        <w:rPr>
          <w:sz w:val="20"/>
          <w:szCs w:val="20"/>
          <w:color w:val="auto"/>
        </w:rPr>
      </w:pPr>
    </w:p>
    <w:p>
      <w:pPr>
        <w:ind w:firstLine="554"/>
        <w:spacing w:after="0" w:line="267" w:lineRule="auto"/>
        <w:rPr>
          <w:sz w:val="20"/>
          <w:szCs w:val="20"/>
          <w:color w:val="auto"/>
        </w:rPr>
      </w:pPr>
      <w:r>
        <w:rPr>
          <w:rFonts w:ascii="Arial" w:cs="Arial" w:eastAsia="Arial" w:hAnsi="Arial"/>
          <w:sz w:val="16"/>
          <w:szCs w:val="16"/>
          <w:color w:val="auto"/>
        </w:rPr>
        <w:t>The Company will adopt ASU 2016-02 and all associated amendments on the first day of fiscal 2022 (January 1, 2022) which includes as allowed under ASU 2018-11 the ability to recognize a cumulative-effect adjustment through opening retained earnings as of the date of adoption. The Company will elect the package of practical expedients permitted under the transition guidance, which allowed the Company to carryforward its historical assessments of: (1) whether contracts are or contain leases, (2) lease classification and (3) initial direct costs. The Company will not elect the hindsight practical expedient. The Company will elect to use the practical expedient that allows the combination of lease and non-lease contract components in all of its underlying asset categories. The Company will also elect a policy of not recording leases on its consolidated balance sheets when the leases have a term of 12 months or less and the Company is not reasonably certain to elect an option to renew the leased asset. Due to the adoption of this guidance, the Company expects to recognize an operating right-of-use assets and operating lease liabilities of $12.0 million to $13.0 million and $13.5 million to $14.5 million, respectively, on the consolidated balance sheets as of the date of adoption. The difference between the right-of-use assets and lease liabilities on the accompanying consolidated balance sheets is primarily due to the accrual for lease payments as a result of straight-line lease expense and unamortized tenant incentive liability balances. The Company does not anticipate a material impact to opening retained earnings as a result of the adoption of the guidance. The adoption of this new guidance is not anticipated to have a material impact on the Company’s results of operations, cash flows, liquidity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covenant compliance under its existing credit agreement.</w:t>
      </w:r>
    </w:p>
    <w:p>
      <w:pPr>
        <w:spacing w:after="0" w:line="22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In June 2016, the FASB issued ASU No. 2016-13</w:t>
      </w:r>
      <w:r>
        <w:rPr>
          <w:rFonts w:ascii="Arial" w:cs="Arial" w:eastAsia="Arial" w:hAnsi="Arial"/>
          <w:sz w:val="16"/>
          <w:szCs w:val="16"/>
          <w:i w:val="1"/>
          <w:iCs w:val="1"/>
          <w:color w:val="auto"/>
        </w:rPr>
        <w:t>—Financial Instruments—Credit Losses (Topic 326)—Measurement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This standard is intended to improve financial reporting by requiring earlier recognition of credit losses on financing receivables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55"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This standard removes certain exceptions for investments, intra-period allocations and interim tax calculations and adds guidance to reduce complexity in accounting for income taxes. The amendment is effective for fiscal years beginning</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3" w:name="page84"/>
    <w:bookmarkEnd w:id="83"/>
    <w:p>
      <w:pPr>
        <w:ind w:right="500"/>
        <w:spacing w:after="0" w:line="261" w:lineRule="auto"/>
        <w:rPr>
          <w:sz w:val="20"/>
          <w:szCs w:val="20"/>
          <w:color w:val="auto"/>
        </w:rPr>
      </w:pPr>
      <w:r>
        <w:rPr>
          <w:rFonts w:ascii="Arial" w:cs="Arial" w:eastAsia="Arial" w:hAnsi="Arial"/>
          <w:sz w:val="18"/>
          <w:szCs w:val="18"/>
          <w:color w:val="auto"/>
        </w:rPr>
        <w:t>after December 15, 2021 and early adoption is permitted. The Company is currently evaluating the impact of this update on its consolidated financial statements.</w:t>
      </w:r>
    </w:p>
    <w:p>
      <w:pPr>
        <w:spacing w:after="0" w:line="17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March 2020, the FASB issued ASU No. 2020-04—</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The amendments of ASU No. 2020-04 are effective for companies as of March 12, 2020 through December 31, 2022. An entity may</w:t>
      </w:r>
      <w:r>
        <w:rPr>
          <w:rFonts w:ascii="Arial" w:cs="Arial" w:eastAsia="Arial" w:hAnsi="Arial"/>
          <w:sz w:val="18"/>
          <w:szCs w:val="18"/>
          <w:i w:val="1"/>
          <w:iCs w:val="1"/>
          <w:color w:val="auto"/>
        </w:rPr>
        <w:t xml:space="preserve"> </w:t>
      </w:r>
      <w:r>
        <w:rPr>
          <w:rFonts w:ascii="Arial" w:cs="Arial" w:eastAsia="Arial" w:hAnsi="Arial"/>
          <w:sz w:val="18"/>
          <w:szCs w:val="18"/>
          <w:color w:val="auto"/>
        </w:rPr>
        <w:t>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19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October 2021, the FASB issued ASU No. 2021-08—</w:t>
      </w:r>
      <w:r>
        <w:rPr>
          <w:rFonts w:ascii="Arial" w:cs="Arial" w:eastAsia="Arial" w:hAnsi="Arial"/>
          <w:sz w:val="17"/>
          <w:szCs w:val="17"/>
          <w:i w:val="1"/>
          <w:iCs w:val="1"/>
          <w:color w:val="auto"/>
        </w:rPr>
        <w:t>Business Combinations (Topic 805): Accounting for Contract Assets and Contract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This new accounting standard requires contract assets and contract liabilities (i.e., deferred revenue) acquired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to be recognized and measured by the acquirer on the acquisition date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Under current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Generally, this new guidance will result in the acquirer recognizing contract assets and contract liabilities at the same amounts recorded by the acquiree. The new accounting guidance is effective for fiscal years beginning after December 15, 2022, with early adoption permitted. The Company plans to adopt this new accounting guidance effective January 1, 2022. The impact on the Company's consolidated financial statements will depend on the size and nature of future acquisitions.</w:t>
      </w:r>
    </w:p>
    <w:p>
      <w:pPr>
        <w:spacing w:after="0" w:line="288" w:lineRule="exact"/>
        <w:rPr>
          <w:sz w:val="20"/>
          <w:szCs w:val="20"/>
          <w:color w:val="auto"/>
        </w:rPr>
      </w:pPr>
    </w:p>
    <w:p>
      <w:pPr>
        <w:ind w:right="8460" w:firstLine="8"/>
        <w:spacing w:after="0" w:line="362" w:lineRule="auto"/>
        <w:tabs>
          <w:tab w:leader="none" w:pos="509"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Investments </w:t>
      </w:r>
      <w:r>
        <w:rPr>
          <w:rFonts w:ascii="Arial" w:cs="Arial" w:eastAsia="Arial" w:hAnsi="Arial"/>
          <w:sz w:val="18"/>
          <w:szCs w:val="18"/>
          <w:b w:val="1"/>
          <w:bCs w:val="1"/>
          <w:i w:val="1"/>
          <w:iCs w:val="1"/>
          <w:color w:val="auto"/>
        </w:rPr>
        <w:t>2020 Acquisition</w:t>
      </w:r>
    </w:p>
    <w:p>
      <w:pPr>
        <w:spacing w:after="0" w:line="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consideration transferred for the transaction is summarized as follows:</w:t>
      </w:r>
    </w:p>
    <w:p>
      <w:pPr>
        <w:spacing w:after="0" w:line="261"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62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consideration</w:t>
            </w: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18,307</w:t>
            </w:r>
          </w:p>
        </w:tc>
        <w:tc>
          <w:tcPr>
            <w:tcW w:w="80" w:type="dxa"/>
            <w:vAlign w:val="bottom"/>
            <w:shd w:val="clear" w:color="auto" w:fill="CFF0FC"/>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Equity issuance</w:t>
            </w:r>
          </w:p>
        </w:tc>
        <w:tc>
          <w:tcPr>
            <w:tcW w:w="5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25,439</w:t>
            </w:r>
          </w:p>
        </w:tc>
        <w:tc>
          <w:tcPr>
            <w:tcW w:w="80" w:type="dxa"/>
            <w:vAlign w:val="bottom"/>
          </w:tcPr>
          <w:p>
            <w:pPr>
              <w:spacing w:after="0"/>
              <w:rPr>
                <w:sz w:val="17"/>
                <w:szCs w:val="17"/>
                <w:color w:val="auto"/>
              </w:rPr>
            </w:pPr>
          </w:p>
        </w:tc>
      </w:tr>
      <w:tr>
        <w:trPr>
          <w:trHeight w:val="203"/>
        </w:trPr>
        <w:tc>
          <w:tcPr>
            <w:tcW w:w="6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Contingent consideration</w:t>
            </w:r>
          </w:p>
        </w:tc>
        <w:tc>
          <w:tcPr>
            <w:tcW w:w="5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60" w:type="dxa"/>
            <w:vAlign w:val="bottom"/>
          </w:tcPr>
          <w:p>
            <w:pPr>
              <w:ind w:left="180"/>
              <w:spacing w:after="0" w:line="196" w:lineRule="exact"/>
              <w:rPr>
                <w:sz w:val="20"/>
                <w:szCs w:val="20"/>
                <w:color w:val="auto"/>
              </w:rPr>
            </w:pPr>
            <w:r>
              <w:rPr>
                <w:rFonts w:ascii="Arial" w:cs="Arial" w:eastAsia="Arial" w:hAnsi="Arial"/>
                <w:sz w:val="18"/>
                <w:szCs w:val="18"/>
                <w:color w:val="auto"/>
              </w:rPr>
              <w:t>Purchase price</w:t>
            </w:r>
          </w:p>
        </w:tc>
        <w:tc>
          <w:tcPr>
            <w:tcW w:w="5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46,346</w:t>
            </w:r>
          </w:p>
        </w:tc>
        <w:tc>
          <w:tcPr>
            <w:tcW w:w="80" w:type="dxa"/>
            <w:vAlign w:val="bottom"/>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consideration for the acquisition was primarily provided through borrowings under the Company’s credit facility.</w:t>
      </w:r>
    </w:p>
    <w:p>
      <w:pPr>
        <w:spacing w:after="0" w:line="212" w:lineRule="exact"/>
        <w:rPr>
          <w:sz w:val="20"/>
          <w:szCs w:val="20"/>
          <w:color w:val="auto"/>
        </w:rPr>
      </w:pPr>
    </w:p>
    <w:p>
      <w:pPr>
        <w:jc w:val="both"/>
        <w:ind w:right="240" w:firstLine="509"/>
        <w:spacing w:after="0" w:line="270" w:lineRule="auto"/>
        <w:rPr>
          <w:sz w:val="20"/>
          <w:szCs w:val="20"/>
          <w:color w:val="auto"/>
        </w:rPr>
      </w:pPr>
      <w:r>
        <w:rPr>
          <w:rFonts w:ascii="Arial" w:cs="Arial" w:eastAsia="Arial" w:hAnsi="Arial"/>
          <w:sz w:val="17"/>
          <w:szCs w:val="17"/>
          <w:color w:val="auto"/>
        </w:rPr>
        <w:t>The performance targets for the contingent consideration are based on ARR for each of the twelve-month periods ended December 31, 2020 and December 31, 2021. Potential payouts range from $0 to $5.0 million and $0 to $10 million based on ARR of below $8.5 million to over $9.5 million and below $12.0 million to over $16.0 million for each of the twelve month periods ended December 31, 2020 and 2021, respectively.</w:t>
      </w:r>
    </w:p>
    <w:p>
      <w:pPr>
        <w:spacing w:after="0" w:line="164"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Based on the achievement of certain ARR targets, the fair value of the contingent consideration was $7.5 million as of December 31, 2021. The Company estimated the fair value of the contingent consideration to be $5.2 million at December 31, 2020 based on the achievement of Annual 2020 ARR targets and the probability of achieving the 2021 targets. Refer to note 9. Fair Value Measurements for more detail.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4" w:name="page85"/>
    <w:bookmarkEnd w:id="84"/>
    <w:p>
      <w:pPr>
        <w:ind w:right="120" w:firstLine="509"/>
        <w:spacing w:after="0" w:line="261" w:lineRule="auto"/>
        <w:rPr>
          <w:sz w:val="20"/>
          <w:szCs w:val="20"/>
          <w:color w:val="auto"/>
        </w:rPr>
      </w:pPr>
      <w:r>
        <w:rPr>
          <w:rFonts w:ascii="Arial" w:cs="Arial" w:eastAsia="Arial" w:hAnsi="Arial"/>
          <w:sz w:val="18"/>
          <w:szCs w:val="18"/>
          <w:color w:val="auto"/>
        </w:rPr>
        <w:t>The purchase accounting for the Monocl acquisition was finalized as of December 31, 2020. The final allocation of the acquisition-date fair values of assets and liabilities pertaining to this business combination as of December 31, 2020, was as follows: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2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6"/>
                <w:szCs w:val="16"/>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October 27, 2020</w:t>
            </w:r>
          </w:p>
        </w:tc>
      </w:tr>
      <w:tr>
        <w:trPr>
          <w:trHeight w:val="196"/>
        </w:trPr>
        <w:tc>
          <w:tcPr>
            <w:tcW w:w="6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2,774</w:t>
            </w:r>
          </w:p>
        </w:tc>
        <w:tc>
          <w:tcPr>
            <w:tcW w:w="120" w:type="dxa"/>
            <w:vAlign w:val="bottom"/>
            <w:shd w:val="clear" w:color="auto" w:fill="CFF0FC"/>
          </w:tcPr>
          <w:p>
            <w:pPr>
              <w:spacing w:after="0"/>
              <w:rPr>
                <w:sz w:val="17"/>
                <w:szCs w:val="17"/>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788</w:t>
            </w:r>
          </w:p>
        </w:tc>
        <w:tc>
          <w:tcPr>
            <w:tcW w:w="120" w:type="dxa"/>
            <w:vAlign w:val="bottom"/>
          </w:tcPr>
          <w:p>
            <w:pPr>
              <w:spacing w:after="0"/>
              <w:rPr>
                <w:sz w:val="17"/>
                <w:szCs w:val="17"/>
                <w:color w:val="auto"/>
              </w:rPr>
            </w:pPr>
          </w:p>
        </w:tc>
      </w:tr>
      <w:tr>
        <w:trPr>
          <w:trHeight w:val="203"/>
        </w:trPr>
        <w:tc>
          <w:tcPr>
            <w:tcW w:w="6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w:t>
            </w:r>
          </w:p>
        </w:tc>
        <w:tc>
          <w:tcPr>
            <w:tcW w:w="120" w:type="dxa"/>
            <w:vAlign w:val="bottom"/>
            <w:shd w:val="clear" w:color="auto" w:fill="CFF0FC"/>
          </w:tcPr>
          <w:p>
            <w:pPr>
              <w:spacing w:after="0"/>
              <w:rPr>
                <w:sz w:val="17"/>
                <w:szCs w:val="17"/>
                <w:color w:val="auto"/>
              </w:rPr>
            </w:pPr>
          </w:p>
        </w:tc>
      </w:tr>
      <w:tr>
        <w:trPr>
          <w:trHeight w:val="202"/>
        </w:trPr>
        <w:tc>
          <w:tcPr>
            <w:tcW w:w="622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r>
      <w:tr>
        <w:trPr>
          <w:trHeight w:val="203"/>
        </w:trPr>
        <w:tc>
          <w:tcPr>
            <w:tcW w:w="6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18,900</w:t>
            </w:r>
          </w:p>
        </w:tc>
        <w:tc>
          <w:tcPr>
            <w:tcW w:w="120" w:type="dxa"/>
            <w:vAlign w:val="bottom"/>
            <w:shd w:val="clear" w:color="auto" w:fill="CFF0FC"/>
          </w:tcPr>
          <w:p>
            <w:pPr>
              <w:spacing w:after="0"/>
              <w:rPr>
                <w:sz w:val="17"/>
                <w:szCs w:val="17"/>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(2,137 )</w:t>
            </w:r>
          </w:p>
        </w:tc>
      </w:tr>
      <w:tr>
        <w:trPr>
          <w:trHeight w:val="203"/>
        </w:trPr>
        <w:tc>
          <w:tcPr>
            <w:tcW w:w="6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(2,884 )</w:t>
            </w:r>
          </w:p>
        </w:tc>
      </w:tr>
      <w:tr>
        <w:trPr>
          <w:trHeight w:val="196"/>
        </w:trPr>
        <w:tc>
          <w:tcPr>
            <w:tcW w:w="62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assets acquired and liabilities assumed</w:t>
            </w: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18,075</w:t>
            </w:r>
          </w:p>
        </w:tc>
        <w:tc>
          <w:tcPr>
            <w:tcW w:w="120" w:type="dxa"/>
            <w:vAlign w:val="bottom"/>
            <w:tcBorders>
              <w:top w:val="single" w:sz="8" w:color="CFF0FC"/>
            </w:tcBorders>
          </w:tcPr>
          <w:p>
            <w:pPr>
              <w:spacing w:after="0"/>
              <w:rPr>
                <w:sz w:val="17"/>
                <w:szCs w:val="17"/>
                <w:color w:val="auto"/>
              </w:rPr>
            </w:pPr>
          </w:p>
        </w:tc>
      </w:tr>
      <w:tr>
        <w:trPr>
          <w:trHeight w:val="203"/>
        </w:trPr>
        <w:tc>
          <w:tcPr>
            <w:tcW w:w="6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28,271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220" w:type="dxa"/>
            <w:vAlign w:val="bottom"/>
          </w:tcPr>
          <w:p>
            <w:pPr>
              <w:ind w:left="180"/>
              <w:spacing w:after="0" w:line="196" w:lineRule="exact"/>
              <w:rPr>
                <w:sz w:val="20"/>
                <w:szCs w:val="20"/>
                <w:color w:val="auto"/>
              </w:rPr>
            </w:pPr>
            <w:r>
              <w:rPr>
                <w:rFonts w:ascii="Arial" w:cs="Arial" w:eastAsia="Arial" w:hAnsi="Arial"/>
                <w:sz w:val="18"/>
                <w:szCs w:val="18"/>
                <w:color w:val="auto"/>
              </w:rPr>
              <w:t>Purchase price</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46,346</w:t>
            </w:r>
          </w:p>
        </w:tc>
        <w:tc>
          <w:tcPr>
            <w:tcW w:w="120" w:type="dxa"/>
            <w:vAlign w:val="bottom"/>
          </w:tcPr>
          <w:p>
            <w:pPr>
              <w:spacing w:after="0"/>
              <w:rPr>
                <w:sz w:val="17"/>
                <w:szCs w:val="17"/>
                <w:color w:val="auto"/>
              </w:rPr>
            </w:pPr>
          </w:p>
        </w:tc>
      </w:tr>
      <w:tr>
        <w:trPr>
          <w:trHeight w:val="20"/>
        </w:trPr>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-424815</wp:posOffset>
            </wp:positionV>
            <wp:extent cx="685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-159385</wp:posOffset>
            </wp:positionV>
            <wp:extent cx="685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more detail on determination of fair value.</w:t>
      </w:r>
    </w:p>
    <w:p>
      <w:pPr>
        <w:spacing w:after="0" w:line="18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9"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82"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8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71"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In connection with the acquisition, the Company recognized acquisition related costs of $0.4 million which were recorded within transaction expenses in the accompanying consolidated statements of operations.</w:t>
      </w:r>
    </w:p>
    <w:p>
      <w:pPr>
        <w:spacing w:after="0" w:line="171"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The net loss of Monocl is included in the Company’s consolidated results since the date of acquisition. The revenue and net loss of Monocl reflected in the consolidated statements operations for the year ended December 31, 2020 were $1.2 million and $1.6 million, respectively.</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5" w:name="page86"/>
    <w:bookmarkEnd w:id="85"/>
    <w:p>
      <w:pPr>
        <w:ind w:left="520"/>
        <w:spacing w:after="0"/>
        <w:rPr>
          <w:sz w:val="20"/>
          <w:szCs w:val="20"/>
          <w:color w:val="auto"/>
        </w:rPr>
      </w:pPr>
      <w:r>
        <w:rPr>
          <w:rFonts w:ascii="Arial" w:cs="Arial" w:eastAsia="Arial" w:hAnsi="Arial"/>
          <w:sz w:val="18"/>
          <w:szCs w:val="18"/>
          <w:color w:val="auto"/>
        </w:rPr>
        <w:t>Unaudited Pro Forma Supplementary Data</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48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December 31, 2020</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31, 2019</w:t>
            </w: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122,333</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87,157</w:t>
            </w:r>
          </w:p>
        </w:tc>
        <w:tc>
          <w:tcPr>
            <w:tcW w:w="120" w:type="dxa"/>
            <w:vAlign w:val="bottom"/>
            <w:shd w:val="clear" w:color="auto" w:fill="CFF0FC"/>
          </w:tcPr>
          <w:p>
            <w:pPr>
              <w:spacing w:after="0"/>
              <w:rPr>
                <w:sz w:val="19"/>
                <w:szCs w:val="19"/>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(58,350 )</w:t>
            </w:r>
          </w:p>
        </w:tc>
        <w:tc>
          <w:tcPr>
            <w:tcW w:w="2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(97,134 )</w:t>
            </w:r>
          </w:p>
        </w:tc>
      </w:tr>
    </w:tbl>
    <w:p>
      <w:pPr>
        <w:spacing w:after="0" w:line="175"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unaudited pro forma supplementary data presented in the table above shows the effect of the Monocl acquisition, as if the transactions had occurred at the beginning of fiscal year 2020. The pro forma net loss includes adjustments to amortization expense for the valuation of other intangible assets of $0.8 million and interest expense related to incremental borrowings used to finance the transaction of $1.0 million for the year ended December 31, 2020. Acquisition expenses of $0.4 million were excluded from the pro forma net loss for the year ended December 31,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Advent Acquisition (the "Advent Acquisition")</w:t>
      </w:r>
    </w:p>
    <w:p>
      <w:pPr>
        <w:spacing w:after="0" w:line="108"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On July 16, 2019, Advent entered into an agreement with Definitive Holdco (the “Agreement”) to, among other things, acquire 100% of its issued and outstanding units, for a total consideration of $1.7 billion, consisting of $1.1 billion of cash and $570.3 million of equity units issued to the sellers and former owners.</w:t>
      </w:r>
    </w:p>
    <w:p>
      <w:pPr>
        <w:spacing w:after="0" w:line="7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For purposes of the Agreement, affiliated legal entities of Advent include Advent IX Funds, AIDH Holdings, Inc. (“AIDH Holdings”), Definitive OpCo, AIDH Buyer, and AIDH Finance Sub, LLC (“AIDH Finance Sub”).</w:t>
      </w:r>
    </w:p>
    <w:p>
      <w:pPr>
        <w:spacing w:after="0" w:line="63"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Advent IX Funds owns 100% of the outstanding units of AIDH Holdings. AIDH Holdings owns 55% of the outstanding units of Definitive OpCo, with the remaining interests (45%) issued to the prior owners of Definitive Holdco as rollover units. Definitive OpCo owns 100% of outstanding units of AIDH Buyer. Upon acquisition, AIDH Buyer owns 100% of Definitive Holdco.</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transactions outlined in the Agreement were executed as follows:</w:t>
      </w:r>
    </w:p>
    <w:p>
      <w:pPr>
        <w:spacing w:after="0" w:line="104" w:lineRule="exact"/>
        <w:rPr>
          <w:sz w:val="20"/>
          <w:szCs w:val="20"/>
          <w:color w:val="auto"/>
        </w:rPr>
      </w:pPr>
    </w:p>
    <w:p>
      <w:pPr>
        <w:ind w:right="40" w:firstLine="517"/>
        <w:spacing w:after="0" w:line="243" w:lineRule="auto"/>
        <w:tabs>
          <w:tab w:leader="none" w:pos="6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Debt Financing. Immediately prior to closing of the Agreement, AIDH Finance Sub, an affiliated legal entity of Advent, entered into debt financing agreements for a $450.0 million term loan payable, a $100.0 million delayed draw term loan payable, and a $25.0 million revolving debt facility.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for more details. These financing agreements were collateralized by 100% of AIDH Finance Sub capital prior to the Finance Merger, defined below.</w:t>
      </w:r>
    </w:p>
    <w:p>
      <w:pPr>
        <w:spacing w:after="0" w:line="79" w:lineRule="exact"/>
        <w:rPr>
          <w:rFonts w:ascii="Arial" w:cs="Arial" w:eastAsia="Arial" w:hAnsi="Arial"/>
          <w:sz w:val="18"/>
          <w:szCs w:val="18"/>
          <w:color w:val="auto"/>
        </w:rPr>
      </w:pPr>
    </w:p>
    <w:p>
      <w:pPr>
        <w:ind w:right="220" w:firstLine="517"/>
        <w:spacing w:after="0" w:line="261" w:lineRule="auto"/>
        <w:tabs>
          <w:tab w:leader="none" w:pos="6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62" w:lineRule="exact"/>
        <w:rPr>
          <w:rFonts w:ascii="Arial" w:cs="Arial" w:eastAsia="Arial" w:hAnsi="Arial"/>
          <w:sz w:val="18"/>
          <w:szCs w:val="18"/>
          <w:color w:val="auto"/>
        </w:rPr>
      </w:pPr>
    </w:p>
    <w:p>
      <w:pPr>
        <w:ind w:right="140" w:firstLine="517"/>
        <w:spacing w:after="0" w:line="248" w:lineRule="auto"/>
        <w:tabs>
          <w:tab w:leader="none" w:pos="6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Distribution and Purchase of Units. Immediately after the Finance Merger, net proceeds from the debt financing (approximately $432.4 million) were paid to the prior owners of Definitive Holdco. Additionally, AIDH Buyer distributed $1.3 billion (cash of $697.0 million and rollover equity of $570.3 million in Definitive OpCo) as purchase consideration for all outstanding units of Definitive Holdco.</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consideration transferred for the transaction is summarized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61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consideration</w:t>
            </w: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1,129,346</w:t>
            </w:r>
          </w:p>
        </w:tc>
        <w:tc>
          <w:tcPr>
            <w:tcW w:w="8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Common units issued</w:t>
            </w: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570,266</w:t>
            </w:r>
          </w:p>
        </w:tc>
        <w:tc>
          <w:tcPr>
            <w:tcW w:w="80" w:type="dxa"/>
            <w:vAlign w:val="bottom"/>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Purchase price</w:t>
            </w:r>
          </w:p>
        </w:tc>
        <w:tc>
          <w:tcPr>
            <w:tcW w:w="50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1,699,612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Of the total cash consideration, $1.1 billion was paid upon closing and $6.9 million in July 2020. Cash consideration for the acquisition was partly provided by net proceeds from the 2019 Term Loan, as outlined above.</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6" w:name="page87"/>
    <w:bookmarkEnd w:id="86"/>
    <w:p>
      <w:pPr>
        <w:ind w:right="400" w:firstLine="509"/>
        <w:spacing w:after="0" w:line="261" w:lineRule="auto"/>
        <w:rPr>
          <w:sz w:val="20"/>
          <w:szCs w:val="20"/>
          <w:color w:val="auto"/>
        </w:rPr>
      </w:pPr>
      <w:r>
        <w:rPr>
          <w:rFonts w:ascii="Arial" w:cs="Arial" w:eastAsia="Arial" w:hAnsi="Arial"/>
          <w:sz w:val="18"/>
          <w:szCs w:val="18"/>
          <w:color w:val="auto"/>
        </w:rPr>
        <w:t>The purchase accounting for the Advent Acquisition was finalized as of July 16, 2020. The final allocation of the acquisition date fair values of assets and liabilities pertaining to this business combination as of July 16, 2020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7"/>
              </w:rPr>
              <w:t>Predecessor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85"/>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3"/>
              </w:rPr>
              <w:t>Company</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4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16"/>
              <w:spacing w:after="0" w:line="133" w:lineRule="exact"/>
              <w:rPr>
                <w:sz w:val="20"/>
                <w:szCs w:val="20"/>
                <w:color w:val="auto"/>
              </w:rPr>
            </w:pPr>
            <w:r>
              <w:rPr>
                <w:rFonts w:ascii="Arial" w:cs="Arial" w:eastAsia="Arial" w:hAnsi="Arial"/>
                <w:sz w:val="14"/>
                <w:szCs w:val="14"/>
                <w:b w:val="1"/>
                <w:bCs w:val="1"/>
                <w:color w:val="auto"/>
              </w:rPr>
              <w:t>Carrying</w:t>
            </w:r>
          </w:p>
        </w:tc>
        <w:tc>
          <w:tcPr>
            <w:tcW w:w="2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4"/>
              <w:spacing w:after="0" w:line="133" w:lineRule="exact"/>
              <w:rPr>
                <w:sz w:val="20"/>
                <w:szCs w:val="20"/>
                <w:color w:val="auto"/>
              </w:rPr>
            </w:pPr>
            <w:r>
              <w:rPr>
                <w:rFonts w:ascii="Arial" w:cs="Arial" w:eastAsia="Arial" w:hAnsi="Arial"/>
                <w:sz w:val="14"/>
                <w:szCs w:val="14"/>
                <w:b w:val="1"/>
                <w:bCs w:val="1"/>
                <w:color w:val="auto"/>
                <w:w w:val="97"/>
              </w:rPr>
              <w:t>Final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Values as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Allocations</w:t>
            </w:r>
          </w:p>
        </w:tc>
        <w:tc>
          <w:tcPr>
            <w:tcW w:w="0" w:type="dxa"/>
            <w:vAlign w:val="bottom"/>
          </w:tcPr>
          <w:p>
            <w:pPr>
              <w:spacing w:after="0"/>
              <w:rPr>
                <w:sz w:val="1"/>
                <w:szCs w:val="1"/>
                <w:color w:val="auto"/>
              </w:rPr>
            </w:pPr>
          </w:p>
        </w:tc>
      </w:tr>
      <w:tr>
        <w:trPr>
          <w:trHeight w:val="185"/>
        </w:trPr>
        <w:tc>
          <w:tcPr>
            <w:tcW w:w="6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July 15, 2019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Adjustments</w:t>
            </w: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July 16, 2019</w:t>
            </w:r>
          </w:p>
        </w:tc>
        <w:tc>
          <w:tcPr>
            <w:tcW w:w="0" w:type="dxa"/>
            <w:vAlign w:val="bottom"/>
          </w:tcPr>
          <w:p>
            <w:pPr>
              <w:spacing w:after="0"/>
              <w:rPr>
                <w:sz w:val="1"/>
                <w:szCs w:val="1"/>
                <w:color w:val="auto"/>
              </w:rPr>
            </w:pP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17,058</w:t>
            </w:r>
          </w:p>
        </w:tc>
        <w:tc>
          <w:tcPr>
            <w:tcW w:w="26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12,747</w:t>
            </w: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12,747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contract costs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5,735</w:t>
            </w:r>
          </w:p>
        </w:tc>
        <w:tc>
          <w:tcPr>
            <w:tcW w:w="26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(5,735 )</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1,539</w:t>
            </w: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26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2,201</w:t>
            </w: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19,108</w:t>
            </w:r>
          </w:p>
        </w:tc>
        <w:tc>
          <w:tcPr>
            <w:tcW w:w="26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456,292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475,400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7"/>
                <w:szCs w:val="17"/>
                <w:color w:val="auto"/>
              </w:rPr>
            </w:pPr>
          </w:p>
        </w:tc>
        <w:tc>
          <w:tcPr>
            <w:tcW w:w="1440" w:type="dxa"/>
            <w:vAlign w:val="bottom"/>
            <w:tcBorders>
              <w:right w:val="single" w:sz="8" w:color="auto"/>
            </w:tcBorders>
            <w:gridSpan w:val="2"/>
          </w:tcPr>
          <w:p>
            <w:pPr>
              <w:jc w:val="right"/>
              <w:ind w:right="200"/>
              <w:spacing w:after="0" w:line="202" w:lineRule="exact"/>
              <w:rPr>
                <w:sz w:val="20"/>
                <w:szCs w:val="20"/>
                <w:color w:val="auto"/>
              </w:rPr>
            </w:pPr>
            <w:r>
              <w:rPr>
                <w:rFonts w:ascii="Arial" w:cs="Arial" w:eastAsia="Arial" w:hAnsi="Arial"/>
                <w:sz w:val="18"/>
                <w:szCs w:val="18"/>
                <w:color w:val="auto"/>
              </w:rPr>
              <w:t>(5,477 )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(4,793 )</w:t>
            </w: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7"/>
                <w:szCs w:val="17"/>
                <w:color w:val="auto"/>
              </w:rPr>
            </w:pPr>
          </w:p>
        </w:tc>
        <w:tc>
          <w:tcPr>
            <w:tcW w:w="1440" w:type="dxa"/>
            <w:vAlign w:val="bottom"/>
            <w:tcBorders>
              <w:right w:val="single" w:sz="8" w:color="auto"/>
            </w:tcBorders>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(38,278 )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6,278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(32,000 )</w:t>
            </w:r>
          </w:p>
        </w:tc>
        <w:tc>
          <w:tcPr>
            <w:tcW w:w="0" w:type="dxa"/>
            <w:vAlign w:val="bottom"/>
          </w:tcPr>
          <w:p>
            <w:pPr>
              <w:spacing w:after="0"/>
              <w:rPr>
                <w:sz w:val="1"/>
                <w:szCs w:val="1"/>
                <w:color w:val="auto"/>
              </w:rPr>
            </w:pPr>
          </w:p>
        </w:tc>
      </w:tr>
      <w:tr>
        <w:trPr>
          <w:trHeight w:val="196"/>
        </w:trPr>
        <w:tc>
          <w:tcPr>
            <w:tcW w:w="64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assets acquired and liabilities assumed</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14,682</w:t>
            </w:r>
          </w:p>
        </w:tc>
        <w:tc>
          <w:tcPr>
            <w:tcW w:w="260" w:type="dxa"/>
            <w:vAlign w:val="bottom"/>
            <w:tcBorders>
              <w:top w:val="single" w:sz="8" w:color="CFF0FC"/>
              <w:right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457,669</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472,351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82,767</w:t>
            </w:r>
          </w:p>
        </w:tc>
        <w:tc>
          <w:tcPr>
            <w:tcW w:w="260" w:type="dxa"/>
            <w:vAlign w:val="bottom"/>
            <w:tcBorders>
              <w:bottom w:val="single" w:sz="8" w:color="CFF0FC"/>
              <w:right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1,144,494</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1,227,261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Pr>
          <w:p>
            <w:pPr>
              <w:ind w:left="20"/>
              <w:spacing w:after="0" w:line="196" w:lineRule="exact"/>
              <w:rPr>
                <w:sz w:val="20"/>
                <w:szCs w:val="20"/>
                <w:color w:val="auto"/>
              </w:rPr>
            </w:pPr>
            <w:r>
              <w:rPr>
                <w:rFonts w:ascii="Arial" w:cs="Arial" w:eastAsia="Arial" w:hAnsi="Arial"/>
                <w:sz w:val="18"/>
                <w:szCs w:val="18"/>
                <w:color w:val="auto"/>
              </w:rPr>
              <w:t>Total purchase price</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1,699,612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-424815</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-424815</wp:posOffset>
            </wp:positionV>
            <wp:extent cx="5969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-159385</wp:posOffset>
            </wp:positionV>
            <wp:extent cx="685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5969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8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Advent Acquisition (reflected in the column “Fair Value Adjustments”):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Debt</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Financing</w:t>
            </w:r>
          </w:p>
        </w:tc>
        <w:tc>
          <w:tcPr>
            <w:tcW w:w="160" w:type="dxa"/>
            <w:vAlign w:val="bottom"/>
          </w:tcPr>
          <w:p>
            <w:pPr>
              <w:spacing w:after="0"/>
              <w:rPr>
                <w:sz w:val="12"/>
                <w:szCs w:val="12"/>
                <w:color w:val="auto"/>
              </w:rPr>
            </w:pPr>
          </w:p>
        </w:tc>
        <w:tc>
          <w:tcPr>
            <w:tcW w:w="122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0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3"/>
              </w:rPr>
              <w:t>July 15,</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 Finance</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6"/>
                <w:szCs w:val="16"/>
                <w:color w:val="auto"/>
              </w:rPr>
            </w:pPr>
          </w:p>
        </w:tc>
        <w:tc>
          <w:tcPr>
            <w:tcW w:w="1040" w:type="dxa"/>
            <w:vAlign w:val="bottom"/>
          </w:tcPr>
          <w:p>
            <w:pPr>
              <w:jc w:val="center"/>
              <w:ind w:right="93"/>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Merger</w:t>
            </w:r>
          </w:p>
        </w:tc>
        <w:tc>
          <w:tcPr>
            <w:tcW w:w="160" w:type="dxa"/>
            <w:vAlign w:val="bottom"/>
          </w:tcPr>
          <w:p>
            <w:pPr>
              <w:spacing w:after="0"/>
              <w:rPr>
                <w:sz w:val="16"/>
                <w:szCs w:val="16"/>
                <w:color w:val="auto"/>
              </w:rPr>
            </w:pPr>
          </w:p>
        </w:tc>
        <w:tc>
          <w:tcPr>
            <w:tcW w:w="12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6"/>
                <w:szCs w:val="16"/>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July 16, 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17,058</w:t>
            </w:r>
          </w:p>
        </w:tc>
        <w:tc>
          <w:tcPr>
            <w:tcW w:w="2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17,058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12,747</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12,747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1,539</w:t>
            </w:r>
          </w:p>
        </w:tc>
        <w:tc>
          <w:tcPr>
            <w:tcW w:w="2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5,735</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(5,735 )</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2,201</w:t>
            </w:r>
          </w:p>
        </w:tc>
        <w:tc>
          <w:tcPr>
            <w:tcW w:w="2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19,108</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456,292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475,400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82,767</w:t>
            </w:r>
          </w:p>
        </w:tc>
        <w:tc>
          <w:tcPr>
            <w:tcW w:w="2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1,144,494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1,227,261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14,589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14,638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141,204</w:t>
            </w:r>
          </w:p>
        </w:tc>
        <w:tc>
          <w:tcPr>
            <w:tcW w:w="220" w:type="dxa"/>
            <w:vAlign w:val="bottom"/>
            <w:tcBorders>
              <w:bottom w:val="single" w:sz="8" w:color="CFF0FC"/>
              <w:right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14,605</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1,595,201</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1,751,010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line="196" w:lineRule="exact"/>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5,477</w:t>
            </w:r>
          </w:p>
        </w:tc>
        <w:tc>
          <w:tcPr>
            <w:tcW w:w="2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10,407</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(684 )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15,200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38,278</w:t>
            </w:r>
          </w:p>
        </w:tc>
        <w:tc>
          <w:tcPr>
            <w:tcW w:w="2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(6,278 )</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436,553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436,553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43,755</w:t>
            </w:r>
          </w:p>
        </w:tc>
        <w:tc>
          <w:tcPr>
            <w:tcW w:w="22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446,960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(6,962</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483,753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Members’ Capital</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97,449</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(432,355 )</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1,602,163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1,267,257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141,204</w:t>
            </w:r>
          </w:p>
        </w:tc>
        <w:tc>
          <w:tcPr>
            <w:tcW w:w="220" w:type="dxa"/>
            <w:vAlign w:val="bottom"/>
            <w:tcBorders>
              <w:bottom w:val="single" w:sz="8" w:color="CFF0FC"/>
              <w:right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14,605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1,595,201</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1,751,010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-819150</wp:posOffset>
            </wp:positionV>
            <wp:extent cx="5143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-819150</wp:posOffset>
            </wp:positionV>
            <wp:extent cx="5969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-819150</wp:posOffset>
            </wp:positionV>
            <wp:extent cx="5143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-819150</wp:posOffset>
            </wp:positionV>
            <wp:extent cx="431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596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514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The Company recorded adjustments to goodwill of $1.1 billion and intangible assets of $456.3 million as of the acquisition date of July 16, 2019, including adjustments to customer relationships, technology, tradenames and data of $340.8 million, $48.5 million, $32.7 million and $34.3 million, respectively.</w:t>
      </w:r>
    </w:p>
    <w:p>
      <w:pPr>
        <w:spacing w:after="0" w:line="18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82" w:lineRule="exact"/>
        <w:rPr>
          <w:sz w:val="20"/>
          <w:szCs w:val="20"/>
          <w:color w:val="auto"/>
        </w:rPr>
      </w:pPr>
    </w:p>
    <w:p>
      <w:pPr>
        <w:ind w:right="460" w:firstLine="509"/>
        <w:spacing w:after="0" w:line="248" w:lineRule="auto"/>
        <w:rPr>
          <w:sz w:val="20"/>
          <w:szCs w:val="20"/>
          <w:color w:val="auto"/>
        </w:rPr>
      </w:pPr>
      <w:r>
        <w:rPr>
          <w:rFonts w:ascii="Arial" w:cs="Arial" w:eastAsia="Arial" w:hAnsi="Arial"/>
          <w:sz w:val="18"/>
          <w:szCs w:val="18"/>
          <w:color w:val="auto"/>
        </w:rPr>
        <w:t>The Company performed an ASC 805 fair valuation of the acquired identifiable intangible assets as of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7" w:name="page88"/>
    <w:bookmarkEnd w:id="87"/>
    <w:p>
      <w:pPr>
        <w:ind w:firstLine="509"/>
        <w:spacing w:after="0" w:line="241"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8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89"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8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88"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the purchase price to the capital contribution made by Sponsor as July 16,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purchase price</w:t>
            </w:r>
          </w:p>
        </w:tc>
        <w:tc>
          <w:tcPr>
            <w:tcW w:w="660" w:type="dxa"/>
            <w:vAlign w:val="bottom"/>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1,699,612</w:t>
            </w: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Transaction costs paid from proceeds</w:t>
            </w:r>
          </w:p>
        </w:tc>
        <w:tc>
          <w:tcPr>
            <w:tcW w:w="6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4,004</w:t>
            </w:r>
          </w:p>
        </w:tc>
        <w:tc>
          <w:tcPr>
            <w:tcW w:w="6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Less Debt Financing</w:t>
            </w:r>
          </w:p>
        </w:tc>
        <w:tc>
          <w:tcPr>
            <w:tcW w:w="6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436,359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380"/>
              <w:spacing w:after="0" w:line="196" w:lineRule="exact"/>
              <w:rPr>
                <w:sz w:val="20"/>
                <w:szCs w:val="20"/>
                <w:color w:val="auto"/>
              </w:rPr>
            </w:pPr>
            <w:r>
              <w:rPr>
                <w:rFonts w:ascii="Arial" w:cs="Arial" w:eastAsia="Arial" w:hAnsi="Arial"/>
                <w:sz w:val="18"/>
                <w:szCs w:val="18"/>
                <w:color w:val="auto"/>
              </w:rPr>
              <w:t>Capital Contribution</w:t>
            </w:r>
          </w:p>
        </w:tc>
        <w:tc>
          <w:tcPr>
            <w:tcW w:w="6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1,267,257</w:t>
            </w:r>
          </w:p>
        </w:tc>
        <w:tc>
          <w:tcPr>
            <w:tcW w:w="6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results of Definitive Holdco are included in the Company’s consolidated results since the date of acquisition. The revenue of Definitive Holdco reflected in the consolidated statements operations for the year ended December 31, 2020 (Successor), period from July 16, 2019 to December 31, 2019 (Successor) and the period from January 1, 2019 to July 15, 2019 (Predecessor) was $116.9 million, $40.0 million and $45.5 million, respectively. The net (loss) income of Definitive Holdco, reflected in the consolidated statements of operations for the year ended December 31, 2020 (Successor), period from July 16, 2019 to December 31, 2019 (Successor) and the period from January 1, 2019 to July 15, 2019 (Predecessor) was ($49.9 million), ($49.2 million) and $12.9 million, respectively.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Supplementary Data</w:t>
      </w:r>
    </w:p>
    <w:p>
      <w:pPr>
        <w:spacing w:after="0" w:line="191"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71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196"/>
        </w:trPr>
        <w:tc>
          <w:tcPr>
            <w:tcW w:w="7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84,122</w:t>
            </w:r>
          </w:p>
        </w:tc>
        <w:tc>
          <w:tcPr>
            <w:tcW w:w="100" w:type="dxa"/>
            <w:vAlign w:val="bottom"/>
            <w:shd w:val="clear" w:color="auto" w:fill="CFF0FC"/>
          </w:tcPr>
          <w:p>
            <w:pPr>
              <w:spacing w:after="0"/>
              <w:rPr>
                <w:sz w:val="17"/>
                <w:szCs w:val="17"/>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(92,228 )</w:t>
            </w:r>
          </w:p>
        </w:tc>
      </w:tr>
    </w:tbl>
    <w:p>
      <w:pPr>
        <w:spacing w:after="0" w:line="16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unaudited pro forma supplementary data presented in the table above shows the effect of the Definitive Holdco acquisition, as if the transaction had occurred at the beginning of fiscal year 2019. The pro forma net loss for the year 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8" w:name="page89"/>
    <w:bookmarkEnd w:id="88"/>
    <w:p>
      <w:pPr>
        <w:ind w:left="520"/>
        <w:spacing w:after="0"/>
        <w:rPr>
          <w:sz w:val="20"/>
          <w:szCs w:val="20"/>
          <w:color w:val="auto"/>
        </w:rPr>
      </w:pPr>
      <w:r>
        <w:rPr>
          <w:rFonts w:ascii="Arial" w:cs="Arial" w:eastAsia="Arial" w:hAnsi="Arial"/>
          <w:sz w:val="18"/>
          <w:szCs w:val="18"/>
          <w:b w:val="1"/>
          <w:bCs w:val="1"/>
          <w:color w:val="auto"/>
        </w:rPr>
        <w:t>HIMSS</w:t>
      </w:r>
    </w:p>
    <w:p>
      <w:pPr>
        <w:spacing w:after="0" w:line="20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On January 15, 2019, the Predecessor Company acquired substantially all of the assets and assumed substantially all of the liabilities of HIMSS for a total purchase price of $29.8 million. The Company recognized 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HSE</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December 2, 2019, the Company acquired 100% of the issued and outstanding common and preferred stock of HSE for a total purchase price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$6.8 million, consisting of $2.8 million of cash and $4.0 million of equity issued. The Company recognized goodwill of $5.9 million, intangible assets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$1.2 million, deferred tax assets of $0.2 million, accounts receivable of $0.1 million, accounts payable of $0.3 million and deferred revenue of $0.3 million,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acquisition. The acquisition was made to increase the Company’s market footprint. The goodwill arising from the acquisition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consists largely of the estimated value of the assembled workforce and anticipated growth opportunities. The fair value of acquired intangible assets was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determined using certain variations of the income approach and market approach. The fair values of current assets and liabilities were based upon their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historical costs at the date of acquisition due to their short-term nature. The estimated fair value of deferred revenue was based upon the applicable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guidance and was calculated as the estimated cost for the Company to fulfill the contractual obligations plus a normal profit margin. The Company has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included the financial results of HSE in the consolidated financial statements from the date of acquisition, which were not material. The transaction costs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the acquisition were not material.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On December 22, 2021, the Company made a $40.0 million investment in Analytical Wizards Inc., a privately-held company. Analytical Wizards automates complex analytic models using tools that expedite efficient big data mining through artificial intelligence ("A.I.") and machine learning ("M.L.") power to uncover deep insights. In the transaction the Company purchased Series B Convertible Preferred Stock, representing 35% ownership of Analytical Wizards, and an option to acquire the remaining 65% ownership (the "Purchase Option") for a strike price of $65.0 million. The Company determined that it does not have a controlling financial interest in Analytical Wizards at transaction close as the Company does not have the right to control the governing body of Analytical Wizards or have control through other contractual rights. As the Series B Preferred Stock and the Purchase Option do not have readily determinable fair values, the Company elected to apply the measurement alternative and will adjust the carrying value of the investments in Analytical Wizards for impairments and observable prices in identical or similar equity securities of Analytical Wizards. The Company paid $40.0 million for the Series B Preferred Stock and Purchase Option, which are allocated on a relative fair value basis such that the Series B Preferred Stock and Purchase Option have carrying values of $32.7 million and $7.3 million, respectively. The Series B Preferred Stock is recorded in Investments in equity securities and the Purchase Option is recorded in Other assets in the accompanying consolidated balance sheet as of December 31, 2021.</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observable price changes or impairment indicators associated with these investments during the year ended December 31, 2021.</w:t>
      </w:r>
    </w:p>
    <w:p>
      <w:pPr>
        <w:spacing w:after="0" w:line="339"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9" w:name="page90"/>
    <w:bookmarkEnd w:id="89"/>
    <w:p>
      <w:pPr>
        <w:ind w:right="300" w:firstLine="509"/>
        <w:spacing w:after="0" w:line="324" w:lineRule="auto"/>
        <w:rPr>
          <w:sz w:val="20"/>
          <w:szCs w:val="20"/>
          <w:color w:val="auto"/>
        </w:rPr>
      </w:pPr>
      <w:r>
        <w:rPr>
          <w:rFonts w:ascii="Arial" w:cs="Arial" w:eastAsia="Arial" w:hAnsi="Arial"/>
          <w:sz w:val="16"/>
          <w:szCs w:val="16"/>
          <w:color w:val="auto"/>
        </w:rPr>
        <w:t>The following table represents a disaggregation of revenue from arrangements with customers for the years ended December 31, 2021 and 2020 (Successor) and the periods from July 16, 2019 to December 31, 2019 (Successor) and January 1, 2019 to July 15, 2019 (Predecessor).</w:t>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Successor Company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Period from</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July 16, 2019 to</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January 1, 2019 to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2"/>
              </w:rPr>
              <w:t>July 15,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Platform subscriptions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164,564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117,080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39,872</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45,244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1,590</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1,237</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166,154</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118,317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40,045</w:t>
            </w:r>
          </w:p>
        </w:tc>
        <w:tc>
          <w:tcPr>
            <w:tcW w:w="22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45,458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-25400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6"/>
                <w:szCs w:val="16"/>
                <w:color w:val="auto"/>
              </w:rPr>
            </w:pPr>
          </w:p>
        </w:tc>
      </w:tr>
      <w:tr>
        <w:trPr>
          <w:trHeight w:val="169"/>
        </w:trPr>
        <w:tc>
          <w:tcPr>
            <w:tcW w:w="6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6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receivables, net</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43,336</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33,108</w:t>
            </w:r>
          </w:p>
        </w:tc>
        <w:tc>
          <w:tcPr>
            <w:tcW w:w="60" w:type="dxa"/>
            <w:vAlign w:val="bottom"/>
            <w:shd w:val="clear" w:color="auto" w:fill="CFF0FC"/>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Deferred contract costs</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6,880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2,947</w:t>
            </w:r>
          </w:p>
        </w:tc>
        <w:tc>
          <w:tcPr>
            <w:tcW w:w="60" w:type="dxa"/>
            <w:vAlign w:val="bottom"/>
          </w:tcPr>
          <w:p>
            <w:pPr>
              <w:spacing w:after="0"/>
              <w:rPr>
                <w:sz w:val="17"/>
                <w:szCs w:val="17"/>
                <w:color w:val="auto"/>
              </w:rPr>
            </w:pPr>
          </w:p>
        </w:tc>
      </w:tr>
      <w:tr>
        <w:trPr>
          <w:trHeight w:val="203"/>
        </w:trPr>
        <w:tc>
          <w:tcPr>
            <w:tcW w:w="6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deferred contract costs</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11,667</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5,952</w:t>
            </w:r>
          </w:p>
        </w:tc>
        <w:tc>
          <w:tcPr>
            <w:tcW w:w="60" w:type="dxa"/>
            <w:vAlign w:val="bottom"/>
            <w:shd w:val="clear" w:color="auto" w:fill="CFF0FC"/>
          </w:tcPr>
          <w:p>
            <w:pPr>
              <w:spacing w:after="0"/>
              <w:rPr>
                <w:sz w:val="17"/>
                <w:szCs w:val="17"/>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84,023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61,200</w:t>
            </w:r>
          </w:p>
        </w:tc>
        <w:tc>
          <w:tcPr>
            <w:tcW w:w="60" w:type="dxa"/>
            <w:vAlign w:val="bottom"/>
          </w:tcPr>
          <w:p>
            <w:pPr>
              <w:spacing w:after="0"/>
              <w:rPr>
                <w:sz w:val="20"/>
                <w:szCs w:val="20"/>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the activity impacting the deferred contract costs during the years ended December 31, 2021 and 2020 is presented below:</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6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6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8,899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2,885</w:t>
            </w:r>
          </w:p>
        </w:tc>
        <w:tc>
          <w:tcPr>
            <w:tcW w:w="100" w:type="dxa"/>
            <w:vAlign w:val="bottom"/>
            <w:shd w:val="clear" w:color="auto" w:fill="CFF0FC"/>
          </w:tcPr>
          <w:p>
            <w:pPr>
              <w:spacing w:after="0"/>
              <w:rPr>
                <w:sz w:val="17"/>
                <w:szCs w:val="17"/>
                <w:color w:val="auto"/>
              </w:rPr>
            </w:pPr>
          </w:p>
        </w:tc>
      </w:tr>
      <w:tr>
        <w:trPr>
          <w:trHeight w:val="202"/>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Costs amortized</w:t>
            </w:r>
          </w:p>
        </w:tc>
        <w:tc>
          <w:tcPr>
            <w:tcW w:w="340" w:type="dxa"/>
            <w:vAlign w:val="bottom"/>
          </w:tcPr>
          <w:p>
            <w:pPr>
              <w:spacing w:after="0"/>
              <w:rPr>
                <w:sz w:val="17"/>
                <w:szCs w:val="17"/>
                <w:color w:val="auto"/>
              </w:rPr>
            </w:pP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(4,792 )</w:t>
            </w:r>
          </w:p>
        </w:tc>
        <w:tc>
          <w:tcPr>
            <w:tcW w:w="32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(1,670 )</w:t>
            </w:r>
          </w:p>
        </w:tc>
      </w:tr>
      <w:tr>
        <w:trPr>
          <w:trHeight w:val="203"/>
        </w:trPr>
        <w:tc>
          <w:tcPr>
            <w:tcW w:w="63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Additional amounts deferred</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14,440</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18,547</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8,899</w:t>
            </w:r>
          </w:p>
        </w:tc>
        <w:tc>
          <w:tcPr>
            <w:tcW w:w="10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3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Classified as:</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320" w:type="dxa"/>
            <w:vAlign w:val="bottom"/>
          </w:tcPr>
          <w:p>
            <w:pPr>
              <w:ind w:left="180"/>
              <w:spacing w:after="0" w:line="202" w:lineRule="exact"/>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6,880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2,947</w:t>
            </w:r>
          </w:p>
        </w:tc>
        <w:tc>
          <w:tcPr>
            <w:tcW w:w="100" w:type="dxa"/>
            <w:vAlign w:val="bottom"/>
          </w:tcPr>
          <w:p>
            <w:pPr>
              <w:spacing w:after="0"/>
              <w:rPr>
                <w:sz w:val="17"/>
                <w:szCs w:val="17"/>
                <w:color w:val="auto"/>
              </w:rPr>
            </w:pPr>
          </w:p>
        </w:tc>
      </w:tr>
      <w:tr>
        <w:trPr>
          <w:trHeight w:val="203"/>
        </w:trPr>
        <w:tc>
          <w:tcPr>
            <w:tcW w:w="63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Non-current</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11,667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Total deferred contract costs (deferred commissions)</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18,547</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8,899</w:t>
            </w:r>
          </w:p>
        </w:tc>
        <w:tc>
          <w:tcPr>
            <w:tcW w:w="10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-708025</wp:posOffset>
            </wp:positionV>
            <wp:extent cx="685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-708025</wp:posOffset>
            </wp:positionV>
            <wp:extent cx="6032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-159385</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-159385</wp:posOffset>
            </wp:positionV>
            <wp:extent cx="6032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4" w:lineRule="exact"/>
        <w:rPr>
          <w:sz w:val="20"/>
          <w:szCs w:val="20"/>
          <w:color w:val="auto"/>
        </w:rPr>
      </w:pPr>
    </w:p>
    <w:p>
      <w:pPr>
        <w:ind w:left="520" w:right="2240"/>
        <w:spacing w:after="0" w:line="387" w:lineRule="auto"/>
        <w:rPr>
          <w:sz w:val="20"/>
          <w:szCs w:val="20"/>
          <w:color w:val="auto"/>
        </w:rPr>
      </w:pPr>
      <w:r>
        <w:rPr>
          <w:rFonts w:ascii="Arial" w:cs="Arial" w:eastAsia="Arial" w:hAnsi="Arial"/>
          <w:sz w:val="18"/>
          <w:szCs w:val="18"/>
          <w:color w:val="auto"/>
        </w:rPr>
        <w:t>A summary of the activity impacting deferred revenue balances during the years ended December 31, 2021 and 2020 is presented below:</w:t>
      </w:r>
    </w:p>
    <w:p>
      <w:pPr>
        <w:spacing w:after="0" w:line="53"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63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6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61,200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46,125</w:t>
            </w:r>
          </w:p>
        </w:tc>
        <w:tc>
          <w:tcPr>
            <w:tcW w:w="100" w:type="dxa"/>
            <w:vAlign w:val="bottom"/>
            <w:shd w:val="clear" w:color="auto" w:fill="CFF0FC"/>
          </w:tcPr>
          <w:p>
            <w:pPr>
              <w:spacing w:after="0"/>
              <w:rPr>
                <w:sz w:val="17"/>
                <w:szCs w:val="17"/>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Revenue recognized</w:t>
            </w:r>
          </w:p>
        </w:tc>
        <w:tc>
          <w:tcPr>
            <w:tcW w:w="34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(166,154 )</w:t>
            </w:r>
          </w:p>
        </w:tc>
        <w:tc>
          <w:tcPr>
            <w:tcW w:w="32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(118,317 )</w:t>
            </w:r>
          </w:p>
        </w:tc>
      </w:tr>
      <w:tr>
        <w:trPr>
          <w:trHeight w:val="203"/>
        </w:trPr>
        <w:tc>
          <w:tcPr>
            <w:tcW w:w="63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Additional amounts deferred</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188,977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133,392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40" w:type="dxa"/>
            <w:vAlign w:val="bottom"/>
          </w:tcPr>
          <w:p>
            <w:pPr>
              <w:ind w:left="180"/>
              <w:spacing w:after="0" w:line="196" w:lineRule="exact"/>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84,023</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61,200</w:t>
            </w:r>
          </w:p>
        </w:tc>
        <w:tc>
          <w:tcPr>
            <w:tcW w:w="10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-159385</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-159385</wp:posOffset>
            </wp:positionV>
            <wp:extent cx="6032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90" w:name="page91"/>
    <w:bookmarkEnd w:id="90"/>
    <w:p>
      <w:pPr>
        <w:spacing w:after="0" w:line="248" w:lineRule="auto"/>
        <w:rPr>
          <w:sz w:val="20"/>
          <w:szCs w:val="20"/>
          <w:color w:val="auto"/>
        </w:rPr>
      </w:pPr>
      <w:r>
        <w:rPr>
          <w:rFonts w:ascii="Arial" w:cs="Arial" w:eastAsia="Arial" w:hAnsi="Arial"/>
          <w:sz w:val="18"/>
          <w:szCs w:val="18"/>
          <w:color w:val="auto"/>
        </w:rPr>
        <w:t>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r>
      <w:tr>
        <w:trPr>
          <w:trHeight w:val="185"/>
        </w:trPr>
        <w:tc>
          <w:tcPr>
            <w:tcW w:w="6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6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155,134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114,284</w:t>
            </w:r>
          </w:p>
        </w:tc>
        <w:tc>
          <w:tcPr>
            <w:tcW w:w="60" w:type="dxa"/>
            <w:vAlign w:val="bottom"/>
            <w:shd w:val="clear" w:color="auto" w:fill="CFF0FC"/>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Noncurrent</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95,354</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58,250</w:t>
            </w:r>
          </w:p>
        </w:tc>
        <w:tc>
          <w:tcPr>
            <w:tcW w:w="60" w:type="dxa"/>
            <w:vAlign w:val="bottom"/>
          </w:tcPr>
          <w:p>
            <w:pPr>
              <w:spacing w:after="0"/>
              <w:rPr>
                <w:sz w:val="17"/>
                <w:szCs w:val="17"/>
                <w:color w:val="auto"/>
              </w:rPr>
            </w:pPr>
          </w:p>
        </w:tc>
      </w:tr>
      <w:tr>
        <w:trPr>
          <w:trHeight w:val="236"/>
        </w:trPr>
        <w:tc>
          <w:tcPr>
            <w:tcW w:w="6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250,488</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172,534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-24765</wp:posOffset>
            </wp:positionV>
            <wp:extent cx="431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-7620</wp:posOffset>
            </wp:positionV>
            <wp:extent cx="431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2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44,303</w:t>
            </w:r>
          </w:p>
        </w:tc>
        <w:tc>
          <w:tcPr>
            <w:tcW w:w="2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33,635</w:t>
            </w:r>
          </w:p>
        </w:tc>
        <w:tc>
          <w:tcPr>
            <w:tcW w:w="10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Unbilled receivable</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44,733</w:t>
            </w:r>
          </w:p>
        </w:tc>
        <w:tc>
          <w:tcPr>
            <w:tcW w:w="2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33,964</w:t>
            </w:r>
          </w:p>
        </w:tc>
        <w:tc>
          <w:tcPr>
            <w:tcW w:w="10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tcPr>
          <w:p>
            <w:pPr>
              <w:ind w:left="180"/>
              <w:spacing w:after="0" w:line="202" w:lineRule="exact"/>
              <w:rPr>
                <w:sz w:val="20"/>
                <w:szCs w:val="20"/>
                <w:color w:val="auto"/>
              </w:rPr>
            </w:pPr>
            <w:r>
              <w:rPr>
                <w:rFonts w:ascii="Arial" w:cs="Arial" w:eastAsia="Arial" w:hAnsi="Arial"/>
                <w:sz w:val="18"/>
                <w:szCs w:val="18"/>
                <w:color w:val="auto"/>
              </w:rPr>
              <w:t>Less: allowance for doubtful accounts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(1,397 )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(856 )</w:t>
            </w:r>
          </w:p>
        </w:tc>
      </w:tr>
      <w:tr>
        <w:trPr>
          <w:trHeight w:val="236"/>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Accounts receivable, net</w:t>
            </w:r>
          </w:p>
        </w:tc>
        <w:tc>
          <w:tcPr>
            <w:tcW w:w="220" w:type="dxa"/>
            <w:vAlign w:val="bottom"/>
            <w:tcBorders>
              <w:top w:val="single" w:sz="8" w:color="auto"/>
              <w:bottom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43,336</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33,108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5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w:t>
            </w:r>
          </w:p>
        </w:tc>
        <w:tc>
          <w:tcPr>
            <w:tcW w:w="680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340" w:type="dxa"/>
            <w:vAlign w:val="bottom"/>
          </w:tcPr>
          <w:p>
            <w:pPr>
              <w:spacing w:after="0"/>
              <w:rPr>
                <w:sz w:val="24"/>
                <w:szCs w:val="24"/>
                <w:color w:val="auto"/>
              </w:rPr>
            </w:pP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consisted of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Computers and software</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4,744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3,141</w:t>
            </w:r>
          </w:p>
        </w:tc>
        <w:tc>
          <w:tcPr>
            <w:tcW w:w="10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1,580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1,109</w:t>
            </w: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3,348</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1,781</w:t>
            </w:r>
          </w:p>
        </w:tc>
        <w:tc>
          <w:tcPr>
            <w:tcW w:w="10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9,672</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6,159</w:t>
            </w:r>
          </w:p>
        </w:tc>
        <w:tc>
          <w:tcPr>
            <w:tcW w:w="10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tcPr>
          <w:p>
            <w:pPr>
              <w:ind w:left="18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(4,603 )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(2,911 )</w:t>
            </w:r>
          </w:p>
        </w:tc>
      </w:tr>
      <w:tr>
        <w:trPr>
          <w:trHeight w:val="236"/>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5,069</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-1851025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-1833880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-1851025</wp:posOffset>
            </wp:positionV>
            <wp:extent cx="603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-1833880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Depreciation and amortization expense was $1.7 million for the year ended December 31, 2021, $1.2 million for the year ended December 31, 2020, and $0.5 million and $0.4 million for the periods from July 16, 2019 through December 31, 2019 (Successor), and January 1, 2019 through July 15, 2019 (Predecessor), respectively.</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1" w:name="page92"/>
    <w:bookmarkEnd w:id="91"/>
    <w:p>
      <w:pPr>
        <w:ind w:left="520" w:hanging="512"/>
        <w:spacing w:after="0"/>
        <w:tabs>
          <w:tab w:leader="none" w:pos="5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and intangible assets, as of December 31, 2021 and 2020, consist of the following:</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2021</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33"/>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20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97"/>
              </w:rPr>
              <w:t>Net Carrying</w:t>
            </w:r>
          </w:p>
        </w:tc>
      </w:tr>
      <w:tr>
        <w:trPr>
          <w:trHeight w:val="185"/>
        </w:trPr>
        <w:tc>
          <w:tcPr>
            <w:tcW w:w="56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6"/>
                <w:szCs w:val="16"/>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120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right w:val="single" w:sz="8" w:color="CFF0FC"/>
            </w:tcBorders>
            <w:shd w:val="clear" w:color="auto" w:fill="CFF0FC"/>
          </w:tcPr>
          <w:p>
            <w:pPr>
              <w:spacing w:after="0"/>
              <w:rPr>
                <w:sz w:val="17"/>
                <w:szCs w:val="17"/>
                <w:color w:val="auto"/>
              </w:rPr>
            </w:pPr>
          </w:p>
        </w:tc>
      </w:tr>
      <w:tr>
        <w:trPr>
          <w:trHeight w:val="203"/>
        </w:trPr>
        <w:tc>
          <w:tcPr>
            <w:tcW w:w="5620" w:type="dxa"/>
            <w:vAlign w:val="bottom"/>
          </w:tcPr>
          <w:p>
            <w:pPr>
              <w:ind w:left="180"/>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370,030</w:t>
            </w:r>
          </w:p>
        </w:tc>
        <w:tc>
          <w:tcPr>
            <w:tcW w:w="380" w:type="dxa"/>
            <w:vAlign w:val="bottom"/>
            <w:gridSpan w:val="2"/>
          </w:tcPr>
          <w:p>
            <w:pPr>
              <w:jc w:val="right"/>
              <w:ind w:right="2"/>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(92,942 )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277,088</w:t>
            </w:r>
          </w:p>
        </w:tc>
      </w:tr>
      <w:tr>
        <w:trPr>
          <w:trHeight w:val="203"/>
        </w:trPr>
        <w:tc>
          <w:tcPr>
            <w:tcW w:w="5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Developed technologies</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(17,475 )</w:t>
            </w:r>
          </w:p>
        </w:tc>
        <w:tc>
          <w:tcPr>
            <w:tcW w:w="18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33,625</w:t>
            </w:r>
          </w:p>
        </w:tc>
      </w:tr>
      <w:tr>
        <w:trPr>
          <w:trHeight w:val="203"/>
        </w:trPr>
        <w:tc>
          <w:tcPr>
            <w:tcW w:w="5620" w:type="dxa"/>
            <w:vAlign w:val="bottom"/>
          </w:tcPr>
          <w:p>
            <w:pPr>
              <w:ind w:left="180"/>
              <w:spacing w:after="0" w:line="202" w:lineRule="exact"/>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35,500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(5,034 )</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30,466</w:t>
            </w:r>
          </w:p>
        </w:tc>
      </w:tr>
      <w:tr>
        <w:trPr>
          <w:trHeight w:val="203"/>
        </w:trPr>
        <w:tc>
          <w:tcPr>
            <w:tcW w:w="5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Data</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43,080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(31,789 )</w:t>
            </w:r>
          </w:p>
        </w:tc>
        <w:tc>
          <w:tcPr>
            <w:tcW w:w="18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11,291</w:t>
            </w:r>
          </w:p>
        </w:tc>
      </w:tr>
      <w:tr>
        <w:trPr>
          <w:trHeight w:val="20"/>
        </w:trPr>
        <w:tc>
          <w:tcPr>
            <w:tcW w:w="5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5620" w:type="dxa"/>
            <w:vAlign w:val="bottom"/>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499,710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(147,240 )</w:t>
            </w:r>
          </w:p>
        </w:tc>
        <w:tc>
          <w:tcPr>
            <w:tcW w:w="1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352,470</w:t>
            </w:r>
          </w:p>
        </w:tc>
      </w:tr>
      <w:tr>
        <w:trPr>
          <w:trHeight w:val="203"/>
        </w:trPr>
        <w:tc>
          <w:tcPr>
            <w:tcW w:w="56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1,261,444</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1,261,444</w:t>
            </w:r>
          </w:p>
        </w:tc>
      </w:tr>
      <w:tr>
        <w:trPr>
          <w:trHeight w:val="196"/>
        </w:trPr>
        <w:tc>
          <w:tcPr>
            <w:tcW w:w="5620" w:type="dxa"/>
            <w:vAlign w:val="bottom"/>
          </w:tcPr>
          <w:p>
            <w:pPr>
              <w:spacing w:after="0" w:line="196" w:lineRule="exact"/>
              <w:rPr>
                <w:sz w:val="20"/>
                <w:szCs w:val="20"/>
                <w:color w:val="auto"/>
              </w:rPr>
            </w:pPr>
            <w:r>
              <w:rPr>
                <w:rFonts w:ascii="Arial" w:cs="Arial" w:eastAsia="Arial" w:hAnsi="Arial"/>
                <w:sz w:val="18"/>
                <w:szCs w:val="18"/>
                <w:color w:val="auto"/>
              </w:rPr>
              <w:t>Total goodwill and Intangible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1,761,154</w:t>
            </w:r>
          </w:p>
        </w:tc>
        <w:tc>
          <w:tcPr>
            <w:tcW w:w="200" w:type="dxa"/>
            <w:vAlign w:val="bottom"/>
          </w:tcPr>
          <w:p>
            <w:pPr>
              <w:spacing w:after="0"/>
              <w:rPr>
                <w:sz w:val="17"/>
                <w:szCs w:val="17"/>
                <w:color w:val="auto"/>
              </w:rPr>
            </w:pPr>
          </w:p>
        </w:tc>
        <w:tc>
          <w:tcPr>
            <w:tcW w:w="180" w:type="dxa"/>
            <w:vAlign w:val="bottom"/>
          </w:tcPr>
          <w:p>
            <w:pPr>
              <w:jc w:val="right"/>
              <w:ind w:right="2"/>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(147,240 )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1,613,914</w:t>
            </w: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5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33"/>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20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97"/>
              </w:rPr>
              <w:t>Net Carrying</w:t>
            </w:r>
          </w:p>
        </w:tc>
      </w:tr>
      <w:tr>
        <w:trPr>
          <w:trHeight w:val="185"/>
        </w:trPr>
        <w:tc>
          <w:tcPr>
            <w:tcW w:w="56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6"/>
                <w:szCs w:val="16"/>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120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right w:val="single" w:sz="8" w:color="CFF0FC"/>
            </w:tcBorders>
            <w:shd w:val="clear" w:color="auto" w:fill="CFF0FC"/>
          </w:tcPr>
          <w:p>
            <w:pPr>
              <w:spacing w:after="0"/>
              <w:rPr>
                <w:sz w:val="17"/>
                <w:szCs w:val="17"/>
                <w:color w:val="auto"/>
              </w:rPr>
            </w:pPr>
          </w:p>
        </w:tc>
      </w:tr>
      <w:tr>
        <w:trPr>
          <w:trHeight w:val="202"/>
        </w:trPr>
        <w:tc>
          <w:tcPr>
            <w:tcW w:w="5620" w:type="dxa"/>
            <w:vAlign w:val="bottom"/>
          </w:tcPr>
          <w:p>
            <w:pPr>
              <w:ind w:left="180"/>
              <w:spacing w:after="0" w:line="202" w:lineRule="exact"/>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370,030</w:t>
            </w:r>
          </w:p>
        </w:tc>
        <w:tc>
          <w:tcPr>
            <w:tcW w:w="380" w:type="dxa"/>
            <w:vAlign w:val="bottom"/>
            <w:gridSpan w:val="2"/>
          </w:tcPr>
          <w:p>
            <w:pPr>
              <w:jc w:val="right"/>
              <w:ind w:right="2"/>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(58,097 )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311,933</w:t>
            </w:r>
          </w:p>
        </w:tc>
      </w:tr>
      <w:tr>
        <w:trPr>
          <w:trHeight w:val="203"/>
        </w:trPr>
        <w:tc>
          <w:tcPr>
            <w:tcW w:w="5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Developed technologies</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(10,218 )</w:t>
            </w:r>
          </w:p>
        </w:tc>
        <w:tc>
          <w:tcPr>
            <w:tcW w:w="18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40,882</w:t>
            </w:r>
          </w:p>
        </w:tc>
      </w:tr>
      <w:tr>
        <w:trPr>
          <w:trHeight w:val="203"/>
        </w:trPr>
        <w:tc>
          <w:tcPr>
            <w:tcW w:w="5620" w:type="dxa"/>
            <w:vAlign w:val="bottom"/>
          </w:tcPr>
          <w:p>
            <w:pPr>
              <w:ind w:left="180"/>
              <w:spacing w:after="0" w:line="202" w:lineRule="exact"/>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35,500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(2,952 )</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32,548</w:t>
            </w:r>
          </w:p>
        </w:tc>
      </w:tr>
      <w:tr>
        <w:trPr>
          <w:trHeight w:val="203"/>
        </w:trPr>
        <w:tc>
          <w:tcPr>
            <w:tcW w:w="56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Data</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42,656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(17,782 )</w:t>
            </w:r>
          </w:p>
        </w:tc>
        <w:tc>
          <w:tcPr>
            <w:tcW w:w="18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24,874</w:t>
            </w:r>
          </w:p>
        </w:tc>
      </w:tr>
      <w:tr>
        <w:trPr>
          <w:trHeight w:val="20"/>
        </w:trPr>
        <w:tc>
          <w:tcPr>
            <w:tcW w:w="5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5620" w:type="dxa"/>
            <w:vAlign w:val="bottom"/>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499,286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(89,049 )</w:t>
            </w:r>
          </w:p>
        </w:tc>
        <w:tc>
          <w:tcPr>
            <w:tcW w:w="1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410,237</w:t>
            </w:r>
          </w:p>
        </w:tc>
      </w:tr>
      <w:tr>
        <w:trPr>
          <w:trHeight w:val="203"/>
        </w:trPr>
        <w:tc>
          <w:tcPr>
            <w:tcW w:w="56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1,261,444</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1,261,444</w:t>
            </w:r>
          </w:p>
        </w:tc>
      </w:tr>
      <w:tr>
        <w:trPr>
          <w:trHeight w:val="196"/>
        </w:trPr>
        <w:tc>
          <w:tcPr>
            <w:tcW w:w="5620" w:type="dxa"/>
            <w:vAlign w:val="bottom"/>
          </w:tcPr>
          <w:p>
            <w:pPr>
              <w:spacing w:after="0" w:line="196" w:lineRule="exact"/>
              <w:rPr>
                <w:sz w:val="20"/>
                <w:szCs w:val="20"/>
                <w:color w:val="auto"/>
              </w:rPr>
            </w:pPr>
            <w:r>
              <w:rPr>
                <w:rFonts w:ascii="Arial" w:cs="Arial" w:eastAsia="Arial" w:hAnsi="Arial"/>
                <w:sz w:val="18"/>
                <w:szCs w:val="18"/>
                <w:color w:val="auto"/>
              </w:rPr>
              <w:t>Total goodwill and Intangible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1,760,730</w:t>
            </w:r>
          </w:p>
        </w:tc>
        <w:tc>
          <w:tcPr>
            <w:tcW w:w="380" w:type="dxa"/>
            <w:vAlign w:val="bottom"/>
            <w:gridSpan w:val="2"/>
          </w:tcPr>
          <w:p>
            <w:pPr>
              <w:jc w:val="right"/>
              <w:ind w:right="2"/>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(89,049 )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1,671,681</w:t>
            </w: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-1959610</wp:posOffset>
            </wp:positionV>
            <wp:extent cx="4318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-1959610</wp:posOffset>
            </wp:positionV>
            <wp:extent cx="6032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-1959610</wp:posOffset>
            </wp:positionV>
            <wp:extent cx="3429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-1693545</wp:posOffset>
            </wp:positionV>
            <wp:extent cx="4318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-1693545</wp:posOffset>
            </wp:positionV>
            <wp:extent cx="6032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-1693545</wp:posOffset>
            </wp:positionV>
            <wp:extent cx="3429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-424815</wp:posOffset>
            </wp:positionV>
            <wp:extent cx="431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-424815</wp:posOffset>
            </wp:positionV>
            <wp:extent cx="6032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-424815</wp:posOffset>
            </wp:positionV>
            <wp:extent cx="3429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-159385</wp:posOffset>
            </wp:positionV>
            <wp:extent cx="4318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-159385</wp:posOffset>
            </wp:positionV>
            <wp:extent cx="6032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Amortization expense associated with finite-lived intangible assets was $58.2 million and $58.4 million for the years ended December 31, 2021 and 2020, respectively, of which $21.3 million and $19.4 million was included in cost of revenue for each respective period. Amortization expense associated with finite-lived intangible assets was $30.6 million and $2.0 million for the periods from July 16, 2019 through December 31, 2019 (Successor) and January 1, 2019 through July 15, 2019 (Predecessor), respectively.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total intangible amortization expense during the next five years and thereafter is as follows:</w:t>
      </w:r>
    </w:p>
    <w:p>
      <w:pPr>
        <w:spacing w:after="0" w:line="261"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62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540" w:type="dxa"/>
            <w:vAlign w:val="bottom"/>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53,760</w:t>
            </w:r>
          </w:p>
        </w:tc>
        <w:tc>
          <w:tcPr>
            <w:tcW w:w="8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45,816</w:t>
            </w:r>
          </w:p>
        </w:tc>
        <w:tc>
          <w:tcPr>
            <w:tcW w:w="80" w:type="dxa"/>
            <w:vAlign w:val="bottom"/>
          </w:tcPr>
          <w:p>
            <w:pPr>
              <w:spacing w:after="0"/>
              <w:rPr>
                <w:sz w:val="17"/>
                <w:szCs w:val="17"/>
                <w:color w:val="auto"/>
              </w:rPr>
            </w:pPr>
          </w:p>
        </w:tc>
      </w:tr>
      <w:tr>
        <w:trPr>
          <w:trHeight w:val="202"/>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42,592</w:t>
            </w:r>
          </w:p>
        </w:tc>
        <w:tc>
          <w:tcPr>
            <w:tcW w:w="8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38,381</w:t>
            </w:r>
          </w:p>
        </w:tc>
        <w:tc>
          <w:tcPr>
            <w:tcW w:w="8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31,930</w:t>
            </w:r>
          </w:p>
        </w:tc>
        <w:tc>
          <w:tcPr>
            <w:tcW w:w="8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139,991</w:t>
            </w:r>
          </w:p>
        </w:tc>
        <w:tc>
          <w:tcPr>
            <w:tcW w:w="80" w:type="dxa"/>
            <w:vAlign w:val="bottom"/>
          </w:tcPr>
          <w:p>
            <w:pPr>
              <w:spacing w:after="0"/>
              <w:rPr>
                <w:sz w:val="17"/>
                <w:szCs w:val="17"/>
                <w:color w:val="auto"/>
              </w:rPr>
            </w:pPr>
          </w:p>
        </w:tc>
      </w:tr>
      <w:tr>
        <w:trPr>
          <w:trHeight w:val="236"/>
        </w:trPr>
        <w:tc>
          <w:tcPr>
            <w:tcW w:w="6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352,470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amount of goodwill increased $28.3 million during the year ended December 31, 2020 as a result of the Monocl acquisition (Note 3).</w:t>
      </w:r>
    </w:p>
    <w:p>
      <w:pPr>
        <w:spacing w:after="0" w:line="22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Company determined it had one reporting unit. The Company performed its annual impairment assessment in the fourth quarters of 2021 and 2020 and determined there was no impairment to its goodwill or intangible assets in either year.</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92" w:name="page93"/>
    <w:bookmarkEnd w:id="92"/>
    <w:p>
      <w:pPr>
        <w:ind w:left="520" w:hanging="512"/>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December 31, 2021 and 2020, respectively:</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w w:val="93"/>
              </w:rPr>
              <w:t>December 31, 2021</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5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right"/>
              <w:ind w:right="301"/>
              <w:spacing w:after="0" w:line="133" w:lineRule="exact"/>
              <w:rPr>
                <w:sz w:val="20"/>
                <w:szCs w:val="20"/>
                <w:color w:val="auto"/>
              </w:rPr>
            </w:pPr>
            <w:r>
              <w:rPr>
                <w:rFonts w:ascii="Arial" w:cs="Arial" w:eastAsia="Arial" w:hAnsi="Arial"/>
                <w:sz w:val="14"/>
                <w:szCs w:val="14"/>
                <w:b w:val="1"/>
                <w:bCs w:val="1"/>
                <w:color w:val="auto"/>
                <w:w w:val="98"/>
              </w:rPr>
              <w:t>Unamortized debt</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5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right"/>
              <w:ind w:right="401"/>
              <w:spacing w:after="0" w:line="149" w:lineRule="exact"/>
              <w:rPr>
                <w:sz w:val="20"/>
                <w:szCs w:val="20"/>
                <w:color w:val="auto"/>
              </w:rPr>
            </w:pPr>
            <w:r>
              <w:rPr>
                <w:rFonts w:ascii="Arial" w:cs="Arial" w:eastAsia="Arial" w:hAnsi="Arial"/>
                <w:sz w:val="14"/>
                <w:szCs w:val="14"/>
                <w:b w:val="1"/>
                <w:bCs w:val="1"/>
                <w:color w:val="auto"/>
                <w:w w:val="97"/>
              </w:rPr>
              <w:t>issuance costs /</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5"/>
        </w:trPr>
        <w:tc>
          <w:tcPr>
            <w:tcW w:w="52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financing costs</w:t>
            </w:r>
          </w:p>
        </w:tc>
        <w:tc>
          <w:tcPr>
            <w:tcW w:w="160" w:type="dxa"/>
            <w:vAlign w:val="bottom"/>
          </w:tcPr>
          <w:p>
            <w:pPr>
              <w:spacing w:after="0"/>
              <w:rPr>
                <w:sz w:val="16"/>
                <w:szCs w:val="16"/>
                <w:color w:val="auto"/>
              </w:rPr>
            </w:pPr>
          </w:p>
        </w:tc>
        <w:tc>
          <w:tcPr>
            <w:tcW w:w="114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Total debt, net</w:t>
            </w:r>
          </w:p>
        </w:tc>
        <w:tc>
          <w:tcPr>
            <w:tcW w:w="80" w:type="dxa"/>
            <w:vAlign w:val="bottom"/>
          </w:tcPr>
          <w:p>
            <w:pPr>
              <w:spacing w:after="0"/>
              <w:rPr>
                <w:sz w:val="16"/>
                <w:szCs w:val="16"/>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2021 Term Loan</w:t>
            </w:r>
          </w:p>
        </w:tc>
        <w:tc>
          <w:tcPr>
            <w:tcW w:w="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273,282</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(2,599</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270,683</w:t>
            </w:r>
          </w:p>
        </w:tc>
        <w:tc>
          <w:tcPr>
            <w:tcW w:w="80" w:type="dxa"/>
            <w:vAlign w:val="bottom"/>
            <w:shd w:val="clear" w:color="auto" w:fill="CFF0FC"/>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6,875</w:t>
            </w:r>
          </w:p>
        </w:tc>
        <w:tc>
          <w:tcPr>
            <w:tcW w:w="80" w:type="dxa"/>
            <w:vAlign w:val="bottom"/>
          </w:tcPr>
          <w:p>
            <w:pPr>
              <w:spacing w:after="0"/>
              <w:rPr>
                <w:sz w:val="17"/>
                <w:szCs w:val="17"/>
                <w:color w:val="auto"/>
              </w:rPr>
            </w:pPr>
          </w:p>
        </w:tc>
      </w:tr>
      <w:tr>
        <w:trPr>
          <w:trHeight w:val="236"/>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263,808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58"/>
        </w:trPr>
        <w:tc>
          <w:tcPr>
            <w:tcW w:w="5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5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right"/>
              <w:ind w:right="341"/>
              <w:spacing w:after="0" w:line="133" w:lineRule="exact"/>
              <w:rPr>
                <w:sz w:val="20"/>
                <w:szCs w:val="20"/>
                <w:color w:val="auto"/>
              </w:rPr>
            </w:pPr>
            <w:r>
              <w:rPr>
                <w:rFonts w:ascii="Arial" w:cs="Arial" w:eastAsia="Arial" w:hAnsi="Arial"/>
                <w:sz w:val="14"/>
                <w:szCs w:val="14"/>
                <w:b w:val="1"/>
                <w:bCs w:val="1"/>
                <w:color w:val="auto"/>
                <w:w w:val="94"/>
              </w:rPr>
              <w:t>Unamortized debt</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5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right"/>
              <w:ind w:right="421"/>
              <w:spacing w:after="0" w:line="149" w:lineRule="exact"/>
              <w:rPr>
                <w:sz w:val="20"/>
                <w:szCs w:val="20"/>
                <w:color w:val="auto"/>
              </w:rPr>
            </w:pPr>
            <w:r>
              <w:rPr>
                <w:rFonts w:ascii="Arial" w:cs="Arial" w:eastAsia="Arial" w:hAnsi="Arial"/>
                <w:sz w:val="14"/>
                <w:szCs w:val="14"/>
                <w:b w:val="1"/>
                <w:bCs w:val="1"/>
                <w:color w:val="auto"/>
                <w:w w:val="96"/>
              </w:rPr>
              <w:t>issuance costs /</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5"/>
        </w:trPr>
        <w:tc>
          <w:tcPr>
            <w:tcW w:w="52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w w:val="99"/>
              </w:rPr>
              <w:t>financing costs</w:t>
            </w:r>
          </w:p>
        </w:tc>
        <w:tc>
          <w:tcPr>
            <w:tcW w:w="160" w:type="dxa"/>
            <w:vAlign w:val="bottom"/>
          </w:tcPr>
          <w:p>
            <w:pPr>
              <w:spacing w:after="0"/>
              <w:rPr>
                <w:sz w:val="16"/>
                <w:szCs w:val="16"/>
                <w:color w:val="auto"/>
              </w:rPr>
            </w:pPr>
          </w:p>
        </w:tc>
        <w:tc>
          <w:tcPr>
            <w:tcW w:w="114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Total debt, net</w:t>
            </w:r>
          </w:p>
        </w:tc>
        <w:tc>
          <w:tcPr>
            <w:tcW w:w="80" w:type="dxa"/>
            <w:vAlign w:val="bottom"/>
          </w:tcPr>
          <w:p>
            <w:pPr>
              <w:spacing w:after="0"/>
              <w:rPr>
                <w:sz w:val="16"/>
                <w:szCs w:val="16"/>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2019 Term Loan</w:t>
            </w:r>
          </w:p>
        </w:tc>
        <w:tc>
          <w:tcPr>
            <w:tcW w:w="340" w:type="dxa"/>
            <w:vAlign w:val="bottom"/>
            <w:tcBorders>
              <w:top w:val="single" w:sz="8" w:color="auto"/>
            </w:tcBorders>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444,375</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(10,865</w:t>
            </w:r>
          </w:p>
        </w:tc>
        <w:tc>
          <w:tcPr>
            <w:tcW w:w="20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433,510</w:t>
            </w:r>
          </w:p>
        </w:tc>
        <w:tc>
          <w:tcPr>
            <w:tcW w:w="80" w:type="dxa"/>
            <w:vAlign w:val="bottom"/>
            <w:shd w:val="clear" w:color="auto" w:fill="CFF0FC"/>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Paid in kind interest on 2019 Term Loan</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10,412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10,412</w:t>
            </w:r>
          </w:p>
        </w:tc>
        <w:tc>
          <w:tcPr>
            <w:tcW w:w="80" w:type="dxa"/>
            <w:vAlign w:val="bottom"/>
          </w:tcPr>
          <w:p>
            <w:pPr>
              <w:spacing w:after="0"/>
              <w:rPr>
                <w:sz w:val="17"/>
                <w:szCs w:val="17"/>
                <w:color w:val="auto"/>
              </w:rPr>
            </w:pPr>
          </w:p>
        </w:tc>
      </w:tr>
      <w:tr>
        <w:trPr>
          <w:trHeight w:val="203"/>
        </w:trPr>
        <w:tc>
          <w:tcPr>
            <w:tcW w:w="52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2019 Delayed Draw Term Loan</w:t>
            </w:r>
          </w:p>
        </w:tc>
        <w:tc>
          <w:tcPr>
            <w:tcW w:w="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17,955</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17,955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200" w:type="dxa"/>
            <w:vAlign w:val="bottom"/>
          </w:tcPr>
          <w:p>
            <w:pPr>
              <w:ind w:left="180"/>
              <w:spacing w:after="0" w:line="196" w:lineRule="exact"/>
              <w:rPr>
                <w:sz w:val="20"/>
                <w:szCs w:val="20"/>
                <w:color w:val="auto"/>
              </w:rPr>
            </w:pPr>
            <w:r>
              <w:rPr>
                <w:rFonts w:ascii="Arial" w:cs="Arial" w:eastAsia="Arial" w:hAnsi="Arial"/>
                <w:sz w:val="18"/>
                <w:szCs w:val="18"/>
                <w:color w:val="auto"/>
              </w:rPr>
              <w:t>Total debt</w:t>
            </w:r>
          </w:p>
        </w:tc>
        <w:tc>
          <w:tcPr>
            <w:tcW w:w="34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472,742</w:t>
            </w:r>
          </w:p>
        </w:tc>
        <w:tc>
          <w:tcPr>
            <w:tcW w:w="20" w:type="dxa"/>
            <w:vAlign w:val="bottom"/>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61"/>
              <w:spacing w:after="0" w:line="196" w:lineRule="exact"/>
              <w:rPr>
                <w:sz w:val="20"/>
                <w:szCs w:val="20"/>
                <w:color w:val="auto"/>
              </w:rPr>
            </w:pPr>
            <w:r>
              <w:rPr>
                <w:rFonts w:ascii="Arial" w:cs="Arial" w:eastAsia="Arial" w:hAnsi="Arial"/>
                <w:sz w:val="18"/>
                <w:szCs w:val="18"/>
                <w:color w:val="auto"/>
              </w:rPr>
              <w:t>(10,865 )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461,877</w:t>
            </w:r>
          </w:p>
        </w:tc>
        <w:tc>
          <w:tcPr>
            <w:tcW w:w="8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52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Less: current portion of long-term debt</w:t>
            </w:r>
          </w:p>
        </w:tc>
        <w:tc>
          <w:tcPr>
            <w:tcW w:w="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4,680</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Long-term debt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457,197</w:t>
            </w:r>
          </w:p>
        </w:tc>
        <w:tc>
          <w:tcPr>
            <w:tcW w:w="8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-1422400</wp:posOffset>
            </wp:positionV>
            <wp:extent cx="431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-1405255</wp:posOffset>
            </wp:positionV>
            <wp:extent cx="43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-450850</wp:posOffset>
            </wp:positionV>
            <wp:extent cx="5143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-450850</wp:posOffset>
            </wp:positionV>
            <wp:extent cx="5969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-450850</wp:posOffset>
            </wp:positionV>
            <wp:extent cx="431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-159385</wp:posOffset>
            </wp:positionV>
            <wp:extent cx="431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76" w:lineRule="exact"/>
        <w:rPr>
          <w:sz w:val="20"/>
          <w:szCs w:val="20"/>
          <w:color w:val="auto"/>
        </w:rPr>
      </w:pPr>
    </w:p>
    <w:p>
      <w:pPr>
        <w:ind w:right="200" w:firstLine="509"/>
        <w:spacing w:after="0" w:line="279" w:lineRule="auto"/>
        <w:rPr>
          <w:sz w:val="20"/>
          <w:szCs w:val="20"/>
          <w:color w:val="auto"/>
        </w:rPr>
      </w:pPr>
      <w:r>
        <w:rPr>
          <w:rFonts w:ascii="Arial" w:cs="Arial" w:eastAsia="Arial" w:hAnsi="Arial"/>
          <w:sz w:val="16"/>
          <w:szCs w:val="16"/>
          <w:color w:val="auto"/>
        </w:rPr>
        <w:t>On September 17, 2021, the Company repaid the outstanding principal balances of the 2019 Term Loan of $442.1 million, paid in kind interest of $10.4 million, 2019 Delayed Draw Term Loan of $17.9 million and related accrued interest payable of $4.2 million. The combined payments totaling $474.6 million were made using the proceeds from the 2021 Term Loan, as described below, of $275.0 million and net proceeds of the IPO of $199.6 million, inclusive of accrued interest expense. The effective interest rate for these loans under the 2019 Credit Agreement was 6.25% as of the repayment date. The Company recognized a $9.9 million loss on the extinguishment of debt relating to the write-off of unamortized debt issuance costs.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Credit Agreement</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On September 17,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the 2019 Credit Agreement (described below). Both the 2021 Term Loan and the 2021 Revolving Line of Credit mature on September 17, 2026. The 2021 Credit Facilities include customary affirmative, negative and financial covenants. The 2021 Credit Facilities are guaranteed by all of DH Holdings's wholly-owned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$273.3 million outstanding on the 2021 Term Loan at December 31, 2021.</w:t>
      </w:r>
    </w:p>
    <w:p>
      <w:pPr>
        <w:spacing w:after="0" w:line="66"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December 31, 2021.</w:t>
      </w:r>
    </w:p>
    <w:p>
      <w:pPr>
        <w:spacing w:after="0" w:line="39"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For both the 2021 Term Loan and 2021 Revolving Line of Credit, DH Holdings may elect from several interest rate options based on the LIBO Rate or the Base Rate plus an applicable margin. The applicable margin will be based on the total leverage ratio beginning in the fiscal year ended December 31, 2022. As of December 31, 2021, the effective interest rate was 2.47%.</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3" w:name="page94"/>
    <w:bookmarkEnd w:id="93"/>
    <w:p>
      <w:pPr>
        <w:ind w:firstLine="509"/>
        <w:spacing w:after="0" w:line="239" w:lineRule="auto"/>
        <w:rPr>
          <w:sz w:val="20"/>
          <w:szCs w:val="20"/>
          <w:color w:val="auto"/>
        </w:rPr>
      </w:pPr>
      <w:r>
        <w:rPr>
          <w:rFonts w:ascii="Arial" w:cs="Arial" w:eastAsia="Arial" w:hAnsi="Arial"/>
          <w:sz w:val="18"/>
          <w:szCs w:val="18"/>
          <w:color w:val="auto"/>
        </w:rPr>
        <w:t>In connection with the 2021 Credit Agreement, the Company capitalized financing costs totaling $3.5 million, of which $2.8 million related to the 2021 Term Loan facility and $0.8 million related to the 2021 Revolving Line of Credit. The financing costs associated with the 2021 Term Loan facility are recorded as a contra-debt balance in Term loan, net of current portion in the consolidated balance sheets and are amortized over the remaining life of the loan using the effective interest method. The Company amortized capitalized financing costs for the 2021 Credit Agreement through interest expense of $0.2 million for the year ended December 31, 2021.The financing costs associated with the 2021 Revolving Line of Credit are recorded in other assets in the consolidated balance sheets and are amortized over the life of the arrangement. At December 31, 2021, the unamortized financing costs were $0.7 million.</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expected future principal payments as of December 31, 2021 are as follows:</w:t>
      </w:r>
    </w:p>
    <w:p>
      <w:pPr>
        <w:spacing w:after="0" w:line="369" w:lineRule="exact"/>
        <w:rPr>
          <w:sz w:val="20"/>
          <w:szCs w:val="20"/>
          <w:color w:val="auto"/>
        </w:rPr>
      </w:pPr>
    </w:p>
    <w:tbl>
      <w:tblPr>
        <w:tblLayout w:type="fixed"/>
        <w:tblInd w:w="1360" w:type="dxa"/>
        <w:tblCellMar>
          <w:top w:w="0" w:type="dxa"/>
          <w:left w:w="0" w:type="dxa"/>
          <w:bottom w:w="0" w:type="dxa"/>
          <w:right w:w="0" w:type="dxa"/>
        </w:tblCellMar>
      </w:tblPr>
      <w:tr>
        <w:trPr>
          <w:trHeight w:val="181"/>
        </w:trPr>
        <w:tc>
          <w:tcPr>
            <w:tcW w:w="6380" w:type="dxa"/>
            <w:vAlign w:val="bottom"/>
          </w:tcPr>
          <w:p>
            <w:pPr>
              <w:jc w:val="right"/>
              <w:ind w:right="5413"/>
              <w:spacing w:after="0"/>
              <w:rPr>
                <w:sz w:val="20"/>
                <w:szCs w:val="20"/>
                <w:color w:val="auto"/>
              </w:rPr>
            </w:pPr>
            <w:r>
              <w:rPr>
                <w:rFonts w:ascii="Arial" w:cs="Arial" w:eastAsia="Arial" w:hAnsi="Arial"/>
                <w:sz w:val="14"/>
                <w:szCs w:val="14"/>
                <w:b w:val="1"/>
                <w:bCs w:val="1"/>
                <w:i w:val="1"/>
                <w:iCs w:val="1"/>
                <w:color w:val="auto"/>
                <w:w w:val="89"/>
              </w:rPr>
              <w:t>(in thousands)</w:t>
            </w: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6380" w:type="dxa"/>
            <w:vAlign w:val="bottom"/>
            <w:shd w:val="clear" w:color="auto" w:fill="CFF0FC"/>
          </w:tcPr>
          <w:p>
            <w:pPr>
              <w:jc w:val="right"/>
              <w:ind w:right="5873"/>
              <w:spacing w:after="0" w:line="202" w:lineRule="exact"/>
              <w:rPr>
                <w:sz w:val="20"/>
                <w:szCs w:val="20"/>
                <w:color w:val="auto"/>
              </w:rPr>
            </w:pPr>
            <w:r>
              <w:rPr>
                <w:rFonts w:ascii="Arial" w:cs="Arial" w:eastAsia="Arial" w:hAnsi="Arial"/>
                <w:sz w:val="18"/>
                <w:szCs w:val="18"/>
                <w:color w:val="auto"/>
                <w:w w:val="99"/>
              </w:rPr>
              <w:t>2022</w:t>
            </w:r>
          </w:p>
        </w:tc>
        <w:tc>
          <w:tcPr>
            <w:tcW w:w="800" w:type="dxa"/>
            <w:vAlign w:val="bottom"/>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6,875</w:t>
            </w:r>
          </w:p>
        </w:tc>
        <w:tc>
          <w:tcPr>
            <w:tcW w:w="60" w:type="dxa"/>
            <w:vAlign w:val="bottom"/>
            <w:shd w:val="clear" w:color="auto" w:fill="CFF0FC"/>
          </w:tcPr>
          <w:p>
            <w:pPr>
              <w:spacing w:after="0"/>
              <w:rPr>
                <w:sz w:val="17"/>
                <w:szCs w:val="17"/>
                <w:color w:val="auto"/>
              </w:rPr>
            </w:pPr>
          </w:p>
        </w:tc>
      </w:tr>
      <w:tr>
        <w:trPr>
          <w:trHeight w:val="202"/>
        </w:trPr>
        <w:tc>
          <w:tcPr>
            <w:tcW w:w="6380" w:type="dxa"/>
            <w:vAlign w:val="bottom"/>
          </w:tcPr>
          <w:p>
            <w:pPr>
              <w:jc w:val="right"/>
              <w:ind w:right="5873"/>
              <w:spacing w:after="0" w:line="202" w:lineRule="exact"/>
              <w:rPr>
                <w:sz w:val="20"/>
                <w:szCs w:val="20"/>
                <w:color w:val="auto"/>
              </w:rPr>
            </w:pPr>
            <w:r>
              <w:rPr>
                <w:rFonts w:ascii="Arial" w:cs="Arial" w:eastAsia="Arial" w:hAnsi="Arial"/>
                <w:sz w:val="18"/>
                <w:szCs w:val="18"/>
                <w:color w:val="auto"/>
                <w:w w:val="99"/>
              </w:rPr>
              <w:t>2023</w:t>
            </w:r>
          </w:p>
        </w:tc>
        <w:tc>
          <w:tcPr>
            <w:tcW w:w="8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8,594</w:t>
            </w:r>
          </w:p>
        </w:tc>
        <w:tc>
          <w:tcPr>
            <w:tcW w:w="60" w:type="dxa"/>
            <w:vAlign w:val="bottom"/>
          </w:tcPr>
          <w:p>
            <w:pPr>
              <w:spacing w:after="0"/>
              <w:rPr>
                <w:sz w:val="17"/>
                <w:szCs w:val="17"/>
                <w:color w:val="auto"/>
              </w:rPr>
            </w:pPr>
          </w:p>
        </w:tc>
      </w:tr>
      <w:tr>
        <w:trPr>
          <w:trHeight w:val="203"/>
        </w:trPr>
        <w:tc>
          <w:tcPr>
            <w:tcW w:w="6380" w:type="dxa"/>
            <w:vAlign w:val="bottom"/>
            <w:shd w:val="clear" w:color="auto" w:fill="CFF0FC"/>
          </w:tcPr>
          <w:p>
            <w:pPr>
              <w:jc w:val="right"/>
              <w:ind w:right="5873"/>
              <w:spacing w:after="0" w:line="202" w:lineRule="exact"/>
              <w:rPr>
                <w:sz w:val="20"/>
                <w:szCs w:val="20"/>
                <w:color w:val="auto"/>
              </w:rPr>
            </w:pPr>
            <w:r>
              <w:rPr>
                <w:rFonts w:ascii="Arial" w:cs="Arial" w:eastAsia="Arial" w:hAnsi="Arial"/>
                <w:sz w:val="18"/>
                <w:szCs w:val="18"/>
                <w:color w:val="auto"/>
                <w:w w:val="99"/>
              </w:rPr>
              <w:t>2024</w:t>
            </w:r>
          </w:p>
        </w:tc>
        <w:tc>
          <w:tcPr>
            <w:tcW w:w="8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13,750</w:t>
            </w:r>
          </w:p>
        </w:tc>
        <w:tc>
          <w:tcPr>
            <w:tcW w:w="60" w:type="dxa"/>
            <w:vAlign w:val="bottom"/>
            <w:shd w:val="clear" w:color="auto" w:fill="CFF0FC"/>
          </w:tcPr>
          <w:p>
            <w:pPr>
              <w:spacing w:after="0"/>
              <w:rPr>
                <w:sz w:val="17"/>
                <w:szCs w:val="17"/>
                <w:color w:val="auto"/>
              </w:rPr>
            </w:pPr>
          </w:p>
        </w:tc>
      </w:tr>
      <w:tr>
        <w:trPr>
          <w:trHeight w:val="203"/>
        </w:trPr>
        <w:tc>
          <w:tcPr>
            <w:tcW w:w="6380" w:type="dxa"/>
            <w:vAlign w:val="bottom"/>
          </w:tcPr>
          <w:p>
            <w:pPr>
              <w:jc w:val="right"/>
              <w:ind w:right="5873"/>
              <w:spacing w:after="0" w:line="202" w:lineRule="exact"/>
              <w:rPr>
                <w:sz w:val="20"/>
                <w:szCs w:val="20"/>
                <w:color w:val="auto"/>
              </w:rPr>
            </w:pPr>
            <w:r>
              <w:rPr>
                <w:rFonts w:ascii="Arial" w:cs="Arial" w:eastAsia="Arial" w:hAnsi="Arial"/>
                <w:sz w:val="18"/>
                <w:szCs w:val="18"/>
                <w:color w:val="auto"/>
                <w:w w:val="99"/>
              </w:rPr>
              <w:t>2025</w:t>
            </w:r>
          </w:p>
        </w:tc>
        <w:tc>
          <w:tcPr>
            <w:tcW w:w="8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13,750</w:t>
            </w:r>
          </w:p>
        </w:tc>
        <w:tc>
          <w:tcPr>
            <w:tcW w:w="60" w:type="dxa"/>
            <w:vAlign w:val="bottom"/>
          </w:tcPr>
          <w:p>
            <w:pPr>
              <w:spacing w:after="0"/>
              <w:rPr>
                <w:sz w:val="17"/>
                <w:szCs w:val="17"/>
                <w:color w:val="auto"/>
              </w:rPr>
            </w:pPr>
          </w:p>
        </w:tc>
      </w:tr>
      <w:tr>
        <w:trPr>
          <w:trHeight w:val="203"/>
        </w:trPr>
        <w:tc>
          <w:tcPr>
            <w:tcW w:w="6380" w:type="dxa"/>
            <w:vAlign w:val="bottom"/>
            <w:tcBorders>
              <w:bottom w:val="single" w:sz="8" w:color="CFF0FC"/>
            </w:tcBorders>
            <w:shd w:val="clear" w:color="auto" w:fill="CFF0FC"/>
          </w:tcPr>
          <w:p>
            <w:pPr>
              <w:jc w:val="right"/>
              <w:ind w:right="5873"/>
              <w:spacing w:after="0" w:line="202" w:lineRule="exact"/>
              <w:rPr>
                <w:sz w:val="20"/>
                <w:szCs w:val="20"/>
                <w:color w:val="auto"/>
              </w:rPr>
            </w:pPr>
            <w:r>
              <w:rPr>
                <w:rFonts w:ascii="Arial" w:cs="Arial" w:eastAsia="Arial" w:hAnsi="Arial"/>
                <w:sz w:val="18"/>
                <w:szCs w:val="18"/>
                <w:color w:val="auto"/>
                <w:w w:val="99"/>
              </w:rPr>
              <w:t>2026</w:t>
            </w:r>
          </w:p>
        </w:tc>
        <w:tc>
          <w:tcPr>
            <w:tcW w:w="8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230,313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380" w:type="dxa"/>
            <w:vAlign w:val="bottom"/>
          </w:tcPr>
          <w:p>
            <w:pPr>
              <w:spacing w:after="0"/>
              <w:rPr>
                <w:sz w:val="17"/>
                <w:szCs w:val="17"/>
                <w:color w:val="auto"/>
              </w:rPr>
            </w:pPr>
          </w:p>
        </w:tc>
        <w:tc>
          <w:tcPr>
            <w:tcW w:w="80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273,282</w:t>
            </w:r>
          </w:p>
        </w:tc>
        <w:tc>
          <w:tcPr>
            <w:tcW w:w="60" w:type="dxa"/>
            <w:vAlign w:val="bottom"/>
          </w:tcPr>
          <w:p>
            <w:pPr>
              <w:spacing w:after="0"/>
              <w:rPr>
                <w:sz w:val="17"/>
                <w:szCs w:val="17"/>
                <w:color w:val="auto"/>
              </w:rPr>
            </w:pPr>
          </w:p>
        </w:tc>
      </w:tr>
      <w:tr>
        <w:trPr>
          <w:trHeight w:val="20"/>
        </w:trPr>
        <w:tc>
          <w:tcPr>
            <w:tcW w:w="6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-159385</wp:posOffset>
            </wp:positionV>
            <wp:extent cx="431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Credit Agreement</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On July 16, 2019, DH Holdings entered into a credit agreement (the “2019 Credit Agreement”) by and among DH Holdings, the lenders party thereto and Owl Rock Capital Corporation, as administrative agent. Under the 2019 Credit Agreement, a $450.0 million term loan facility (the “2019 Term Loan”), a $100.0 million delayed draw term loan facility (the “2019 Delayed Draw Term Loan”) and a $25.0 million revolving line of credit (the “2019 Revolving Line of Credit”) were made available to DH Holdings.</w:t>
      </w:r>
    </w:p>
    <w:p>
      <w:pPr>
        <w:spacing w:after="0" w:line="80"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2019 Term Loan had a maturity date of July 16, 2026 and was issued with an original issue discount of $11.3 million and amortized to interest expense over the term of the agreement using the effective interest method. Interest on a portion of the loan ($100.0 million of the $450.0 million principal amount) was treated as paid in kind and added to the principal balance to be paid off at maturity. DH Holdings could elect from several interest rate options based on the Eurodollar Rate or the Base Rate plus an applicable margin. The effective interest rate for the 2019 Term Loan and paid in kind effective interest was 6.50% at December 31, 2020. Quarterly principal payments of $1.1 million began in December 2019 and were required through the 2019 Term Loan's maturity, at which time a balloon payment of $419.6 million, excluding the paid in-kind portion, would have been due. The paid in-kind interest was payable on the maturity date.</w:t>
      </w:r>
    </w:p>
    <w:p>
      <w:pPr>
        <w:spacing w:after="0" w:line="7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2019 Delayed Draw Term Loan had a maturity date of July 16, 2026 and was issued with an original issue discount of $1.3 million. DH Holdings could draw down funds under the 2019 Delayed Draw Term Loan until July 16, 2021. As of December 31, 2020, DH Holdings drew $18.0 million on the 2019 Delayed Draw Term Loan. DH Holdings could elect from several interest rate options based on the Eurodollar Rate or the Base Rate plus an applicable margin. The effective interest rate for the 2019 Delayed Draw Term Loan was 6.50% at December 31, 2020. Quarterly in arrears through July 16, 2021, DH Holdings was required to pay the bank a fee equal to 1% per annum of the amount of the 2019 Delayed Draw Term Loan unused capacity. Quarterly principal payments began in December 2020 in quarterly installments equal to 0.25% of the aggregate amount outstanding on the 2019 Delayed Draw Term Loan, and were required through the note’s maturity, at which time a payment of the entire outstanding principal balance would have been due.</w:t>
      </w:r>
    </w:p>
    <w:p>
      <w:pPr>
        <w:spacing w:after="0" w:line="86"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The 2019 Revolving Line of Credit had a maturity date of July 16, 2024. DH Holdings could elect from several interest rate options based on the Eurodollar Rate or the Base Rate plus an applicable margin. During 2020, $25.0 million was drawn on the 2019 Revolving Line of Credit and subsequently paid back in 2020. There was no outstanding balance on the 2019 Revolving Line of Credit at December 31, 2020. No draws on the 2019 Revolving Line of Credit were made in 2021 and the 2019 Credit Agreement was terminated on September 17, 2021.</w:t>
      </w:r>
    </w:p>
    <w:p>
      <w:pPr>
        <w:spacing w:after="0" w:line="64"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color w:val="auto"/>
        </w:rPr>
        <w:t>In connection with the 2019 Credit Agreement, the Company originally capitalized financing costs totaling $14.1 million, of which $13.4 million was related to the 2019 Term Loan and $0.7 million was related to the 2019 Revolving Line of Credit. In October 2020, the Company capitalized an additional $0.2 million in financing costs associated with the 2019 Delayed Draw Term Loan borrowing. These financing costs were recorded as deferred financing costs in the consolidated balance sheets and amortized over the remaining lives of the respective borrowing using the effective interest method. The Company expensed capitalized financing costs for the 2019 Credit Agreement through interest expense of $1.5 million and $2.1 million for the years ended December 31, 2021 and 2020, respectively. At December 31, 2020, the unamortized financing costs for the 2019 Revolving Line of Credit of $0.5 million were classified in other assets in the consolidated balance sheets.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4" w:name="page95"/>
    <w:bookmarkEnd w:id="94"/>
    <w:p>
      <w:pPr>
        <w:ind w:left="520" w:hanging="512"/>
        <w:spacing w:after="0"/>
        <w:tabs>
          <w:tab w:leader="none" w:pos="5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ASC 820—</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82" w:lineRule="exact"/>
        <w:rPr>
          <w:sz w:val="20"/>
          <w:szCs w:val="20"/>
          <w:color w:val="auto"/>
        </w:rPr>
      </w:pPr>
    </w:p>
    <w:p>
      <w:pPr>
        <w:ind w:right="280" w:firstLine="509"/>
        <w:spacing w:after="0" w:line="270" w:lineRule="auto"/>
        <w:rPr>
          <w:sz w:val="20"/>
          <w:szCs w:val="20"/>
          <w:color w:val="auto"/>
        </w:rPr>
      </w:pPr>
      <w:r>
        <w:rPr>
          <w:rFonts w:ascii="Arial" w:cs="Arial" w:eastAsia="Arial" w:hAnsi="Arial"/>
          <w:sz w:val="17"/>
          <w:szCs w:val="17"/>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their short maturities (less than 12 months).</w:t>
      </w:r>
    </w:p>
    <w:p>
      <w:pPr>
        <w:spacing w:after="0" w:line="16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Company’s term loans are recorded at their carrying values in the consolidated balance sheets, which may differ from their respective fair values. The estimated fair values of the Company’s term loans approximate their carrying values as of December 31, 2021, and 2020, based on interest rates currently available to the Company for similar borrowings.</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contingent consideration, which resulted from the earn-outs associated with the Monocl acquisition, is measured at fair value on a recurring basis. Based on the achievement of certain ARR targets, the fair value of the contingent consideration was $7.5 million as of December 31, 2021, with the entire balance classified as current in accrued expense and other current liabilities in the accompanying consolidated balance sheet based on a payout date in the first quarter of 2022.</w:t>
      </w:r>
    </w:p>
    <w:p>
      <w:pPr>
        <w:spacing w:after="0" w:line="188"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For the year ended December 31, 2020, the fair value of the contingent consideration was estimated using a variation of the income approach, known as the real options method, where ARR was simulated in a risk-neutral framework using Geometric Brownian Motion. The risk-neutral expected (probability-weighted) earnout payments were then calculated based on simulation results. An increase to a probability of achievement would result in a higher fair value measurement. The fair value of the contingent consideration was $5.2 million as of December 31, 2020, of which $1.5 million was classified as current and $3.7 million was classified as non-current.</w:t>
      </w:r>
    </w:p>
    <w:p>
      <w:pPr>
        <w:spacing w:after="0" w:line="189" w:lineRule="exact"/>
        <w:rPr>
          <w:sz w:val="20"/>
          <w:szCs w:val="20"/>
          <w:color w:val="auto"/>
        </w:rPr>
      </w:pPr>
    </w:p>
    <w:p>
      <w:pPr>
        <w:ind w:right="200" w:firstLine="554"/>
        <w:spacing w:after="0" w:line="261"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were as follows as of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(fair value in thousands)</w:t>
            </w:r>
          </w:p>
        </w:tc>
        <w:tc>
          <w:tcPr>
            <w:tcW w:w="260" w:type="dxa"/>
            <w:vAlign w:val="bottom"/>
          </w:tcPr>
          <w:p>
            <w:pPr>
              <w:spacing w:after="0"/>
              <w:rPr>
                <w:sz w:val="16"/>
                <w:szCs w:val="16"/>
                <w:color w:val="auto"/>
              </w:rPr>
            </w:pPr>
          </w:p>
        </w:tc>
        <w:tc>
          <w:tcPr>
            <w:tcW w:w="1220" w:type="dxa"/>
            <w:vAlign w:val="bottom"/>
          </w:tcPr>
          <w:p>
            <w:pPr>
              <w:jc w:val="right"/>
              <w:ind w:right="339"/>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3640" w:type="dxa"/>
            <w:vAlign w:val="bottom"/>
          </w:tcPr>
          <w:p>
            <w:pPr>
              <w:ind w:left="118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6"/>
                <w:szCs w:val="16"/>
                <w:color w:val="auto"/>
              </w:rPr>
            </w:pPr>
          </w:p>
        </w:tc>
        <w:tc>
          <w:tcPr>
            <w:tcW w:w="1700" w:type="dxa"/>
            <w:vAlign w:val="bottom"/>
          </w:tcPr>
          <w:p>
            <w:pPr>
              <w:ind w:left="200"/>
              <w:spacing w:after="0"/>
              <w:rPr>
                <w:sz w:val="20"/>
                <w:szCs w:val="20"/>
                <w:color w:val="auto"/>
              </w:rPr>
            </w:pPr>
            <w:r>
              <w:rPr>
                <w:rFonts w:ascii="Arial" w:cs="Arial" w:eastAsia="Arial" w:hAnsi="Arial"/>
                <w:sz w:val="14"/>
                <w:szCs w:val="14"/>
                <w:b w:val="1"/>
                <w:bCs w:val="1"/>
                <w:color w:val="auto"/>
              </w:rPr>
              <w:t>Unobservable Inputs</w:t>
            </w:r>
          </w:p>
        </w:tc>
        <w:tc>
          <w:tcPr>
            <w:tcW w:w="160" w:type="dxa"/>
            <w:vAlign w:val="bottom"/>
          </w:tcPr>
          <w:p>
            <w:pPr>
              <w:spacing w:after="0"/>
              <w:rPr>
                <w:sz w:val="16"/>
                <w:szCs w:val="16"/>
                <w:color w:val="auto"/>
              </w:rPr>
            </w:pPr>
          </w:p>
        </w:tc>
        <w:tc>
          <w:tcPr>
            <w:tcW w:w="15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Discount Rate</w:t>
            </w:r>
          </w:p>
        </w:tc>
      </w:tr>
      <w:tr>
        <w:trPr>
          <w:trHeight w:val="196"/>
        </w:trPr>
        <w:tc>
          <w:tcPr>
            <w:tcW w:w="2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Earn-out liabilities</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5,236</w:t>
            </w:r>
          </w:p>
        </w:tc>
        <w:tc>
          <w:tcPr>
            <w:tcW w:w="240" w:type="dxa"/>
            <w:vAlign w:val="bottom"/>
            <w:shd w:val="clear" w:color="auto" w:fill="CFF0FC"/>
          </w:tcPr>
          <w:p>
            <w:pPr>
              <w:spacing w:after="0"/>
              <w:rPr>
                <w:sz w:val="17"/>
                <w:szCs w:val="17"/>
                <w:color w:val="auto"/>
              </w:rPr>
            </w:pPr>
          </w:p>
        </w:tc>
        <w:tc>
          <w:tcPr>
            <w:tcW w:w="36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Approach (Real Option Method)</w:t>
            </w:r>
          </w:p>
        </w:tc>
        <w:tc>
          <w:tcPr>
            <w:tcW w:w="100" w:type="dxa"/>
            <w:vAlign w:val="bottom"/>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ind w:left="700"/>
              <w:spacing w:after="0" w:line="196" w:lineRule="exact"/>
              <w:rPr>
                <w:sz w:val="20"/>
                <w:szCs w:val="20"/>
                <w:color w:val="auto"/>
              </w:rPr>
            </w:pPr>
            <w:r>
              <w:rPr>
                <w:rFonts w:ascii="Arial" w:cs="Arial" w:eastAsia="Arial" w:hAnsi="Arial"/>
                <w:sz w:val="18"/>
                <w:szCs w:val="18"/>
                <w:color w:val="auto"/>
                <w:w w:val="92"/>
              </w:rPr>
              <w:t>Discount rate</w:t>
            </w:r>
          </w:p>
        </w:tc>
        <w:tc>
          <w:tcPr>
            <w:tcW w:w="16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6.50</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Adjustments to the earn-out liabilities in periods subsequent to the completion of acquisitions were made using scenario-based modeling to estimate the probability of achievement and are reflected within transaction expenses in the consolidated statements of operations.</w:t>
      </w:r>
    </w:p>
    <w:p>
      <w:pPr>
        <w:spacing w:after="0" w:line="147" w:lineRule="exact"/>
        <w:rPr>
          <w:sz w:val="20"/>
          <w:szCs w:val="20"/>
          <w:color w:val="auto"/>
        </w:rPr>
      </w:pPr>
    </w:p>
    <w:p>
      <w:pPr>
        <w:jc w:val="both"/>
        <w:ind w:right="560" w:firstLine="509"/>
        <w:spacing w:after="0" w:line="248" w:lineRule="auto"/>
        <w:rPr>
          <w:sz w:val="20"/>
          <w:szCs w:val="20"/>
          <w:color w:val="auto"/>
        </w:rPr>
      </w:pPr>
      <w:r>
        <w:rPr>
          <w:rFonts w:ascii="Arial" w:cs="Arial" w:eastAsia="Arial" w:hAnsi="Arial"/>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r>
      <w:tr>
        <w:trPr>
          <w:trHeight w:val="169"/>
        </w:trPr>
        <w:tc>
          <w:tcPr>
            <w:tcW w:w="6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5,236</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17"/>
                <w:szCs w:val="17"/>
                <w:color w:val="auto"/>
              </w:rPr>
            </w:pP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2,600</w:t>
            </w:r>
          </w:p>
        </w:tc>
        <w:tc>
          <w:tcPr>
            <w:tcW w:w="80" w:type="dxa"/>
            <w:vAlign w:val="bottom"/>
          </w:tcPr>
          <w:p>
            <w:pPr>
              <w:spacing w:after="0"/>
              <w:rPr>
                <w:sz w:val="17"/>
                <w:szCs w:val="17"/>
                <w:color w:val="auto"/>
              </w:rPr>
            </w:pPr>
          </w:p>
        </w:tc>
      </w:tr>
      <w:tr>
        <w:trPr>
          <w:trHeight w:val="203"/>
        </w:trPr>
        <w:tc>
          <w:tcPr>
            <w:tcW w:w="67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change in fair value and other adjustments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3,764</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2,636</w:t>
            </w:r>
          </w:p>
        </w:tc>
        <w:tc>
          <w:tcPr>
            <w:tcW w:w="80" w:type="dxa"/>
            <w:vAlign w:val="bottom"/>
            <w:shd w:val="clear" w:color="auto" w:fill="CFF0FC"/>
          </w:tcPr>
          <w:p>
            <w:pPr>
              <w:spacing w:after="0"/>
              <w:rPr>
                <w:sz w:val="17"/>
                <w:szCs w:val="17"/>
                <w:color w:val="auto"/>
              </w:rPr>
            </w:pPr>
          </w:p>
        </w:tc>
      </w:tr>
      <w:tr>
        <w:trPr>
          <w:trHeight w:val="203"/>
        </w:trPr>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Payments</w:t>
            </w:r>
          </w:p>
        </w:tc>
        <w:tc>
          <w:tcPr>
            <w:tcW w:w="36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(1,500 )</w:t>
            </w:r>
          </w:p>
        </w:tc>
        <w:tc>
          <w:tcPr>
            <w:tcW w:w="3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36"/>
        </w:trPr>
        <w:tc>
          <w:tcPr>
            <w:tcW w:w="67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end of period</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7,500</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5,236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603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-24765</wp:posOffset>
            </wp:positionV>
            <wp:extent cx="431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431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sheets.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discussion about the impairment testing of assets not measured at fair value on a recurring basis see Note 7.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for additional details.</w:t>
      </w:r>
    </w:p>
    <w:p>
      <w:pPr>
        <w:spacing w:after="0" w:line="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95" w:name="page96"/>
    <w:bookmarkEnd w:id="95"/>
    <w:p>
      <w:pPr>
        <w:ind w:left="520" w:hanging="512"/>
        <w:spacing w:after="0"/>
        <w:tabs>
          <w:tab w:leader="none" w:pos="5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2021</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December 31, 2020</w:t>
            </w:r>
          </w:p>
        </w:tc>
        <w:tc>
          <w:tcPr>
            <w:tcW w:w="80" w:type="dxa"/>
            <w:vAlign w:val="bottom"/>
          </w:tcPr>
          <w:p>
            <w:pPr>
              <w:spacing w:after="0"/>
              <w:rPr>
                <w:sz w:val="16"/>
                <w:szCs w:val="16"/>
                <w:color w:val="auto"/>
              </w:rPr>
            </w:pPr>
          </w:p>
        </w:tc>
      </w:tr>
      <w:tr>
        <w:trPr>
          <w:trHeight w:val="196"/>
        </w:trPr>
        <w:tc>
          <w:tcPr>
            <w:tcW w:w="6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payroll-related</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10,311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7,792</w:t>
            </w:r>
          </w:p>
        </w:tc>
        <w:tc>
          <w:tcPr>
            <w:tcW w:w="8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5,365</w:t>
            </w:r>
          </w:p>
        </w:tc>
        <w:tc>
          <w:tcPr>
            <w:tcW w:w="8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Contingent consideration, current</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w:t>
            </w:r>
          </w:p>
        </w:tc>
        <w:tc>
          <w:tcPr>
            <w:tcW w:w="8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Sales taxes</w:t>
            </w:r>
          </w:p>
        </w:tc>
        <w:tc>
          <w:tcPr>
            <w:tcW w:w="1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1,785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649</w:t>
            </w:r>
          </w:p>
        </w:tc>
        <w:tc>
          <w:tcPr>
            <w:tcW w:w="80" w:type="dxa"/>
            <w:vAlign w:val="bottom"/>
          </w:tcPr>
          <w:p>
            <w:pPr>
              <w:spacing w:after="0"/>
              <w:rPr>
                <w:sz w:val="17"/>
                <w:szCs w:val="17"/>
                <w:color w:val="auto"/>
              </w:rPr>
            </w:pPr>
          </w:p>
        </w:tc>
      </w:tr>
      <w:tr>
        <w:trPr>
          <w:trHeight w:val="203"/>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rent</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583</w:t>
            </w:r>
          </w:p>
        </w:tc>
        <w:tc>
          <w:tcPr>
            <w:tcW w:w="80" w:type="dxa"/>
            <w:vAlign w:val="bottom"/>
            <w:shd w:val="clear" w:color="auto" w:fill="CFF0FC"/>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1,432</w:t>
            </w:r>
          </w:p>
        </w:tc>
        <w:tc>
          <w:tcPr>
            <w:tcW w:w="80" w:type="dxa"/>
            <w:vAlign w:val="bottom"/>
          </w:tcPr>
          <w:p>
            <w:pPr>
              <w:spacing w:after="0"/>
              <w:rPr>
                <w:sz w:val="17"/>
                <w:szCs w:val="17"/>
                <w:color w:val="auto"/>
              </w:rPr>
            </w:pPr>
          </w:p>
        </w:tc>
      </w:tr>
      <w:tr>
        <w:trPr>
          <w:trHeight w:val="236"/>
        </w:trPr>
        <w:tc>
          <w:tcPr>
            <w:tcW w:w="6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22,658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17,321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431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-25400</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431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Company leases office facilities in Massachusetts, Vermont and Sweden, the terms of which expire at various times through the year 2030.</w:t>
      </w:r>
    </w:p>
    <w:p>
      <w:pPr>
        <w:spacing w:after="0" w:line="235"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Total rent expense was $2.8 million for the year ended December 31, 2021, $1.8 million for the year ended December 31, 2020, and $0.6 million and $0.5 million for the periods from January 16, 2019 through December 31, 2019 (Successor) and from January 1, 2019 through July 15, 2019 (Predecessor), respectively. Rent expense was classified in selling, general, and administrative expense in the consolidated statements of operations.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Minimum future rental payments are expected to be as follows for each of the years ending December 31:</w:t>
      </w:r>
    </w:p>
    <w:p>
      <w:pPr>
        <w:spacing w:after="0" w:line="261"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62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240" w:type="dxa"/>
            <w:vAlign w:val="bottom"/>
            <w:shd w:val="clear" w:color="auto" w:fill="CFF0FC"/>
          </w:tcPr>
          <w:p>
            <w:pPr>
              <w:jc w:val="right"/>
              <w:ind w:right="5733"/>
              <w:spacing w:after="0" w:line="202" w:lineRule="exact"/>
              <w:rPr>
                <w:sz w:val="20"/>
                <w:szCs w:val="20"/>
                <w:color w:val="auto"/>
              </w:rPr>
            </w:pPr>
            <w:r>
              <w:rPr>
                <w:rFonts w:ascii="Arial" w:cs="Arial" w:eastAsia="Arial" w:hAnsi="Arial"/>
                <w:sz w:val="18"/>
                <w:szCs w:val="18"/>
                <w:color w:val="auto"/>
                <w:w w:val="99"/>
              </w:rPr>
              <w:t>2022</w:t>
            </w: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3,120</w:t>
            </w:r>
          </w:p>
        </w:tc>
        <w:tc>
          <w:tcPr>
            <w:tcW w:w="80" w:type="dxa"/>
            <w:vAlign w:val="bottom"/>
            <w:shd w:val="clear" w:color="auto" w:fill="CFF0FC"/>
          </w:tcPr>
          <w:p>
            <w:pPr>
              <w:spacing w:after="0"/>
              <w:rPr>
                <w:sz w:val="17"/>
                <w:szCs w:val="17"/>
                <w:color w:val="auto"/>
              </w:rPr>
            </w:pPr>
          </w:p>
        </w:tc>
      </w:tr>
      <w:tr>
        <w:trPr>
          <w:trHeight w:val="203"/>
        </w:trPr>
        <w:tc>
          <w:tcPr>
            <w:tcW w:w="6240" w:type="dxa"/>
            <w:vAlign w:val="bottom"/>
          </w:tcPr>
          <w:p>
            <w:pPr>
              <w:jc w:val="right"/>
              <w:ind w:right="5733"/>
              <w:spacing w:after="0" w:line="202" w:lineRule="exact"/>
              <w:rPr>
                <w:sz w:val="20"/>
                <w:szCs w:val="20"/>
                <w:color w:val="auto"/>
              </w:rPr>
            </w:pPr>
            <w:r>
              <w:rPr>
                <w:rFonts w:ascii="Arial" w:cs="Arial" w:eastAsia="Arial" w:hAnsi="Arial"/>
                <w:sz w:val="18"/>
                <w:szCs w:val="18"/>
                <w:color w:val="auto"/>
                <w:w w:val="99"/>
              </w:rPr>
              <w:t>2023</w:t>
            </w:r>
          </w:p>
        </w:tc>
        <w:tc>
          <w:tcPr>
            <w:tcW w:w="5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1,895</w:t>
            </w:r>
          </w:p>
        </w:tc>
        <w:tc>
          <w:tcPr>
            <w:tcW w:w="80" w:type="dxa"/>
            <w:vAlign w:val="bottom"/>
          </w:tcPr>
          <w:p>
            <w:pPr>
              <w:spacing w:after="0"/>
              <w:rPr>
                <w:sz w:val="17"/>
                <w:szCs w:val="17"/>
                <w:color w:val="auto"/>
              </w:rPr>
            </w:pPr>
          </w:p>
        </w:tc>
      </w:tr>
      <w:tr>
        <w:trPr>
          <w:trHeight w:val="203"/>
        </w:trPr>
        <w:tc>
          <w:tcPr>
            <w:tcW w:w="6240" w:type="dxa"/>
            <w:vAlign w:val="bottom"/>
            <w:shd w:val="clear" w:color="auto" w:fill="CFF0FC"/>
          </w:tcPr>
          <w:p>
            <w:pPr>
              <w:jc w:val="right"/>
              <w:ind w:right="5733"/>
              <w:spacing w:after="0" w:line="202" w:lineRule="exact"/>
              <w:rPr>
                <w:sz w:val="20"/>
                <w:szCs w:val="20"/>
                <w:color w:val="auto"/>
              </w:rPr>
            </w:pPr>
            <w:r>
              <w:rPr>
                <w:rFonts w:ascii="Arial" w:cs="Arial" w:eastAsia="Arial" w:hAnsi="Arial"/>
                <w:sz w:val="18"/>
                <w:szCs w:val="18"/>
                <w:color w:val="auto"/>
                <w:w w:val="99"/>
              </w:rPr>
              <w:t>2024</w:t>
            </w:r>
          </w:p>
        </w:tc>
        <w:tc>
          <w:tcPr>
            <w:tcW w:w="5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2,282</w:t>
            </w:r>
          </w:p>
        </w:tc>
        <w:tc>
          <w:tcPr>
            <w:tcW w:w="80" w:type="dxa"/>
            <w:vAlign w:val="bottom"/>
            <w:shd w:val="clear" w:color="auto" w:fill="CFF0FC"/>
          </w:tcPr>
          <w:p>
            <w:pPr>
              <w:spacing w:after="0"/>
              <w:rPr>
                <w:sz w:val="17"/>
                <w:szCs w:val="17"/>
                <w:color w:val="auto"/>
              </w:rPr>
            </w:pPr>
          </w:p>
        </w:tc>
      </w:tr>
      <w:tr>
        <w:trPr>
          <w:trHeight w:val="203"/>
        </w:trPr>
        <w:tc>
          <w:tcPr>
            <w:tcW w:w="6240" w:type="dxa"/>
            <w:vAlign w:val="bottom"/>
          </w:tcPr>
          <w:p>
            <w:pPr>
              <w:jc w:val="right"/>
              <w:ind w:right="5733"/>
              <w:spacing w:after="0" w:line="202" w:lineRule="exact"/>
              <w:rPr>
                <w:sz w:val="20"/>
                <w:szCs w:val="20"/>
                <w:color w:val="auto"/>
              </w:rPr>
            </w:pPr>
            <w:r>
              <w:rPr>
                <w:rFonts w:ascii="Arial" w:cs="Arial" w:eastAsia="Arial" w:hAnsi="Arial"/>
                <w:sz w:val="18"/>
                <w:szCs w:val="18"/>
                <w:color w:val="auto"/>
                <w:w w:val="99"/>
              </w:rPr>
              <w:t>2025</w:t>
            </w:r>
          </w:p>
        </w:tc>
        <w:tc>
          <w:tcPr>
            <w:tcW w:w="5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2,174</w:t>
            </w:r>
          </w:p>
        </w:tc>
        <w:tc>
          <w:tcPr>
            <w:tcW w:w="80" w:type="dxa"/>
            <w:vAlign w:val="bottom"/>
          </w:tcPr>
          <w:p>
            <w:pPr>
              <w:spacing w:after="0"/>
              <w:rPr>
                <w:sz w:val="17"/>
                <w:szCs w:val="17"/>
                <w:color w:val="auto"/>
              </w:rPr>
            </w:pPr>
          </w:p>
        </w:tc>
      </w:tr>
      <w:tr>
        <w:trPr>
          <w:trHeight w:val="203"/>
        </w:trPr>
        <w:tc>
          <w:tcPr>
            <w:tcW w:w="6240" w:type="dxa"/>
            <w:vAlign w:val="bottom"/>
            <w:shd w:val="clear" w:color="auto" w:fill="CFF0FC"/>
          </w:tcPr>
          <w:p>
            <w:pPr>
              <w:jc w:val="right"/>
              <w:ind w:right="5733"/>
              <w:spacing w:after="0" w:line="202" w:lineRule="exact"/>
              <w:rPr>
                <w:sz w:val="20"/>
                <w:szCs w:val="20"/>
                <w:color w:val="auto"/>
              </w:rPr>
            </w:pPr>
            <w:r>
              <w:rPr>
                <w:rFonts w:ascii="Arial" w:cs="Arial" w:eastAsia="Arial" w:hAnsi="Arial"/>
                <w:sz w:val="18"/>
                <w:szCs w:val="18"/>
                <w:color w:val="auto"/>
                <w:w w:val="99"/>
              </w:rPr>
              <w:t>2026</w:t>
            </w:r>
          </w:p>
        </w:tc>
        <w:tc>
          <w:tcPr>
            <w:tcW w:w="5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2,165</w:t>
            </w:r>
          </w:p>
        </w:tc>
        <w:tc>
          <w:tcPr>
            <w:tcW w:w="8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4,805</w:t>
            </w:r>
          </w:p>
        </w:tc>
        <w:tc>
          <w:tcPr>
            <w:tcW w:w="80" w:type="dxa"/>
            <w:vAlign w:val="bottom"/>
          </w:tcPr>
          <w:p>
            <w:pPr>
              <w:spacing w:after="0"/>
              <w:rPr>
                <w:sz w:val="17"/>
                <w:szCs w:val="17"/>
                <w:color w:val="auto"/>
              </w:rPr>
            </w:pPr>
          </w:p>
        </w:tc>
      </w:tr>
      <w:tr>
        <w:trPr>
          <w:trHeight w:val="236"/>
        </w:trPr>
        <w:tc>
          <w:tcPr>
            <w:tcW w:w="6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16,441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Company also enters into other purchase obligations in the normal course of doing business. The estimated annual minimum purchase commitments under those agreements were as follows for each of the years ending December 31:</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6240" w:type="dxa"/>
            <w:vAlign w:val="bottom"/>
          </w:tcPr>
          <w:p>
            <w:pPr>
              <w:jc w:val="right"/>
              <w:ind w:right="5294"/>
              <w:spacing w:after="0"/>
              <w:rPr>
                <w:sz w:val="20"/>
                <w:szCs w:val="20"/>
                <w:color w:val="auto"/>
              </w:rPr>
            </w:pPr>
            <w:r>
              <w:rPr>
                <w:rFonts w:ascii="Arial" w:cs="Arial" w:eastAsia="Arial" w:hAnsi="Arial"/>
                <w:sz w:val="14"/>
                <w:szCs w:val="14"/>
                <w:b w:val="1"/>
                <w:bCs w:val="1"/>
                <w:i w:val="1"/>
                <w:iCs w:val="1"/>
                <w:color w:val="auto"/>
                <w:w w:val="87"/>
              </w:rPr>
              <w:t>(in thousands)</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240" w:type="dxa"/>
            <w:vAlign w:val="bottom"/>
            <w:shd w:val="clear" w:color="auto" w:fill="CFF0FC"/>
          </w:tcPr>
          <w:p>
            <w:pPr>
              <w:jc w:val="right"/>
              <w:ind w:right="5734"/>
              <w:spacing w:after="0" w:line="202" w:lineRule="exact"/>
              <w:rPr>
                <w:sz w:val="20"/>
                <w:szCs w:val="20"/>
                <w:color w:val="auto"/>
              </w:rPr>
            </w:pPr>
            <w:r>
              <w:rPr>
                <w:rFonts w:ascii="Arial" w:cs="Arial" w:eastAsia="Arial" w:hAnsi="Arial"/>
                <w:sz w:val="18"/>
                <w:szCs w:val="18"/>
                <w:color w:val="auto"/>
                <w:w w:val="99"/>
              </w:rPr>
              <w:t>2022</w:t>
            </w: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6,113</w:t>
            </w:r>
          </w:p>
        </w:tc>
        <w:tc>
          <w:tcPr>
            <w:tcW w:w="80" w:type="dxa"/>
            <w:vAlign w:val="bottom"/>
            <w:shd w:val="clear" w:color="auto" w:fill="CFF0FC"/>
          </w:tcPr>
          <w:p>
            <w:pPr>
              <w:spacing w:after="0"/>
              <w:rPr>
                <w:sz w:val="17"/>
                <w:szCs w:val="17"/>
                <w:color w:val="auto"/>
              </w:rPr>
            </w:pPr>
          </w:p>
        </w:tc>
      </w:tr>
      <w:tr>
        <w:trPr>
          <w:trHeight w:val="203"/>
        </w:trPr>
        <w:tc>
          <w:tcPr>
            <w:tcW w:w="6240" w:type="dxa"/>
            <w:vAlign w:val="bottom"/>
          </w:tcPr>
          <w:p>
            <w:pPr>
              <w:jc w:val="right"/>
              <w:ind w:right="5734"/>
              <w:spacing w:after="0" w:line="202" w:lineRule="exact"/>
              <w:rPr>
                <w:sz w:val="20"/>
                <w:szCs w:val="20"/>
                <w:color w:val="auto"/>
              </w:rPr>
            </w:pPr>
            <w:r>
              <w:rPr>
                <w:rFonts w:ascii="Arial" w:cs="Arial" w:eastAsia="Arial" w:hAnsi="Arial"/>
                <w:sz w:val="18"/>
                <w:szCs w:val="18"/>
                <w:color w:val="auto"/>
                <w:w w:val="99"/>
              </w:rPr>
              <w:t>2023</w:t>
            </w:r>
          </w:p>
        </w:tc>
        <w:tc>
          <w:tcPr>
            <w:tcW w:w="5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6,729</w:t>
            </w:r>
          </w:p>
        </w:tc>
        <w:tc>
          <w:tcPr>
            <w:tcW w:w="80" w:type="dxa"/>
            <w:vAlign w:val="bottom"/>
          </w:tcPr>
          <w:p>
            <w:pPr>
              <w:spacing w:after="0"/>
              <w:rPr>
                <w:sz w:val="17"/>
                <w:szCs w:val="17"/>
                <w:color w:val="auto"/>
              </w:rPr>
            </w:pPr>
          </w:p>
        </w:tc>
      </w:tr>
      <w:tr>
        <w:trPr>
          <w:trHeight w:val="203"/>
        </w:trPr>
        <w:tc>
          <w:tcPr>
            <w:tcW w:w="6240" w:type="dxa"/>
            <w:vAlign w:val="bottom"/>
            <w:shd w:val="clear" w:color="auto" w:fill="CFF0FC"/>
          </w:tcPr>
          <w:p>
            <w:pPr>
              <w:jc w:val="right"/>
              <w:ind w:right="5734"/>
              <w:spacing w:after="0" w:line="202" w:lineRule="exact"/>
              <w:rPr>
                <w:sz w:val="20"/>
                <w:szCs w:val="20"/>
                <w:color w:val="auto"/>
              </w:rPr>
            </w:pPr>
            <w:r>
              <w:rPr>
                <w:rFonts w:ascii="Arial" w:cs="Arial" w:eastAsia="Arial" w:hAnsi="Arial"/>
                <w:sz w:val="18"/>
                <w:szCs w:val="18"/>
                <w:color w:val="auto"/>
                <w:w w:val="99"/>
              </w:rPr>
              <w:t>2024</w:t>
            </w:r>
          </w:p>
        </w:tc>
        <w:tc>
          <w:tcPr>
            <w:tcW w:w="5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5,659</w:t>
            </w:r>
          </w:p>
        </w:tc>
        <w:tc>
          <w:tcPr>
            <w:tcW w:w="80" w:type="dxa"/>
            <w:vAlign w:val="bottom"/>
            <w:shd w:val="clear" w:color="auto" w:fill="CFF0FC"/>
          </w:tcPr>
          <w:p>
            <w:pPr>
              <w:spacing w:after="0"/>
              <w:rPr>
                <w:sz w:val="17"/>
                <w:szCs w:val="17"/>
                <w:color w:val="auto"/>
              </w:rPr>
            </w:pPr>
          </w:p>
        </w:tc>
      </w:tr>
      <w:tr>
        <w:trPr>
          <w:trHeight w:val="203"/>
        </w:trPr>
        <w:tc>
          <w:tcPr>
            <w:tcW w:w="6240" w:type="dxa"/>
            <w:vAlign w:val="bottom"/>
            <w:tcBorders>
              <w:bottom w:val="single" w:sz="8" w:color="CFF0FC"/>
            </w:tcBorders>
          </w:tcPr>
          <w:p>
            <w:pPr>
              <w:jc w:val="right"/>
              <w:ind w:right="5734"/>
              <w:spacing w:after="0" w:line="202" w:lineRule="exact"/>
              <w:rPr>
                <w:sz w:val="20"/>
                <w:szCs w:val="20"/>
                <w:color w:val="auto"/>
              </w:rPr>
            </w:pPr>
            <w:r>
              <w:rPr>
                <w:rFonts w:ascii="Arial" w:cs="Arial" w:eastAsia="Arial" w:hAnsi="Arial"/>
                <w:sz w:val="18"/>
                <w:szCs w:val="18"/>
                <w:color w:val="auto"/>
                <w:w w:val="99"/>
              </w:rPr>
              <w:t>2025</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3,451</w:t>
            </w:r>
          </w:p>
        </w:tc>
        <w:tc>
          <w:tcPr>
            <w:tcW w:w="80" w:type="dxa"/>
            <w:vAlign w:val="bottom"/>
            <w:tcBorders>
              <w:bottom w:val="single" w:sz="8" w:color="CFF0FC"/>
            </w:tcBorders>
          </w:tcPr>
          <w:p>
            <w:pPr>
              <w:spacing w:after="0"/>
              <w:rPr>
                <w:sz w:val="17"/>
                <w:szCs w:val="17"/>
                <w:color w:val="auto"/>
              </w:rPr>
            </w:pPr>
          </w:p>
        </w:tc>
      </w:tr>
      <w:tr>
        <w:trPr>
          <w:trHeight w:val="236"/>
        </w:trPr>
        <w:tc>
          <w:tcPr>
            <w:tcW w:w="6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21,952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-162560</wp:posOffset>
            </wp:positionV>
            <wp:extent cx="431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9"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Members' Equity</w:t>
      </w:r>
    </w:p>
    <w:p>
      <w:pPr>
        <w:spacing w:after="0" w:line="108" w:lineRule="exact"/>
        <w:rPr>
          <w:sz w:val="20"/>
          <w:szCs w:val="20"/>
          <w:color w:val="auto"/>
        </w:rPr>
      </w:pPr>
    </w:p>
    <w:p>
      <w:pPr>
        <w:jc w:val="both"/>
        <w:ind w:right="100" w:firstLine="509"/>
        <w:spacing w:after="0" w:line="294" w:lineRule="auto"/>
        <w:rPr>
          <w:sz w:val="20"/>
          <w:szCs w:val="20"/>
          <w:color w:val="auto"/>
        </w:rPr>
      </w:pPr>
      <w:r>
        <w:rPr>
          <w:rFonts w:ascii="Arial" w:cs="Arial" w:eastAsia="Arial" w:hAnsi="Arial"/>
          <w:sz w:val="16"/>
          <w:szCs w:val="16"/>
          <w:color w:val="auto"/>
        </w:rPr>
        <w:t>The Company has Class A Common Stock, Class B Common Stock and Preferred Stock. Holders of outstanding shares of Class A and Class B Common Stock vote as a single class on all matters on which stockholders are entitled to vote generally, except as otherwise required by law. Class B Common Stock issued to holders of Definitive OpCo Units that are unvested shall have no vote per share until such time as such Units have vested.</w:t>
      </w:r>
    </w:p>
    <w:p>
      <w:pPr>
        <w:spacing w:after="0" w:line="39"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Class A Common Stockholders are entitled to receive dividends, if declared by our board of directors out of legally available funds. Upon our liquidation, dissolution or winding up and after payment in full of all amounts required to be paid to</w:t>
      </w:r>
    </w:p>
    <w:p>
      <w:pPr>
        <w:spacing w:after="0" w:line="6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48" w:right="639" w:bottom="1440" w:gutter="0" w:footer="0" w:header="0"/>
        </w:sectPr>
      </w:pPr>
    </w:p>
    <w:bookmarkStart w:id="96" w:name="page97"/>
    <w:bookmarkEnd w:id="96"/>
    <w:p>
      <w:pPr>
        <w:ind w:right="40"/>
        <w:spacing w:after="0" w:line="261" w:lineRule="auto"/>
        <w:rPr>
          <w:sz w:val="20"/>
          <w:szCs w:val="20"/>
          <w:color w:val="auto"/>
        </w:rPr>
      </w:pPr>
      <w:r>
        <w:rPr>
          <w:rFonts w:ascii="Arial" w:cs="Arial" w:eastAsia="Arial" w:hAnsi="Arial"/>
          <w:sz w:val="18"/>
          <w:szCs w:val="18"/>
          <w:color w:val="auto"/>
        </w:rPr>
        <w:t>creditors and to the holders of Preferred Stock having liquidation preferences, if any, the holders of shares of our Class A Common Stock will be entitled to receive pro rata our remaining assets available for distribution.</w:t>
      </w:r>
    </w:p>
    <w:p>
      <w:pPr>
        <w:spacing w:after="0" w:line="63"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Class B Common Stockholders are not entitled to economic interests in Definitive Healthcare Corp. and do not have any right to receive dividends or to receive a distribution upon a liquidation or winding up of Definitive Healthcare Corp.</w:t>
      </w:r>
    </w:p>
    <w:p>
      <w:pPr>
        <w:spacing w:after="0" w:line="63"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Shares of Preferred Stock have not been issued at December 31, 2021. The board of directors may authorize one or more series of Preferred Stock (including convertible Preferred Stock) and will determine, with respect to any series of Preferred Stock, the voting rights, preferences, participation, or other special right and limitations.</w:t>
      </w:r>
    </w:p>
    <w:p>
      <w:pPr>
        <w:spacing w:after="0" w:line="7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Under the Amended Definitive OpCo LLC Agreement, the holders of LLC Units ("Continuing LLC Members") have the right to require Definitive OpCo to exchange all or a portion of their LLC Units for newly issued shares of Class A Common Stock, which may consist of unregistered shares, on a one-for-one basis (subject to customary adjustments, including or stock splits, stock dividends, and reclassifications). Shares of Class B Common Stock and their corresponding LLC Units will be canceled on a one-for-one basis once an exchange has been completed.</w:t>
      </w:r>
    </w:p>
    <w:p>
      <w:pPr>
        <w:spacing w:after="0" w:line="6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Upon formation of Definitive OpCo in conjunction with the Advent Acquisition in July 2019, two classes of LLC units were established: Class A Units ("Class A Units") and Class B Units ("Class B Units"), collectively "the Units".</w:t>
      </w:r>
    </w:p>
    <w:p>
      <w:pPr>
        <w:spacing w:after="0" w:line="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In 2020, the Company contributed $25.4 million worth of its Class A Units to partially fund the acquisition of Monocl that occurred in October 2020 (see Note 3. </w:t>
      </w:r>
      <w:r>
        <w:rPr>
          <w:rFonts w:ascii="Arial" w:cs="Arial" w:eastAsia="Arial" w:hAnsi="Arial"/>
          <w:sz w:val="18"/>
          <w:szCs w:val="18"/>
          <w:i w:val="1"/>
          <w:iCs w:val="1"/>
          <w:color w:val="auto"/>
        </w:rPr>
        <w:t>Acquisitions and Investments</w:t>
      </w:r>
      <w:r>
        <w:rPr>
          <w:rFonts w:ascii="Arial" w:cs="Arial" w:eastAsia="Arial" w:hAnsi="Arial"/>
          <w:sz w:val="18"/>
          <w:szCs w:val="18"/>
          <w:color w:val="auto"/>
        </w:rPr>
        <w:t>). The Company also received an additional $6.4 million contribution for buy-in of Class A Units from certain members.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provides a summary of the number of Units authorized, issued and outstanding as of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spacing w:after="0"/>
              <w:rPr>
                <w:sz w:val="16"/>
                <w:szCs w:val="16"/>
                <w:color w:val="auto"/>
              </w:rPr>
            </w:pPr>
          </w:p>
        </w:tc>
        <w:tc>
          <w:tcPr>
            <w:tcW w:w="1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6"/>
                <w:szCs w:val="16"/>
                <w:color w:val="auto"/>
              </w:rPr>
            </w:pPr>
          </w:p>
        </w:tc>
      </w:tr>
      <w:tr>
        <w:trPr>
          <w:trHeight w:val="196"/>
        </w:trPr>
        <w:tc>
          <w:tcPr>
            <w:tcW w:w="922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Class A Units:</w:t>
            </w:r>
          </w:p>
        </w:tc>
        <w:tc>
          <w:tcPr>
            <w:tcW w:w="1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140"/>
              <w:spacing w:after="0" w:line="202" w:lineRule="exact"/>
              <w:rPr>
                <w:sz w:val="20"/>
                <w:szCs w:val="20"/>
                <w:color w:val="auto"/>
              </w:rPr>
            </w:pPr>
            <w:r>
              <w:rPr>
                <w:rFonts w:ascii="Arial" w:cs="Arial" w:eastAsia="Arial" w:hAnsi="Arial"/>
                <w:sz w:val="18"/>
                <w:szCs w:val="18"/>
                <w:color w:val="auto"/>
              </w:rPr>
              <w:t>Authorized, issued and outstanding Class A Units</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130,245,990</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Class B Units:</w:t>
            </w:r>
          </w:p>
        </w:tc>
        <w:tc>
          <w:tcPr>
            <w:tcW w:w="1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9220" w:type="dxa"/>
            <w:vAlign w:val="bottom"/>
          </w:tcPr>
          <w:p>
            <w:pPr>
              <w:ind w:left="140"/>
              <w:spacing w:after="0" w:line="202" w:lineRule="exact"/>
              <w:rPr>
                <w:sz w:val="20"/>
                <w:szCs w:val="20"/>
                <w:color w:val="auto"/>
              </w:rPr>
            </w:pPr>
            <w:r>
              <w:rPr>
                <w:rFonts w:ascii="Arial" w:cs="Arial" w:eastAsia="Arial" w:hAnsi="Arial"/>
                <w:sz w:val="18"/>
                <w:szCs w:val="18"/>
                <w:color w:val="auto"/>
              </w:rPr>
              <w:t>Authorized Class B Units</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8,088,877</w:t>
            </w:r>
          </w:p>
        </w:tc>
        <w:tc>
          <w:tcPr>
            <w:tcW w:w="60" w:type="dxa"/>
            <w:vAlign w:val="bottom"/>
          </w:tcPr>
          <w:p>
            <w:pPr>
              <w:spacing w:after="0"/>
              <w:rPr>
                <w:sz w:val="17"/>
                <w:szCs w:val="17"/>
                <w:color w:val="auto"/>
              </w:rPr>
            </w:pPr>
          </w:p>
        </w:tc>
      </w:tr>
      <w:tr>
        <w:trPr>
          <w:trHeight w:val="203"/>
        </w:trPr>
        <w:tc>
          <w:tcPr>
            <w:tcW w:w="92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Issued Class B Units</w:t>
            </w: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3,720,063</w:t>
            </w:r>
          </w:p>
        </w:tc>
        <w:tc>
          <w:tcPr>
            <w:tcW w:w="60" w:type="dxa"/>
            <w:vAlign w:val="bottom"/>
            <w:shd w:val="clear" w:color="auto" w:fill="CFF0FC"/>
          </w:tcPr>
          <w:p>
            <w:pPr>
              <w:spacing w:after="0"/>
              <w:rPr>
                <w:sz w:val="17"/>
                <w:szCs w:val="17"/>
                <w:color w:val="auto"/>
              </w:rPr>
            </w:pPr>
          </w:p>
        </w:tc>
      </w:tr>
      <w:tr>
        <w:trPr>
          <w:trHeight w:val="230"/>
        </w:trPr>
        <w:tc>
          <w:tcPr>
            <w:tcW w:w="9220" w:type="dxa"/>
            <w:vAlign w:val="bottom"/>
          </w:tcPr>
          <w:p>
            <w:pPr>
              <w:ind w:left="160"/>
              <w:spacing w:after="0"/>
              <w:rPr>
                <w:sz w:val="20"/>
                <w:szCs w:val="20"/>
                <w:color w:val="auto"/>
              </w:rPr>
            </w:pPr>
            <w:r>
              <w:rPr>
                <w:rFonts w:ascii="Arial" w:cs="Arial" w:eastAsia="Arial" w:hAnsi="Arial"/>
                <w:sz w:val="18"/>
                <w:szCs w:val="18"/>
                <w:color w:val="auto"/>
              </w:rPr>
              <w:t>Outstanding Class B Units (vested Class B Units)</w:t>
            </w:r>
          </w:p>
        </w:tc>
        <w:tc>
          <w:tcPr>
            <w:tcW w:w="1960" w:type="dxa"/>
            <w:vAlign w:val="bottom"/>
          </w:tcPr>
          <w:p>
            <w:pPr>
              <w:jc w:val="right"/>
              <w:spacing w:after="0"/>
              <w:rPr>
                <w:sz w:val="20"/>
                <w:szCs w:val="20"/>
                <w:color w:val="auto"/>
              </w:rPr>
            </w:pPr>
            <w:r>
              <w:rPr>
                <w:rFonts w:ascii="Arial" w:cs="Arial" w:eastAsia="Arial" w:hAnsi="Arial"/>
                <w:sz w:val="18"/>
                <w:szCs w:val="18"/>
                <w:color w:val="auto"/>
              </w:rPr>
              <w:t>474,920</w:t>
            </w:r>
          </w:p>
        </w:tc>
        <w:tc>
          <w:tcPr>
            <w:tcW w:w="60" w:type="dxa"/>
            <w:vAlign w:val="bottom"/>
          </w:tcPr>
          <w:p>
            <w:pPr>
              <w:spacing w:after="0"/>
              <w:rPr>
                <w:sz w:val="20"/>
                <w:szCs w:val="20"/>
                <w:color w:val="auto"/>
              </w:rPr>
            </w:pPr>
          </w:p>
        </w:tc>
      </w:tr>
    </w:tbl>
    <w:p>
      <w:pPr>
        <w:spacing w:after="0" w:line="66"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In 2021, the Company issued 363,516 new Class A Units worth $5.8 million, consisting of a capital contribution of $5.5 million and equity-based compensation expense of $0.3 million. In connection with the Reorganization Transactions and the IPO in September 2021, Class A Units held directly by employees of the Company or indirectly through Definitive OpCo were exchanged on a one-for-one basis for Definitive OpCo LLC Units.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Note 13. </w:t>
      </w:r>
      <w:r>
        <w:rPr>
          <w:rFonts w:ascii="Arial" w:cs="Arial" w:eastAsia="Arial" w:hAnsi="Arial"/>
          <w:sz w:val="18"/>
          <w:szCs w:val="18"/>
          <w:i w:val="1"/>
          <w:iCs w:val="1"/>
          <w:color w:val="auto"/>
        </w:rPr>
        <w:t>Equity-Based Compensation</w:t>
      </w:r>
      <w:r>
        <w:rPr>
          <w:rFonts w:ascii="Arial" w:cs="Arial" w:eastAsia="Arial" w:hAnsi="Arial"/>
          <w:sz w:val="18"/>
          <w:szCs w:val="18"/>
          <w:color w:val="auto"/>
        </w:rPr>
        <w:t xml:space="preserve"> for more detail on Class B Units.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Successor Company</w:t>
      </w:r>
    </w:p>
    <w:p>
      <w:pPr>
        <w:spacing w:after="0" w:line="104"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As part of the Advent Acquisition in July 2019, the Company issued 126,725,743 Class A units at $10.00 per unit for total contributed capital of $1.3 billion.</w:t>
      </w:r>
    </w:p>
    <w:p>
      <w:pPr>
        <w:spacing w:after="0" w:line="63"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 xml:space="preserve">Additionally, the outstanding units of the Legacy Class B Series B, Series C, Series D, and Series E (discussed further in the </w:t>
      </w:r>
      <w:r>
        <w:rPr>
          <w:rFonts w:ascii="Arial" w:cs="Arial" w:eastAsia="Arial" w:hAnsi="Arial"/>
          <w:sz w:val="18"/>
          <w:szCs w:val="18"/>
          <w:i w:val="1"/>
          <w:iCs w:val="1"/>
          <w:color w:val="auto"/>
        </w:rPr>
        <w:t>Predecessor Company</w:t>
      </w:r>
      <w:r>
        <w:rPr>
          <w:rFonts w:ascii="Arial" w:cs="Arial" w:eastAsia="Arial" w:hAnsi="Arial"/>
          <w:sz w:val="18"/>
          <w:szCs w:val="18"/>
          <w:color w:val="auto"/>
        </w:rPr>
        <w:t xml:space="preserve"> section below) were sold to AIDH Buyer, a wholly owned subsidiary of Definitive OpCo, and the holders received a combination of cash and equity in the Company.</w:t>
      </w:r>
    </w:p>
    <w:p>
      <w:pPr>
        <w:spacing w:after="0" w:line="7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 xml:space="preserve">In conjunction with the acquisition, Definitive OpCo paid $6.9 million to the selling shareholders in July 2020, which had been recorded as a members' distribution payable on the balance sheet at December 31, 2019 (see Note 3. </w:t>
      </w:r>
      <w:r>
        <w:rPr>
          <w:rFonts w:ascii="Arial" w:cs="Arial" w:eastAsia="Arial" w:hAnsi="Arial"/>
          <w:sz w:val="18"/>
          <w:szCs w:val="18"/>
          <w:i w:val="1"/>
          <w:iCs w:val="1"/>
          <w:color w:val="auto"/>
        </w:rPr>
        <w:t>Acquisitions and Investments</w:t>
      </w:r>
      <w:r>
        <w:rPr>
          <w:rFonts w:ascii="Arial" w:cs="Arial" w:eastAsia="Arial" w:hAnsi="Arial"/>
          <w:sz w:val="18"/>
          <w:szCs w:val="18"/>
          <w:color w:val="auto"/>
        </w:rPr>
        <w:t>).</w:t>
      </w:r>
    </w:p>
    <w:p>
      <w:pPr>
        <w:spacing w:after="0" w:line="63"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 xml:space="preserve">In 2019, the Company contributed $4.0 million worth of its Class A Units to partially fund the acquisition of HSE that occurred in December 2019 (see Note 3. </w:t>
      </w:r>
      <w:r>
        <w:rPr>
          <w:rFonts w:ascii="Arial" w:cs="Arial" w:eastAsia="Arial" w:hAnsi="Arial"/>
          <w:sz w:val="18"/>
          <w:szCs w:val="18"/>
          <w:i w:val="1"/>
          <w:iCs w:val="1"/>
          <w:color w:val="auto"/>
        </w:rPr>
        <w:t>Acquisitions and Investments</w:t>
      </w:r>
      <w:r>
        <w:rPr>
          <w:rFonts w:ascii="Arial" w:cs="Arial" w:eastAsia="Arial" w:hAnsi="Arial"/>
          <w:sz w:val="18"/>
          <w:szCs w:val="18"/>
          <w:color w:val="auto"/>
        </w:rPr>
        <w: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2019, there were 127,125,435 issued and outstanding Class A Units.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Predecessor Company</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Upon formation of the Predecessor Company, two classes of common units were established; Class A Common Units (“Legacy Class A Units”) and Class B Common Units (“Legacy Class B Units”), collectively the "Legacy Common Units".</w:t>
      </w:r>
    </w:p>
    <w:p>
      <w:pPr>
        <w:spacing w:after="0" w:line="63" w:lineRule="exact"/>
        <w:rPr>
          <w:sz w:val="20"/>
          <w:szCs w:val="20"/>
          <w:color w:val="auto"/>
        </w:rPr>
      </w:pPr>
    </w:p>
    <w:p>
      <w:pPr>
        <w:ind w:right="560" w:firstLine="509"/>
        <w:spacing w:after="0" w:line="248" w:lineRule="auto"/>
        <w:rPr>
          <w:sz w:val="20"/>
          <w:szCs w:val="20"/>
          <w:color w:val="auto"/>
        </w:rPr>
      </w:pPr>
      <w:r>
        <w:rPr>
          <w:rFonts w:ascii="Arial" w:cs="Arial" w:eastAsia="Arial" w:hAnsi="Arial"/>
          <w:sz w:val="18"/>
          <w:szCs w:val="18"/>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7" w:name="page98"/>
    <w:bookmarkEnd w:id="97"/>
    <w:p>
      <w:pPr>
        <w:jc w:val="both"/>
        <w:ind w:right="200"/>
        <w:spacing w:after="0" w:line="270" w:lineRule="auto"/>
        <w:rPr>
          <w:sz w:val="20"/>
          <w:szCs w:val="20"/>
          <w:color w:val="auto"/>
        </w:rPr>
      </w:pPr>
      <w:r>
        <w:rPr>
          <w:rFonts w:ascii="Arial" w:cs="Arial" w:eastAsia="Arial" w:hAnsi="Arial"/>
          <w:sz w:val="17"/>
          <w:szCs w:val="17"/>
          <w:color w:val="auto"/>
        </w:rPr>
        <w:t>in Class B Units of the Predecessor Company. Upon formation of DHCB all previously issued Class B Units were exchanged for DHCB Series B Units, and the previously authorized Class B Units were transferred to DHCB. The DHCB Holdings Agreement allowed for the creation of a series of units (the “Incentive Equity Pool”), upon approval by the Management Board, up to the cumulative authorized amount of 407,750.</w:t>
      </w:r>
    </w:p>
    <w:p>
      <w:pPr>
        <w:spacing w:after="0" w:line="5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04"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Definitive OpCo Units held by Continuing LLC Members. Changes in Definitive Healthcare Corp.'s ownership interest in its consolidated subsidiaries are accounted for as equity transactions. As such, future redemptions or direct exchanges of OpCo Units by Continuing LLC Members will result in a change in ownership and reduce or increase the amount recorded as Noncontrolling interests and increase or decrease Additional paid-in capital in the Company’s consolidated balance sheets.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December 31, 2021, Definitive Healthcare Corp. held 97,030,095 units in Definitive OpCo, resulting in an ownership interest of 63.6%.</w:t>
      </w:r>
    </w:p>
    <w:p>
      <w:pPr>
        <w:spacing w:after="0" w:line="200" w:lineRule="exact"/>
        <w:rPr>
          <w:sz w:val="20"/>
          <w:szCs w:val="20"/>
          <w:color w:val="auto"/>
        </w:rPr>
      </w:pPr>
    </w:p>
    <w:p>
      <w:pPr>
        <w:spacing w:after="0" w:line="251" w:lineRule="exact"/>
        <w:rPr>
          <w:sz w:val="20"/>
          <w:szCs w:val="20"/>
          <w:color w:val="auto"/>
        </w:rPr>
      </w:pPr>
    </w:p>
    <w:p>
      <w:pPr>
        <w:ind w:right="8540" w:firstLine="8"/>
        <w:spacing w:after="0" w:line="407" w:lineRule="auto"/>
        <w:tabs>
          <w:tab w:leader="none" w:pos="509"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Equity-based Compensation </w:t>
      </w:r>
      <w:r>
        <w:rPr>
          <w:rFonts w:ascii="Arial" w:cs="Arial" w:eastAsia="Arial" w:hAnsi="Arial"/>
          <w:sz w:val="16"/>
          <w:szCs w:val="16"/>
          <w:b w:val="1"/>
          <w:bCs w:val="1"/>
          <w:i w:val="1"/>
          <w:iCs w:val="1"/>
          <w:color w:val="auto"/>
        </w:rPr>
        <w:t>2021 Incentive Equity Plan</w:t>
      </w:r>
    </w:p>
    <w:p>
      <w:pPr>
        <w:spacing w:after="0" w:line="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As of September 15, 2021, in connection with its IPO, the Company adopted the Definitive Healthcare Corp. 2021 Equity Incentive Plan (the "2021 Plan"). The types of awards available under the 2021 Plan include stock options (both incentive and non-qualified), stock appreciation rights ("SARs"), restricted stock awards ("RSAs"), restricted stock units ("RSUs"), and stock-based awards.</w:t>
      </w:r>
    </w:p>
    <w:p>
      <w:pPr>
        <w:spacing w:after="0" w:line="7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aggregate number of shares of Class A Common Stock available for grant under the 2021 Plan was 6,888,789 shares at December 31, 2021 and 2,129,828 RSUs have been granted under the 2021 Plan as of that date. The outstanding RSUs have time-based and/or performance-based vesting criteria. Outstanding time-based RSUs generally vest partially on the one-year anniversary of each grant and quarterly over the subsequent two- or three-year period. Outstanding performance-based RSUs vest annually over three years upon the achievement of certain performance targets and continued service, the measurement period for which begins January 1, 2022. As such, no stock-based compensation expense associated with performance-based RSUs was recorded in 2021.</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Company's unvested time-based and performance-based RSU activity for the 12 months ended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1117"/>
              <w:spacing w:after="0"/>
              <w:rPr>
                <w:sz w:val="20"/>
                <w:szCs w:val="20"/>
                <w:color w:val="auto"/>
              </w:rPr>
            </w:pPr>
            <w:r>
              <w:rPr>
                <w:rFonts w:ascii="Arial" w:cs="Arial" w:eastAsia="Arial" w:hAnsi="Arial"/>
                <w:sz w:val="14"/>
                <w:szCs w:val="14"/>
                <w:b w:val="1"/>
                <w:bCs w:val="1"/>
                <w:color w:val="auto"/>
              </w:rPr>
              <w:t>Time-Based</w:t>
            </w:r>
          </w:p>
        </w:tc>
        <w:tc>
          <w:tcPr>
            <w:tcW w:w="22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Performance-Based</w:t>
            </w:r>
          </w:p>
        </w:tc>
        <w:tc>
          <w:tcPr>
            <w:tcW w:w="60" w:type="dxa"/>
            <w:vAlign w:val="bottom"/>
          </w:tcPr>
          <w:p>
            <w:pPr>
              <w:spacing w:after="0"/>
              <w:rPr>
                <w:sz w:val="16"/>
                <w:szCs w:val="16"/>
                <w:color w:val="auto"/>
              </w:rPr>
            </w:pPr>
          </w:p>
        </w:tc>
      </w:tr>
      <w:tr>
        <w:trPr>
          <w:trHeight w:val="160"/>
        </w:trPr>
        <w:tc>
          <w:tcPr>
            <w:tcW w:w="4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77"/>
              <w:spacing w:after="0" w:line="160"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3"/>
                <w:szCs w:val="13"/>
                <w:color w:val="auto"/>
              </w:rPr>
            </w:pPr>
          </w:p>
        </w:tc>
      </w:tr>
      <w:tr>
        <w:trPr>
          <w:trHeight w:val="175"/>
        </w:trPr>
        <w:tc>
          <w:tcPr>
            <w:tcW w:w="4820" w:type="dxa"/>
            <w:vAlign w:val="bottom"/>
          </w:tcPr>
          <w:p>
            <w:pPr>
              <w:spacing w:after="0"/>
              <w:rPr>
                <w:sz w:val="15"/>
                <w:szCs w:val="15"/>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Restricted</w:t>
            </w:r>
          </w:p>
        </w:tc>
        <w:tc>
          <w:tcPr>
            <w:tcW w:w="160" w:type="dxa"/>
            <w:vAlign w:val="bottom"/>
          </w:tcPr>
          <w:p>
            <w:pPr>
              <w:spacing w:after="0"/>
              <w:rPr>
                <w:sz w:val="15"/>
                <w:szCs w:val="15"/>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Average Grant</w:t>
            </w:r>
          </w:p>
        </w:tc>
        <w:tc>
          <w:tcPr>
            <w:tcW w:w="220" w:type="dxa"/>
            <w:vAlign w:val="bottom"/>
          </w:tcPr>
          <w:p>
            <w:pPr>
              <w:spacing w:after="0"/>
              <w:rPr>
                <w:sz w:val="15"/>
                <w:szCs w:val="15"/>
                <w:color w:val="auto"/>
              </w:rPr>
            </w:pPr>
          </w:p>
        </w:tc>
        <w:tc>
          <w:tcPr>
            <w:tcW w:w="1400" w:type="dxa"/>
            <w:vAlign w:val="bottom"/>
          </w:tcPr>
          <w:p>
            <w:pPr>
              <w:jc w:val="right"/>
              <w:ind w:right="298"/>
              <w:spacing w:after="0"/>
              <w:rPr>
                <w:sz w:val="20"/>
                <w:szCs w:val="20"/>
                <w:color w:val="auto"/>
              </w:rPr>
            </w:pPr>
            <w:r>
              <w:rPr>
                <w:rFonts w:ascii="Arial" w:cs="Arial" w:eastAsia="Arial" w:hAnsi="Arial"/>
                <w:sz w:val="14"/>
                <w:szCs w:val="14"/>
                <w:b w:val="1"/>
                <w:bCs w:val="1"/>
                <w:color w:val="auto"/>
              </w:rPr>
              <w:t>Restricted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Average Grant</w:t>
            </w:r>
          </w:p>
        </w:tc>
        <w:tc>
          <w:tcPr>
            <w:tcW w:w="60" w:type="dxa"/>
            <w:vAlign w:val="bottom"/>
          </w:tcPr>
          <w:p>
            <w:pPr>
              <w:spacing w:after="0"/>
              <w:rPr>
                <w:sz w:val="15"/>
                <w:szCs w:val="15"/>
                <w:color w:val="auto"/>
              </w:rPr>
            </w:pPr>
          </w:p>
        </w:tc>
      </w:tr>
      <w:tr>
        <w:trPr>
          <w:trHeight w:val="185"/>
        </w:trPr>
        <w:tc>
          <w:tcPr>
            <w:tcW w:w="4820" w:type="dxa"/>
            <w:vAlign w:val="bottom"/>
          </w:tcPr>
          <w:p>
            <w:pPr>
              <w:spacing w:after="0"/>
              <w:rPr>
                <w:sz w:val="16"/>
                <w:szCs w:val="16"/>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Stock Units</w:t>
            </w:r>
          </w:p>
        </w:tc>
        <w:tc>
          <w:tcPr>
            <w:tcW w:w="160" w:type="dxa"/>
            <w:vAlign w:val="bottom"/>
          </w:tcPr>
          <w:p>
            <w:pPr>
              <w:spacing w:after="0"/>
              <w:rPr>
                <w:sz w:val="16"/>
                <w:szCs w:val="16"/>
                <w:color w:val="auto"/>
              </w:rPr>
            </w:pPr>
          </w:p>
        </w:tc>
        <w:tc>
          <w:tcPr>
            <w:tcW w:w="128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Date Fair Value</w:t>
            </w:r>
          </w:p>
        </w:tc>
        <w:tc>
          <w:tcPr>
            <w:tcW w:w="220" w:type="dxa"/>
            <w:vAlign w:val="bottom"/>
          </w:tcPr>
          <w:p>
            <w:pPr>
              <w:spacing w:after="0"/>
              <w:rPr>
                <w:sz w:val="16"/>
                <w:szCs w:val="16"/>
                <w:color w:val="auto"/>
              </w:rPr>
            </w:pPr>
          </w:p>
        </w:tc>
        <w:tc>
          <w:tcPr>
            <w:tcW w:w="1400" w:type="dxa"/>
            <w:vAlign w:val="bottom"/>
          </w:tcPr>
          <w:p>
            <w:pPr>
              <w:jc w:val="right"/>
              <w:ind w:right="258"/>
              <w:spacing w:after="0"/>
              <w:rPr>
                <w:sz w:val="20"/>
                <w:szCs w:val="20"/>
                <w:color w:val="auto"/>
              </w:rPr>
            </w:pPr>
            <w:r>
              <w:rPr>
                <w:rFonts w:ascii="Arial" w:cs="Arial" w:eastAsia="Arial" w:hAnsi="Arial"/>
                <w:sz w:val="14"/>
                <w:szCs w:val="14"/>
                <w:b w:val="1"/>
                <w:bCs w:val="1"/>
                <w:color w:val="auto"/>
              </w:rPr>
              <w:t>Stock Units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Date Fair Value</w:t>
            </w:r>
          </w:p>
        </w:tc>
        <w:tc>
          <w:tcPr>
            <w:tcW w:w="60" w:type="dxa"/>
            <w:vAlign w:val="bottom"/>
          </w:tcPr>
          <w:p>
            <w:pPr>
              <w:spacing w:after="0"/>
              <w:rPr>
                <w:sz w:val="16"/>
                <w:szCs w:val="16"/>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at beginning of period</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1,965,477</w:t>
            </w:r>
          </w:p>
        </w:tc>
        <w:tc>
          <w:tcPr>
            <w:tcW w:w="2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32.50</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164,351</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27.00</w:t>
            </w:r>
          </w:p>
        </w:tc>
        <w:tc>
          <w:tcPr>
            <w:tcW w:w="60" w:type="dxa"/>
            <w:vAlign w:val="bottom"/>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(29,578 )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27.00</w:t>
            </w: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4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Unvested at end of period</w:t>
            </w:r>
          </w:p>
        </w:tc>
        <w:tc>
          <w:tcPr>
            <w:tcW w:w="1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1,935,899</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32.59</w:t>
            </w: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164,351</w:t>
            </w:r>
          </w:p>
        </w:tc>
        <w:tc>
          <w:tcPr>
            <w:tcW w:w="3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431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431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The Company recognized $4.4 million in stock-based compensation expense associated with RSUs granted in 2021. Total unrecognized expense was estimated to be $63.1 million for both time-based and performance-based vesting awards at December 31, 2021, expected to be recognized over a weighted-average period of approximately 3.5 years.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Equity Plan</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In July 2019, the Company and its Board of Members approved the 2019 Equity Incentive Plan (the "2019 Plan") under which the Parent Company had reserved approximately 8,088,877 Class B Units (the “2019 Incentive Equity Pool”). Prior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8" w:name="page99"/>
    <w:bookmarkEnd w:id="98"/>
    <w:p>
      <w:pPr>
        <w:jc w:val="both"/>
        <w:ind w:right="160"/>
        <w:spacing w:after="0" w:line="243" w:lineRule="auto"/>
        <w:rPr>
          <w:sz w:val="20"/>
          <w:szCs w:val="20"/>
          <w:color w:val="auto"/>
        </w:rPr>
      </w:pPr>
      <w:r>
        <w:rPr>
          <w:rFonts w:ascii="Arial" w:cs="Arial" w:eastAsia="Arial" w:hAnsi="Arial"/>
          <w:sz w:val="18"/>
          <w:szCs w:val="18"/>
          <w:color w:val="auto"/>
        </w:rPr>
        <w:t>the IPO, the 2019 Incentive Equity Pool was utilized for the issuance of units to employees, consultants, directors, managers, or others providing services to the Company pursuant to Board of Members approval. These interests were considered profit interests, which, in general, entitled the holder of the unit to a pro rata share of the increase in value of the unit over the base value determined at the award date and subject to such vesting and other restrictions as the Board of Members may have deemed appropriate.</w:t>
      </w:r>
    </w:p>
    <w:p>
      <w:pPr>
        <w:spacing w:after="0" w:line="18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units had time-based and/or performance-based vesting criteria. Generally, the time-based units vested in equal annual installments over a four-year period on the anniversary date of the vest date. The performance-based units vested based on the achievement of specified returns on investments upon a change of control or qualifying event, as defined in the agreement. In connection with the IPO, performance-based forfeiture conditions for unvested units were waived through a modification of the awards and after the IPO, all such unvested awards became subjected to time vesting over three years beginning from the IPO date. As a result of the modification of the terms of such performance-vesting awards, the Company recorded expense based on the fair value of the units that otherwise would have been forfeited using the IPO price of $27.00 per share. The total compensation expense related to the modification was $9.0 million, which will be recognized over the respective remaining service periods. The Company recorded $1.3 million in stock-based compensation expense associated with these performance-vesting units in 2021.</w:t>
      </w:r>
    </w:p>
    <w:p>
      <w:pPr>
        <w:spacing w:after="0" w:line="181"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In connection with the retirement of an executive officer in the third quarter of 2021, the Company accelerated the vesting of 24,049 unvested time-vesting Class B units and 48,099 of his unvested performance-vesting Class B units. The Company recorded incremental compensation expense of approximately $1.9 million in the third quarter of 2021. Upon separation, the remaining 72,149 Class B units were forfeited.</w:t>
      </w:r>
    </w:p>
    <w:p>
      <w:pPr>
        <w:spacing w:after="0" w:line="16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Effective September 15, 2021, the Company no longer grants any awards under the 2019 Plan, though awards previously granted under the 2019 Plan remain outstanding and governed by the 2019 Plan, except for the modifications described above.</w:t>
      </w:r>
    </w:p>
    <w:p>
      <w:pPr>
        <w:spacing w:after="0" w:line="171"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For awards granted under the 2019 Plan, the Company assessed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required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July 16, 2019 to</w:t>
            </w:r>
          </w:p>
        </w:tc>
      </w:tr>
      <w:tr>
        <w:trPr>
          <w:trHeight w:val="175"/>
        </w:trPr>
        <w:tc>
          <w:tcPr>
            <w:tcW w:w="3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r>
      <w:tr>
        <w:trPr>
          <w:trHeight w:val="185"/>
        </w:trPr>
        <w:tc>
          <w:tcPr>
            <w:tcW w:w="3360" w:type="dxa"/>
            <w:vAlign w:val="bottom"/>
          </w:tcPr>
          <w:p>
            <w:pPr>
              <w:spacing w:after="0"/>
              <w:rPr>
                <w:sz w:val="16"/>
                <w:szCs w:val="16"/>
                <w:color w:val="auto"/>
              </w:rPr>
            </w:pPr>
          </w:p>
        </w:tc>
        <w:tc>
          <w:tcPr>
            <w:tcW w:w="2060" w:type="dxa"/>
            <w:vAlign w:val="bottom"/>
          </w:tcPr>
          <w:p>
            <w:pPr>
              <w:jc w:val="right"/>
              <w:ind w:right="335"/>
              <w:spacing w:after="0"/>
              <w:rPr>
                <w:sz w:val="20"/>
                <w:szCs w:val="20"/>
                <w:color w:val="auto"/>
              </w:rPr>
            </w:pPr>
            <w:r>
              <w:rPr>
                <w:rFonts w:ascii="Arial" w:cs="Arial" w:eastAsia="Arial" w:hAnsi="Arial"/>
                <w:sz w:val="14"/>
                <w:szCs w:val="14"/>
                <w:b w:val="1"/>
                <w:bCs w:val="1"/>
                <w:color w:val="auto"/>
              </w:rPr>
              <w:t>September 15, 2021</w:t>
            </w:r>
          </w:p>
        </w:tc>
        <w:tc>
          <w:tcPr>
            <w:tcW w:w="200" w:type="dxa"/>
            <w:vAlign w:val="bottom"/>
          </w:tcPr>
          <w:p>
            <w:pPr>
              <w:spacing w:after="0"/>
              <w:rPr>
                <w:sz w:val="16"/>
                <w:szCs w:val="16"/>
                <w:color w:val="auto"/>
              </w:rPr>
            </w:pPr>
          </w:p>
        </w:tc>
        <w:tc>
          <w:tcPr>
            <w:tcW w:w="2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December 31, 2020</w:t>
            </w: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(Successor)</w:t>
            </w:r>
          </w:p>
        </w:tc>
      </w:tr>
      <w:tr>
        <w:trPr>
          <w:trHeight w:val="196"/>
        </w:trPr>
        <w:tc>
          <w:tcPr>
            <w:tcW w:w="3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option term</w:t>
            </w:r>
          </w:p>
        </w:tc>
        <w:tc>
          <w:tcPr>
            <w:tcW w:w="2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0.30 - 0.70 years</w:t>
            </w:r>
          </w:p>
        </w:tc>
        <w:tc>
          <w:tcPr>
            <w:tcW w:w="200" w:type="dxa"/>
            <w:vAlign w:val="bottom"/>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 years</w:t>
            </w:r>
          </w:p>
        </w:tc>
        <w:tc>
          <w:tcPr>
            <w:tcW w:w="420" w:type="dxa"/>
            <w:vAlign w:val="bottom"/>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ind w:left="1240"/>
              <w:spacing w:after="0" w:line="196" w:lineRule="exact"/>
              <w:rPr>
                <w:sz w:val="20"/>
                <w:szCs w:val="20"/>
                <w:color w:val="auto"/>
              </w:rPr>
            </w:pPr>
            <w:r>
              <w:rPr>
                <w:rFonts w:ascii="Arial" w:cs="Arial" w:eastAsia="Arial" w:hAnsi="Arial"/>
                <w:sz w:val="18"/>
                <w:szCs w:val="18"/>
                <w:color w:val="auto"/>
                <w:w w:val="86"/>
              </w:rPr>
              <w:t>5.5 years</w:t>
            </w:r>
          </w:p>
        </w:tc>
        <w:tc>
          <w:tcPr>
            <w:tcW w:w="260" w:type="dxa"/>
            <w:vAlign w:val="bottom"/>
            <w:shd w:val="clear" w:color="auto" w:fill="CFF0FC"/>
          </w:tcPr>
          <w:p>
            <w:pPr>
              <w:spacing w:after="0"/>
              <w:rPr>
                <w:sz w:val="17"/>
                <w:szCs w:val="17"/>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Risk-free rate of return</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0.01% - 0.06%</w:t>
            </w:r>
          </w:p>
        </w:tc>
        <w:tc>
          <w:tcPr>
            <w:tcW w:w="25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1.73 %</w:t>
            </w:r>
          </w:p>
        </w:tc>
        <w:tc>
          <w:tcPr>
            <w:tcW w:w="2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1.73 %</w:t>
            </w:r>
          </w:p>
        </w:tc>
      </w:tr>
      <w:tr>
        <w:trPr>
          <w:trHeight w:val="203"/>
        </w:trPr>
        <w:tc>
          <w:tcPr>
            <w:tcW w:w="3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Applied volatility</w:t>
            </w: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52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35 %</w:t>
            </w:r>
          </w:p>
        </w:tc>
        <w:tc>
          <w:tcPr>
            <w:tcW w:w="21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35 %</w:t>
            </w:r>
          </w:p>
        </w:tc>
      </w:tr>
    </w:tbl>
    <w:p>
      <w:pPr>
        <w:spacing w:after="0" w:line="229"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In connection with the Reorganization Transactions and the IPO, unvested Class B Units held directly by employees of the Company or indirectly through Definitive OpCo were exchanged for unvested Definitive OpCo units based on their respective participation thresholds and the IPO price of $27.00 per share. The time-based units issued upon the exchange remain subject to the same service vesting requirements as the original Class B units. The pre-IPO performance-based units were exchanged for time-based units and will vest over a three-year period beginning on the date of the IPO.</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9" w:name="page100"/>
    <w:bookmarkEnd w:id="99"/>
    <w:p>
      <w:pPr>
        <w:ind w:left="520"/>
        <w:spacing w:after="0"/>
        <w:rPr>
          <w:sz w:val="20"/>
          <w:szCs w:val="20"/>
          <w:color w:val="auto"/>
        </w:rPr>
      </w:pPr>
      <w:r>
        <w:rPr>
          <w:rFonts w:ascii="Arial" w:cs="Arial" w:eastAsia="Arial" w:hAnsi="Arial"/>
          <w:sz w:val="16"/>
          <w:szCs w:val="16"/>
          <w:color w:val="auto"/>
        </w:rPr>
        <w:t>The following table summarizes the Company's unvested time- and performance-based unit activity from January 1, 2020 through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Performance-based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Non-Vested</w:t>
            </w:r>
          </w:p>
        </w:tc>
        <w:tc>
          <w:tcPr>
            <w:tcW w:w="260" w:type="dxa"/>
            <w:vAlign w:val="bottom"/>
          </w:tcPr>
          <w:p>
            <w:pPr>
              <w:spacing w:after="0"/>
              <w:rPr>
                <w:sz w:val="12"/>
                <w:szCs w:val="12"/>
                <w:color w:val="auto"/>
              </w:rPr>
            </w:pPr>
          </w:p>
        </w:tc>
        <w:tc>
          <w:tcPr>
            <w:tcW w:w="9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4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Non-Vested</w:t>
            </w:r>
          </w:p>
        </w:tc>
        <w:tc>
          <w:tcPr>
            <w:tcW w:w="160" w:type="dxa"/>
            <w:vAlign w:val="bottom"/>
          </w:tcPr>
          <w:p>
            <w:pPr>
              <w:spacing w:after="0"/>
              <w:rPr>
                <w:sz w:val="12"/>
                <w:szCs w:val="12"/>
                <w:color w:val="auto"/>
              </w:rPr>
            </w:pPr>
          </w:p>
        </w:tc>
        <w:tc>
          <w:tcPr>
            <w:tcW w:w="10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ind w:left="2500"/>
              <w:spacing w:after="0"/>
              <w:rPr>
                <w:sz w:val="20"/>
                <w:szCs w:val="20"/>
                <w:color w:val="auto"/>
              </w:rPr>
            </w:pPr>
            <w:r>
              <w:rPr>
                <w:rFonts w:ascii="Arial" w:cs="Arial" w:eastAsia="Arial" w:hAnsi="Arial"/>
                <w:sz w:val="14"/>
                <w:szCs w:val="14"/>
                <w:b w:val="1"/>
                <w:bCs w:val="1"/>
                <w:color w:val="auto"/>
              </w:rPr>
              <w:t>2019 Plan</w:t>
            </w: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7"/>
              </w:rPr>
              <w:t>Grant Date</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20" w:type="dxa"/>
            <w:vAlign w:val="bottom"/>
            <w:gridSpan w:val="2"/>
            <w:vMerge w:val="continue"/>
          </w:tcPr>
          <w:p>
            <w:pPr>
              <w:spacing w:after="0"/>
              <w:rPr>
                <w:sz w:val="16"/>
                <w:szCs w:val="16"/>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6"/>
                <w:szCs w:val="16"/>
                <w:color w:val="auto"/>
              </w:rPr>
            </w:pPr>
          </w:p>
        </w:tc>
        <w:tc>
          <w:tcPr>
            <w:tcW w:w="980" w:type="dxa"/>
            <w:vAlign w:val="bottom"/>
          </w:tcPr>
          <w:p>
            <w:pPr>
              <w:jc w:val="center"/>
              <w:ind w:right="175"/>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6"/>
                <w:szCs w:val="16"/>
                <w:color w:val="auto"/>
              </w:rPr>
            </w:pPr>
          </w:p>
        </w:tc>
        <w:tc>
          <w:tcPr>
            <w:tcW w:w="1040" w:type="dxa"/>
            <w:vAlign w:val="bottom"/>
          </w:tcPr>
          <w:p>
            <w:pPr>
              <w:jc w:val="center"/>
              <w:ind w:right="95"/>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December 31, 2020</w:t>
            </w:r>
          </w:p>
        </w:tc>
        <w:tc>
          <w:tcPr>
            <w:tcW w:w="14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1,404,720</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w:t>
            </w:r>
          </w:p>
        </w:tc>
        <w:tc>
          <w:tcPr>
            <w:tcW w:w="1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1,840,423</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1,477,323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1,177,308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(437,731 )</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(13,770 )</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3.65</w:t>
            </w:r>
          </w:p>
        </w:tc>
        <w:tc>
          <w:tcPr>
            <w:tcW w:w="15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(18,361 )</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September 15, 2021</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2,430,542</w:t>
            </w: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w:t>
            </w:r>
          </w:p>
        </w:tc>
        <w:tc>
          <w:tcPr>
            <w:tcW w:w="1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2,999,370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Effect of Reorganization Transactions and IPO</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(1,165,679 )</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15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(1,318,171 )</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Performance-based units exchanged for time-based units</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1,681,199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158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(1,681,199 )</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Vested</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(108,370 )</w:t>
            </w: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18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w:t>
            </w: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(81,286 )</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Non-vested at December 31, 2021</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2,756,406</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w:t>
            </w:r>
          </w:p>
        </w:tc>
        <w:tc>
          <w:tcPr>
            <w:tcW w:w="180" w:type="dxa"/>
            <w:vAlign w:val="bottom"/>
            <w:tcBorders>
              <w:top w:val="single" w:sz="8" w:color="CFF0FC"/>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-159385</wp:posOffset>
            </wp:positionV>
            <wp:extent cx="6858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-159385</wp:posOffset>
            </wp:positionV>
            <wp:extent cx="4318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wp:posOffset>
            </wp:positionV>
            <wp:extent cx="6032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In connection with the Reorganization Transactions and the IPO, 912,651 vested Class B Units held directly by employees of the Company or indirectly through Definitive OpCo were exchanged into 578,217 vested Definitive OpCo units based on their respective participation thresholds and the IPO price of $27.00 per share.</w:t>
      </w:r>
    </w:p>
    <w:p>
      <w:pPr>
        <w:spacing w:after="0" w:line="74" w:lineRule="exact"/>
        <w:rPr>
          <w:sz w:val="20"/>
          <w:szCs w:val="20"/>
          <w:color w:val="auto"/>
        </w:rPr>
      </w:pPr>
    </w:p>
    <w:p>
      <w:pPr>
        <w:jc w:val="both"/>
        <w:ind w:right="200" w:firstLine="509"/>
        <w:spacing w:after="0" w:line="276" w:lineRule="auto"/>
        <w:rPr>
          <w:sz w:val="20"/>
          <w:szCs w:val="20"/>
          <w:color w:val="auto"/>
        </w:rPr>
      </w:pPr>
      <w:r>
        <w:rPr>
          <w:rFonts w:ascii="Arial" w:cs="Arial" w:eastAsia="Arial" w:hAnsi="Arial"/>
          <w:sz w:val="16"/>
          <w:szCs w:val="16"/>
          <w:color w:val="auto"/>
        </w:rPr>
        <w:t>The Company recorded $2.1 million in stock-based compensation expense associated with time-based units, excluding those performance-vesting units that were exchanged for time-vesting units at IPO, for the year ended December 31, 2021. The Company recorded $1.7 million and $0.7 million in stock-based compensation expense associated with unexchanged time-based units for the year ended December 31, 2020 and for the period from July 16, 2016 through December 31, 2019 (Successor), respectively. At December 31, 2021, the Company had approximately $15.5 million of unrecognized unit-based compensation expense associated with time-based units, including those that were exchanged for time-based units at IPO. The expense, which will be recorded under the terms of the 2019 Plan, is expected to be recognized over a weighted-average period of approximately 2.6 years.</w:t>
      </w:r>
    </w:p>
    <w:p>
      <w:pPr>
        <w:spacing w:after="0" w:line="53"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Company recorded $5.8 million in stock-based compensation expense associated with unexchanged time-based units for the period from January 1, 2019 through July 15, 2019 (Predecessor) for equity awards granted under the 2015 Incentive Equity Plan, which was terminated on July 16, 2019.</w:t>
      </w:r>
    </w:p>
    <w:p>
      <w:pPr>
        <w:spacing w:after="0" w:line="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Equity-based compensation expense is allocated to all departments in the accompanying consolidated statements of operations based on the recipients of the compensation. A summary of the expense by line item in the consolidated statements of operations for the years ended December 31, 2021 and 2020, and for the periods from July 16, 2019 through December 31, 2019 (Successor) and January 1, 2019 through July 15, 2019 (Predecessor), is provided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Successor Company</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Predecessor Company</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3280" w:type="dxa"/>
            <w:vAlign w:val="bottom"/>
            <w:gridSpan w:val="5"/>
            <w:vMerge w:val="restart"/>
          </w:tcPr>
          <w:p>
            <w:pPr>
              <w:jc w:val="right"/>
              <w:ind w:right="775"/>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Period from</w:t>
            </w:r>
          </w:p>
        </w:tc>
        <w:tc>
          <w:tcPr>
            <w:tcW w:w="2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Period from</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4"/>
                <w:szCs w:val="14"/>
                <w:color w:val="auto"/>
              </w:rPr>
            </w:pPr>
          </w:p>
        </w:tc>
        <w:tc>
          <w:tcPr>
            <w:tcW w:w="3280" w:type="dxa"/>
            <w:vAlign w:val="bottom"/>
            <w:tcBorders>
              <w:bottom w:val="single" w:sz="8" w:color="auto"/>
            </w:tcBorders>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July 16, 2019 to</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January 1, 2019 to</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December 31, 2019</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July 15, 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revenue</w:t>
            </w:r>
          </w:p>
        </w:tc>
        <w:tc>
          <w:tcPr>
            <w:tcW w:w="1000" w:type="dxa"/>
            <w:vAlign w:val="bottom"/>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w:t>
            </w:r>
          </w:p>
        </w:tc>
        <w:tc>
          <w:tcPr>
            <w:tcW w:w="2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1,930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4,252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development</w:t>
            </w:r>
          </w:p>
        </w:tc>
        <w:tc>
          <w:tcPr>
            <w:tcW w:w="10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2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6,680</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856</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equity-based compensation expense</w:t>
            </w:r>
          </w:p>
        </w:tc>
        <w:tc>
          <w:tcPr>
            <w:tcW w:w="1000" w:type="dxa"/>
            <w:vAlign w:val="bottom"/>
            <w:tcBorders>
              <w:bottom w:val="single" w:sz="8" w:color="auto"/>
            </w:tcBorders>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9,957</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744</w:t>
            </w:r>
          </w:p>
        </w:tc>
        <w:tc>
          <w:tcPr>
            <w:tcW w:w="240" w:type="dxa"/>
            <w:vAlign w:val="bottom"/>
            <w:tcBorders>
              <w:bottom w:val="single" w:sz="8" w:color="CFF0FC"/>
              <w:right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5,807</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77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77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08"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made matching contributions in accordance with the plan documents. The Company incurred $2.3 and $1.6 million in employer matching contributions during the years ended December 31, 2021 and 2020, respectively. The Company incurred $0.5 million and $0.6 million in employer matching contributions during the periods from July 16, 2019 to December 31, 2019 (Successor) and from January 1, 2019 to July 15, 2019 (Predecessor), respectively.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0" w:name="page101"/>
    <w:bookmarkEnd w:id="100"/>
    <w:p>
      <w:pPr>
        <w:ind w:left="520" w:hanging="512"/>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 xml:space="preserve">As described in Note 1. </w:t>
      </w:r>
      <w:r>
        <w:rPr>
          <w:rFonts w:ascii="Arial" w:cs="Arial" w:eastAsia="Arial" w:hAnsi="Arial"/>
          <w:sz w:val="16"/>
          <w:szCs w:val="16"/>
          <w:i w:val="1"/>
          <w:iCs w:val="1"/>
          <w:color w:val="auto"/>
        </w:rPr>
        <w:t>Description of Business</w:t>
      </w:r>
      <w:r>
        <w:rPr>
          <w:rFonts w:ascii="Arial" w:cs="Arial" w:eastAsia="Arial" w:hAnsi="Arial"/>
          <w:sz w:val="16"/>
          <w:szCs w:val="16"/>
          <w:color w:val="auto"/>
        </w:rPr>
        <w:t>, as a result of the IPO, Definitive Healthcare Corp. began consolidating the financial results of Definitive OpCo. Definitive OpCo is treated as a partnership for U.S. federal and most applicable state and local income tax purposes. As a partnership, Definitive OpCo is not subject to U.S. federal and certain state and local income taxes. Any taxable income or loss generated by Definitive OpCo is passed through to and included in the taxable income or loss of its members, including Definitive Healthcare Corp., based on its economic interest held in Definitive OpCo. Definitive Healthcare Corp was formed on May 5, 2021 and did not engage in any operations prior to the IPO. Definitive HealthCare Corp. is taxed as a corporation and is subject to U.S. federal, state, and local income taxes with respect to its allocable share of any taxable income or loss of Definitive OpCo, as well as any such taxes on stand-alone income or loss generated by Definitive Healthcare Corp.</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 and foreign components of income before income taxes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w w:val="89"/>
              </w:rPr>
              <w:t>Successor Company</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Predecessor Company</w:t>
            </w:r>
          </w:p>
        </w:tc>
        <w:tc>
          <w:tcPr>
            <w:tcW w:w="60" w:type="dxa"/>
            <w:vAlign w:val="bottom"/>
          </w:tcPr>
          <w:p>
            <w:pPr>
              <w:spacing w:after="0"/>
              <w:rPr>
                <w:sz w:val="15"/>
                <w:szCs w:val="15"/>
                <w:color w:val="auto"/>
              </w:rPr>
            </w:pPr>
          </w:p>
        </w:tc>
      </w:tr>
      <w:tr>
        <w:trPr>
          <w:trHeight w:val="160"/>
        </w:trPr>
        <w:tc>
          <w:tcPr>
            <w:tcW w:w="3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59"/>
              <w:spacing w:after="0" w:line="160" w:lineRule="exact"/>
              <w:rPr>
                <w:sz w:val="20"/>
                <w:szCs w:val="20"/>
                <w:color w:val="auto"/>
              </w:rPr>
            </w:pPr>
            <w:r>
              <w:rPr>
                <w:rFonts w:ascii="Arial" w:cs="Arial" w:eastAsia="Arial" w:hAnsi="Arial"/>
                <w:sz w:val="14"/>
                <w:szCs w:val="14"/>
                <w:b w:val="1"/>
                <w:bCs w:val="1"/>
                <w:color w:val="auto"/>
                <w:w w:val="94"/>
              </w:rPr>
              <w:t>Period from</w:t>
            </w:r>
          </w:p>
        </w:tc>
        <w:tc>
          <w:tcPr>
            <w:tcW w:w="2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right="40"/>
              <w:spacing w:after="0" w:line="160" w:lineRule="exact"/>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3"/>
                <w:szCs w:val="13"/>
                <w:color w:val="auto"/>
              </w:rPr>
            </w:pPr>
          </w:p>
        </w:tc>
      </w:tr>
      <w:tr>
        <w:trPr>
          <w:trHeight w:val="185"/>
        </w:trPr>
        <w:tc>
          <w:tcPr>
            <w:tcW w:w="3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4"/>
                <w:szCs w:val="14"/>
                <w:b w:val="1"/>
                <w:bCs w:val="1"/>
                <w:color w:val="auto"/>
                <w:w w:val="92"/>
              </w:rPr>
              <w:t>July 16, 2019 to</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January 1, 2019 to</w:t>
            </w:r>
          </w:p>
        </w:tc>
        <w:tc>
          <w:tcPr>
            <w:tcW w:w="60" w:type="dxa"/>
            <w:vAlign w:val="bottom"/>
          </w:tcPr>
          <w:p>
            <w:pPr>
              <w:spacing w:after="0"/>
              <w:rPr>
                <w:sz w:val="16"/>
                <w:szCs w:val="16"/>
                <w:color w:val="auto"/>
              </w:rPr>
            </w:pPr>
          </w:p>
        </w:tc>
      </w:tr>
      <w:tr>
        <w:trPr>
          <w:trHeight w:val="169"/>
        </w:trPr>
        <w:tc>
          <w:tcPr>
            <w:tcW w:w="3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July 15, 2019</w:t>
            </w:r>
          </w:p>
        </w:tc>
        <w:tc>
          <w:tcPr>
            <w:tcW w:w="60" w:type="dxa"/>
            <w:vAlign w:val="bottom"/>
          </w:tcPr>
          <w:p>
            <w:pPr>
              <w:spacing w:after="0"/>
              <w:rPr>
                <w:sz w:val="14"/>
                <w:szCs w:val="14"/>
                <w:color w:val="auto"/>
              </w:rPr>
            </w:pPr>
          </w:p>
        </w:tc>
      </w:tr>
      <w:tr>
        <w:trPr>
          <w:trHeight w:val="196"/>
        </w:trPr>
        <w:tc>
          <w:tcPr>
            <w:tcW w:w="3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Domestic</w:t>
            </w:r>
          </w:p>
        </w:tc>
        <w:tc>
          <w:tcPr>
            <w:tcW w:w="38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(56,597</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(49,610</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(49,266</w:t>
            </w:r>
          </w:p>
        </w:tc>
        <w:tc>
          <w:tcPr>
            <w:tcW w:w="280" w:type="dxa"/>
            <w:vAlign w:val="bottom"/>
            <w:tcBorders>
              <w:right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12,868</w:t>
            </w:r>
          </w:p>
        </w:tc>
        <w:tc>
          <w:tcPr>
            <w:tcW w:w="60" w:type="dxa"/>
            <w:vAlign w:val="bottom"/>
            <w:shd w:val="clear" w:color="auto" w:fill="CFF0FC"/>
          </w:tcPr>
          <w:p>
            <w:pPr>
              <w:spacing w:after="0"/>
              <w:rPr>
                <w:sz w:val="17"/>
                <w:szCs w:val="17"/>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7"/>
                <w:szCs w:val="17"/>
                <w:color w:val="auto"/>
              </w:rPr>
            </w:pPr>
          </w:p>
        </w:tc>
        <w:tc>
          <w:tcPr>
            <w:tcW w:w="15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(3,985 )</w:t>
            </w:r>
          </w:p>
        </w:tc>
        <w:tc>
          <w:tcPr>
            <w:tcW w:w="140" w:type="dxa"/>
            <w:vAlign w:val="bottom"/>
          </w:tcPr>
          <w:p>
            <w:pPr>
              <w:spacing w:after="0"/>
              <w:rPr>
                <w:sz w:val="17"/>
                <w:szCs w:val="17"/>
                <w:color w:val="auto"/>
              </w:rPr>
            </w:pP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(1,547 )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Borders>
              <w:right w:val="single" w:sz="8" w:color="auto"/>
            </w:tcBorders>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3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Loss before income taxes</w:t>
            </w:r>
          </w:p>
        </w:tc>
        <w:tc>
          <w:tcPr>
            <w:tcW w:w="38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(60,582</w:t>
            </w:r>
          </w:p>
        </w:tc>
        <w:tc>
          <w:tcPr>
            <w:tcW w:w="2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(51,157</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(49,266</w:t>
            </w:r>
          </w:p>
        </w:tc>
        <w:tc>
          <w:tcPr>
            <w:tcW w:w="280" w:type="dxa"/>
            <w:vAlign w:val="bottom"/>
            <w:tcBorders>
              <w:bottom w:val="single" w:sz="8" w:color="CFF0FC"/>
              <w:right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12,868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-25400</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596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89"/>
              </w:rPr>
              <w:t>Successor Company</w:t>
            </w: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Predecessor Company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40" w:type="dxa"/>
            <w:vAlign w:val="bottom"/>
            <w:gridSpan w:val="5"/>
            <w:vMerge w:val="restart"/>
          </w:tcPr>
          <w:p>
            <w:pPr>
              <w:jc w:val="right"/>
              <w:ind w:right="12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144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Period from</w:t>
            </w:r>
          </w:p>
        </w:tc>
        <w:tc>
          <w:tcPr>
            <w:tcW w:w="2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July 16, 2019 to</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January 1, 2019 to</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July 15,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income taxes:</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0"/>
              <w:spacing w:after="0" w:line="202" w:lineRule="exact"/>
              <w:rPr>
                <w:sz w:val="20"/>
                <w:szCs w:val="20"/>
                <w:color w:val="auto"/>
              </w:rPr>
            </w:pPr>
            <w:r>
              <w:rPr>
                <w:rFonts w:ascii="Arial" w:cs="Arial" w:eastAsia="Arial" w:hAnsi="Arial"/>
                <w:sz w:val="18"/>
                <w:szCs w:val="18"/>
                <w:color w:val="auto"/>
              </w:rPr>
              <w:t>U.S. federal</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(7 )</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Pr>
          <w:p>
            <w:pPr>
              <w:ind w:left="124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ind w:left="13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U.S. state and local</w:t>
            </w:r>
          </w:p>
        </w:tc>
        <w:tc>
          <w:tcPr>
            <w:tcW w:w="3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ind w:right="24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ind w:left="124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right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ind w:left="13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0"/>
              <w:spacing w:after="0" w:line="176" w:lineRule="exact"/>
              <w:rPr>
                <w:sz w:val="20"/>
                <w:szCs w:val="20"/>
                <w:color w:val="auto"/>
              </w:rPr>
            </w:pPr>
            <w:r>
              <w:rPr>
                <w:rFonts w:ascii="Arial" w:cs="Arial" w:eastAsia="Arial" w:hAnsi="Arial"/>
                <w:sz w:val="18"/>
                <w:szCs w:val="18"/>
                <w:color w:val="auto"/>
              </w:rPr>
              <w:t>Total current income taxes</w:t>
            </w:r>
          </w:p>
        </w:tc>
        <w:tc>
          <w:tcPr>
            <w:tcW w:w="380" w:type="dxa"/>
            <w:vAlign w:val="bottom"/>
            <w:tcBorders>
              <w:top w:val="single" w:sz="8" w:color="auto"/>
            </w:tcBorders>
          </w:tcPr>
          <w:p>
            <w:pPr>
              <w:jc w:val="right"/>
              <w:ind w:right="190"/>
              <w:spacing w:after="0" w:line="17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(7</w:t>
            </w:r>
          </w:p>
        </w:tc>
        <w:tc>
          <w:tcPr>
            <w:tcW w:w="300" w:type="dxa"/>
            <w:vAlign w:val="bottom"/>
          </w:tcPr>
          <w:p>
            <w:pPr>
              <w:jc w:val="right"/>
              <w:ind w:right="161"/>
              <w:spacing w:after="0" w:line="176"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1440" w:type="dxa"/>
            <w:vAlign w:val="bottom"/>
          </w:tcPr>
          <w:p>
            <w:pPr>
              <w:ind w:left="1240"/>
              <w:spacing w:after="0" w:line="176" w:lineRule="exact"/>
              <w:rPr>
                <w:sz w:val="20"/>
                <w:szCs w:val="20"/>
                <w:color w:val="auto"/>
              </w:rPr>
            </w:pPr>
            <w:r>
              <w:rPr>
                <w:rFonts w:ascii="Arial" w:cs="Arial" w:eastAsia="Arial" w:hAnsi="Arial"/>
                <w:sz w:val="18"/>
                <w:szCs w:val="18"/>
                <w:color w:val="auto"/>
                <w:w w:val="99"/>
              </w:rPr>
              <w:t>—</w:t>
            </w:r>
          </w:p>
        </w:tc>
        <w:tc>
          <w:tcPr>
            <w:tcW w:w="260" w:type="dxa"/>
            <w:vAlign w:val="bottom"/>
            <w:tcBorders>
              <w:right w:val="single" w:sz="8" w:color="auto"/>
            </w:tcBorders>
          </w:tcPr>
          <w:p>
            <w:pPr>
              <w:spacing w:after="0"/>
              <w:rPr>
                <w:sz w:val="15"/>
                <w:szCs w:val="15"/>
                <w:color w:val="auto"/>
              </w:rPr>
            </w:pP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500" w:type="dxa"/>
            <w:vAlign w:val="bottom"/>
          </w:tcPr>
          <w:p>
            <w:pPr>
              <w:ind w:left="1300"/>
              <w:spacing w:after="0" w:line="17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income taxes:</w:t>
            </w:r>
          </w:p>
        </w:tc>
        <w:tc>
          <w:tcPr>
            <w:tcW w:w="3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0"/>
              <w:spacing w:after="0" w:line="202" w:lineRule="exact"/>
              <w:rPr>
                <w:sz w:val="20"/>
                <w:szCs w:val="20"/>
                <w:color w:val="auto"/>
              </w:rPr>
            </w:pPr>
            <w:r>
              <w:rPr>
                <w:rFonts w:ascii="Arial" w:cs="Arial" w:eastAsia="Arial" w:hAnsi="Arial"/>
                <w:sz w:val="18"/>
                <w:szCs w:val="18"/>
                <w:color w:val="auto"/>
              </w:rPr>
              <w:t>U.S. federal</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3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Pr>
          <w:p>
            <w:pPr>
              <w:ind w:left="124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ind w:left="130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U.S. state and local</w:t>
            </w:r>
          </w:p>
        </w:tc>
        <w:tc>
          <w:tcPr>
            <w:tcW w:w="3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313</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(7 )</w:t>
            </w: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ind w:left="1240"/>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right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ind w:left="1300"/>
              <w:spacing w:after="0" w:line="202" w:lineRule="exact"/>
              <w:rPr>
                <w:sz w:val="20"/>
                <w:szCs w:val="20"/>
                <w:color w:val="auto"/>
              </w:rPr>
            </w:pPr>
            <w:r>
              <w:rPr>
                <w:rFonts w:ascii="Arial" w:cs="Arial" w:eastAsia="Arial" w:hAnsi="Arial"/>
                <w:sz w:val="18"/>
                <w:szCs w:val="18"/>
                <w:color w:val="auto"/>
                <w:w w:val="89"/>
              </w:rPr>
              <w:t>49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0"/>
              <w:spacing w:after="0" w:line="176" w:lineRule="exact"/>
              <w:rPr>
                <w:sz w:val="20"/>
                <w:szCs w:val="20"/>
                <w:color w:val="auto"/>
              </w:rPr>
            </w:pPr>
            <w:r>
              <w:rPr>
                <w:rFonts w:ascii="Arial" w:cs="Arial" w:eastAsia="Arial" w:hAnsi="Arial"/>
                <w:sz w:val="18"/>
                <w:szCs w:val="18"/>
                <w:color w:val="auto"/>
              </w:rPr>
              <w:t>Total deferred income taxes</w:t>
            </w:r>
          </w:p>
        </w:tc>
        <w:tc>
          <w:tcPr>
            <w:tcW w:w="380" w:type="dxa"/>
            <w:vAlign w:val="bottom"/>
            <w:tcBorders>
              <w:top w:val="single" w:sz="8" w:color="auto"/>
              <w:bottom w:val="single" w:sz="8" w:color="auto"/>
            </w:tcBorders>
          </w:tcPr>
          <w:p>
            <w:pPr>
              <w:jc w:val="right"/>
              <w:ind w:right="190"/>
              <w:spacing w:after="0" w:line="17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682</w:t>
            </w:r>
          </w:p>
        </w:tc>
        <w:tc>
          <w:tcPr>
            <w:tcW w:w="3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w:t>
            </w:r>
          </w:p>
        </w:tc>
        <w:tc>
          <w:tcPr>
            <w:tcW w:w="2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ind w:left="1240"/>
              <w:spacing w:after="0" w:line="176" w:lineRule="exact"/>
              <w:rPr>
                <w:sz w:val="20"/>
                <w:szCs w:val="20"/>
                <w:color w:val="auto"/>
              </w:rPr>
            </w:pPr>
            <w:r>
              <w:rPr>
                <w:rFonts w:ascii="Arial" w:cs="Arial" w:eastAsia="Arial" w:hAnsi="Arial"/>
                <w:sz w:val="18"/>
                <w:szCs w:val="18"/>
                <w:color w:val="auto"/>
                <w:w w:val="99"/>
              </w:rPr>
              <w:t>—</w:t>
            </w:r>
          </w:p>
        </w:tc>
        <w:tc>
          <w:tcPr>
            <w:tcW w:w="2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300"/>
              <w:spacing w:after="0" w:line="176" w:lineRule="exact"/>
              <w:rPr>
                <w:sz w:val="20"/>
                <w:szCs w:val="20"/>
                <w:color w:val="auto"/>
              </w:rPr>
            </w:pPr>
            <w:r>
              <w:rPr>
                <w:rFonts w:ascii="Arial" w:cs="Arial" w:eastAsia="Arial" w:hAnsi="Arial"/>
                <w:sz w:val="18"/>
                <w:szCs w:val="18"/>
                <w:color w:val="auto"/>
                <w:w w:val="89"/>
              </w:rPr>
              <w:t>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675</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ind w:left="124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right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ind w:left="1300"/>
              <w:spacing w:after="0" w:line="196" w:lineRule="exact"/>
              <w:rPr>
                <w:sz w:val="20"/>
                <w:szCs w:val="20"/>
                <w:color w:val="auto"/>
              </w:rPr>
            </w:pPr>
            <w:r>
              <w:rPr>
                <w:rFonts w:ascii="Arial" w:cs="Arial" w:eastAsia="Arial" w:hAnsi="Arial"/>
                <w:sz w:val="18"/>
                <w:szCs w:val="18"/>
                <w:color w:val="auto"/>
                <w:w w:val="89"/>
              </w:rPr>
              <w:t>49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-828040</wp:posOffset>
            </wp:positionV>
            <wp:extent cx="4318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-828040</wp:posOffset>
            </wp:positionV>
            <wp:extent cx="4318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-835025</wp:posOffset>
            </wp:positionV>
            <wp:extent cx="93980" cy="162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-835025</wp:posOffset>
            </wp:positionV>
            <wp:extent cx="85725" cy="1625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-296545</wp:posOffset>
            </wp:positionV>
            <wp:extent cx="4318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-303530</wp:posOffset>
            </wp:positionV>
            <wp:extent cx="93980" cy="1625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-303530</wp:posOffset>
            </wp:positionV>
            <wp:extent cx="85725" cy="162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-303530</wp:posOffset>
            </wp:positionV>
            <wp:extent cx="68580" cy="162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03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431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431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Income Tax Rate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items accounting for the difference between income taxes computed at the U.S. federal statutory rate and our effective rate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5993130</wp:posOffset>
            </wp:positionH>
            <wp:positionV relativeFrom="paragraph">
              <wp:posOffset>76835</wp:posOffset>
            </wp:positionV>
            <wp:extent cx="34290" cy="2400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34290" cy="24003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9"/>
              </w:rPr>
              <w:t>Successor Company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326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Period from</w:t>
            </w:r>
          </w:p>
        </w:tc>
        <w:tc>
          <w:tcPr>
            <w:tcW w:w="2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Period from</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326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July 16, 2019 to</w:t>
            </w:r>
          </w:p>
        </w:tc>
        <w:tc>
          <w:tcPr>
            <w:tcW w:w="2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January 1, 2019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1340" w:type="dxa"/>
            <w:vAlign w:val="bottom"/>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July 15, 2019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6"/>
              </w:rPr>
              <w:t>Expected U.S. federal income taxes at statutory rate</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21.00</w:t>
            </w:r>
          </w:p>
        </w:tc>
        <w:tc>
          <w:tcPr>
            <w:tcW w:w="5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21.00</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21.00</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Partnership income, not subject to taxation</w:t>
            </w:r>
          </w:p>
        </w:tc>
        <w:tc>
          <w:tcPr>
            <w:tcW w:w="184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(19.44 )</w:t>
            </w:r>
          </w:p>
        </w:tc>
        <w:tc>
          <w:tcPr>
            <w:tcW w:w="164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(27.55 )</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(18.27 )</w:t>
            </w:r>
          </w:p>
        </w:tc>
        <w:tc>
          <w:tcPr>
            <w:tcW w:w="2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valuation allowance</w:t>
            </w:r>
          </w:p>
        </w:tc>
        <w:tc>
          <w:tcPr>
            <w:tcW w:w="1840" w:type="dxa"/>
            <w:vAlign w:val="bottom"/>
            <w:gridSpan w:val="2"/>
            <w:shd w:val="clear" w:color="auto" w:fill="CFF0FC"/>
          </w:tcPr>
          <w:p>
            <w:pPr>
              <w:jc w:val="right"/>
              <w:ind w:right="350"/>
              <w:spacing w:after="0" w:line="202" w:lineRule="exact"/>
              <w:rPr>
                <w:sz w:val="20"/>
                <w:szCs w:val="20"/>
                <w:color w:val="auto"/>
              </w:rPr>
            </w:pPr>
            <w:r>
              <w:rPr>
                <w:rFonts w:ascii="Arial" w:cs="Arial" w:eastAsia="Arial" w:hAnsi="Arial"/>
                <w:sz w:val="18"/>
                <w:szCs w:val="18"/>
                <w:color w:val="auto"/>
              </w:rPr>
              <w:t>(3.51 )</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0.60</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Permanent differences</w:t>
            </w:r>
          </w:p>
        </w:tc>
        <w:tc>
          <w:tcPr>
            <w:tcW w:w="184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(0.36 )</w:t>
            </w:r>
          </w:p>
        </w:tc>
        <w:tc>
          <w:tcPr>
            <w:tcW w:w="164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(0.98 )</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(2.73 )</w:t>
            </w:r>
          </w:p>
        </w:tc>
        <w:tc>
          <w:tcPr>
            <w:tcW w:w="2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5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6.81</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0.37</w:t>
            </w:r>
          </w:p>
        </w:tc>
        <w:tc>
          <w:tcPr>
            <w:tcW w:w="2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line="182" w:lineRule="exact"/>
              <w:rPr>
                <w:sz w:val="20"/>
                <w:szCs w:val="20"/>
                <w:color w:val="auto"/>
              </w:rPr>
            </w:pPr>
            <w:r>
              <w:rPr>
                <w:rFonts w:ascii="Arial" w:cs="Arial" w:eastAsia="Arial" w:hAnsi="Arial"/>
                <w:sz w:val="18"/>
                <w:szCs w:val="18"/>
                <w:color w:val="auto"/>
              </w:rPr>
              <w:t>Effective income tax rate</w:t>
            </w:r>
          </w:p>
        </w:tc>
        <w:tc>
          <w:tcPr>
            <w:tcW w:w="1840" w:type="dxa"/>
            <w:vAlign w:val="bottom"/>
            <w:gridSpan w:val="2"/>
          </w:tcPr>
          <w:p>
            <w:pPr>
              <w:jc w:val="right"/>
              <w:ind w:right="150"/>
              <w:spacing w:after="0" w:line="183" w:lineRule="exact"/>
              <w:rPr>
                <w:sz w:val="20"/>
                <w:szCs w:val="20"/>
                <w:color w:val="auto"/>
              </w:rPr>
            </w:pPr>
            <w:r>
              <w:rPr>
                <w:rFonts w:ascii="Arial" w:cs="Arial" w:eastAsia="Arial" w:hAnsi="Arial"/>
                <w:sz w:val="13"/>
                <w:szCs w:val="13"/>
                <w:color w:val="auto"/>
              </w:rPr>
              <w:t xml:space="preserve">(1.11 ) </w:t>
            </w:r>
            <w:r>
              <w:rPr>
                <w:rFonts w:ascii="Arial" w:cs="Arial" w:eastAsia="Arial" w:hAnsi="Arial"/>
                <w:sz w:val="21"/>
                <w:szCs w:val="21"/>
                <w:color w:val="auto"/>
                <w:vertAlign w:val="subscript"/>
              </w:rPr>
              <w:t>%</w:t>
            </w:r>
          </w:p>
        </w:tc>
        <w:tc>
          <w:tcPr>
            <w:tcW w:w="1640" w:type="dxa"/>
            <w:vAlign w:val="bottom"/>
            <w:gridSpan w:val="3"/>
          </w:tcPr>
          <w:p>
            <w:pPr>
              <w:jc w:val="right"/>
              <w:spacing w:after="0" w:line="183" w:lineRule="exact"/>
              <w:rPr>
                <w:sz w:val="20"/>
                <w:szCs w:val="20"/>
                <w:color w:val="auto"/>
              </w:rPr>
            </w:pPr>
            <w:r>
              <w:rPr>
                <w:rFonts w:ascii="Arial" w:cs="Arial" w:eastAsia="Arial" w:hAnsi="Arial"/>
                <w:sz w:val="13"/>
                <w:szCs w:val="13"/>
                <w:color w:val="auto"/>
              </w:rPr>
              <w:t xml:space="preserve">(0.12 ) </w:t>
            </w:r>
            <w:r>
              <w:rPr>
                <w:rFonts w:ascii="Arial" w:cs="Arial" w:eastAsia="Arial" w:hAnsi="Arial"/>
                <w:sz w:val="21"/>
                <w:szCs w:val="21"/>
                <w:color w:val="auto"/>
                <w:vertAlign w:val="subscript"/>
              </w:rPr>
              <w:t>%</w:t>
            </w:r>
          </w:p>
        </w:tc>
        <w:tc>
          <w:tcPr>
            <w:tcW w:w="14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0.00</w:t>
            </w:r>
          </w:p>
        </w:tc>
        <w:tc>
          <w:tcPr>
            <w:tcW w:w="80" w:type="dxa"/>
            <w:vAlign w:val="bottom"/>
          </w:tcPr>
          <w:p>
            <w:pPr>
              <w:spacing w:after="0"/>
              <w:rPr>
                <w:sz w:val="17"/>
                <w:szCs w:val="17"/>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right w:val="single" w:sz="8" w:color="auto"/>
            </w:tcBorders>
          </w:tcPr>
          <w:p>
            <w:pPr>
              <w:spacing w:after="0"/>
              <w:rPr>
                <w:sz w:val="17"/>
                <w:szCs w:val="17"/>
                <w:color w:val="auto"/>
              </w:rPr>
            </w:pPr>
          </w:p>
        </w:tc>
        <w:tc>
          <w:tcPr>
            <w:tcW w:w="14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0.38</w:t>
            </w:r>
          </w:p>
        </w:tc>
        <w:tc>
          <w:tcPr>
            <w:tcW w:w="2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F-35</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-561975</wp:posOffset>
            </wp:positionV>
            <wp:extent cx="6858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-561975</wp:posOffset>
            </wp:positionV>
            <wp:extent cx="6032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-561975</wp:posOffset>
            </wp:positionV>
            <wp:extent cx="6032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-561975</wp:posOffset>
            </wp:positionV>
            <wp:extent cx="4318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deferred tax assets and liabilities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768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income tax assets:</w:t>
            </w:r>
          </w:p>
        </w:tc>
        <w:tc>
          <w:tcPr>
            <w:tcW w:w="38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 forwards</w:t>
            </w:r>
          </w:p>
        </w:tc>
        <w:tc>
          <w:tcPr>
            <w:tcW w:w="380" w:type="dxa"/>
            <w:vAlign w:val="bottom"/>
          </w:tcPr>
          <w:p>
            <w:pPr>
              <w:jc w:val="right"/>
              <w:ind w:right="221"/>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38,540</w:t>
            </w:r>
          </w:p>
        </w:tc>
        <w:tc>
          <w:tcPr>
            <w:tcW w:w="260" w:type="dxa"/>
            <w:vAlign w:val="bottom"/>
          </w:tcPr>
          <w:p>
            <w:pPr>
              <w:spacing w:after="0"/>
              <w:rPr>
                <w:sz w:val="17"/>
                <w:szCs w:val="17"/>
                <w:color w:val="auto"/>
              </w:rPr>
            </w:pP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1,517</w:t>
            </w:r>
          </w:p>
        </w:tc>
      </w:tr>
      <w:tr>
        <w:trPr>
          <w:trHeight w:val="203"/>
        </w:trPr>
        <w:tc>
          <w:tcPr>
            <w:tcW w:w="768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Outside partnership basis difference</w:t>
            </w:r>
          </w:p>
        </w:tc>
        <w:tc>
          <w:tcPr>
            <w:tcW w:w="38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44,291</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Tax receivable agreement</w:t>
            </w: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5,329</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Borders>
              <w:bottom w:val="single" w:sz="8" w:color="CFF0FC"/>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824</w:t>
            </w:r>
          </w:p>
        </w:tc>
        <w:tc>
          <w:tcPr>
            <w:tcW w:w="26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right w:val="single" w:sz="8" w:color="CFF0FC"/>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74</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Deferred income tax assets</w:t>
            </w: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88,984</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1,591</w:t>
            </w:r>
          </w:p>
        </w:tc>
      </w:tr>
      <w:tr>
        <w:trPr>
          <w:trHeight w:val="203"/>
        </w:trPr>
        <w:tc>
          <w:tcPr>
            <w:tcW w:w="7680" w:type="dxa"/>
            <w:vAlign w:val="bottom"/>
            <w:tcBorders>
              <w:right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Less valuation allowance</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(164,394 )</w:t>
            </w:r>
          </w:p>
        </w:tc>
        <w:tc>
          <w:tcPr>
            <w:tcW w:w="64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(1,430 )</w:t>
            </w:r>
          </w:p>
        </w:tc>
      </w:tr>
      <w:tr>
        <w:trPr>
          <w:trHeight w:val="20"/>
        </w:trPr>
        <w:tc>
          <w:tcPr>
            <w:tcW w:w="7680" w:type="dxa"/>
            <w:vAlign w:val="bottom"/>
            <w:tcBorders>
              <w:right w:val="single" w:sz="8" w:color="auto"/>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Deferred income tax assets, net of valuation allowance</w:t>
            </w:r>
          </w:p>
        </w:tc>
        <w:tc>
          <w:tcPr>
            <w:tcW w:w="380" w:type="dxa"/>
            <w:vAlign w:val="bottom"/>
          </w:tcPr>
          <w:p>
            <w:pPr>
              <w:jc w:val="right"/>
              <w:ind w:right="221"/>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(75,410 )</w:t>
            </w:r>
          </w:p>
        </w:tc>
        <w:tc>
          <w:tcPr>
            <w:tcW w:w="640" w:type="dxa"/>
            <w:vAlign w:val="bottom"/>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161</w:t>
            </w:r>
          </w:p>
        </w:tc>
      </w:tr>
      <w:tr>
        <w:trPr>
          <w:trHeight w:val="196"/>
        </w:trPr>
        <w:tc>
          <w:tcPr>
            <w:tcW w:w="768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income tax liabilities:</w:t>
            </w:r>
          </w:p>
        </w:tc>
        <w:tc>
          <w:tcPr>
            <w:tcW w:w="3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right w:val="single" w:sz="8" w:color="CFF0FC"/>
            </w:tcBorders>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Goodwill and intangibles</w:t>
            </w:r>
          </w:p>
        </w:tc>
        <w:tc>
          <w:tcPr>
            <w:tcW w:w="380" w:type="dxa"/>
            <w:vAlign w:val="bottom"/>
          </w:tcPr>
          <w:p>
            <w:pPr>
              <w:jc w:val="right"/>
              <w:ind w:right="221"/>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(91 )</w:t>
            </w: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 and advances</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(229 )</w:t>
            </w:r>
          </w:p>
        </w:tc>
        <w:tc>
          <w:tcPr>
            <w:tcW w:w="64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
        </w:trPr>
        <w:tc>
          <w:tcPr>
            <w:tcW w:w="7680" w:type="dxa"/>
            <w:vAlign w:val="bottom"/>
            <w:tcBorders>
              <w:right w:val="single" w:sz="8" w:color="auto"/>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Deferred income tax liabilities</w:t>
            </w:r>
          </w:p>
        </w:tc>
        <w:tc>
          <w:tcPr>
            <w:tcW w:w="380" w:type="dxa"/>
            <w:vAlign w:val="bottom"/>
          </w:tcPr>
          <w:p>
            <w:pPr>
              <w:spacing w:after="0"/>
              <w:rPr>
                <w:sz w:val="17"/>
                <w:szCs w:val="17"/>
                <w:color w:val="auto"/>
              </w:rPr>
            </w:pPr>
          </w:p>
        </w:tc>
        <w:tc>
          <w:tcPr>
            <w:tcW w:w="1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(320 )</w:t>
            </w:r>
          </w:p>
        </w:tc>
        <w:tc>
          <w:tcPr>
            <w:tcW w:w="640" w:type="dxa"/>
            <w:vAlign w:val="bottom"/>
          </w:tcPr>
          <w:p>
            <w:pPr>
              <w:spacing w:after="0"/>
              <w:rPr>
                <w:sz w:val="17"/>
                <w:szCs w:val="17"/>
                <w:color w:val="auto"/>
              </w:rPr>
            </w:pPr>
          </w:p>
        </w:tc>
        <w:tc>
          <w:tcPr>
            <w:tcW w:w="10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23"/>
        </w:trPr>
        <w:tc>
          <w:tcPr>
            <w:tcW w:w="7680" w:type="dxa"/>
            <w:vAlign w:val="bottom"/>
            <w:tcBorders>
              <w:right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deferred tax assets (liabilities)</w:t>
            </w:r>
          </w:p>
        </w:tc>
        <w:tc>
          <w:tcPr>
            <w:tcW w:w="380" w:type="dxa"/>
            <w:vAlign w:val="bottom"/>
            <w:shd w:val="clear" w:color="auto" w:fill="CFF0FC"/>
          </w:tcPr>
          <w:p>
            <w:pPr>
              <w:jc w:val="right"/>
              <w:ind w:right="221"/>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(75,730 )</w:t>
            </w:r>
          </w:p>
        </w:tc>
        <w:tc>
          <w:tcPr>
            <w:tcW w:w="640" w:type="dxa"/>
            <w:vAlign w:val="bottom"/>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161</w:t>
            </w:r>
          </w:p>
        </w:tc>
      </w:tr>
      <w:tr>
        <w:trPr>
          <w:trHeight w:val="20"/>
        </w:trPr>
        <w:tc>
          <w:tcPr>
            <w:tcW w:w="76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r>
      <w:tr>
        <w:trPr>
          <w:trHeight w:val="399"/>
        </w:trPr>
        <w:tc>
          <w:tcPr>
            <w:tcW w:w="7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768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Reported as:</w:t>
            </w:r>
          </w:p>
        </w:tc>
        <w:tc>
          <w:tcPr>
            <w:tcW w:w="38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Non-current deferred tax assets</w:t>
            </w:r>
          </w:p>
        </w:tc>
        <w:tc>
          <w:tcPr>
            <w:tcW w:w="380" w:type="dxa"/>
            <w:vAlign w:val="bottom"/>
          </w:tcPr>
          <w:p>
            <w:pPr>
              <w:jc w:val="right"/>
              <w:ind w:right="201"/>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260" w:type="dxa"/>
            <w:vAlign w:val="bottom"/>
          </w:tcPr>
          <w:p>
            <w:pPr>
              <w:spacing w:after="0"/>
              <w:rPr>
                <w:sz w:val="17"/>
                <w:szCs w:val="17"/>
                <w:color w:val="auto"/>
              </w:rPr>
            </w:pP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r>
      <w:tr>
        <w:trPr>
          <w:trHeight w:val="203"/>
        </w:trPr>
        <w:tc>
          <w:tcPr>
            <w:tcW w:w="768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Non-current deferred tax liabilities</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(75,888 )</w:t>
            </w:r>
          </w:p>
        </w:tc>
        <w:tc>
          <w:tcPr>
            <w:tcW w:w="64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
        </w:trPr>
        <w:tc>
          <w:tcPr>
            <w:tcW w:w="768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deferred tax assets (liabilities)</w:t>
            </w:r>
          </w:p>
        </w:tc>
        <w:tc>
          <w:tcPr>
            <w:tcW w:w="380" w:type="dxa"/>
            <w:vAlign w:val="bottom"/>
          </w:tcPr>
          <w:p>
            <w:pPr>
              <w:jc w:val="right"/>
              <w:ind w:right="201"/>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(75,730 )</w:t>
            </w:r>
          </w:p>
        </w:tc>
        <w:tc>
          <w:tcPr>
            <w:tcW w:w="640" w:type="dxa"/>
            <w:vAlign w:val="bottom"/>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-2053590</wp:posOffset>
            </wp:positionV>
            <wp:extent cx="60325"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-2053590</wp:posOffset>
            </wp:positionV>
            <wp:extent cx="5969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-1788160</wp:posOffset>
            </wp:positionV>
            <wp:extent cx="6032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-1788160</wp:posOffset>
            </wp:positionV>
            <wp:extent cx="5969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-1256665</wp:posOffset>
            </wp:positionV>
            <wp:extent cx="6032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-1256665</wp:posOffset>
            </wp:positionV>
            <wp:extent cx="5969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-993775</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-976630</wp:posOffset>
            </wp:positionV>
            <wp:extent cx="603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-993775</wp:posOffset>
            </wp:positionV>
            <wp:extent cx="596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-976630</wp:posOffset>
            </wp:positionV>
            <wp:extent cx="596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5969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During the year ended December 31, 2021, management performed an assessment of the realizability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on its net operating loss carryforwards, R&amp;D credit carryforwards and other net deferred tax assets that remain after all sources of taxable income are exhausted, not supportable by the “naked credit” deferred tax liability sourced income as of December 31, 2021.</w:t>
      </w:r>
    </w:p>
    <w:p>
      <w:pPr>
        <w:spacing w:after="0" w:line="189"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As of December 31, 2021 and December 31, 2020 the valuation allowance was $164.4 million and $1.4 million, respectively. In the event that management was to determine that the Company would be able to realize its deferred tax assets in the future in excess of their net recorded amount, an adjustment to the valuation allowance would be made which would reduce the provision for 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08" w:lineRule="exact"/>
        <w:rPr>
          <w:sz w:val="20"/>
          <w:szCs w:val="20"/>
          <w:color w:val="auto"/>
        </w:rPr>
      </w:pPr>
    </w:p>
    <w:p>
      <w:pPr>
        <w:ind w:right="380" w:firstLine="509"/>
        <w:spacing w:after="0" w:line="270" w:lineRule="auto"/>
        <w:rPr>
          <w:sz w:val="20"/>
          <w:szCs w:val="20"/>
          <w:color w:val="auto"/>
        </w:rPr>
      </w:pPr>
      <w:r>
        <w:rPr>
          <w:rFonts w:ascii="Arial" w:cs="Arial" w:eastAsia="Arial" w:hAnsi="Arial"/>
          <w:sz w:val="17"/>
          <w:szCs w:val="17"/>
          <w:color w:val="auto"/>
        </w:rPr>
        <w:t>The Company recognizes uncertain income tax positions when it is more-likely-than-not the position will be sustained upon examination. As of December 31, 2021 and December 31, 2020, the Company has not identified any uncertain tax positions and has not recognized any related reserves. Accordingly, the Company has not recorded any interest or penalties associated with uncertain tax positions.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08" w:lineRule="exact"/>
        <w:rPr>
          <w:sz w:val="20"/>
          <w:szCs w:val="20"/>
          <w:color w:val="auto"/>
        </w:rPr>
      </w:pPr>
    </w:p>
    <w:p>
      <w:pPr>
        <w:jc w:val="both"/>
        <w:ind w:right="140" w:firstLine="509"/>
        <w:spacing w:after="0" w:line="271" w:lineRule="auto"/>
        <w:rPr>
          <w:sz w:val="20"/>
          <w:szCs w:val="20"/>
          <w:color w:val="auto"/>
        </w:rPr>
      </w:pPr>
      <w:r>
        <w:rPr>
          <w:rFonts w:ascii="Arial" w:cs="Arial" w:eastAsia="Arial" w:hAnsi="Arial"/>
          <w:sz w:val="16"/>
          <w:szCs w:val="16"/>
          <w:color w:val="auto"/>
        </w:rPr>
        <w:t>Pursuant to the Company's election under Section 754 of the Internal Revenue Code (the "Code"), the Company expects to obtain an increase in its share of the tax basis in the net assets of Definitive OpCo when LLC Interests are redeemed or exchanged by other members. The Company is required to adjust the basis of partnership assets under Section 743(b) of the Code for each taxable year in which a redemption of exchange of LLC Interest occurs.</w:t>
      </w:r>
    </w:p>
    <w:p>
      <w:pPr>
        <w:ind w:right="220"/>
        <w:spacing w:after="0" w:line="271" w:lineRule="auto"/>
        <w:rPr>
          <w:sz w:val="20"/>
          <w:szCs w:val="20"/>
          <w:color w:val="auto"/>
        </w:rPr>
      </w:pPr>
      <w:r>
        <w:rPr>
          <w:rFonts w:ascii="Arial" w:cs="Arial" w:eastAsia="Arial" w:hAnsi="Arial"/>
          <w:sz w:val="17"/>
          <w:szCs w:val="17"/>
          <w:color w:val="auto"/>
        </w:rPr>
        <w:t>The Company intends to treat any redemptions and exchanges of LLC Interest as direct purchases of LLC Interests for U.S. federal income tax purposes. These increases in tax basis may reduce the amounts that would otherwise be paid in the future to various tax authorities. They may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also decrease gains (or increase losses) on future dispositions of certain capital assets to the extent tax basis is allocated to those capital assets.</w:t>
      </w:r>
    </w:p>
    <w:p>
      <w:pPr>
        <w:spacing w:after="0" w:line="115"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Under the TRA, the Company generally will be required to pay to the Original LLC Unitholders 85% of the amount of cash savings, if any, in U.S. federal, state, or local tax that the Company actually realizes directly or indirectly (or are deemed to realize in certain circumstances) as a result of (i) certain tax attributes created as a result of any sales or exchanges (as determined for U.S. federal income tax purposes) to or with the Company of their interests in AIDH TopCo, LLC, including any basis adjustment relating to the assets of AIDH TopCo, LLC, (ii) existing tax attributes acquired by the Company in the pre-IPO restructuring, and (iii) tax benefits attributable to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 No amounts are expected to be paid within the next 12 months.</w:t>
      </w:r>
    </w:p>
    <w:p>
      <w:pPr>
        <w:spacing w:after="0" w:line="5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have determined that it is more likely than not that we will be unable to realize tax benefits related to certain basis adjustments and acquired net operating losses that were received in connection with the Reorganization Transactions and our IPO. As a result of this determination, we have not recorded the benefit of these deferred tax assets as of December 31, 2021. The realizability of the deferred tax assets is evaluated based on all positive and negative evidence, including future reversals of existing taxable temporary differences, projected future taxable income, tax planning strategies and recent results of operations. We will assess the realizability of the deferred tax assets at each reporting period, and a change in our estimate of our liability associated with the tax receivable agreement may result as additional information becomes available, including results of operations in future periods. As a result of the IPO transaction, we inherited certain tax benefits associated with this stepped-up basis (“Common Basis”) created when certain pre-IPO owners acquired their interests in Definitive OpCo. This Common Basis entitles us to the depreciation and amortization deductions previously allocable to the pre-IPO owners. Based on current projections, we anticipate having sufficient taxable income to be able to realize the benefit of this Common Basis and have recorded a tax receivable agreement liability of $153.5 million related to these benefits. To the extent that we determine that we are able to realize the tax benefits associated with the basis adjustments and net operating losses, we would record an additional liability of $83.1 million for a total liability of $236.6 million. If, in the future, we are not able to utilize the Common Basis, we would record a reduction in the tax receivable agreement liability that would result in a benefit recorded within our consolidated statement of operations.</w:t>
      </w:r>
    </w:p>
    <w:p>
      <w:pPr>
        <w:spacing w:after="0" w:line="284"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08"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Basic net loss per share of Class A Common Stock is computed by dividing net loss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4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Prior to the IPO, the Definitive OpCo membership structure included Class A and Class B member units. The Company analyzed the calculation of earnings per unit for the periods prior to the IPO and determined that it resulted in values that would not be meaningful to the users of these consolidated financial statements. Therefore, earnings per share information has not been presented for the year-ended December 31, 2020.</w:t>
      </w:r>
    </w:p>
    <w:p>
      <w:pPr>
        <w:spacing w:after="0" w:line="56"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following table sets forth the reconciliation of the numerator and denominator used to compute basic and diluted net loss per share of Class A Common Stock for the year-ended December 31, 2021. The reconciliation reflects only the period from September 15, 2021 to December 31, 2021, which represents the period wherein the Company has outstanding Class A Common Stock.</w:t>
      </w:r>
    </w:p>
    <w:p>
      <w:pPr>
        <w:sectPr>
          <w:pgSz w:w="11900" w:h="16838" w:orient="portrait"/>
          <w:cols w:equalWidth="0" w:num="1">
            <w:col w:w="11240"/>
          </w:cols>
          <w:pgMar w:left="320" w:top="436"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289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Numerator:</w:t>
      </w:r>
    </w:p>
    <w:p>
      <w:pPr>
        <w:ind w:left="20"/>
        <w:spacing w:after="0" w:line="234" w:lineRule="auto"/>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Less: Net loss attributable to Definitive OpCo before Reorganization Transactions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Net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attributable to Definitive Healthcare Corp.</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72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340" w:type="dxa"/>
            <w:vAlign w:val="bottom"/>
          </w:tcPr>
          <w:p>
            <w:pPr>
              <w:spacing w:after="0"/>
              <w:rPr>
                <w:sz w:val="12"/>
                <w:szCs w:val="12"/>
                <w:color w:val="auto"/>
              </w:rPr>
            </w:pPr>
          </w:p>
        </w:tc>
        <w:tc>
          <w:tcPr>
            <w:tcW w:w="1720" w:type="dxa"/>
            <w:vAlign w:val="bottom"/>
            <w:gridSpan w:val="2"/>
          </w:tcPr>
          <w:p>
            <w:pPr>
              <w:jc w:val="center"/>
              <w:ind w:right="35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r>
      <w:tr>
        <w:trPr>
          <w:trHeight w:val="384"/>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(61,257 )</w:t>
            </w:r>
          </w:p>
        </w:tc>
      </w:tr>
      <w:tr>
        <w:trPr>
          <w:trHeight w:val="203"/>
        </w:trPr>
        <w:tc>
          <w:tcPr>
            <w:tcW w:w="340" w:type="dxa"/>
            <w:vAlign w:val="bottom"/>
          </w:tcPr>
          <w:p>
            <w:pPr>
              <w:spacing w:after="0"/>
              <w:rPr>
                <w:sz w:val="17"/>
                <w:szCs w:val="17"/>
                <w:color w:val="auto"/>
              </w:rPr>
            </w:pP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(33,343 )</w:t>
            </w:r>
          </w:p>
        </w:tc>
      </w:tr>
      <w:tr>
        <w:trPr>
          <w:trHeight w:val="217"/>
        </w:trPr>
        <w:tc>
          <w:tcPr>
            <w:tcW w:w="34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(10,237 )</w:t>
            </w:r>
          </w:p>
        </w:tc>
      </w:tr>
      <w:tr>
        <w:trPr>
          <w:trHeight w:val="196"/>
        </w:trPr>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(17,677</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40" w:space="720"/>
            <w:col w:w="2080"/>
          </w:cols>
          <w:pgMar w:left="320" w:top="436" w:right="3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03" w:name="page104"/>
    <w:bookmarkEnd w:id="103"/>
    <w:p>
      <w:pPr>
        <w:ind w:left="520"/>
        <w:spacing w:after="0"/>
        <w:rPr>
          <w:sz w:val="20"/>
          <w:szCs w:val="20"/>
          <w:color w:val="auto"/>
        </w:rPr>
      </w:pPr>
      <w:r>
        <w:rPr>
          <w:rFonts w:ascii="Arial" w:cs="Arial" w:eastAsia="Arial" w:hAnsi="Arial"/>
          <w:sz w:val="18"/>
          <w:szCs w:val="18"/>
          <w:color w:val="auto"/>
        </w:rPr>
        <w:t>The following table sets forth the computation of basic and diluted net loss per share of Class A Common Stock: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center"/>
              <w:ind w:right="37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9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9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number of shares and per share amounts)</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Basic and diluted net loss per share attributable to common stockholders</w:t>
            </w: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20"/>
              <w:spacing w:after="0" w:line="202" w:lineRule="exact"/>
              <w:rPr>
                <w:sz w:val="20"/>
                <w:szCs w:val="20"/>
                <w:color w:val="auto"/>
              </w:rPr>
            </w:pPr>
            <w:r>
              <w:rPr>
                <w:rFonts w:ascii="Arial" w:cs="Arial" w:eastAsia="Arial" w:hAnsi="Arial"/>
                <w:sz w:val="18"/>
                <w:szCs w:val="18"/>
                <w:color w:val="auto"/>
              </w:rPr>
              <w:t>Allocation of net loss attributable to Definitive Healthcare Corp.</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(17,677 )</w:t>
            </w:r>
          </w:p>
        </w:tc>
        <w:tc>
          <w:tcPr>
            <w:tcW w:w="0" w:type="dxa"/>
            <w:vAlign w:val="bottom"/>
          </w:tcPr>
          <w:p>
            <w:pPr>
              <w:spacing w:after="0"/>
              <w:rPr>
                <w:sz w:val="1"/>
                <w:szCs w:val="1"/>
                <w:color w:val="auto"/>
              </w:rPr>
            </w:pPr>
          </w:p>
        </w:tc>
      </w:tr>
      <w:tr>
        <w:trPr>
          <w:trHeight w:val="203"/>
        </w:trPr>
        <w:tc>
          <w:tcPr>
            <w:tcW w:w="9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number of shares of Class A common stock outstanding</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91,916,151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9100" w:type="dxa"/>
            <w:vAlign w:val="bottom"/>
          </w:tcPr>
          <w:p>
            <w:pPr>
              <w:ind w:left="20"/>
              <w:spacing w:after="0" w:line="182" w:lineRule="exact"/>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(0.19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168" w:lineRule="exact"/>
        <w:rPr>
          <w:sz w:val="20"/>
          <w:szCs w:val="20"/>
          <w:color w:val="auto"/>
        </w:rPr>
      </w:pPr>
    </w:p>
    <w:p>
      <w:pPr>
        <w:jc w:val="both"/>
        <w:ind w:right="240" w:firstLine="509"/>
        <w:spacing w:after="0" w:line="261" w:lineRule="auto"/>
        <w:rPr>
          <w:sz w:val="20"/>
          <w:szCs w:val="20"/>
          <w:color w:val="auto"/>
        </w:rPr>
      </w:pPr>
      <w:r>
        <w:rPr>
          <w:rFonts w:ascii="Arial" w:cs="Arial" w:eastAsia="Arial" w:hAnsi="Arial"/>
          <w:sz w:val="18"/>
          <w:szCs w:val="18"/>
          <w:color w:val="auto"/>
        </w:rPr>
        <w:t>The following securities were excluded from the computation of diluted net loss per share for the period presented because their effect on net loss per share would have been anti-dilutive: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r>
      <w:tr>
        <w:trPr>
          <w:trHeight w:val="148"/>
        </w:trPr>
        <w:tc>
          <w:tcPr>
            <w:tcW w:w="884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r>
      <w:tr>
        <w:trPr>
          <w:trHeight w:val="185"/>
        </w:trPr>
        <w:tc>
          <w:tcPr>
            <w:tcW w:w="884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r>
      <w:tr>
        <w:trPr>
          <w:trHeight w:val="196"/>
        </w:trPr>
        <w:tc>
          <w:tcPr>
            <w:tcW w:w="8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Definitive OpCo Units (vested and unvested)</w:t>
            </w: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58,244,627</w:t>
            </w:r>
          </w:p>
        </w:tc>
        <w:tc>
          <w:tcPr>
            <w:tcW w:w="60" w:type="dxa"/>
            <w:vAlign w:val="bottom"/>
            <w:shd w:val="clear" w:color="auto" w:fill="CFF0FC"/>
          </w:tcPr>
          <w:p>
            <w:pPr>
              <w:spacing w:after="0"/>
              <w:rPr>
                <w:sz w:val="17"/>
                <w:szCs w:val="17"/>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340" w:type="dxa"/>
            <w:vAlign w:val="bottom"/>
          </w:tcPr>
          <w:p>
            <w:pPr>
              <w:jc w:val="right"/>
              <w:spacing w:after="0"/>
              <w:rPr>
                <w:sz w:val="20"/>
                <w:szCs w:val="20"/>
                <w:color w:val="auto"/>
              </w:rPr>
            </w:pPr>
            <w:r>
              <w:rPr>
                <w:rFonts w:ascii="Arial" w:cs="Arial" w:eastAsia="Arial" w:hAnsi="Arial"/>
                <w:sz w:val="18"/>
                <w:szCs w:val="18"/>
                <w:color w:val="auto"/>
              </w:rPr>
              <w:t>2,100,250</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80"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Data</w:t>
      </w:r>
    </w:p>
    <w:p>
      <w:pPr>
        <w:spacing w:after="0" w:line="108"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presented based upon the location of the customer are as follows: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Successor Company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Predecessor Company</w:t>
            </w:r>
          </w:p>
        </w:tc>
        <w:tc>
          <w:tcPr>
            <w:tcW w:w="80" w:type="dxa"/>
            <w:vAlign w:val="bottom"/>
          </w:tcPr>
          <w:p>
            <w:pPr>
              <w:spacing w:after="0"/>
              <w:rPr>
                <w:sz w:val="18"/>
                <w:szCs w:val="18"/>
                <w:color w:val="auto"/>
              </w:rPr>
            </w:pPr>
          </w:p>
        </w:tc>
      </w:tr>
      <w:tr>
        <w:trPr>
          <w:trHeight w:val="225"/>
        </w:trPr>
        <w:tc>
          <w:tcPr>
            <w:tcW w:w="2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Period from</w:t>
            </w:r>
          </w:p>
        </w:tc>
        <w:tc>
          <w:tcPr>
            <w:tcW w:w="1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Period from</w:t>
            </w:r>
          </w:p>
        </w:tc>
        <w:tc>
          <w:tcPr>
            <w:tcW w:w="80" w:type="dxa"/>
            <w:vAlign w:val="bottom"/>
          </w:tcPr>
          <w:p>
            <w:pPr>
              <w:spacing w:after="0"/>
              <w:rPr>
                <w:sz w:val="19"/>
                <w:szCs w:val="19"/>
                <w:color w:val="auto"/>
              </w:rPr>
            </w:pPr>
          </w:p>
        </w:tc>
      </w:tr>
      <w:tr>
        <w:trPr>
          <w:trHeight w:val="215"/>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July 16, 2019 to</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January 1, 2019 to</w:t>
            </w:r>
          </w:p>
        </w:tc>
        <w:tc>
          <w:tcPr>
            <w:tcW w:w="80" w:type="dxa"/>
            <w:vAlign w:val="bottom"/>
          </w:tcPr>
          <w:p>
            <w:pPr>
              <w:spacing w:after="0"/>
              <w:rPr>
                <w:sz w:val="18"/>
                <w:szCs w:val="18"/>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July 15, 2019</w:t>
            </w:r>
          </w:p>
        </w:tc>
        <w:tc>
          <w:tcPr>
            <w:tcW w:w="80" w:type="dxa"/>
            <w:vAlign w:val="bottom"/>
          </w:tcPr>
          <w:p>
            <w:pPr>
              <w:spacing w:after="0"/>
              <w:rPr>
                <w:sz w:val="18"/>
                <w:szCs w:val="18"/>
                <w:color w:val="auto"/>
              </w:rPr>
            </w:pPr>
          </w:p>
        </w:tc>
      </w:tr>
      <w:tr>
        <w:trPr>
          <w:trHeight w:val="196"/>
        </w:trPr>
        <w:tc>
          <w:tcPr>
            <w:tcW w:w="2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158,727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117,755</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40,045</w:t>
            </w:r>
          </w:p>
        </w:tc>
        <w:tc>
          <w:tcPr>
            <w:tcW w:w="18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45,458</w:t>
            </w:r>
          </w:p>
        </w:tc>
        <w:tc>
          <w:tcPr>
            <w:tcW w:w="80" w:type="dxa"/>
            <w:vAlign w:val="bottom"/>
            <w:shd w:val="clear" w:color="auto" w:fill="CFF0FC"/>
          </w:tcPr>
          <w:p>
            <w:pPr>
              <w:spacing w:after="0"/>
              <w:rPr>
                <w:sz w:val="17"/>
                <w:szCs w:val="17"/>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7,427</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562</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36"/>
        </w:trPr>
        <w:tc>
          <w:tcPr>
            <w:tcW w:w="27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166,154</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118,317</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40,045</w:t>
            </w:r>
          </w:p>
        </w:tc>
        <w:tc>
          <w:tcPr>
            <w:tcW w:w="180" w:type="dxa"/>
            <w:vAlign w:val="bottom"/>
            <w:tcBorders>
              <w:bottom w:val="single" w:sz="8" w:color="CFF0FC"/>
              <w:right w:val="single" w:sz="8" w:color="auto"/>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45,458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-24765</wp:posOffset>
            </wp:positionV>
            <wp:extent cx="603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60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596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596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514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514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12"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18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2021</w:t>
            </w:r>
          </w:p>
        </w:tc>
        <w:tc>
          <w:tcPr>
            <w:tcW w:w="18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6"/>
              </w:rPr>
              <w:t>December 31, 2020</w:t>
            </w: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2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18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4,705</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296"/>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3,120</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780" w:type="dxa"/>
            <w:vAlign w:val="bottom"/>
          </w:tcPr>
          <w:p>
            <w:pPr>
              <w:spacing w:after="0" w:line="202" w:lineRule="exact"/>
              <w:rPr>
                <w:sz w:val="20"/>
                <w:szCs w:val="20"/>
                <w:color w:val="auto"/>
              </w:rPr>
            </w:pPr>
            <w:r>
              <w:rPr>
                <w:rFonts w:ascii="Arial" w:cs="Arial" w:eastAsia="Arial" w:hAnsi="Arial"/>
                <w:sz w:val="18"/>
                <w:szCs w:val="18"/>
                <w:color w:val="auto"/>
              </w:rPr>
              <w:t>Rest of world</w:t>
            </w:r>
          </w:p>
        </w:tc>
        <w:tc>
          <w:tcPr>
            <w:tcW w:w="21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w:t>
            </w: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27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long-lived assets</w:t>
            </w:r>
          </w:p>
        </w:tc>
        <w:tc>
          <w:tcPr>
            <w:tcW w:w="2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5,069</w:t>
            </w:r>
          </w:p>
        </w:tc>
        <w:tc>
          <w:tcPr>
            <w:tcW w:w="1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296"/>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3,248</w:t>
            </w:r>
          </w:p>
        </w:tc>
        <w:tc>
          <w:tcPr>
            <w:tcW w:w="1680" w:type="dxa"/>
            <w:vAlign w:val="bottom"/>
          </w:tcPr>
          <w:p>
            <w:pPr>
              <w:spacing w:after="0"/>
              <w:rPr>
                <w:sz w:val="20"/>
                <w:szCs w:val="20"/>
                <w:color w:val="auto"/>
              </w:rPr>
            </w:pPr>
          </w:p>
        </w:tc>
      </w:tr>
      <w:tr>
        <w:trPr>
          <w:trHeight w:val="507"/>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700" w:type="dxa"/>
            <w:vAlign w:val="bottom"/>
            <w:gridSpan w:val="2"/>
          </w:tcPr>
          <w:p>
            <w:pPr>
              <w:jc w:val="right"/>
              <w:ind w:right="1296"/>
              <w:spacing w:after="0"/>
              <w:rPr>
                <w:sz w:val="20"/>
                <w:szCs w:val="20"/>
                <w:color w:val="auto"/>
              </w:rPr>
            </w:pPr>
            <w:r>
              <w:rPr>
                <w:rFonts w:ascii="Arial" w:cs="Arial" w:eastAsia="Arial" w:hAnsi="Arial"/>
                <w:sz w:val="18"/>
                <w:szCs w:val="18"/>
                <w:color w:val="auto"/>
              </w:rPr>
              <w:t>F-38</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-427990</wp:posOffset>
            </wp:positionV>
            <wp:extent cx="431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-410845</wp:posOffset>
            </wp:positionV>
            <wp:extent cx="431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-427990</wp:posOffset>
            </wp:positionV>
            <wp:extent cx="342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-410845</wp:posOffset>
            </wp:positionV>
            <wp:extent cx="342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4" w:name="page105"/>
    <w:bookmarkEnd w:id="104"/>
    <w:p>
      <w:pPr>
        <w:ind w:left="520" w:hanging="512"/>
        <w:spacing w:after="0"/>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has engaged in revenue transactions within the ordinary course of business with entities affiliated with its private equity sponsors and with members of the Company’s board of directors. During each of the years ended December 31, 2021, 2020, and 2019, the Company recorded revenue of $1.0 million, $0.4 million, and $0.2 million respectively. The associated receivable for the revenue transactions amounted to $0.6 million, $0.1 million, and less than $0.1 million at December 31, 2021, 2020, and 2019, respectively.</w:t>
      </w:r>
    </w:p>
    <w:p>
      <w:pPr>
        <w:spacing w:after="0" w:line="80"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Company reimburses its private equity sponsors for services and any related travel and out-of-pocket expenses. During the years ended December 31, 2021, 2020, and 2019, the Company had expenses for services, travel and out-of-pocket expenses to its private equity sponsors of $0.2 million, $0.1 million, and less than $0.1 million, respectively. There were no associated payables for the service transactions at December 31, 2021, 2020, and 2019.</w:t>
      </w:r>
    </w:p>
    <w:p>
      <w:pPr>
        <w:spacing w:after="0" w:line="80"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On September 17, 2021, Definitive OpCo entered into an agreement to reimburse approximately $0.9 million in aggregate documented expenses incurred by Advent, 22C Capital, Spectrum Equity, Jason Krantz, and MHDH AB in connection with the Reorganization Transactions. The amounts were paid in the fourth quarter of 2021.</w:t>
      </w:r>
    </w:p>
    <w:p>
      <w:pPr>
        <w:spacing w:after="0" w:line="7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During the second quarter of 2021, the Company issued 363,516 new Class A units worth $5.8 million to members of the Company's board of directors. Further, in connection with Definitive Healthcare’s IPO, the underwriters reserved 5% of the common shares for sale at the initial offering price to the Company’s directors, officers and selected senior managers (the “Directed Share Program”). Richard Booth and Samuel A. Hamood participated in the Directed Share Program and purchased 7,407 and 37,037 shares of Class A Common Stock, respectively.</w:t>
      </w:r>
    </w:p>
    <w:p>
      <w:pPr>
        <w:spacing w:after="0" w:line="27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8"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auto"/>
        </w:rPr>
        <w:t xml:space="preserve">On February 18, 2022, the Company purchased the remaining 65% ownership of Analytical Wizards for an aggregate purchase price of $65.0 million, subject to working capital adjustments. As a result of this transaction, the Company owns 100% of Analytical Wizards. See Note 3.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Investments. </w:t>
      </w:r>
      <w:r>
        <w:rPr>
          <w:rFonts w:ascii="Arial" w:cs="Arial" w:eastAsia="Arial" w:hAnsi="Arial"/>
          <w:sz w:val="17"/>
          <w:szCs w:val="17"/>
          <w:color w:val="auto"/>
        </w:rPr>
        <w:t>The initial accounting for the business combination is incomplete as a result of the timing of the acquisition.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344" w:lineRule="exact"/>
        <w:rPr>
          <w:sz w:val="20"/>
          <w:szCs w:val="20"/>
          <w:color w:val="auto"/>
        </w:rPr>
      </w:pPr>
    </w:p>
    <w:p>
      <w:pPr>
        <w:jc w:val="center"/>
        <w:ind w:right="60"/>
        <w:spacing w:after="0" w:line="269"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100" w:lineRule="exact"/>
        <w:rPr>
          <w:sz w:val="20"/>
          <w:szCs w:val="20"/>
          <w:color w:val="auto"/>
        </w:rPr>
      </w:pPr>
    </w:p>
    <w:p>
      <w:pPr>
        <w:ind w:right="40" w:firstLine="749"/>
        <w:spacing w:after="0" w:line="294" w:lineRule="auto"/>
        <w:rPr>
          <w:sz w:val="20"/>
          <w:szCs w:val="20"/>
          <w:color w:val="auto"/>
        </w:rPr>
      </w:pPr>
      <w:r>
        <w:rPr>
          <w:rFonts w:ascii="Arial" w:cs="Arial" w:eastAsia="Arial" w:hAnsi="Arial"/>
          <w:sz w:val="19"/>
          <w:szCs w:val="19"/>
          <w:color w:val="auto"/>
        </w:rPr>
        <w:t>Definitive Healthcare, a Delaware corporation, had one class of securities registered pursuant to Section 12 of the Securities and Exchange Act of 1934 (the “Exchange Act”), as amended: Class A common stock, par value $0.001 per share (the “Class A common stock”). The following summary provides a brief description of our Class A common stock and our Class B common stock, with no par value (the “Class B common stock,” together with our Class A common stock, the “common stock”). Our Class B common stock is not registered pursuant to Section 12 of the Exchange Act. The description of our Class B common stock is necessary to understand the material terms of our Class A common stock.</w:t>
      </w:r>
    </w:p>
    <w:p>
      <w:pPr>
        <w:spacing w:after="0" w:line="82" w:lineRule="exact"/>
        <w:rPr>
          <w:sz w:val="20"/>
          <w:szCs w:val="20"/>
          <w:color w:val="auto"/>
        </w:rPr>
      </w:pPr>
    </w:p>
    <w:p>
      <w:pPr>
        <w:ind w:right="100" w:firstLine="656"/>
        <w:spacing w:after="0" w:line="250" w:lineRule="auto"/>
        <w:rPr>
          <w:sz w:val="20"/>
          <w:szCs w:val="20"/>
          <w:color w:val="auto"/>
        </w:rPr>
      </w:pPr>
      <w:r>
        <w:rPr>
          <w:rFonts w:ascii="Arial" w:cs="Arial" w:eastAsia="Arial" w:hAnsi="Arial"/>
          <w:sz w:val="22"/>
          <w:szCs w:val="22"/>
          <w:color w:val="auto"/>
        </w:rPr>
        <w:t>This description does not purport to be complete and is qualified in its entirety by reference to the full text of our amended and restated certificate of incorporation (our “certificate of incorporation”) and amended and restated bylaws (our “bylaws”). You should read the full text of our certificate of incorporation and bylaws, as well as the applicable provisions of the General Corporation Law of the State of Delaware (the “DGCL”).</w:t>
      </w:r>
    </w:p>
    <w:p>
      <w:pPr>
        <w:spacing w:after="0" w:line="107" w:lineRule="exact"/>
        <w:rPr>
          <w:sz w:val="20"/>
          <w:szCs w:val="20"/>
          <w:color w:val="auto"/>
        </w:rPr>
      </w:pPr>
    </w:p>
    <w:p>
      <w:pPr>
        <w:ind w:right="420" w:firstLine="656"/>
        <w:spacing w:after="0" w:line="263" w:lineRule="auto"/>
        <w:rPr>
          <w:sz w:val="20"/>
          <w:szCs w:val="20"/>
          <w:color w:val="auto"/>
        </w:rPr>
      </w:pPr>
      <w:r>
        <w:rPr>
          <w:rFonts w:ascii="Arial" w:cs="Arial" w:eastAsia="Arial" w:hAnsi="Arial"/>
          <w:sz w:val="22"/>
          <w:szCs w:val="22"/>
          <w:color w:val="auto"/>
        </w:rPr>
        <w:t>References in this exhibit to “we,” “us” and “our” refer to DEFINITIVE HEALTHCARE CORP. and not to any of its 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58" w:lineRule="exact"/>
        <w:rPr>
          <w:sz w:val="20"/>
          <w:szCs w:val="20"/>
          <w:color w:val="auto"/>
        </w:rPr>
      </w:pPr>
    </w:p>
    <w:p>
      <w:pPr>
        <w:ind w:right="500" w:firstLine="749"/>
        <w:spacing w:after="0" w:line="250" w:lineRule="auto"/>
        <w:rPr>
          <w:sz w:val="20"/>
          <w:szCs w:val="20"/>
          <w:color w:val="auto"/>
        </w:rPr>
      </w:pPr>
      <w:r>
        <w:rPr>
          <w:rFonts w:ascii="Arial" w:cs="Arial" w:eastAsia="Arial" w:hAnsi="Arial"/>
          <w:sz w:val="22"/>
          <w:szCs w:val="22"/>
          <w:color w:val="auto"/>
        </w:rPr>
        <w:t>Our authorized capital stock consists of 600 million shares of Class A common stock, 65 million shares of Class B common stock, and 10 million shares of preferred stock, par value $0.001 per share. Shares of preferred stock have not been issued. Unless our board of directors (our “Board”) determines otherwise, we will issue all shares of our capital stock in uncertificated form.</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 Rights</w:t>
      </w:r>
    </w:p>
    <w:p>
      <w:pPr>
        <w:spacing w:after="0" w:line="152" w:lineRule="exact"/>
        <w:rPr>
          <w:sz w:val="20"/>
          <w:szCs w:val="20"/>
          <w:color w:val="auto"/>
        </w:rPr>
      </w:pPr>
    </w:p>
    <w:p>
      <w:pPr>
        <w:ind w:right="280" w:firstLine="749"/>
        <w:spacing w:after="0" w:line="253" w:lineRule="auto"/>
        <w:rPr>
          <w:sz w:val="20"/>
          <w:szCs w:val="20"/>
          <w:color w:val="auto"/>
        </w:rPr>
      </w:pPr>
      <w:r>
        <w:rPr>
          <w:rFonts w:ascii="Arial" w:cs="Arial" w:eastAsia="Arial" w:hAnsi="Arial"/>
          <w:sz w:val="22"/>
          <w:szCs w:val="22"/>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04" w:lineRule="exact"/>
        <w:rPr>
          <w:sz w:val="20"/>
          <w:szCs w:val="20"/>
          <w:color w:val="auto"/>
        </w:rPr>
      </w:pPr>
    </w:p>
    <w:p>
      <w:pPr>
        <w:ind w:right="120" w:firstLine="749"/>
        <w:spacing w:after="0" w:line="265" w:lineRule="auto"/>
        <w:rPr>
          <w:sz w:val="20"/>
          <w:szCs w:val="20"/>
          <w:color w:val="auto"/>
        </w:rPr>
      </w:pPr>
      <w:r>
        <w:rPr>
          <w:rFonts w:ascii="Arial" w:cs="Arial" w:eastAsia="Arial" w:hAnsi="Arial"/>
          <w:sz w:val="21"/>
          <w:szCs w:val="21"/>
          <w:color w:val="auto"/>
        </w:rPr>
        <w:t>Each share of Class B common stock entitles its holder to one vote per share on all matters submitted to a vote of our stockholders, including the election or removal of directors. The holders of our Class B common stock do not have cumulative voting rights in the election of directors. If at any time the ratio at which limited liability company units (“LLC Units”) of AIDH TopCo, LLC (“Definitive OpCo”) are exchangeable for shares of our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6" w:name="page107"/>
    <w:bookmarkEnd w:id="106"/>
    <w:p>
      <w:pPr>
        <w:ind w:right="700"/>
        <w:spacing w:after="0" w:line="263" w:lineRule="auto"/>
        <w:rPr>
          <w:sz w:val="20"/>
          <w:szCs w:val="20"/>
          <w:color w:val="auto"/>
        </w:rPr>
      </w:pPr>
      <w:r>
        <w:rPr>
          <w:rFonts w:ascii="Arial" w:cs="Arial" w:eastAsia="Arial" w:hAnsi="Arial"/>
          <w:sz w:val="22"/>
          <w:szCs w:val="22"/>
          <w:color w:val="auto"/>
        </w:rPr>
        <w:t>stock changes from one-for-one, the number of votes to which Class B common stockholders are entitled will be adjusted accordingly.</w:t>
      </w:r>
    </w:p>
    <w:p>
      <w:pPr>
        <w:spacing w:after="0" w:line="107" w:lineRule="exact"/>
        <w:rPr>
          <w:sz w:val="20"/>
          <w:szCs w:val="20"/>
          <w:color w:val="auto"/>
        </w:rPr>
      </w:pPr>
    </w:p>
    <w:p>
      <w:pPr>
        <w:ind w:right="240" w:firstLine="749"/>
        <w:spacing w:after="0" w:line="248" w:lineRule="auto"/>
        <w:rPr>
          <w:sz w:val="20"/>
          <w:szCs w:val="20"/>
          <w:color w:val="auto"/>
        </w:rPr>
      </w:pPr>
      <w:r>
        <w:rPr>
          <w:rFonts w:ascii="Arial" w:cs="Arial" w:eastAsia="Arial" w:hAnsi="Arial"/>
          <w:sz w:val="22"/>
          <w:szCs w:val="22"/>
          <w:color w:val="auto"/>
        </w:rPr>
        <w:t>Except for transfers to us pursuant to the amended and restated limited liability company agreement of AIDH TopCo, LLC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 and Liquidation Rights</w:t>
      </w:r>
    </w:p>
    <w:p>
      <w:pPr>
        <w:spacing w:after="0" w:line="152" w:lineRule="exact"/>
        <w:rPr>
          <w:sz w:val="20"/>
          <w:szCs w:val="20"/>
          <w:color w:val="auto"/>
        </w:rPr>
      </w:pPr>
    </w:p>
    <w:p>
      <w:pPr>
        <w:ind w:right="100" w:firstLine="749"/>
        <w:spacing w:after="0" w:line="271" w:lineRule="auto"/>
        <w:rPr>
          <w:sz w:val="20"/>
          <w:szCs w:val="20"/>
          <w:color w:val="auto"/>
        </w:rPr>
      </w:pPr>
      <w:r>
        <w:rPr>
          <w:rFonts w:ascii="Arial" w:cs="Arial" w:eastAsia="Arial" w:hAnsi="Arial"/>
          <w:sz w:val="21"/>
          <w:szCs w:val="21"/>
          <w:color w:val="auto"/>
        </w:rPr>
        <w:t>Holders of shares of our Class A common stock are entitled to receive dividends when and if declared by our Board out of funds legally available therefor, subject to any statutory or contractual restrictions on the payment of dividends and to any restrictions on the payment of dividends imposed by the terms of any outstanding preferred stock.</w:t>
      </w:r>
    </w:p>
    <w:p>
      <w:pPr>
        <w:spacing w:after="0" w:line="100" w:lineRule="exact"/>
        <w:rPr>
          <w:sz w:val="20"/>
          <w:szCs w:val="20"/>
          <w:color w:val="auto"/>
        </w:rPr>
      </w:pPr>
    </w:p>
    <w:p>
      <w:pPr>
        <w:ind w:right="120" w:firstLine="749"/>
        <w:spacing w:after="0" w:line="253" w:lineRule="auto"/>
        <w:rPr>
          <w:sz w:val="20"/>
          <w:szCs w:val="20"/>
          <w:color w:val="auto"/>
        </w:rPr>
      </w:pPr>
      <w:r>
        <w:rPr>
          <w:rFonts w:ascii="Arial" w:cs="Arial" w:eastAsia="Arial" w:hAnsi="Arial"/>
          <w:sz w:val="22"/>
          <w:szCs w:val="22"/>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04" w:lineRule="exact"/>
        <w:rPr>
          <w:sz w:val="20"/>
          <w:szCs w:val="20"/>
          <w:color w:val="auto"/>
        </w:rPr>
      </w:pPr>
    </w:p>
    <w:p>
      <w:pPr>
        <w:ind w:firstLine="749"/>
        <w:spacing w:after="0" w:line="248" w:lineRule="auto"/>
        <w:rPr>
          <w:sz w:val="20"/>
          <w:szCs w:val="20"/>
          <w:color w:val="auto"/>
        </w:rPr>
      </w:pPr>
      <w:r>
        <w:rPr>
          <w:rFonts w:ascii="Arial" w:cs="Arial" w:eastAsia="Arial" w:hAnsi="Arial"/>
          <w:sz w:val="22"/>
          <w:szCs w:val="22"/>
          <w:color w:val="auto"/>
        </w:rPr>
        <w:t>The Class B common stock is not entitled to economic interests in Definitive Healthcare Corp. Holders of our Class B common stock do not have any right to receive dividends or to receive a distribution upon a liquidation or winding up of Definitive Healthcare Corp. However, if Definitive OpCo makes distributions to Definitive Healthcare Corp., the other holders of LLC Units, including the holders of LLC Units, will be entitled to receive distributions pro rata in accordance with the percentages of their respective LLC Units.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Miscellaneous</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 The Class B common stock will not be subject to further calls or assessment by us.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58" w:lineRule="exact"/>
        <w:rPr>
          <w:sz w:val="20"/>
          <w:szCs w:val="20"/>
          <w:color w:val="auto"/>
        </w:rPr>
      </w:pPr>
    </w:p>
    <w:p>
      <w:pPr>
        <w:ind w:firstLine="749"/>
        <w:spacing w:after="0" w:line="247" w:lineRule="auto"/>
        <w:rPr>
          <w:sz w:val="20"/>
          <w:szCs w:val="20"/>
          <w:color w:val="auto"/>
        </w:rPr>
      </w:pPr>
      <w:r>
        <w:rPr>
          <w:rFonts w:ascii="Arial" w:cs="Arial" w:eastAsia="Arial" w:hAnsi="Arial"/>
          <w:sz w:val="22"/>
          <w:szCs w:val="22"/>
          <w:color w:val="auto"/>
        </w:rPr>
        <w:t>No shares of preferred stock have been issued. Our certificate of incorporation authorizes our Board to establish one or more series of preferred stock (including convertible preferred stock). Unless required by law or any stock exchange, the authorized shares of preferred stock will be available for issuance without further action by holders of our common stock. Our Board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07" w:name="page108"/>
    <w:bookmarkEnd w:id="107"/>
    <w:p>
      <w:pPr>
        <w:ind w:left="760" w:hanging="378"/>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designation of the series;</w:t>
      </w:r>
    </w:p>
    <w:p>
      <w:pPr>
        <w:spacing w:after="0" w:line="219" w:lineRule="exact"/>
        <w:rPr>
          <w:rFonts w:ascii="Arial" w:cs="Arial" w:eastAsia="Arial" w:hAnsi="Arial"/>
          <w:sz w:val="22"/>
          <w:szCs w:val="22"/>
          <w:color w:val="auto"/>
        </w:rPr>
      </w:pPr>
    </w:p>
    <w:p>
      <w:pPr>
        <w:ind w:left="760" w:right="420" w:hanging="378"/>
        <w:spacing w:after="0" w:line="253" w:lineRule="auto"/>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number of shares of the series, which our Board may, except where otherwise provided in the preferred stock designation, increase (but not above the total number of authorized share of the class) or decrease (but not below the number of shares then outstanding);</w:t>
      </w:r>
    </w:p>
    <w:p>
      <w:pPr>
        <w:spacing w:after="0" w:line="185" w:lineRule="exact"/>
        <w:rPr>
          <w:rFonts w:ascii="Arial" w:cs="Arial" w:eastAsia="Arial" w:hAnsi="Arial"/>
          <w:sz w:val="22"/>
          <w:szCs w:val="22"/>
          <w:color w:val="auto"/>
        </w:rPr>
      </w:pPr>
    </w:p>
    <w:p>
      <w:pPr>
        <w:ind w:left="760" w:hanging="378"/>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whether dividends, if any, will be cumulative or non-cumulative and the dividend rate of the series;</w:t>
      </w:r>
    </w:p>
    <w:p>
      <w:pPr>
        <w:spacing w:after="0" w:line="219" w:lineRule="exact"/>
        <w:rPr>
          <w:rFonts w:ascii="Arial" w:cs="Arial" w:eastAsia="Arial" w:hAnsi="Arial"/>
          <w:sz w:val="22"/>
          <w:szCs w:val="22"/>
          <w:color w:val="auto"/>
        </w:rPr>
      </w:pPr>
    </w:p>
    <w:p>
      <w:pPr>
        <w:ind w:left="760" w:hanging="378"/>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dates at which dividends, if any, will be payable;</w:t>
      </w:r>
    </w:p>
    <w:p>
      <w:pPr>
        <w:spacing w:after="0" w:line="219" w:lineRule="exact"/>
        <w:rPr>
          <w:rFonts w:ascii="Arial" w:cs="Arial" w:eastAsia="Arial" w:hAnsi="Arial"/>
          <w:sz w:val="22"/>
          <w:szCs w:val="22"/>
          <w:color w:val="auto"/>
        </w:rPr>
      </w:pPr>
    </w:p>
    <w:p>
      <w:pPr>
        <w:ind w:left="760" w:hanging="378"/>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exchange rights and price or prices, if any, for shares of the series;</w:t>
      </w:r>
    </w:p>
    <w:p>
      <w:pPr>
        <w:spacing w:after="0" w:line="219" w:lineRule="exact"/>
        <w:rPr>
          <w:rFonts w:ascii="Arial" w:cs="Arial" w:eastAsia="Arial" w:hAnsi="Arial"/>
          <w:sz w:val="22"/>
          <w:szCs w:val="22"/>
          <w:color w:val="auto"/>
        </w:rPr>
      </w:pPr>
    </w:p>
    <w:p>
      <w:pPr>
        <w:ind w:left="760" w:hanging="378"/>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terms and amounts of any sinking fund provided for the purchase or exchange of shares of the series;</w:t>
      </w:r>
    </w:p>
    <w:p>
      <w:pPr>
        <w:spacing w:after="0" w:line="219" w:lineRule="exact"/>
        <w:rPr>
          <w:rFonts w:ascii="Arial" w:cs="Arial" w:eastAsia="Arial" w:hAnsi="Arial"/>
          <w:sz w:val="22"/>
          <w:szCs w:val="22"/>
          <w:color w:val="auto"/>
        </w:rPr>
      </w:pPr>
    </w:p>
    <w:p>
      <w:pPr>
        <w:ind w:left="760" w:right="640" w:hanging="378"/>
        <w:spacing w:after="0" w:line="263" w:lineRule="auto"/>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amounts payable on shares of the series in the event of any voluntary or involuntary liquidation, dissolution or winding up of the affairs of our company;</w:t>
      </w:r>
    </w:p>
    <w:p>
      <w:pPr>
        <w:spacing w:after="0" w:line="174" w:lineRule="exact"/>
        <w:rPr>
          <w:rFonts w:ascii="Arial" w:cs="Arial" w:eastAsia="Arial" w:hAnsi="Arial"/>
          <w:sz w:val="22"/>
          <w:szCs w:val="22"/>
          <w:color w:val="auto"/>
        </w:rPr>
      </w:pPr>
    </w:p>
    <w:p>
      <w:pPr>
        <w:ind w:left="760" w:hanging="378"/>
        <w:spacing w:after="0" w:line="250" w:lineRule="auto"/>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87" w:lineRule="exact"/>
        <w:rPr>
          <w:rFonts w:ascii="Arial" w:cs="Arial" w:eastAsia="Arial" w:hAnsi="Arial"/>
          <w:sz w:val="22"/>
          <w:szCs w:val="22"/>
          <w:color w:val="auto"/>
        </w:rPr>
      </w:pPr>
    </w:p>
    <w:p>
      <w:pPr>
        <w:ind w:left="760" w:hanging="378"/>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restrictions on the issuance of shares of the same series or of any other class or series; and</w:t>
      </w:r>
    </w:p>
    <w:p>
      <w:pPr>
        <w:spacing w:after="0" w:line="219" w:lineRule="exact"/>
        <w:rPr>
          <w:rFonts w:ascii="Arial" w:cs="Arial" w:eastAsia="Arial" w:hAnsi="Arial"/>
          <w:sz w:val="22"/>
          <w:szCs w:val="22"/>
          <w:color w:val="auto"/>
        </w:rPr>
      </w:pPr>
    </w:p>
    <w:p>
      <w:pPr>
        <w:ind w:left="760" w:hanging="378"/>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voting rights, if any, of the holders of the series.</w:t>
      </w:r>
    </w:p>
    <w:p>
      <w:pPr>
        <w:spacing w:after="0" w:line="152" w:lineRule="exact"/>
        <w:rPr>
          <w:sz w:val="20"/>
          <w:szCs w:val="20"/>
          <w:color w:val="auto"/>
        </w:rPr>
      </w:pPr>
    </w:p>
    <w:p>
      <w:pPr>
        <w:ind w:right="80" w:firstLine="749"/>
        <w:spacing w:after="0" w:line="246" w:lineRule="auto"/>
        <w:rPr>
          <w:sz w:val="20"/>
          <w:szCs w:val="20"/>
          <w:color w:val="auto"/>
        </w:rPr>
      </w:pPr>
      <w:r>
        <w:rPr>
          <w:rFonts w:ascii="Arial" w:cs="Arial" w:eastAsia="Arial" w:hAnsi="Arial"/>
          <w:sz w:val="22"/>
          <w:szCs w:val="22"/>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but Unissued Capital Stock</w:t>
      </w:r>
    </w:p>
    <w:p>
      <w:pPr>
        <w:spacing w:after="0" w:line="158" w:lineRule="exact"/>
        <w:rPr>
          <w:sz w:val="20"/>
          <w:szCs w:val="20"/>
          <w:color w:val="auto"/>
        </w:rPr>
      </w:pPr>
    </w:p>
    <w:p>
      <w:pPr>
        <w:ind w:right="400" w:firstLine="749"/>
        <w:spacing w:after="0" w:line="250" w:lineRule="auto"/>
        <w:rPr>
          <w:sz w:val="20"/>
          <w:szCs w:val="20"/>
          <w:color w:val="auto"/>
        </w:rPr>
      </w:pPr>
      <w:r>
        <w:rPr>
          <w:rFonts w:ascii="Arial" w:cs="Arial" w:eastAsia="Arial" w:hAnsi="Arial"/>
          <w:sz w:val="22"/>
          <w:szCs w:val="22"/>
          <w:color w:val="auto"/>
        </w:rPr>
        <w:t>The DGCL does not require stockholder approval for any issuance of authorized shares. However, the listing requirements of Nasdaq Stock Market LLC (“Nasdaq”), which would apply so long as the shares of Class A common stock remain listed on Nasdaq, require stockholder approval of certain issuances equal to or exceeding 20% of the then outstanding voting power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8" w:name="page109"/>
    <w:bookmarkEnd w:id="108"/>
    <w:p>
      <w:pPr>
        <w:ind w:right="80"/>
        <w:spacing w:after="0" w:line="302" w:lineRule="auto"/>
        <w:rPr>
          <w:sz w:val="20"/>
          <w:szCs w:val="20"/>
          <w:color w:val="auto"/>
        </w:rPr>
      </w:pPr>
      <w:r>
        <w:rPr>
          <w:rFonts w:ascii="Arial" w:cs="Arial" w:eastAsia="Arial" w:hAnsi="Arial"/>
          <w:sz w:val="19"/>
          <w:szCs w:val="19"/>
          <w:color w:val="auto"/>
        </w:rPr>
        <w:t>the then outstanding number of shares of Class A common stock (we believe the position of Nasdaq is that the calculation in this latter case treats as outstanding shares of Class A common stock issuable upon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75" w:lineRule="exact"/>
        <w:rPr>
          <w:sz w:val="20"/>
          <w:szCs w:val="20"/>
          <w:color w:val="auto"/>
        </w:rPr>
      </w:pPr>
    </w:p>
    <w:p>
      <w:pPr>
        <w:ind w:right="140" w:firstLine="749"/>
        <w:spacing w:after="0" w:line="248" w:lineRule="auto"/>
        <w:rPr>
          <w:sz w:val="20"/>
          <w:szCs w:val="20"/>
          <w:color w:val="auto"/>
        </w:rPr>
      </w:pPr>
      <w:r>
        <w:rPr>
          <w:rFonts w:ascii="Arial" w:cs="Arial" w:eastAsia="Arial" w:hAnsi="Arial"/>
          <w:sz w:val="22"/>
          <w:szCs w:val="22"/>
          <w:color w:val="auto"/>
        </w:rPr>
        <w:t>One of the effects of the existence of unissued and unreserved common stock or preferred stock may be to enable our Board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158" w:lineRule="exact"/>
        <w:rPr>
          <w:sz w:val="20"/>
          <w:szCs w:val="20"/>
          <w:color w:val="auto"/>
        </w:rPr>
      </w:pPr>
    </w:p>
    <w:p>
      <w:pPr>
        <w:ind w:firstLine="749"/>
        <w:spacing w:after="0" w:line="259" w:lineRule="auto"/>
        <w:rPr>
          <w:sz w:val="20"/>
          <w:szCs w:val="20"/>
          <w:color w:val="auto"/>
        </w:rPr>
      </w:pPr>
      <w:r>
        <w:rPr>
          <w:rFonts w:ascii="Arial" w:cs="Arial" w:eastAsia="Arial" w:hAnsi="Arial"/>
          <w:sz w:val="21"/>
          <w:szCs w:val="21"/>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Provisions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Neither the Class A common stock nor the Class B common stock has any preemptive or other subscription rights.</w:t>
      </w:r>
    </w:p>
    <w:p>
      <w:pPr>
        <w:spacing w:after="0" w:line="187" w:lineRule="exact"/>
        <w:rPr>
          <w:sz w:val="20"/>
          <w:szCs w:val="20"/>
          <w:color w:val="auto"/>
        </w:rPr>
      </w:pPr>
    </w:p>
    <w:p>
      <w:pPr>
        <w:ind w:right="460" w:firstLine="749"/>
        <w:spacing w:after="0" w:line="263" w:lineRule="auto"/>
        <w:rPr>
          <w:sz w:val="20"/>
          <w:szCs w:val="20"/>
          <w:color w:val="auto"/>
        </w:rPr>
      </w:pPr>
      <w:r>
        <w:rPr>
          <w:rFonts w:ascii="Arial" w:cs="Arial" w:eastAsia="Arial" w:hAnsi="Arial"/>
          <w:sz w:val="22"/>
          <w:szCs w:val="22"/>
          <w:color w:val="auto"/>
        </w:rPr>
        <w:t>There are no redemption, conversion or sinking fund provisions applicable to the Class A common stock or Class B common stock.</w:t>
      </w:r>
    </w:p>
    <w:p>
      <w:pPr>
        <w:spacing w:after="0" w:line="107" w:lineRule="exact"/>
        <w:rPr>
          <w:sz w:val="20"/>
          <w:szCs w:val="20"/>
          <w:color w:val="auto"/>
        </w:rPr>
      </w:pPr>
    </w:p>
    <w:p>
      <w:pPr>
        <w:ind w:right="240" w:firstLine="749"/>
        <w:spacing w:after="0" w:line="263" w:lineRule="auto"/>
        <w:rPr>
          <w:sz w:val="20"/>
          <w:szCs w:val="20"/>
          <w:color w:val="auto"/>
        </w:rPr>
      </w:pPr>
      <w:r>
        <w:rPr>
          <w:rFonts w:ascii="Arial" w:cs="Arial" w:eastAsia="Arial" w:hAnsi="Arial"/>
          <w:sz w:val="22"/>
          <w:szCs w:val="22"/>
          <w:color w:val="auto"/>
        </w:rPr>
        <w:t>At such time when no LLC Units remain exchangeable for shares of our Class A common stock, our Class B common stock will be canceled.</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w:t>
      </w:r>
    </w:p>
    <w:p>
      <w:pPr>
        <w:spacing w:after="0" w:line="158" w:lineRule="exact"/>
        <w:rPr>
          <w:sz w:val="20"/>
          <w:szCs w:val="20"/>
          <w:color w:val="auto"/>
        </w:rPr>
      </w:pPr>
    </w:p>
    <w:p>
      <w:pPr>
        <w:ind w:firstLine="749"/>
        <w:spacing w:after="0" w:line="294" w:lineRule="auto"/>
        <w:rPr>
          <w:sz w:val="20"/>
          <w:szCs w:val="20"/>
          <w:color w:val="auto"/>
        </w:rPr>
      </w:pPr>
      <w:r>
        <w:rPr>
          <w:rFonts w:ascii="Arial" w:cs="Arial" w:eastAsia="Arial" w:hAnsi="Arial"/>
          <w:sz w:val="19"/>
          <w:szCs w:val="19"/>
          <w:color w:val="auto"/>
        </w:rPr>
        <w:t>Our certificate of incorporation and bylaws contain provisions that delay, defer or discourage transactions involving an actual or potential change in control of us or change in our management. We expect that these provisions will discourage coercive takeover practices or inadequate takeover bids. These provisions are designed to encourage persons seeking to acquire control of us to first negotiate with our Board, which we believe may result in an improvement of the terms of any such acquisition in favor of our stockholders. However, they also give our Board the power to discourage transactions that some stockholders may favor, including transactions in which stockholders might otherwise receive a premium for their shares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09" w:name="page110"/>
    <w:bookmarkEnd w:id="109"/>
    <w:p>
      <w:pPr>
        <w:ind w:right="780"/>
        <w:spacing w:after="0" w:line="263" w:lineRule="auto"/>
        <w:rPr>
          <w:sz w:val="20"/>
          <w:szCs w:val="20"/>
          <w:color w:val="auto"/>
        </w:rPr>
      </w:pPr>
      <w:r>
        <w:rPr>
          <w:rFonts w:ascii="Arial" w:cs="Arial" w:eastAsia="Arial" w:hAnsi="Arial"/>
          <w:sz w:val="22"/>
          <w:szCs w:val="22"/>
          <w:color w:val="auto"/>
        </w:rPr>
        <w:t>transactions that our stockholders might otherwise deem to be in their best interests. Accordingly, these provisions could adversely affect the price of our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Special Meetings of Stockholders</w:t>
      </w:r>
    </w:p>
    <w:p>
      <w:pPr>
        <w:spacing w:after="0" w:line="139" w:lineRule="exact"/>
        <w:rPr>
          <w:sz w:val="20"/>
          <w:szCs w:val="20"/>
          <w:color w:val="auto"/>
        </w:rPr>
      </w:pPr>
    </w:p>
    <w:p>
      <w:pPr>
        <w:ind w:right="100" w:firstLine="749"/>
        <w:spacing w:after="0" w:line="248" w:lineRule="auto"/>
        <w:rPr>
          <w:sz w:val="20"/>
          <w:szCs w:val="20"/>
          <w:color w:val="auto"/>
        </w:rPr>
      </w:pPr>
      <w:r>
        <w:rPr>
          <w:rFonts w:ascii="Arial" w:cs="Arial" w:eastAsia="Arial" w:hAnsi="Arial"/>
          <w:sz w:val="22"/>
          <w:szCs w:val="22"/>
          <w:color w:val="auto"/>
        </w:rPr>
        <w:t>Our certificate of incorporation and bylaws provide that special meetings of the stockholders may be called only upon the request of a majority of our Board, our chair of our Board or upon the request of our Chief Executive Officer. Our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 Notice of Nominations and Other Business</w:t>
      </w:r>
    </w:p>
    <w:p>
      <w:pPr>
        <w:spacing w:after="0" w:line="139" w:lineRule="exact"/>
        <w:rPr>
          <w:sz w:val="20"/>
          <w:szCs w:val="20"/>
          <w:color w:val="auto"/>
        </w:rPr>
      </w:pPr>
    </w:p>
    <w:p>
      <w:pPr>
        <w:ind w:firstLine="509"/>
        <w:spacing w:after="0" w:line="273" w:lineRule="auto"/>
        <w:rPr>
          <w:sz w:val="20"/>
          <w:szCs w:val="20"/>
          <w:color w:val="auto"/>
        </w:rPr>
      </w:pPr>
      <w:r>
        <w:rPr>
          <w:rFonts w:ascii="Arial" w:cs="Arial" w:eastAsia="Arial" w:hAnsi="Arial"/>
          <w:sz w:val="19"/>
          <w:szCs w:val="19"/>
          <w:color w:val="auto"/>
        </w:rPr>
        <w:t>Our bylaws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must comply with the advance notice requirements of our bylaws. In the case of the annual meeting of the stockholders a notice properly brought must be delivered to the our principal executive offices not earlier than the open of business on the 120th day and not later than the close of business on the 90th day prior to the first anniversary of the preceding year’s annual meeting. Notice of a special meeting of the stockholders called for the purpose of electing directors, must be made not earlier than the open of business on the 120th day prior to such special meeting and not later than the close of business on the later of the 90th day prior to such special meeting or the 10th day following the date on which notice of the date of the special meeting was mailed or public disclosure of the date of the special meeting was made by the Corporation, whichever first occurs.</w:t>
      </w:r>
    </w:p>
    <w:p>
      <w:pPr>
        <w:spacing w:after="0" w:line="161" w:lineRule="exact"/>
        <w:rPr>
          <w:sz w:val="20"/>
          <w:szCs w:val="20"/>
          <w:color w:val="auto"/>
        </w:rPr>
      </w:pPr>
    </w:p>
    <w:p>
      <w:pPr>
        <w:ind w:right="80" w:firstLine="509"/>
        <w:spacing w:after="0" w:line="328" w:lineRule="auto"/>
        <w:rPr>
          <w:sz w:val="20"/>
          <w:szCs w:val="20"/>
          <w:color w:val="auto"/>
        </w:rPr>
      </w:pPr>
      <w:r>
        <w:rPr>
          <w:rFonts w:ascii="Arial" w:cs="Arial" w:eastAsia="Arial" w:hAnsi="Arial"/>
          <w:sz w:val="19"/>
          <w:szCs w:val="19"/>
          <w:color w:val="auto"/>
        </w:rPr>
        <w:t>A stockholder’s notice to our principal executive office must be in proper written form and must set forth information related to the stockholder giving the notice and the beneficial owner (if any) on whose behalf the nomination is made, including:</w:t>
      </w:r>
    </w:p>
    <w:p>
      <w:pPr>
        <w:spacing w:after="0" w:line="132" w:lineRule="exact"/>
        <w:rPr>
          <w:sz w:val="20"/>
          <w:szCs w:val="20"/>
          <w:color w:val="auto"/>
        </w:rPr>
      </w:pPr>
    </w:p>
    <w:p>
      <w:pPr>
        <w:ind w:left="1040" w:hanging="452"/>
        <w:spacing w:after="0"/>
        <w:tabs>
          <w:tab w:leader="none" w:pos="1040"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name and record address of the stockholder of record on our books and records entitled to vote at a meeting;</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left="1040" w:right="600" w:hanging="479"/>
        <w:spacing w:after="0" w:line="232" w:lineRule="auto"/>
        <w:tabs>
          <w:tab w:leader="none" w:pos="10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arrangements, rights or other interests described in the above held by members of such holder’s immediate family sharing the same household; and</w:t>
      </w:r>
    </w:p>
    <w:p>
      <w:pPr>
        <w:spacing w:after="0" w:line="212" w:lineRule="exact"/>
        <w:rPr>
          <w:rFonts w:ascii="Arial" w:cs="Arial" w:eastAsia="Arial" w:hAnsi="Arial"/>
          <w:sz w:val="22"/>
          <w:szCs w:val="22"/>
          <w:color w:val="auto"/>
        </w:rPr>
      </w:pPr>
    </w:p>
    <w:p>
      <w:pPr>
        <w:ind w:left="1040" w:right="60" w:hanging="452"/>
        <w:spacing w:after="0" w:line="232" w:lineRule="auto"/>
        <w:tabs>
          <w:tab w:leader="none" w:pos="104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 certification regarding compliance with all applicable federal, state and other legal requirements in connection with the securities.</w:t>
      </w:r>
    </w:p>
    <w:p>
      <w:pPr>
        <w:spacing w:after="0" w:line="186" w:lineRule="exact"/>
        <w:rPr>
          <w:sz w:val="20"/>
          <w:szCs w:val="20"/>
          <w:color w:val="auto"/>
        </w:rPr>
      </w:pPr>
    </w:p>
    <w:p>
      <w:pPr>
        <w:ind w:right="320" w:firstLine="509"/>
        <w:spacing w:after="0" w:line="274" w:lineRule="auto"/>
        <w:rPr>
          <w:sz w:val="20"/>
          <w:szCs w:val="20"/>
          <w:color w:val="auto"/>
        </w:rPr>
      </w:pPr>
      <w:r>
        <w:rPr>
          <w:rFonts w:ascii="Arial" w:cs="Arial" w:eastAsia="Arial" w:hAnsi="Arial"/>
          <w:sz w:val="21"/>
          <w:szCs w:val="21"/>
          <w:color w:val="auto"/>
        </w:rPr>
        <w:t>As to each person whom the stockholder proposes to nominate for election as a director, the notice shall include, among other information, the following, together with a representation as to the accuracy of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10" w:name="page111"/>
    <w:bookmarkEnd w:id="110"/>
    <w:p>
      <w:pPr>
        <w:ind w:left="1040" w:right="740" w:hanging="452"/>
        <w:spacing w:after="0" w:line="232" w:lineRule="auto"/>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information relating to the person that would be required to be disclosed in a proxy statement or otherwise required, pursuant to the Exchange Act;</w:t>
      </w:r>
    </w:p>
    <w:p>
      <w:pPr>
        <w:spacing w:after="0" w:line="186" w:lineRule="exact"/>
        <w:rPr>
          <w:rFonts w:ascii="Arial" w:cs="Arial" w:eastAsia="Arial" w:hAnsi="Arial"/>
          <w:sz w:val="22"/>
          <w:szCs w:val="22"/>
          <w:color w:val="auto"/>
        </w:rPr>
      </w:pPr>
    </w:p>
    <w:p>
      <w:pPr>
        <w:ind w:left="1040" w:right="720" w:hanging="452"/>
        <w:spacing w:after="0" w:line="232" w:lineRule="auto"/>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description of any agreements, arrangements and understandings between or among the stockholder and the nominee;</w:t>
      </w:r>
    </w:p>
    <w:p>
      <w:pPr>
        <w:spacing w:after="0" w:line="212" w:lineRule="exact"/>
        <w:rPr>
          <w:rFonts w:ascii="Arial" w:cs="Arial" w:eastAsia="Arial" w:hAnsi="Arial"/>
          <w:sz w:val="22"/>
          <w:szCs w:val="22"/>
          <w:color w:val="auto"/>
        </w:rPr>
      </w:pPr>
    </w:p>
    <w:p>
      <w:pPr>
        <w:ind w:left="1040" w:right="640" w:hanging="452"/>
        <w:spacing w:after="0" w:line="232" w:lineRule="auto"/>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person’s written consent to being named in the proxy statement as a nominee and to serving as a director if elected;</w:t>
      </w:r>
    </w:p>
    <w:p>
      <w:pPr>
        <w:spacing w:after="0" w:line="212" w:lineRule="exact"/>
        <w:rPr>
          <w:rFonts w:ascii="Arial" w:cs="Arial" w:eastAsia="Arial" w:hAnsi="Arial"/>
          <w:sz w:val="22"/>
          <w:szCs w:val="22"/>
          <w:color w:val="auto"/>
        </w:rPr>
      </w:pPr>
    </w:p>
    <w:p>
      <w:pPr>
        <w:ind w:left="1040" w:right="300" w:hanging="452"/>
        <w:spacing w:after="0" w:line="232" w:lineRule="auto"/>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written questionnaire with respect to the background and qualification of such person and the background of any other person or entity on whose behalf the nomination is being made;</w:t>
      </w:r>
    </w:p>
    <w:p>
      <w:pPr>
        <w:spacing w:after="0" w:line="212" w:lineRule="exact"/>
        <w:rPr>
          <w:rFonts w:ascii="Arial" w:cs="Arial" w:eastAsia="Arial" w:hAnsi="Arial"/>
          <w:sz w:val="22"/>
          <w:szCs w:val="22"/>
          <w:color w:val="auto"/>
        </w:rPr>
      </w:pPr>
    </w:p>
    <w:p>
      <w:pPr>
        <w:ind w:left="1040" w:right="120" w:hanging="452"/>
        <w:spacing w:after="0" w:line="226" w:lineRule="auto"/>
        <w:tabs>
          <w:tab w:leader="none" w:pos="104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person’s written representation and agreement that: (i) except as has been disclosed to us, such person is not and will not become a party to any voting commitment or compensation, reimbursement or indemnification arrangement in connection with service as a director and (ii) such person would, if elected as a director, comply with all of our corporate governance, ethics, conflict of interest, confidentiality and stock ownership and trading policies and guidelines applicable generally to our directors; and</w:t>
      </w:r>
    </w:p>
    <w:p>
      <w:pPr>
        <w:spacing w:after="0" w:line="213" w:lineRule="exact"/>
        <w:rPr>
          <w:rFonts w:ascii="Arial" w:cs="Arial" w:eastAsia="Arial" w:hAnsi="Arial"/>
          <w:sz w:val="21"/>
          <w:szCs w:val="21"/>
          <w:color w:val="auto"/>
        </w:rPr>
      </w:pPr>
    </w:p>
    <w:p>
      <w:pPr>
        <w:ind w:left="1040" w:hanging="452"/>
        <w:spacing w:after="0"/>
        <w:tabs>
          <w:tab w:leader="none" w:pos="10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such other information as required under our bylaws.</w:t>
      </w:r>
    </w:p>
    <w:p>
      <w:pPr>
        <w:spacing w:after="0" w:line="200" w:lineRule="exact"/>
        <w:rPr>
          <w:sz w:val="20"/>
          <w:szCs w:val="20"/>
          <w:color w:val="auto"/>
        </w:rPr>
      </w:pPr>
    </w:p>
    <w:p>
      <w:pPr>
        <w:spacing w:after="0" w:line="222" w:lineRule="exact"/>
        <w:rPr>
          <w:sz w:val="20"/>
          <w:szCs w:val="20"/>
          <w:color w:val="auto"/>
        </w:rPr>
      </w:pPr>
    </w:p>
    <w:p>
      <w:pPr>
        <w:ind w:right="300" w:firstLine="509"/>
        <w:spacing w:after="0" w:line="250" w:lineRule="auto"/>
        <w:rPr>
          <w:sz w:val="20"/>
          <w:szCs w:val="20"/>
          <w:color w:val="auto"/>
        </w:rPr>
      </w:pPr>
      <w:r>
        <w:rPr>
          <w:rFonts w:ascii="Arial" w:cs="Arial" w:eastAsia="Arial" w:hAnsi="Arial"/>
          <w:sz w:val="22"/>
          <w:szCs w:val="22"/>
          <w:color w:val="auto"/>
        </w:rPr>
        <w:t>As to any other business that the stockholder proposes to bring before the meeting, the notice shall include, among other information, the following:</w:t>
      </w:r>
    </w:p>
    <w:p>
      <w:pPr>
        <w:spacing w:after="0" w:line="202" w:lineRule="exact"/>
        <w:rPr>
          <w:sz w:val="20"/>
          <w:szCs w:val="20"/>
          <w:color w:val="auto"/>
        </w:rPr>
      </w:pPr>
    </w:p>
    <w:p>
      <w:pPr>
        <w:ind w:left="1040" w:right="180" w:hanging="452"/>
        <w:spacing w:after="0" w:line="218" w:lineRule="auto"/>
        <w:tabs>
          <w:tab w:leader="none" w:pos="10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 brief description of the business desired to be brought before the meeting, the text of the proposal or business (including the complete text of any resolutions or bylaw amendment proposed for consideration), the reasons for conducting the business at the meeting and any material interest in such business of such stockholder and beneficial owner on whose behalf the proposal is made; and</w:t>
      </w:r>
    </w:p>
    <w:p>
      <w:pPr>
        <w:spacing w:after="0" w:line="214" w:lineRule="exact"/>
        <w:rPr>
          <w:rFonts w:ascii="Arial" w:cs="Arial" w:eastAsia="Arial" w:hAnsi="Arial"/>
          <w:sz w:val="22"/>
          <w:szCs w:val="22"/>
          <w:color w:val="auto"/>
        </w:rPr>
      </w:pPr>
    </w:p>
    <w:p>
      <w:pPr>
        <w:ind w:left="1040" w:right="160" w:hanging="452"/>
        <w:spacing w:after="0" w:line="247" w:lineRule="auto"/>
        <w:tabs>
          <w:tab w:leader="none" w:pos="1040" w:val="left"/>
        </w:tabs>
        <w:numPr>
          <w:ilvl w:val="0"/>
          <w:numId w:val="56"/>
        </w:numPr>
        <w:rPr>
          <w:rFonts w:ascii="Arial" w:cs="Arial" w:eastAsia="Arial" w:hAnsi="Arial"/>
          <w:sz w:val="21"/>
          <w:szCs w:val="21"/>
          <w:color w:val="auto"/>
        </w:rPr>
      </w:pPr>
      <w:r>
        <w:rPr>
          <w:rFonts w:ascii="Arial" w:cs="Arial" w:eastAsia="Arial" w:hAnsi="Arial"/>
          <w:sz w:val="21"/>
          <w:szCs w:val="21"/>
          <w:color w:val="auto"/>
        </w:rPr>
        <w:t>a description of all agreements, arrangements and understandings between the stockholder and beneficial owner and any other person or persons acting in concert with them in connection with the proposal.</w:t>
      </w:r>
    </w:p>
    <w:p>
      <w:pPr>
        <w:spacing w:after="0" w:line="286" w:lineRule="exact"/>
        <w:rPr>
          <w:sz w:val="20"/>
          <w:szCs w:val="20"/>
          <w:color w:val="auto"/>
        </w:rPr>
      </w:pPr>
    </w:p>
    <w:p>
      <w:pPr>
        <w:ind w:firstLine="509"/>
        <w:spacing w:after="0" w:line="250" w:lineRule="auto"/>
        <w:rPr>
          <w:sz w:val="20"/>
          <w:szCs w:val="20"/>
          <w:color w:val="auto"/>
        </w:rPr>
      </w:pPr>
      <w:r>
        <w:rPr>
          <w:rFonts w:ascii="Arial" w:cs="Arial" w:eastAsia="Arial" w:hAnsi="Arial"/>
          <w:sz w:val="22"/>
          <w:szCs w:val="22"/>
          <w:color w:val="auto"/>
        </w:rPr>
        <w:t>Our bylaws also have proxy access procedures for stockholders to make nominations of candidates for election for directors at our annual meeting of stockholders.</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Classified Board of Directors and Related Provisions</w:t>
      </w:r>
    </w:p>
    <w:p>
      <w:pPr>
        <w:spacing w:after="0" w:line="139" w:lineRule="exact"/>
        <w:rPr>
          <w:sz w:val="20"/>
          <w:szCs w:val="20"/>
          <w:color w:val="auto"/>
        </w:rPr>
      </w:pPr>
    </w:p>
    <w:p>
      <w:pPr>
        <w:ind w:right="120" w:firstLine="749"/>
        <w:spacing w:after="0" w:line="312" w:lineRule="auto"/>
        <w:rPr>
          <w:sz w:val="20"/>
          <w:szCs w:val="20"/>
          <w:color w:val="auto"/>
        </w:rPr>
      </w:pPr>
      <w:r>
        <w:rPr>
          <w:rFonts w:ascii="Arial" w:cs="Arial" w:eastAsia="Arial" w:hAnsi="Arial"/>
          <w:sz w:val="19"/>
          <w:szCs w:val="19"/>
          <w:color w:val="auto"/>
        </w:rPr>
        <w:t>Our certificate of incorporation provides that our Board be divided into three classes, with one class being elected at each annual meeting of stockholders with termination staggered according to class. The classified board provision will prevent a third-party who acquires control of a majority of our outstanding voting stock from obtaining control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1" w:name="page112"/>
    <w:bookmarkEnd w:id="111"/>
    <w:p>
      <w:pPr>
        <w:ind w:right="60" w:firstLine="749"/>
        <w:spacing w:after="0" w:line="289" w:lineRule="auto"/>
        <w:rPr>
          <w:sz w:val="20"/>
          <w:szCs w:val="20"/>
          <w:color w:val="auto"/>
        </w:rPr>
      </w:pPr>
      <w:r>
        <w:rPr>
          <w:rFonts w:ascii="Arial" w:cs="Arial" w:eastAsia="Arial" w:hAnsi="Arial"/>
          <w:sz w:val="19"/>
          <w:szCs w:val="19"/>
          <w:color w:val="auto"/>
        </w:rPr>
        <w:t>The number of directors constituting our Board is determined from time to time by our Board. Our certificate of incorporation also provides that, subject to any rights of any preferred stock then outstanding, any director may be removed from office at any time but only for cause so long as the Board is classified and only by the affirmative vote of the holders of at least a majority of the voting power of the outstanding shares entitled to vote in the election of directors, considered for this purpose as one class. In addition, our certificate of incorporation provides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certificate of incorporation authorizing our Board to fill vacancies on the board of directors, will prevent stockholders from removing incumbent directors without cause and filling the resulting vacancies with their own nominees.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Stockholder Action by Written Consent</w:t>
      </w:r>
    </w:p>
    <w:p>
      <w:pPr>
        <w:spacing w:after="0" w:line="139" w:lineRule="exact"/>
        <w:rPr>
          <w:sz w:val="20"/>
          <w:szCs w:val="20"/>
          <w:color w:val="auto"/>
        </w:rPr>
      </w:pPr>
    </w:p>
    <w:p>
      <w:pPr>
        <w:ind w:right="20" w:firstLine="749"/>
        <w:spacing w:after="0" w:line="263" w:lineRule="auto"/>
        <w:rPr>
          <w:sz w:val="20"/>
          <w:szCs w:val="20"/>
          <w:color w:val="auto"/>
        </w:rPr>
      </w:pPr>
      <w:r>
        <w:rPr>
          <w:rFonts w:ascii="Arial" w:cs="Arial" w:eastAsia="Arial" w:hAnsi="Arial"/>
          <w:sz w:val="21"/>
          <w:szCs w:val="21"/>
          <w:color w:val="auto"/>
        </w:rPr>
        <w:t>Our certificate of incorporation provides that, from and after the time that Advent and its affiliates collectively own less than 30% of the voting power of our then-outstanding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Section 203 of the DGCL</w:t>
      </w:r>
    </w:p>
    <w:p>
      <w:pPr>
        <w:spacing w:after="0" w:line="152" w:lineRule="exact"/>
        <w:rPr>
          <w:sz w:val="20"/>
          <w:szCs w:val="20"/>
          <w:color w:val="auto"/>
        </w:rPr>
      </w:pPr>
    </w:p>
    <w:p>
      <w:pPr>
        <w:ind w:firstLine="749"/>
        <w:spacing w:after="0" w:line="289" w:lineRule="auto"/>
        <w:rPr>
          <w:sz w:val="20"/>
          <w:szCs w:val="20"/>
          <w:color w:val="auto"/>
        </w:rPr>
      </w:pPr>
      <w:r>
        <w:rPr>
          <w:rFonts w:ascii="Arial" w:cs="Arial" w:eastAsia="Arial" w:hAnsi="Arial"/>
          <w:sz w:val="19"/>
          <w:szCs w:val="19"/>
          <w:color w:val="auto"/>
        </w:rPr>
        <w:t>Our certificate of incorporation provides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apply even if the business combination could be considered beneficial by some stockholders. Our certificate of incorporation contains provisions that have the same effect as Section 203 of the DGCL, but such provisions do not apply to Advent and Spectrum and their affiliates. Although we have elected to opt out of the statute’s provisions, we could elect to be subject to Section 203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DEFINITIVE HEALTHCARE CORP. 2021 EQUITY INCENTIVE PLAN</w:t>
      </w:r>
    </w:p>
    <w:p>
      <w:pPr>
        <w:spacing w:after="0" w:line="212" w:lineRule="exact"/>
        <w:rPr>
          <w:sz w:val="20"/>
          <w:szCs w:val="20"/>
          <w:color w:val="auto"/>
        </w:rPr>
      </w:pPr>
    </w:p>
    <w:p>
      <w:pPr>
        <w:ind w:right="220" w:firstLine="757"/>
        <w:spacing w:after="0" w:line="249" w:lineRule="auto"/>
        <w:tabs>
          <w:tab w:leader="none" w:pos="149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xml:space="preserve"> The purpose of the Definitive Healthcare Corp. 2021 Equity Incentive Plan is to further align the interests of eligible participants with those of the Company’s stockholders by providing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178" w:lineRule="exact"/>
        <w:rPr>
          <w:rFonts w:ascii="Arial" w:cs="Arial" w:eastAsia="Arial" w:hAnsi="Arial"/>
          <w:sz w:val="21"/>
          <w:szCs w:val="21"/>
          <w:color w:val="auto"/>
        </w:rPr>
      </w:pPr>
    </w:p>
    <w:p>
      <w:pPr>
        <w:ind w:left="1500" w:hanging="743"/>
        <w:spacing w:after="0"/>
        <w:tabs>
          <w:tab w:leader="none" w:pos="150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and not otherwise defined herein shall have the meanings set forth below:</w:t>
      </w:r>
    </w:p>
    <w:p>
      <w:pPr>
        <w:spacing w:after="0" w:line="241" w:lineRule="exact"/>
        <w:rPr>
          <w:sz w:val="20"/>
          <w:szCs w:val="20"/>
          <w:color w:val="auto"/>
        </w:rPr>
      </w:pPr>
    </w:p>
    <w:p>
      <w:pPr>
        <w:ind w:right="1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means, with respect to a Person, any other Person directly or indirectly controlling, controlled by, or under common control with such first Person.</w:t>
      </w:r>
    </w:p>
    <w:p>
      <w:pPr>
        <w:spacing w:after="0" w:line="175" w:lineRule="exact"/>
        <w:rPr>
          <w:sz w:val="20"/>
          <w:szCs w:val="20"/>
          <w:color w:val="auto"/>
        </w:rPr>
      </w:pPr>
    </w:p>
    <w:p>
      <w:pPr>
        <w:ind w:right="3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Award</w:t>
      </w:r>
      <w:r>
        <w:rPr>
          <w:rFonts w:ascii="Arial" w:cs="Arial" w:eastAsia="Arial" w:hAnsi="Arial"/>
          <w:sz w:val="22"/>
          <w:szCs w:val="22"/>
          <w:color w:val="auto"/>
        </w:rPr>
        <w:t>” means a Stock Option, Stock Appreciation Right, Restricted Stock Award, Restricted Stock Unit, or Stock-Based Award granted under the Plan.</w:t>
      </w:r>
    </w:p>
    <w:p>
      <w:pPr>
        <w:spacing w:after="0" w:line="175" w:lineRule="exact"/>
        <w:rPr>
          <w:sz w:val="20"/>
          <w:szCs w:val="20"/>
          <w:color w:val="auto"/>
        </w:rPr>
      </w:pPr>
    </w:p>
    <w:p>
      <w:pPr>
        <w:ind w:right="12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Award Agreement</w:t>
      </w:r>
      <w:r>
        <w:rPr>
          <w:rFonts w:ascii="Arial" w:cs="Arial" w:eastAsia="Arial" w:hAnsi="Arial"/>
          <w:sz w:val="22"/>
          <w:szCs w:val="22"/>
          <w:color w:val="auto"/>
        </w:rPr>
        <w:t>” means a notice or an agreement entered into between the Company and a Participant or provided by the Company to a Participant setting forth the terms and conditions of an Award granted to a Participant as provided in Section 14.2 hereof.</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has the meaning set forth in Section 12.2 hereof.</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in Control</w:t>
      </w:r>
      <w:r>
        <w:rPr>
          <w:rFonts w:ascii="Arial" w:cs="Arial" w:eastAsia="Arial" w:hAnsi="Arial"/>
          <w:sz w:val="22"/>
          <w:szCs w:val="22"/>
          <w:color w:val="auto"/>
        </w:rPr>
        <w:t>” has the meaning set forth in Section 11.4 hereof.</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ind w:right="12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Committee</w:t>
      </w:r>
      <w:r>
        <w:rPr>
          <w:rFonts w:ascii="Arial" w:cs="Arial" w:eastAsia="Arial" w:hAnsi="Arial"/>
          <w:sz w:val="19"/>
          <w:szCs w:val="19"/>
          <w:color w:val="auto"/>
        </w:rPr>
        <w:t>” means (i) the Compensation Committee of the Board, (ii) such other committee of no fewer than two members of the Board who are appointed by the Board to administer the Plan or (iii) the Board, as determined by the Board.</w:t>
      </w:r>
    </w:p>
    <w:p>
      <w:pPr>
        <w:spacing w:after="0" w:line="105" w:lineRule="exact"/>
        <w:rPr>
          <w:sz w:val="20"/>
          <w:szCs w:val="20"/>
          <w:color w:val="auto"/>
        </w:rPr>
      </w:pPr>
    </w:p>
    <w:p>
      <w:pPr>
        <w:ind w:right="56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Common Stock</w:t>
      </w:r>
      <w:r>
        <w:rPr>
          <w:rFonts w:ascii="Arial" w:cs="Arial" w:eastAsia="Arial" w:hAnsi="Arial"/>
          <w:sz w:val="19"/>
          <w:szCs w:val="19"/>
          <w:color w:val="auto"/>
        </w:rPr>
        <w:t>” means the Class A common shares of the Company, par value $0.001 per share (and any shares or other securities into which such Common Stock may be converted or into which it may be exchanged).</w:t>
      </w:r>
    </w:p>
    <w:p>
      <w:pPr>
        <w:spacing w:after="0" w:line="105" w:lineRule="exact"/>
        <w:rPr>
          <w:sz w:val="20"/>
          <w:szCs w:val="20"/>
          <w:color w:val="auto"/>
        </w:rPr>
      </w:pPr>
    </w:p>
    <w:p>
      <w:pPr>
        <w:ind w:right="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Definitive Healthcare Corp., a corporation organized and existing under the laws of the State of Delaware,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 DOCVARIABLE "SWDOCIDLOCATION" 1" = "1" " DOCPROPERTY "SWDOCID" WEIL:\98093074\8\40590.0003" "" WEIL:\98093074\8\40590.0003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ind w:right="320" w:firstLine="14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Date of Grant</w:t>
      </w:r>
      <w:r>
        <w:rPr>
          <w:rFonts w:ascii="Arial" w:cs="Arial" w:eastAsia="Arial" w:hAnsi="Arial"/>
          <w:sz w:val="22"/>
          <w:szCs w:val="22"/>
          <w:color w:val="auto"/>
        </w:rPr>
        <w:t>” means the date on which an Award under the Plan is granted by the Committee or such later date as the Committee may specify to be the effective date of an Award.</w:t>
      </w:r>
    </w:p>
    <w:p>
      <w:pPr>
        <w:spacing w:after="0" w:line="173" w:lineRule="exact"/>
        <w:rPr>
          <w:sz w:val="20"/>
          <w:szCs w:val="20"/>
          <w:color w:val="auto"/>
        </w:rPr>
      </w:pPr>
    </w:p>
    <w:p>
      <w:pPr>
        <w:ind w:right="280"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means, unless otherwise defined in an Award Agreement, a disability described in Treasury Regulations Section 1.409A-3(i)(4)(i)(A). A Disability shall be deemed to occur at the time of the determination by the Committee of the Disability.</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Effective Date</w:t>
      </w:r>
      <w:r>
        <w:rPr>
          <w:rFonts w:ascii="Arial" w:cs="Arial" w:eastAsia="Arial" w:hAnsi="Arial"/>
          <w:sz w:val="22"/>
          <w:szCs w:val="22"/>
          <w:color w:val="auto"/>
        </w:rPr>
        <w:t>” has the meaning set forth in Section 15.1 hereof.</w:t>
      </w:r>
    </w:p>
    <w:p>
      <w:pPr>
        <w:spacing w:after="0" w:line="233"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Eligible Person</w:t>
      </w:r>
      <w:r>
        <w:rPr>
          <w:rFonts w:ascii="Arial" w:cs="Arial" w:eastAsia="Arial" w:hAnsi="Arial"/>
          <w:sz w:val="22"/>
          <w:szCs w:val="22"/>
          <w:color w:val="auto"/>
        </w:rPr>
        <w:t>” means any Person who is an officer, employee, Non-Employee Director, or any natural person who is a consultant or other personal service provider of the Company or any of its Subsidiaries.</w:t>
      </w:r>
    </w:p>
    <w:p>
      <w:pPr>
        <w:spacing w:after="0" w:line="202" w:lineRule="exact"/>
        <w:rPr>
          <w:sz w:val="20"/>
          <w:szCs w:val="20"/>
          <w:color w:val="auto"/>
        </w:rPr>
      </w:pPr>
    </w:p>
    <w:p>
      <w:pPr>
        <w:ind w:right="8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 and the rules and regulations promulgated thereunder, as the same may be amended from time to time.</w:t>
      </w:r>
    </w:p>
    <w:p>
      <w:pPr>
        <w:spacing w:after="0" w:line="175" w:lineRule="exact"/>
        <w:rPr>
          <w:sz w:val="20"/>
          <w:szCs w:val="20"/>
          <w:color w:val="auto"/>
        </w:rPr>
      </w:pPr>
    </w:p>
    <w:p>
      <w:pPr>
        <w:ind w:right="60" w:firstLine="14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Fair Market Value</w:t>
      </w:r>
      <w:r>
        <w:rPr>
          <w:rFonts w:ascii="Arial" w:cs="Arial" w:eastAsia="Arial" w:hAnsi="Arial"/>
          <w:sz w:val="21"/>
          <w:szCs w:val="21"/>
          <w:color w:val="auto"/>
        </w:rPr>
        <w:t>” means, as applied to a specific date, the price of a share of Common Stock that is based on the opening, closing, actual, high, low or average selling prices of a share of Common Stock reported on any established stock exchange or national market system including without limitation the National Association of Securities Dealers, Inc. Automated Quotation System (“</w:t>
      </w:r>
      <w:r>
        <w:rPr>
          <w:rFonts w:ascii="Arial" w:cs="Arial" w:eastAsia="Arial" w:hAnsi="Arial"/>
          <w:sz w:val="21"/>
          <w:szCs w:val="21"/>
          <w:i w:val="1"/>
          <w:iCs w:val="1"/>
          <w:color w:val="auto"/>
        </w:rPr>
        <w:t>NASDAQ</w:t>
      </w:r>
      <w:r>
        <w:rPr>
          <w:rFonts w:ascii="Arial" w:cs="Arial" w:eastAsia="Arial" w:hAnsi="Arial"/>
          <w:sz w:val="21"/>
          <w:szCs w:val="21"/>
          <w:color w:val="auto"/>
        </w:rPr>
        <w:t>”), the New York Stock Exchange and the National Market System on the applicable date, the preceding trading day, the next succeeding trading day, or an average of trading days, as determined by the Committee in its discretion. Unless the Committee determines otherwise or unless otherwise specified in an Award Agreement, Fair Market Value shall be deemed to be equal to the closing price of a share of Common Stock on the date as of which Fair Market Value is to be determined, or if shares of Common Stock are not publicly traded on such date, as of the most recent date on which shares of Common Stock were publicly traded. Notwithstanding the foregoing, if the Common Stock is not traded on any established stock exchange or national market system, the Fair Market Value means the price of a share of Common Stock as established by the Committee.</w:t>
      </w:r>
    </w:p>
    <w:p>
      <w:pPr>
        <w:spacing w:after="0" w:line="188" w:lineRule="exact"/>
        <w:rPr>
          <w:sz w:val="20"/>
          <w:szCs w:val="20"/>
          <w:color w:val="auto"/>
        </w:rPr>
      </w:pPr>
    </w:p>
    <w:p>
      <w:pPr>
        <w:ind w:right="5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Incentive Stock Option</w:t>
      </w:r>
      <w:r>
        <w:rPr>
          <w:rFonts w:ascii="Arial" w:cs="Arial" w:eastAsia="Arial" w:hAnsi="Arial"/>
          <w:sz w:val="22"/>
          <w:szCs w:val="22"/>
          <w:color w:val="auto"/>
        </w:rPr>
        <w:t>” means a Stock Option granted under Section 6 hereof that is intended to meet the requirements of Section 422 of the Code and the regulations thereunder.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Non-Employee Director</w:t>
      </w:r>
      <w:r>
        <w:rPr>
          <w:rFonts w:ascii="Arial" w:cs="Arial" w:eastAsia="Arial" w:hAnsi="Arial"/>
          <w:sz w:val="19"/>
          <w:szCs w:val="19"/>
          <w:color w:val="auto"/>
        </w:rPr>
        <w:t>” means a member of the Board who is not an employee of the Company or any of 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Subsidiaries.</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Nonqualified Stock Option</w:t>
      </w:r>
      <w:r>
        <w:rPr>
          <w:rFonts w:ascii="Arial" w:cs="Arial" w:eastAsia="Arial" w:hAnsi="Arial"/>
          <w:sz w:val="19"/>
          <w:szCs w:val="19"/>
          <w:color w:val="auto"/>
        </w:rPr>
        <w:t>” means a Stock Option granted under Section 6 hereof that is not an Incentive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Stock Option.</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 means any Eligible Person who holds an outstanding Award under the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4" w:name="page115"/>
    <w:bookmarkEnd w:id="114"/>
    <w:p>
      <w:pPr>
        <w:jc w:val="both"/>
        <w:ind w:right="10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187" w:lineRule="exact"/>
        <w:rPr>
          <w:sz w:val="20"/>
          <w:szCs w:val="20"/>
          <w:color w:val="auto"/>
        </w:rPr>
      </w:pPr>
    </w:p>
    <w:p>
      <w:pPr>
        <w:jc w:val="both"/>
        <w:ind w:right="8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Plan</w:t>
      </w:r>
      <w:r>
        <w:rPr>
          <w:rFonts w:ascii="Arial" w:cs="Arial" w:eastAsia="Arial" w:hAnsi="Arial"/>
          <w:sz w:val="19"/>
          <w:szCs w:val="19"/>
          <w:color w:val="auto"/>
        </w:rPr>
        <w:t>” means the Definitive Healthcare Corp. 2021 Equity Incentive Plan as set forth herein, effective as of the Effective Date and as may be amended from time to time, as provided herein, and includes any sub-plan or appendix that may be created and approved by the Board to allow Eligible Persons of Subsidiaries to participate in the Plan.</w:t>
      </w:r>
    </w:p>
    <w:p>
      <w:pPr>
        <w:spacing w:after="0" w:line="134" w:lineRule="exact"/>
        <w:rPr>
          <w:sz w:val="20"/>
          <w:szCs w:val="20"/>
          <w:color w:val="auto"/>
        </w:rPr>
      </w:pPr>
    </w:p>
    <w:p>
      <w:pPr>
        <w:ind w:right="52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Stock Award</w:t>
      </w:r>
      <w:r>
        <w:rPr>
          <w:rFonts w:ascii="Arial" w:cs="Arial" w:eastAsia="Arial" w:hAnsi="Arial"/>
          <w:sz w:val="22"/>
          <w:szCs w:val="22"/>
          <w:color w:val="auto"/>
        </w:rPr>
        <w:t>” means a grant of shares of Common Stock to an Eligible Person under Section 8 hereof that are issued subject to such vesting and transfer restrictions as the Committee shall determine, and such other conditions, as are set forth in the Plan and the applicable Award Agreement.</w:t>
      </w:r>
    </w:p>
    <w:p>
      <w:pPr>
        <w:spacing w:after="0" w:line="186" w:lineRule="exact"/>
        <w:rPr>
          <w:sz w:val="20"/>
          <w:szCs w:val="20"/>
          <w:color w:val="auto"/>
        </w:rPr>
      </w:pPr>
    </w:p>
    <w:p>
      <w:pPr>
        <w:ind w:right="4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Stock Unit</w:t>
      </w:r>
      <w:r>
        <w:rPr>
          <w:rFonts w:ascii="Arial" w:cs="Arial" w:eastAsia="Arial" w:hAnsi="Arial"/>
          <w:sz w:val="22"/>
          <w:szCs w:val="22"/>
          <w:color w:val="auto"/>
        </w:rPr>
        <w:t>” means a contractual right granted to an Eligible Person under Section 9 hereof representing notional unit interests equal in value to a share of Common Stock to be paid or distributed at such times, and subject to such conditions, as set forth in the Plan and the applicable Award Agreement.</w:t>
      </w:r>
    </w:p>
    <w:p>
      <w:pPr>
        <w:spacing w:after="0" w:line="186" w:lineRule="exact"/>
        <w:rPr>
          <w:sz w:val="20"/>
          <w:szCs w:val="20"/>
          <w:color w:val="auto"/>
        </w:rPr>
      </w:pPr>
    </w:p>
    <w:p>
      <w:pPr>
        <w:ind w:right="5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 and the rules and regulations promulgated thereunder, as the same may be amended from time to time.</w:t>
      </w:r>
    </w:p>
    <w:p>
      <w:pPr>
        <w:spacing w:after="0" w:line="175" w:lineRule="exact"/>
        <w:rPr>
          <w:sz w:val="20"/>
          <w:szCs w:val="20"/>
          <w:color w:val="auto"/>
        </w:rPr>
      </w:pPr>
    </w:p>
    <w:p>
      <w:pPr>
        <w:ind w:right="6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Service</w:t>
      </w:r>
      <w:r>
        <w:rPr>
          <w:rFonts w:ascii="Arial" w:cs="Arial" w:eastAsia="Arial" w:hAnsi="Arial"/>
          <w:sz w:val="19"/>
          <w:szCs w:val="19"/>
          <w:color w:val="auto"/>
        </w:rPr>
        <w:t>” means a Participant’s employment with the Company or any Subsidiary or a Participant’s service as a Non-Employee Director, consultant or other service provider with the Company or any Subsidiary, as applicable.</w:t>
      </w:r>
    </w:p>
    <w:p>
      <w:pPr>
        <w:spacing w:after="0" w:line="105" w:lineRule="exact"/>
        <w:rPr>
          <w:sz w:val="20"/>
          <w:szCs w:val="20"/>
          <w:color w:val="auto"/>
        </w:rPr>
      </w:pPr>
    </w:p>
    <w:p>
      <w:pPr>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 Appreciation Right</w:t>
      </w:r>
      <w:r>
        <w:rPr>
          <w:rFonts w:ascii="Arial" w:cs="Arial" w:eastAsia="Arial" w:hAnsi="Arial"/>
          <w:sz w:val="22"/>
          <w:szCs w:val="22"/>
          <w:color w:val="auto"/>
        </w:rPr>
        <w:t>” means a contractual right granted to an Eligible Person under Section 7 hereof entitling such Eligible Person to receive a payment, representing the excess of the Fair Market Value of a share of Common Stock over the base price per share of the right, at such time, and subject to such conditions, as are set forth in the Plan and the applicable Award Agreement.</w:t>
      </w:r>
    </w:p>
    <w:p>
      <w:pPr>
        <w:spacing w:after="0" w:line="185" w:lineRule="exact"/>
        <w:rPr>
          <w:sz w:val="20"/>
          <w:szCs w:val="20"/>
          <w:color w:val="auto"/>
        </w:rPr>
      </w:pPr>
    </w:p>
    <w:p>
      <w:pPr>
        <w:ind w:right="3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Stock-Based Award</w:t>
      </w:r>
      <w:r>
        <w:rPr>
          <w:rFonts w:ascii="Arial" w:cs="Arial" w:eastAsia="Arial" w:hAnsi="Arial"/>
          <w:sz w:val="22"/>
          <w:szCs w:val="22"/>
          <w:color w:val="auto"/>
        </w:rPr>
        <w:t>” means a grant of shares of Common Stock or any award that is valued by reference to shares of Common Stock to an Eligible Person under Section 10 hereof.</w:t>
      </w:r>
    </w:p>
    <w:p>
      <w:pPr>
        <w:spacing w:after="0" w:line="175" w:lineRule="exact"/>
        <w:rPr>
          <w:sz w:val="20"/>
          <w:szCs w:val="20"/>
          <w:color w:val="auto"/>
        </w:rPr>
      </w:pPr>
    </w:p>
    <w:p>
      <w:pPr>
        <w:ind w:right="40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 Option</w:t>
      </w:r>
      <w:r>
        <w:rPr>
          <w:rFonts w:ascii="Arial" w:cs="Arial" w:eastAsia="Arial" w:hAnsi="Arial"/>
          <w:sz w:val="22"/>
          <w:szCs w:val="22"/>
          <w:color w:val="auto"/>
        </w:rPr>
        <w:t>” means a contractual right granted to an Eligible Person under Section 6 hereof to purchase shares of Common Stock at such time and price, and subject to such conditions, as are set forth in the Plan and the applicable Award Agreement.</w:t>
      </w:r>
    </w:p>
    <w:p>
      <w:pPr>
        <w:spacing w:after="0" w:line="186" w:lineRule="exact"/>
        <w:rPr>
          <w:sz w:val="20"/>
          <w:szCs w:val="20"/>
          <w:color w:val="auto"/>
        </w:rPr>
      </w:pPr>
    </w:p>
    <w:p>
      <w:pPr>
        <w:ind w:right="8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Subsidiary</w:t>
      </w:r>
      <w:r>
        <w:rPr>
          <w:rFonts w:ascii="Arial" w:cs="Arial" w:eastAsia="Arial" w:hAnsi="Arial"/>
          <w:sz w:val="19"/>
          <w:szCs w:val="19"/>
          <w:color w:val="auto"/>
        </w:rPr>
        <w:t xml:space="preserve">” means an entity (whether or not a corporation) that is wholly or majority owned or controlled, directly or indirectly, by the Company or any other Affiliate of the Company that is so designated, from time to time, by the Committee, during the period of such Affiliated status;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Incentive Stock Options, the term</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5" w:name="page116"/>
    <w:bookmarkEnd w:id="115"/>
    <w:p>
      <w:pPr>
        <w:ind w:right="620"/>
        <w:spacing w:after="0" w:line="251" w:lineRule="auto"/>
        <w:rPr>
          <w:sz w:val="20"/>
          <w:szCs w:val="20"/>
          <w:color w:val="auto"/>
        </w:rPr>
      </w:pPr>
      <w:r>
        <w:rPr>
          <w:rFonts w:ascii="Arial" w:cs="Arial" w:eastAsia="Arial" w:hAnsi="Arial"/>
          <w:sz w:val="22"/>
          <w:szCs w:val="22"/>
          <w:color w:val="auto"/>
        </w:rPr>
        <w:t>“Subsidiary” shall include only an entity that qualifies under Section 424(f) of the Code as a “subsidiary corporation” with respect to the Company.</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Treasury Regulations</w:t>
      </w:r>
      <w:r>
        <w:rPr>
          <w:rFonts w:ascii="Arial" w:cs="Arial" w:eastAsia="Arial" w:hAnsi="Arial"/>
          <w:sz w:val="22"/>
          <w:szCs w:val="22"/>
          <w:color w:val="auto"/>
        </w:rPr>
        <w:t>” means regulations promulgated by the United States Treasury Department.</w:t>
      </w:r>
    </w:p>
    <w:p>
      <w:pPr>
        <w:spacing w:after="0" w:line="206" w:lineRule="exact"/>
        <w:rPr>
          <w:sz w:val="20"/>
          <w:szCs w:val="20"/>
          <w:color w:val="auto"/>
        </w:rPr>
      </w:pPr>
    </w:p>
    <w:p>
      <w:pPr>
        <w:ind w:left="1500" w:hanging="743"/>
        <w:spacing w:after="0"/>
        <w:tabs>
          <w:tab w:leader="none" w:pos="15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206" w:lineRule="exact"/>
        <w:rPr>
          <w:sz w:val="20"/>
          <w:szCs w:val="20"/>
          <w:color w:val="auto"/>
        </w:rPr>
      </w:pPr>
    </w:p>
    <w:p>
      <w:pPr>
        <w:ind w:firstLine="757"/>
        <w:spacing w:after="0" w:line="275" w:lineRule="auto"/>
        <w:tabs>
          <w:tab w:leader="none" w:pos="1498" w:val="left"/>
        </w:tabs>
        <w:numPr>
          <w:ilvl w:val="0"/>
          <w:numId w:val="59"/>
        </w:numPr>
        <w:rPr>
          <w:rFonts w:ascii="Arial" w:cs="Arial" w:eastAsia="Arial" w:hAnsi="Arial"/>
          <w:sz w:val="19"/>
          <w:szCs w:val="19"/>
          <w:color w:val="auto"/>
        </w:rPr>
      </w:pPr>
      <w:r>
        <w:rPr>
          <w:rFonts w:ascii="Arial" w:cs="Arial" w:eastAsia="Arial" w:hAnsi="Arial"/>
          <w:sz w:val="19"/>
          <w:szCs w:val="19"/>
          <w:i w:val="1"/>
          <w:iCs w:val="1"/>
          <w:color w:val="auto"/>
        </w:rPr>
        <w:t>Committee Members</w:t>
      </w:r>
      <w:r>
        <w:rPr>
          <w:rFonts w:ascii="Arial" w:cs="Arial" w:eastAsia="Arial" w:hAnsi="Arial"/>
          <w:sz w:val="19"/>
          <w:szCs w:val="19"/>
          <w:color w:val="auto"/>
        </w:rPr>
        <w:t>. The Plan shall be administered by the Committee. To the extent deemed necessary by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each Committee member shall satisfy the requirements for (i) an “independent director” under rules adopted by the NASDAQ or other principal exchange on which the Common Stock is then listed and (ii) a “nonemployee director” within the meaning of Rule 16b-3 under the Exchange Act. Notwithstanding the foregoing, the mere fact that a Committee member shall fail to qualify under any of the foregoing requirements shall not invalidate any Award made by the Committee which Award is otherwise validly made under the Plan. The Board may exercise all powers of the Committee hereunder and may directly administer the Plan. Neither the Company nor any member of the Board or Committee shall be liable for any action or determination made in good faith by the Board or Committee with respect to the Plan or any Award thereunder.</w:t>
      </w:r>
    </w:p>
    <w:p>
      <w:pPr>
        <w:spacing w:after="0" w:line="157" w:lineRule="exact"/>
        <w:rPr>
          <w:rFonts w:ascii="Arial" w:cs="Arial" w:eastAsia="Arial" w:hAnsi="Arial"/>
          <w:sz w:val="19"/>
          <w:szCs w:val="19"/>
          <w:color w:val="auto"/>
        </w:rPr>
      </w:pPr>
    </w:p>
    <w:p>
      <w:pPr>
        <w:ind w:right="40" w:firstLine="757"/>
        <w:spacing w:after="0" w:line="270" w:lineRule="auto"/>
        <w:tabs>
          <w:tab w:leader="none" w:pos="1498" w:val="left"/>
        </w:tabs>
        <w:numPr>
          <w:ilvl w:val="0"/>
          <w:numId w:val="59"/>
        </w:numPr>
        <w:rPr>
          <w:rFonts w:ascii="Arial" w:cs="Arial" w:eastAsia="Arial" w:hAnsi="Arial"/>
          <w:sz w:val="19"/>
          <w:szCs w:val="19"/>
          <w:color w:val="auto"/>
        </w:rPr>
      </w:pPr>
      <w:r>
        <w:rPr>
          <w:rFonts w:ascii="Arial" w:cs="Arial" w:eastAsia="Arial" w:hAnsi="Arial"/>
          <w:sz w:val="19"/>
          <w:szCs w:val="19"/>
          <w:i w:val="1"/>
          <w:iCs w:val="1"/>
          <w:color w:val="auto"/>
        </w:rPr>
        <w:t>Committee Authority</w:t>
      </w:r>
      <w:r>
        <w:rPr>
          <w:rFonts w:ascii="Arial" w:cs="Arial" w:eastAsia="Arial" w:hAnsi="Arial"/>
          <w:sz w:val="19"/>
          <w:szCs w:val="19"/>
          <w:color w:val="auto"/>
        </w:rPr>
        <w:t>. The Committee shall have all powers and discretion necessary or appropriate to</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administer the Plan and to control its operation, including, but not limited to, the power to (i) determine the Eligible Persons to whom Awards shall be granted under the Plan,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 or reconcile any ambiguity(ies) or inconsistency(ies) in the Plan or any Award thereunder, (vii) make all determinations it deems advisable for the administration of the Plan, (viii) decide all disputes arising in connection with the Plan and to otherwise supervise the administration of the Plan, (ix) subject to the terms of the Plan, amend the terms of an Award in any manner that is not inconsistent with the Plan, (x) accelerate the vesting or, to the extent applicable, exercisability of any Award at any time (including, but not limited to, upon a Change in Control or upon termination of Service of a Participant under certain circumstances (including, without limitation, upon retirement)) and (xi) adopt such procedures, modifications or subplans as are necessary or appropriate to permit participation in the Plan by Eligible Persons who are foreign nationals or provide services outside of the United States.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board of directors of a Subsidiary or such attorneys, consultants, accountants or other advisors as it may select. All interpretations, determinations, and actions by the Committee shall be final, conclusive, and binding upon all parties.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6" w:name="page117"/>
    <w:bookmarkEnd w:id="116"/>
    <w:p>
      <w:pPr>
        <w:ind w:right="20" w:firstLine="757"/>
        <w:spacing w:after="0" w:line="272" w:lineRule="auto"/>
        <w:tabs>
          <w:tab w:leader="none" w:pos="1498" w:val="left"/>
        </w:tabs>
        <w:numPr>
          <w:ilvl w:val="0"/>
          <w:numId w:val="60"/>
        </w:numPr>
        <w:rPr>
          <w:rFonts w:ascii="Arial" w:cs="Arial" w:eastAsia="Arial" w:hAnsi="Arial"/>
          <w:sz w:val="19"/>
          <w:szCs w:val="19"/>
          <w:color w:val="auto"/>
        </w:rPr>
      </w:pPr>
      <w:r>
        <w:rPr>
          <w:rFonts w:ascii="Arial" w:cs="Arial" w:eastAsia="Arial" w:hAnsi="Arial"/>
          <w:sz w:val="19"/>
          <w:szCs w:val="19"/>
          <w:i w:val="1"/>
          <w:iCs w:val="1"/>
          <w:color w:val="auto"/>
        </w:rPr>
        <w:t>Delegation of Authority</w:t>
      </w:r>
      <w:r>
        <w:rPr>
          <w:rFonts w:ascii="Arial" w:cs="Arial" w:eastAsia="Arial" w:hAnsi="Arial"/>
          <w:sz w:val="19"/>
          <w:szCs w:val="19"/>
          <w:color w:val="auto"/>
        </w:rPr>
        <w:t>. The Committee shall have the right, from time to time, to delegate in writing to one or</w:t>
      </w:r>
      <w:r>
        <w:rPr>
          <w:rFonts w:ascii="Arial" w:cs="Arial" w:eastAsia="Arial" w:hAnsi="Arial"/>
          <w:sz w:val="19"/>
          <w:szCs w:val="19"/>
          <w:i w:val="1"/>
          <w:iCs w:val="1"/>
          <w:color w:val="auto"/>
        </w:rPr>
        <w:t xml:space="preserve"> </w:t>
      </w:r>
      <w:r>
        <w:rPr>
          <w:rFonts w:ascii="Arial" w:cs="Arial" w:eastAsia="Arial" w:hAnsi="Arial"/>
          <w:sz w:val="19"/>
          <w:szCs w:val="19"/>
          <w:color w:val="auto"/>
        </w:rPr>
        <w:t>more officers of the Company the authority of the Committee to grant and determine the terms and conditions of Awards granted under the Plan, subject to the requirements of Section 157(c) of the Delaware General Corporation Law (or other successor provision), other applicable law or such other limitations as the Committee shall determine. In no event shall any such delegation of authority be permitted with respect to Awards granted to any member of the Board or to any Eligible Person who is subject to Rule 16b-3 under the Exchange Act.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161" w:lineRule="exact"/>
        <w:rPr>
          <w:sz w:val="20"/>
          <w:szCs w:val="20"/>
          <w:color w:val="auto"/>
        </w:rPr>
      </w:pPr>
    </w:p>
    <w:p>
      <w:pPr>
        <w:ind w:left="1500" w:hanging="743"/>
        <w:spacing w:after="0"/>
        <w:tabs>
          <w:tab w:leader="none" w:pos="15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Shares Subject to the Plan</w:t>
      </w:r>
      <w:r>
        <w:rPr>
          <w:rFonts w:ascii="Arial" w:cs="Arial" w:eastAsia="Arial" w:hAnsi="Arial"/>
          <w:sz w:val="22"/>
          <w:szCs w:val="22"/>
          <w:color w:val="auto"/>
        </w:rPr>
        <w:t>.</w:t>
      </w:r>
    </w:p>
    <w:p>
      <w:pPr>
        <w:spacing w:after="0" w:line="206" w:lineRule="exact"/>
        <w:rPr>
          <w:sz w:val="20"/>
          <w:szCs w:val="20"/>
          <w:color w:val="auto"/>
        </w:rPr>
      </w:pPr>
    </w:p>
    <w:p>
      <w:pPr>
        <w:ind w:right="200" w:firstLine="757"/>
        <w:spacing w:after="0" w:line="248" w:lineRule="auto"/>
        <w:tabs>
          <w:tab w:leader="none" w:pos="1498" w:val="left"/>
        </w:tabs>
        <w:numPr>
          <w:ilvl w:val="0"/>
          <w:numId w:val="62"/>
        </w:numPr>
        <w:rPr>
          <w:rFonts w:ascii="Arial" w:cs="Arial" w:eastAsia="Arial" w:hAnsi="Arial"/>
          <w:sz w:val="21"/>
          <w:szCs w:val="21"/>
          <w:color w:val="auto"/>
        </w:rPr>
      </w:pPr>
      <w:r>
        <w:rPr>
          <w:rFonts w:ascii="Arial" w:cs="Arial" w:eastAsia="Arial" w:hAnsi="Arial"/>
          <w:sz w:val="21"/>
          <w:szCs w:val="21"/>
          <w:i w:val="1"/>
          <w:iCs w:val="1"/>
          <w:color w:val="auto"/>
        </w:rPr>
        <w:t>Number of Shares Reserved</w:t>
      </w:r>
      <w:r>
        <w:rPr>
          <w:rFonts w:ascii="Arial" w:cs="Arial" w:eastAsia="Arial" w:hAnsi="Arial"/>
          <w:sz w:val="21"/>
          <w:szCs w:val="21"/>
          <w:color w:val="auto"/>
        </w:rPr>
        <w:t>. Subject to adjustment as provided in Section 4.3 and Section 4.5 hereof, the total</w:t>
      </w:r>
      <w:r>
        <w:rPr>
          <w:rFonts w:ascii="Arial" w:cs="Arial" w:eastAsia="Arial" w:hAnsi="Arial"/>
          <w:sz w:val="21"/>
          <w:szCs w:val="21"/>
          <w:i w:val="1"/>
          <w:iCs w:val="1"/>
          <w:color w:val="auto"/>
        </w:rPr>
        <w:t xml:space="preserve"> </w:t>
      </w:r>
      <w:r>
        <w:rPr>
          <w:rFonts w:ascii="Arial" w:cs="Arial" w:eastAsia="Arial" w:hAnsi="Arial"/>
          <w:sz w:val="21"/>
          <w:szCs w:val="21"/>
          <w:color w:val="auto"/>
        </w:rPr>
        <w:t>number of shares of Common Stock that are available for issuance under the Plan (the “</w:t>
      </w:r>
      <w:r>
        <w:rPr>
          <w:rFonts w:ascii="Arial" w:cs="Arial" w:eastAsia="Arial" w:hAnsi="Arial"/>
          <w:sz w:val="21"/>
          <w:szCs w:val="21"/>
          <w:i w:val="1"/>
          <w:iCs w:val="1"/>
          <w:color w:val="auto"/>
        </w:rPr>
        <w:t>Share Reserve</w:t>
      </w:r>
      <w:r>
        <w:rPr>
          <w:rFonts w:ascii="Arial" w:cs="Arial" w:eastAsia="Arial" w:hAnsi="Arial"/>
          <w:sz w:val="21"/>
          <w:szCs w:val="21"/>
          <w:color w:val="auto"/>
        </w:rPr>
        <w:t>”) shall equal 8,989,039. Within the Share Reserve, the total number of shares of Common Stock available for issuance as Incentive Stock Options shall equal the maximum number of shares available for issuance under the Plan. Each share of Common Stock subject to an Award shall reduce the Share Reserve by one share. Any shares of Common Stock delivered under the Plan shall consist of authorized and unissued shares or treasury shares.</w:t>
      </w:r>
    </w:p>
    <w:p>
      <w:pPr>
        <w:spacing w:after="0" w:line="176" w:lineRule="exact"/>
        <w:rPr>
          <w:rFonts w:ascii="Arial" w:cs="Arial" w:eastAsia="Arial" w:hAnsi="Arial"/>
          <w:sz w:val="21"/>
          <w:szCs w:val="21"/>
          <w:color w:val="auto"/>
        </w:rPr>
      </w:pPr>
    </w:p>
    <w:p>
      <w:pPr>
        <w:ind w:firstLine="757"/>
        <w:spacing w:after="0" w:line="282" w:lineRule="auto"/>
        <w:tabs>
          <w:tab w:leader="none" w:pos="1498" w:val="left"/>
        </w:tabs>
        <w:numPr>
          <w:ilvl w:val="0"/>
          <w:numId w:val="62"/>
        </w:numPr>
        <w:rPr>
          <w:rFonts w:ascii="Arial" w:cs="Arial" w:eastAsia="Arial" w:hAnsi="Arial"/>
          <w:sz w:val="19"/>
          <w:szCs w:val="19"/>
          <w:color w:val="auto"/>
        </w:rPr>
      </w:pPr>
      <w:r>
        <w:rPr>
          <w:rFonts w:ascii="Arial" w:cs="Arial" w:eastAsia="Arial" w:hAnsi="Arial"/>
          <w:sz w:val="19"/>
          <w:szCs w:val="19"/>
          <w:i w:val="1"/>
          <w:iCs w:val="1"/>
          <w:color w:val="auto"/>
        </w:rPr>
        <w:t xml:space="preserve">Annual Increase in Shares Reserved. </w:t>
      </w:r>
      <w:r>
        <w:rPr>
          <w:rFonts w:ascii="Arial" w:cs="Arial" w:eastAsia="Arial" w:hAnsi="Arial"/>
          <w:sz w:val="19"/>
          <w:szCs w:val="19"/>
          <w:color w:val="auto"/>
        </w:rPr>
        <w:t>On the first day of each fiscal year of the Company during the term of the</w:t>
      </w:r>
      <w:r>
        <w:rPr>
          <w:rFonts w:ascii="Arial" w:cs="Arial" w:eastAsia="Arial" w:hAnsi="Arial"/>
          <w:sz w:val="19"/>
          <w:szCs w:val="19"/>
          <w:i w:val="1"/>
          <w:iCs w:val="1"/>
          <w:color w:val="auto"/>
        </w:rPr>
        <w:t xml:space="preserve"> </w:t>
      </w:r>
      <w:r>
        <w:rPr>
          <w:rFonts w:ascii="Arial" w:cs="Arial" w:eastAsia="Arial" w:hAnsi="Arial"/>
          <w:sz w:val="19"/>
          <w:szCs w:val="19"/>
          <w:color w:val="auto"/>
        </w:rPr>
        <w:t>Plan, commencing on January 1, 2023 and ending on (and including) January 1, 2032, the aggregate number of shares of Common Stock that may be issued under the Plan shall automatically increase by a number equal to the least of (i) 5% of the total number of shares of Common Stock actually issued and outstanding on the last day of the preceding fiscal year, (ii) a number of shares of Common Stock determined by the Board; and (iii) 8,989,039 shares of Common Stock.</w:t>
      </w:r>
    </w:p>
    <w:p>
      <w:pPr>
        <w:spacing w:after="0" w:line="147" w:lineRule="exact"/>
        <w:rPr>
          <w:rFonts w:ascii="Arial" w:cs="Arial" w:eastAsia="Arial" w:hAnsi="Arial"/>
          <w:sz w:val="19"/>
          <w:szCs w:val="19"/>
          <w:color w:val="auto"/>
        </w:rPr>
      </w:pPr>
    </w:p>
    <w:p>
      <w:pPr>
        <w:ind w:right="80" w:firstLine="757"/>
        <w:spacing w:after="0" w:line="245" w:lineRule="auto"/>
        <w:tabs>
          <w:tab w:leader="none" w:pos="1498" w:val="left"/>
        </w:tabs>
        <w:numPr>
          <w:ilvl w:val="0"/>
          <w:numId w:val="62"/>
        </w:numPr>
        <w:rPr>
          <w:rFonts w:ascii="Arial" w:cs="Arial" w:eastAsia="Arial" w:hAnsi="Arial"/>
          <w:sz w:val="21"/>
          <w:szCs w:val="21"/>
          <w:color w:val="auto"/>
        </w:rPr>
      </w:pPr>
      <w:r>
        <w:rPr>
          <w:rFonts w:ascii="Arial" w:cs="Arial" w:eastAsia="Arial" w:hAnsi="Arial"/>
          <w:sz w:val="21"/>
          <w:szCs w:val="21"/>
          <w:i w:val="1"/>
          <w:iCs w:val="1"/>
          <w:color w:val="auto"/>
        </w:rPr>
        <w:t>Share Replenishment</w:t>
      </w:r>
      <w:r>
        <w:rPr>
          <w:rFonts w:ascii="Arial" w:cs="Arial" w:eastAsia="Arial" w:hAnsi="Arial"/>
          <w:sz w:val="21"/>
          <w:szCs w:val="21"/>
          <w:color w:val="auto"/>
        </w:rPr>
        <w:t>. Following the Effective Date, to the extent that an Award granted under this Plan is</w:t>
      </w:r>
      <w:r>
        <w:rPr>
          <w:rFonts w:ascii="Arial" w:cs="Arial" w:eastAsia="Arial" w:hAnsi="Arial"/>
          <w:sz w:val="21"/>
          <w:szCs w:val="21"/>
          <w:i w:val="1"/>
          <w:iCs w:val="1"/>
          <w:color w:val="auto"/>
        </w:rPr>
        <w:t xml:space="preserve"> </w:t>
      </w:r>
      <w:r>
        <w:rPr>
          <w:rFonts w:ascii="Arial" w:cs="Arial" w:eastAsia="Arial" w:hAnsi="Arial"/>
          <w:sz w:val="21"/>
          <w:szCs w:val="21"/>
          <w:color w:val="auto"/>
        </w:rPr>
        <w:t>canceled, expired, repurchased, forfeited, surrendered, exchanged for cash, settled in cash or by delivery of fewer shares of Common Stock than the number underlying the Award, or otherwise terminated without delivery of the shares of Common Stock to the Participant under the Plan, the unissued shares of Common Stock will (i) not be deemed to have been delivered under the Plan, (ii) be available for future Awards under the Plan, and (iii) increase the Share Reserve by one share for each share that is retained by or returned to the Company. Shares of Common Stock that are withheld from any Award granted under this Plan in payment of the exercise, base or purchase price or taxes relating to such an Award shall be available for future Awards under the Plan, and shall increase the Share Reserve by one share for each share that is retained by or returned to the Company. Shares of Common Stock repurchased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ind w:right="220"/>
        <w:spacing w:after="0"/>
        <w:rPr>
          <w:sz w:val="20"/>
          <w:szCs w:val="20"/>
          <w:color w:val="auto"/>
        </w:rPr>
      </w:pPr>
      <w:r>
        <w:rPr>
          <w:rFonts w:ascii="Arial" w:cs="Arial" w:eastAsia="Arial" w:hAnsi="Arial"/>
          <w:sz w:val="22"/>
          <w:szCs w:val="22"/>
          <w:color w:val="auto"/>
        </w:rPr>
        <w:t>by the Company on the open market with the proceeds of an Option, will be deemed to have been delivered under the Plan and will not be available for future Awards under the Plan. The payment of dividend equivalents in cash in conjunction with any outstanding Award shall not count against the Share Reserve.</w:t>
      </w:r>
    </w:p>
    <w:p>
      <w:pPr>
        <w:spacing w:after="0" w:line="187" w:lineRule="exact"/>
        <w:rPr>
          <w:sz w:val="20"/>
          <w:szCs w:val="20"/>
          <w:color w:val="auto"/>
        </w:rPr>
      </w:pPr>
    </w:p>
    <w:p>
      <w:pPr>
        <w:ind w:right="60" w:firstLine="757"/>
        <w:spacing w:after="0" w:line="273" w:lineRule="auto"/>
        <w:tabs>
          <w:tab w:leader="none" w:pos="1498" w:val="left"/>
        </w:tabs>
        <w:numPr>
          <w:ilvl w:val="1"/>
          <w:numId w:val="63"/>
        </w:numPr>
        <w:rPr>
          <w:rFonts w:ascii="Arial" w:cs="Arial" w:eastAsia="Arial" w:hAnsi="Arial"/>
          <w:sz w:val="19"/>
          <w:szCs w:val="19"/>
          <w:color w:val="auto"/>
        </w:rPr>
      </w:pPr>
      <w:r>
        <w:rPr>
          <w:rFonts w:ascii="Arial" w:cs="Arial" w:eastAsia="Arial" w:hAnsi="Arial"/>
          <w:sz w:val="19"/>
          <w:szCs w:val="19"/>
          <w:i w:val="1"/>
          <w:iCs w:val="1"/>
          <w:color w:val="auto"/>
        </w:rPr>
        <w:t>Awards Granted to Non-Employee Directors</w:t>
      </w:r>
      <w:r>
        <w:rPr>
          <w:rFonts w:ascii="Arial" w:cs="Arial" w:eastAsia="Arial" w:hAnsi="Arial"/>
          <w:sz w:val="19"/>
          <w:szCs w:val="19"/>
          <w:color w:val="auto"/>
        </w:rPr>
        <w:t>. No Non-Employee Director may be granted, during any calendar</w:t>
      </w:r>
      <w:r>
        <w:rPr>
          <w:rFonts w:ascii="Arial" w:cs="Arial" w:eastAsia="Arial" w:hAnsi="Arial"/>
          <w:sz w:val="19"/>
          <w:szCs w:val="19"/>
          <w:i w:val="1"/>
          <w:iCs w:val="1"/>
          <w:color w:val="auto"/>
        </w:rPr>
        <w:t xml:space="preserve"> </w:t>
      </w:r>
      <w:r>
        <w:rPr>
          <w:rFonts w:ascii="Arial" w:cs="Arial" w:eastAsia="Arial" w:hAnsi="Arial"/>
          <w:sz w:val="19"/>
          <w:szCs w:val="19"/>
          <w:color w:val="auto"/>
        </w:rPr>
        <w:t>year, Awards having a fair value (determined on the date of grant) that, when added to all cash compensation paid to the Non-Employee Director in respect of the Non-Employee Director’s service as a member of the Board for such calendar year, exceeds</w:t>
      </w:r>
    </w:p>
    <w:p>
      <w:pPr>
        <w:spacing w:after="0" w:line="1" w:lineRule="exact"/>
        <w:rPr>
          <w:rFonts w:ascii="Arial" w:cs="Arial" w:eastAsia="Arial" w:hAnsi="Arial"/>
          <w:sz w:val="19"/>
          <w:szCs w:val="19"/>
          <w:color w:val="auto"/>
        </w:rPr>
      </w:pPr>
    </w:p>
    <w:p>
      <w:pPr>
        <w:ind w:firstLine="8"/>
        <w:spacing w:after="0" w:line="236" w:lineRule="auto"/>
        <w:tabs>
          <w:tab w:leader="none" w:pos="258" w:val="left"/>
        </w:tabs>
        <w:numPr>
          <w:ilvl w:val="0"/>
          <w:numId w:val="64"/>
        </w:numPr>
        <w:rPr>
          <w:rFonts w:ascii="Arial" w:cs="Arial" w:eastAsia="Arial" w:hAnsi="Arial"/>
          <w:sz w:val="22"/>
          <w:szCs w:val="22"/>
          <w:color w:val="auto"/>
        </w:rPr>
      </w:pPr>
      <w:r>
        <w:rPr>
          <w:rFonts w:ascii="Arial" w:cs="Arial" w:eastAsia="Arial" w:hAnsi="Arial"/>
          <w:sz w:val="22"/>
          <w:szCs w:val="22"/>
          <w:color w:val="auto"/>
        </w:rPr>
        <w:t>$1,000,000 in the year that the director is first elected to serve as a director on the Board; and (ii) $500,000 in each subsequent year.</w:t>
      </w:r>
    </w:p>
    <w:p>
      <w:pPr>
        <w:spacing w:after="0" w:line="186" w:lineRule="exact"/>
        <w:rPr>
          <w:rFonts w:ascii="Arial" w:cs="Arial" w:eastAsia="Arial" w:hAnsi="Arial"/>
          <w:sz w:val="22"/>
          <w:szCs w:val="22"/>
          <w:color w:val="auto"/>
        </w:rPr>
      </w:pPr>
    </w:p>
    <w:p>
      <w:pPr>
        <w:ind w:firstLine="757"/>
        <w:spacing w:after="0" w:line="271" w:lineRule="auto"/>
        <w:tabs>
          <w:tab w:leader="none" w:pos="1498" w:val="left"/>
        </w:tabs>
        <w:numPr>
          <w:ilvl w:val="1"/>
          <w:numId w:val="64"/>
        </w:numPr>
        <w:rPr>
          <w:rFonts w:ascii="Arial" w:cs="Arial" w:eastAsia="Arial" w:hAnsi="Arial"/>
          <w:sz w:val="19"/>
          <w:szCs w:val="19"/>
          <w:color w:val="auto"/>
        </w:rPr>
      </w:pPr>
      <w:r>
        <w:rPr>
          <w:rFonts w:ascii="Arial" w:cs="Arial" w:eastAsia="Arial" w:hAnsi="Arial"/>
          <w:sz w:val="19"/>
          <w:szCs w:val="19"/>
          <w:i w:val="1"/>
          <w:iCs w:val="1"/>
          <w:color w:val="auto"/>
        </w:rPr>
        <w:t>Adjustments</w:t>
      </w:r>
      <w:r>
        <w:rPr>
          <w:rFonts w:ascii="Arial" w:cs="Arial" w:eastAsia="Arial" w:hAnsi="Arial"/>
          <w:sz w:val="19"/>
          <w:szCs w:val="19"/>
          <w:color w:val="auto"/>
        </w:rPr>
        <w:t>. If there shall occur any change with respect to the outstanding shares of Common Stock by reason</w:t>
      </w:r>
      <w:r>
        <w:rPr>
          <w:rFonts w:ascii="Arial" w:cs="Arial" w:eastAsia="Arial" w:hAnsi="Arial"/>
          <w:sz w:val="19"/>
          <w:szCs w:val="19"/>
          <w:i w:val="1"/>
          <w:iCs w:val="1"/>
          <w:color w:val="auto"/>
        </w:rPr>
        <w:t xml:space="preserve"> </w:t>
      </w:r>
      <w:r>
        <w:rPr>
          <w:rFonts w:ascii="Arial" w:cs="Arial" w:eastAsia="Arial" w:hAnsi="Arial"/>
          <w:sz w:val="19"/>
          <w:szCs w:val="19"/>
          <w:color w:val="auto"/>
        </w:rPr>
        <w:t>of any recapitalization, reclassification, stock dividend, extraordinary cash dividend, stock split, reverse stock split or other distribution with respect to the shares of Common Stock or any merger, reorganization, consolidation, combination, spin-off or other corporate event or transaction or any other change affecting the Common Stock (other than regular cash dividends to stockholders of the Company), the Committee shall, in the manner and to the extent it considers appropriate and equitable to the Participants and consistent with the terms of the Plan, cause an adjustment to be made to (i) the maximum number and kind of shares of Common Stock or other securities provided in Sections 4.1 and 4.2 hereof, (ii) the number and kind of shares of Common Stock, units or other securities or rights subject to then outstanding Awards, (iii) the exercise, base or purchase price for each share or unit or other security or right subject to then outstanding Awards, (iv) other value determinations applicable to the Plan and/or outstanding Awards, and/or (v) any other terms of an Award that are affected by the event. Notwithstanding the foregoing, (a) any such adjustments shall, to the extent necessary to avoid additional taxes, be made in a manner consistent with the requirements of Section 409A of the Code and (b) in the case of Incentive Stock Options, any such adjustments shall, to the extent practicable, be made in a manner consistent with the requirements of Section 424(a) of the Code, unless otherwise determined by the Committee.</w:t>
      </w:r>
    </w:p>
    <w:p>
      <w:pPr>
        <w:spacing w:after="0" w:line="200" w:lineRule="exact"/>
        <w:rPr>
          <w:sz w:val="20"/>
          <w:szCs w:val="20"/>
          <w:color w:val="auto"/>
        </w:rPr>
      </w:pPr>
    </w:p>
    <w:p>
      <w:pPr>
        <w:spacing w:after="0" w:line="211" w:lineRule="exact"/>
        <w:rPr>
          <w:sz w:val="20"/>
          <w:szCs w:val="20"/>
          <w:color w:val="auto"/>
        </w:rPr>
      </w:pPr>
    </w:p>
    <w:p>
      <w:pPr>
        <w:ind w:left="1500" w:hanging="743"/>
        <w:spacing w:after="0"/>
        <w:tabs>
          <w:tab w:leader="none" w:pos="15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Eligibility and Awards</w:t>
      </w:r>
      <w:r>
        <w:rPr>
          <w:rFonts w:ascii="Arial" w:cs="Arial" w:eastAsia="Arial" w:hAnsi="Arial"/>
          <w:sz w:val="22"/>
          <w:szCs w:val="22"/>
          <w:color w:val="auto"/>
        </w:rPr>
        <w:t>.</w:t>
      </w:r>
    </w:p>
    <w:p>
      <w:pPr>
        <w:spacing w:after="0" w:line="206" w:lineRule="exact"/>
        <w:rPr>
          <w:sz w:val="20"/>
          <w:szCs w:val="20"/>
          <w:color w:val="auto"/>
        </w:rPr>
      </w:pPr>
    </w:p>
    <w:p>
      <w:pPr>
        <w:ind w:right="60" w:firstLine="757"/>
        <w:spacing w:after="0" w:line="275" w:lineRule="auto"/>
        <w:tabs>
          <w:tab w:leader="none" w:pos="1498"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Designation of Participants</w:t>
      </w:r>
      <w:r>
        <w:rPr>
          <w:rFonts w:ascii="Arial" w:cs="Arial" w:eastAsia="Arial" w:hAnsi="Arial"/>
          <w:sz w:val="19"/>
          <w:szCs w:val="19"/>
          <w:color w:val="auto"/>
        </w:rPr>
        <w:t>. Any Eligible Person may be selected by the Committee to receive an Award and</w:t>
      </w:r>
      <w:r>
        <w:rPr>
          <w:rFonts w:ascii="Arial" w:cs="Arial" w:eastAsia="Arial" w:hAnsi="Arial"/>
          <w:sz w:val="19"/>
          <w:szCs w:val="19"/>
          <w:i w:val="1"/>
          <w:iCs w:val="1"/>
          <w:color w:val="auto"/>
        </w:rPr>
        <w:t xml:space="preserve"> </w:t>
      </w:r>
      <w:r>
        <w:rPr>
          <w:rFonts w:ascii="Arial" w:cs="Arial" w:eastAsia="Arial" w:hAnsi="Arial"/>
          <w:sz w:val="19"/>
          <w:szCs w:val="19"/>
          <w:color w:val="auto"/>
        </w:rPr>
        <w:t>become a Participant. The Committee has the authority, in its discretion, to determine and designate from time to time those Eligible Persons who are to be granted Awards, the types of Awards to be granted, the number of shares of Common Stock or units subject to Awards to be granted and the terms and conditions of such Awards consistent with the terms of the Plan.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such Participant in any other year.</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8" w:name="page119"/>
    <w:bookmarkEnd w:id="118"/>
    <w:p>
      <w:pPr>
        <w:ind w:right="340" w:firstLine="757"/>
        <w:spacing w:after="0"/>
        <w:tabs>
          <w:tab w:leader="none" w:pos="1498"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Determination of Awards</w:t>
      </w:r>
      <w:r>
        <w:rPr>
          <w:rFonts w:ascii="Arial" w:cs="Arial" w:eastAsia="Arial" w:hAnsi="Arial"/>
          <w:sz w:val="22"/>
          <w:szCs w:val="22"/>
          <w:color w:val="auto"/>
        </w:rPr>
        <w:t>. The Committee shall determine the terms and conditions of all Awards granted to</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Participants in accordance with its authority under Section 3.2 hereof. An Award may consist of one type of right or benefit hereunder or of two or more such rights or benefits granted in tandem.</w:t>
      </w:r>
    </w:p>
    <w:p>
      <w:pPr>
        <w:spacing w:after="0" w:line="186" w:lineRule="exact"/>
        <w:rPr>
          <w:rFonts w:ascii="Arial" w:cs="Arial" w:eastAsia="Arial" w:hAnsi="Arial"/>
          <w:sz w:val="22"/>
          <w:szCs w:val="22"/>
          <w:color w:val="auto"/>
        </w:rPr>
      </w:pPr>
    </w:p>
    <w:p>
      <w:pPr>
        <w:ind w:right="240" w:firstLine="757"/>
        <w:spacing w:after="0"/>
        <w:tabs>
          <w:tab w:leader="none" w:pos="1498"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Award Agreements</w:t>
      </w:r>
      <w:r>
        <w:rPr>
          <w:rFonts w:ascii="Arial" w:cs="Arial" w:eastAsia="Arial" w:hAnsi="Arial"/>
          <w:sz w:val="22"/>
          <w:szCs w:val="22"/>
          <w:color w:val="auto"/>
        </w:rPr>
        <w:t>. Each Award granted to an Eligible Person shall be represented by an Award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terms of the Award, as determined by the Committee, will be set forth in the applicable Award Agreements as described in Section 14.2 hereof.</w:t>
      </w:r>
    </w:p>
    <w:p>
      <w:pPr>
        <w:spacing w:after="0" w:line="186" w:lineRule="exact"/>
        <w:rPr>
          <w:sz w:val="20"/>
          <w:szCs w:val="20"/>
          <w:color w:val="auto"/>
        </w:rPr>
      </w:pPr>
    </w:p>
    <w:p>
      <w:pPr>
        <w:ind w:left="1500" w:hanging="743"/>
        <w:spacing w:after="0"/>
        <w:tabs>
          <w:tab w:leader="none" w:pos="15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206" w:lineRule="exact"/>
        <w:rPr>
          <w:sz w:val="20"/>
          <w:szCs w:val="20"/>
          <w:color w:val="auto"/>
        </w:rPr>
      </w:pPr>
    </w:p>
    <w:p>
      <w:pPr>
        <w:ind w:right="220" w:firstLine="757"/>
        <w:spacing w:after="0" w:line="249" w:lineRule="auto"/>
        <w:tabs>
          <w:tab w:leader="none" w:pos="1498" w:val="left"/>
        </w:tabs>
        <w:numPr>
          <w:ilvl w:val="1"/>
          <w:numId w:val="69"/>
        </w:numPr>
        <w:rPr>
          <w:rFonts w:ascii="Arial" w:cs="Arial" w:eastAsia="Arial" w:hAnsi="Arial"/>
          <w:sz w:val="21"/>
          <w:szCs w:val="21"/>
          <w:color w:val="auto"/>
        </w:rPr>
      </w:pPr>
      <w:r>
        <w:rPr>
          <w:rFonts w:ascii="Arial" w:cs="Arial" w:eastAsia="Arial" w:hAnsi="Arial"/>
          <w:sz w:val="21"/>
          <w:szCs w:val="21"/>
          <w:i w:val="1"/>
          <w:iCs w:val="1"/>
          <w:color w:val="auto"/>
        </w:rPr>
        <w:t>Grant of Stock Options</w:t>
      </w:r>
      <w:r>
        <w:rPr>
          <w:rFonts w:ascii="Arial" w:cs="Arial" w:eastAsia="Arial" w:hAnsi="Arial"/>
          <w:sz w:val="21"/>
          <w:szCs w:val="21"/>
          <w:color w:val="auto"/>
        </w:rPr>
        <w:t>. A Stock Option may be granted to any Eligible Person selected by the Committee,</w:t>
      </w:r>
      <w:r>
        <w:rPr>
          <w:rFonts w:ascii="Arial" w:cs="Arial" w:eastAsia="Arial" w:hAnsi="Arial"/>
          <w:sz w:val="21"/>
          <w:szCs w:val="21"/>
          <w:i w:val="1"/>
          <w:iCs w:val="1"/>
          <w:color w:val="auto"/>
        </w:rPr>
        <w:t xml:space="preserve"> </w:t>
      </w:r>
      <w:r>
        <w:rPr>
          <w:rFonts w:ascii="Arial" w:cs="Arial" w:eastAsia="Arial" w:hAnsi="Arial"/>
          <w:sz w:val="21"/>
          <w:szCs w:val="21"/>
          <w:color w:val="auto"/>
        </w:rPr>
        <w:t>except that an Incentive Stock Option may be granted only to an Eligible Person satisfying the conditions of Section 6.7(a) hereof. Each Stock Option shall be designated on the Date of Grant, in the discretion of the Committee, as an Incentive Stock Option or as a Nonqualified Stock Option. All Stock Options granted under the Plan are intended to comply with or be exempt from the requirements of Section 409A of the Code, to the extent applicable.</w:t>
      </w:r>
    </w:p>
    <w:p>
      <w:pPr>
        <w:spacing w:after="0" w:line="178" w:lineRule="exact"/>
        <w:rPr>
          <w:rFonts w:ascii="Arial" w:cs="Arial" w:eastAsia="Arial" w:hAnsi="Arial"/>
          <w:sz w:val="21"/>
          <w:szCs w:val="21"/>
          <w:color w:val="auto"/>
        </w:rPr>
      </w:pPr>
    </w:p>
    <w:p>
      <w:pPr>
        <w:ind w:right="120" w:firstLine="757"/>
        <w:spacing w:after="0" w:line="287" w:lineRule="auto"/>
        <w:tabs>
          <w:tab w:leader="none" w:pos="1498" w:val="left"/>
        </w:tabs>
        <w:numPr>
          <w:ilvl w:val="1"/>
          <w:numId w:val="69"/>
        </w:numPr>
        <w:rPr>
          <w:rFonts w:ascii="Arial" w:cs="Arial" w:eastAsia="Arial" w:hAnsi="Arial"/>
          <w:sz w:val="19"/>
          <w:szCs w:val="19"/>
          <w:color w:val="auto"/>
        </w:rPr>
      </w:pPr>
      <w:r>
        <w:rPr>
          <w:rFonts w:ascii="Arial" w:cs="Arial" w:eastAsia="Arial" w:hAnsi="Arial"/>
          <w:sz w:val="19"/>
          <w:szCs w:val="19"/>
          <w:i w:val="1"/>
          <w:iCs w:val="1"/>
          <w:color w:val="auto"/>
        </w:rPr>
        <w:t xml:space="preserve">Exercise Price. </w:t>
      </w:r>
      <w:r>
        <w:rPr>
          <w:rFonts w:ascii="Arial" w:cs="Arial" w:eastAsia="Arial" w:hAnsi="Arial"/>
          <w:sz w:val="19"/>
          <w:szCs w:val="19"/>
          <w:color w:val="auto"/>
        </w:rPr>
        <w:t>Unless otherwise determined by the Committee, the exercise price per share of a Stock Option</w:t>
      </w:r>
      <w:r>
        <w:rPr>
          <w:rFonts w:ascii="Arial" w:cs="Arial" w:eastAsia="Arial" w:hAnsi="Arial"/>
          <w:sz w:val="19"/>
          <w:szCs w:val="19"/>
          <w:i w:val="1"/>
          <w:iCs w:val="1"/>
          <w:color w:val="auto"/>
        </w:rPr>
        <w:t xml:space="preserve"> </w:t>
      </w:r>
      <w:r>
        <w:rPr>
          <w:rFonts w:ascii="Arial" w:cs="Arial" w:eastAsia="Arial" w:hAnsi="Arial"/>
          <w:sz w:val="19"/>
          <w:szCs w:val="19"/>
          <w:color w:val="auto"/>
        </w:rPr>
        <w:t>(other than a Stock Option substituted or assumed under Section 14.10)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42" w:lineRule="exact"/>
        <w:rPr>
          <w:rFonts w:ascii="Arial" w:cs="Arial" w:eastAsia="Arial" w:hAnsi="Arial"/>
          <w:sz w:val="19"/>
          <w:szCs w:val="19"/>
          <w:color w:val="auto"/>
        </w:rPr>
      </w:pPr>
    </w:p>
    <w:p>
      <w:pPr>
        <w:ind w:firstLine="757"/>
        <w:spacing w:after="0" w:line="248" w:lineRule="auto"/>
        <w:tabs>
          <w:tab w:leader="none" w:pos="1498" w:val="left"/>
        </w:tabs>
        <w:numPr>
          <w:ilvl w:val="1"/>
          <w:numId w:val="69"/>
        </w:numPr>
        <w:rPr>
          <w:rFonts w:ascii="Arial" w:cs="Arial" w:eastAsia="Arial" w:hAnsi="Arial"/>
          <w:sz w:val="21"/>
          <w:szCs w:val="21"/>
          <w:color w:val="auto"/>
        </w:rPr>
      </w:pPr>
      <w:r>
        <w:rPr>
          <w:rFonts w:ascii="Arial" w:cs="Arial" w:eastAsia="Arial" w:hAnsi="Arial"/>
          <w:sz w:val="21"/>
          <w:szCs w:val="21"/>
          <w:i w:val="1"/>
          <w:iCs w:val="1"/>
          <w:color w:val="auto"/>
        </w:rPr>
        <w:t>Vesting of Stock Options</w:t>
      </w:r>
      <w:r>
        <w:rPr>
          <w:rFonts w:ascii="Arial" w:cs="Arial" w:eastAsia="Arial" w:hAnsi="Arial"/>
          <w:sz w:val="21"/>
          <w:szCs w:val="21"/>
          <w:color w:val="auto"/>
        </w:rPr>
        <w:t>. The Committee shall, in its discretion, prescribe in an award agreement the time or</w:t>
      </w:r>
      <w:r>
        <w:rPr>
          <w:rFonts w:ascii="Arial" w:cs="Arial" w:eastAsia="Arial" w:hAnsi="Arial"/>
          <w:sz w:val="21"/>
          <w:szCs w:val="21"/>
          <w:i w:val="1"/>
          <w:iCs w:val="1"/>
          <w:color w:val="auto"/>
        </w:rPr>
        <w:t xml:space="preserve"> </w:t>
      </w:r>
      <w:r>
        <w:rPr>
          <w:rFonts w:ascii="Arial" w:cs="Arial" w:eastAsia="Arial" w:hAnsi="Arial"/>
          <w:sz w:val="21"/>
          <w:szCs w:val="21"/>
          <w:color w:val="auto"/>
        </w:rPr>
        <w:t>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Stock Option are not satisfied, the Award shall be forfeited.</w:t>
      </w:r>
    </w:p>
    <w:p>
      <w:pPr>
        <w:spacing w:after="0" w:line="176" w:lineRule="exact"/>
        <w:rPr>
          <w:rFonts w:ascii="Arial" w:cs="Arial" w:eastAsia="Arial" w:hAnsi="Arial"/>
          <w:sz w:val="21"/>
          <w:szCs w:val="21"/>
          <w:color w:val="auto"/>
        </w:rPr>
      </w:pPr>
    </w:p>
    <w:p>
      <w:pPr>
        <w:ind w:right="80" w:firstLine="757"/>
        <w:spacing w:after="0" w:line="276" w:lineRule="auto"/>
        <w:tabs>
          <w:tab w:leader="none" w:pos="1498" w:val="left"/>
        </w:tabs>
        <w:numPr>
          <w:ilvl w:val="1"/>
          <w:numId w:val="69"/>
        </w:numPr>
        <w:rPr>
          <w:rFonts w:ascii="Arial" w:cs="Arial" w:eastAsia="Arial" w:hAnsi="Arial"/>
          <w:sz w:val="19"/>
          <w:szCs w:val="19"/>
          <w:color w:val="auto"/>
        </w:rPr>
      </w:pPr>
      <w:r>
        <w:rPr>
          <w:rFonts w:ascii="Arial" w:cs="Arial" w:eastAsia="Arial" w:hAnsi="Arial"/>
          <w:sz w:val="19"/>
          <w:szCs w:val="19"/>
          <w:i w:val="1"/>
          <w:iCs w:val="1"/>
          <w:color w:val="auto"/>
        </w:rPr>
        <w:t>Term of Stock Options</w:t>
      </w:r>
      <w:r>
        <w:rPr>
          <w:rFonts w:ascii="Arial" w:cs="Arial" w:eastAsia="Arial" w:hAnsi="Arial"/>
          <w:sz w:val="19"/>
          <w:szCs w:val="19"/>
          <w:color w:val="auto"/>
        </w:rPr>
        <w:t>. The Committee shall in its discretion prescribe in an Award Agreement the period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during which a vested Stock Option may be exercised;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maximum term of a Stock Option shall be ten</w:t>
      </w:r>
    </w:p>
    <w:p>
      <w:pPr>
        <w:spacing w:after="0" w:line="1" w:lineRule="exact"/>
        <w:rPr>
          <w:rFonts w:ascii="Arial" w:cs="Arial" w:eastAsia="Arial" w:hAnsi="Arial"/>
          <w:sz w:val="19"/>
          <w:szCs w:val="19"/>
          <w:color w:val="auto"/>
        </w:rPr>
      </w:pPr>
    </w:p>
    <w:p>
      <w:pPr>
        <w:ind w:right="40" w:firstLine="8"/>
        <w:spacing w:after="0" w:line="232" w:lineRule="auto"/>
        <w:tabs>
          <w:tab w:leader="none" w:pos="414" w:val="left"/>
        </w:tabs>
        <w:numPr>
          <w:ilvl w:val="0"/>
          <w:numId w:val="70"/>
        </w:numPr>
        <w:rPr>
          <w:rFonts w:ascii="Arial" w:cs="Arial" w:eastAsia="Arial" w:hAnsi="Arial"/>
          <w:sz w:val="22"/>
          <w:szCs w:val="22"/>
          <w:color w:val="auto"/>
        </w:rPr>
      </w:pPr>
      <w:r>
        <w:rPr>
          <w:rFonts w:ascii="Arial" w:cs="Arial" w:eastAsia="Arial" w:hAnsi="Arial"/>
          <w:sz w:val="22"/>
          <w:szCs w:val="22"/>
          <w:color w:val="auto"/>
        </w:rPr>
        <w:t>years from the Date of Grant. If the Fair Market Value of a share of Common Stock exceeds the Exercise Price on the last day that the Stock Option may be exercised under an Award Agreement, the affected Participant shall be deemed to have exercised the vested portion of such Option in a net exercise under Section 6.5(ii)(C) below and net share withholding for taxes (unless otherwise agreed) without the requirement of any further action. The Committee may provide that a Stock Option will cease to be exercisable upon or at the end of a specified time period following a termination of Service for any reason as set forth in the Award Agreement or otherwise. A Stock Option may be earlier terminated as specified by the Committee and set forth in an Award Agreement upon or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9" w:name="page120"/>
    <w:bookmarkEnd w:id="119"/>
    <w:p>
      <w:pPr>
        <w:ind w:right="160"/>
        <w:spacing w:after="0" w:line="238" w:lineRule="auto"/>
        <w:rPr>
          <w:sz w:val="20"/>
          <w:szCs w:val="20"/>
          <w:color w:val="auto"/>
        </w:rPr>
      </w:pPr>
      <w:r>
        <w:rPr>
          <w:rFonts w:ascii="Arial" w:cs="Arial" w:eastAsia="Arial" w:hAnsi="Arial"/>
          <w:sz w:val="22"/>
          <w:szCs w:val="22"/>
          <w:color w:val="auto"/>
        </w:rPr>
        <w:t>following the termination of a Participant’s Service with the Company or any Subsidiary, including by reason of voluntary resignation, death, Disability, termination for Cause or any other reason. Subject to compliance with Section 409A of the Code, as applicable, and the provisions of this Section 6, the Committee may extend at any time the period in which a Stock Option may be exercised, but not beyond ten (10) years from the Date of Grant.</w:t>
      </w:r>
    </w:p>
    <w:p>
      <w:pPr>
        <w:spacing w:after="0" w:line="185" w:lineRule="exact"/>
        <w:rPr>
          <w:sz w:val="20"/>
          <w:szCs w:val="20"/>
          <w:color w:val="auto"/>
        </w:rPr>
      </w:pPr>
    </w:p>
    <w:p>
      <w:pPr>
        <w:ind w:right="60" w:firstLine="757"/>
        <w:spacing w:after="0" w:line="271" w:lineRule="auto"/>
        <w:tabs>
          <w:tab w:leader="none" w:pos="1498" w:val="left"/>
        </w:tabs>
        <w:numPr>
          <w:ilvl w:val="0"/>
          <w:numId w:val="71"/>
        </w:numPr>
        <w:rPr>
          <w:rFonts w:ascii="Arial" w:cs="Arial" w:eastAsia="Arial" w:hAnsi="Arial"/>
          <w:sz w:val="19"/>
          <w:szCs w:val="19"/>
          <w:color w:val="auto"/>
        </w:rPr>
      </w:pPr>
      <w:r>
        <w:rPr>
          <w:rFonts w:ascii="Arial" w:cs="Arial" w:eastAsia="Arial" w:hAnsi="Arial"/>
          <w:sz w:val="19"/>
          <w:szCs w:val="19"/>
          <w:i w:val="1"/>
          <w:iCs w:val="1"/>
          <w:color w:val="auto"/>
        </w:rPr>
        <w:t>Stock Option Exercise; Tax Withholding</w:t>
      </w:r>
      <w:r>
        <w:rPr>
          <w:rFonts w:ascii="Arial" w:cs="Arial" w:eastAsia="Arial" w:hAnsi="Arial"/>
          <w:sz w:val="19"/>
          <w:szCs w:val="19"/>
          <w:color w:val="auto"/>
        </w:rPr>
        <w:t>. Subject to such terms and conditions as specified in an Award</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(including applicable vesting requirements), a Stock Option may be exercised in whole or in part at any time during the term thereof by notice in the form required by the Company, together with payment of the aggregate exercise price and applicable withholding tax. Payment of the exercise price may be made: (i) in cash or by cash equivalent acceptable to the Committee, or, (ii) to the extent permitted by the Committee in its sole discretion in an Award Agreement or otherwise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In accordance with Section 14.11 hereof, and in addition to and at the time of payment of the exercise price, the Participant shall pay to the Company the full amount of any and all applicable income tax, employment tax and other amounts required to be withheld in connection with such exercise, payable under such of the methods described above for the payment of the exercise price as may be approved by the Committee and set forth in the Award Agreement.</w:t>
      </w:r>
    </w:p>
    <w:p>
      <w:pPr>
        <w:spacing w:after="0" w:line="164" w:lineRule="exact"/>
        <w:rPr>
          <w:rFonts w:ascii="Arial" w:cs="Arial" w:eastAsia="Arial" w:hAnsi="Arial"/>
          <w:sz w:val="19"/>
          <w:szCs w:val="19"/>
          <w:color w:val="auto"/>
        </w:rPr>
      </w:pPr>
    </w:p>
    <w:p>
      <w:pPr>
        <w:ind w:firstLine="757"/>
        <w:spacing w:after="0" w:line="245" w:lineRule="auto"/>
        <w:tabs>
          <w:tab w:leader="none" w:pos="1498" w:val="left"/>
        </w:tabs>
        <w:numPr>
          <w:ilvl w:val="0"/>
          <w:numId w:val="71"/>
        </w:numPr>
        <w:rPr>
          <w:rFonts w:ascii="Arial" w:cs="Arial" w:eastAsia="Arial" w:hAnsi="Arial"/>
          <w:sz w:val="21"/>
          <w:szCs w:val="21"/>
          <w:color w:val="auto"/>
        </w:rPr>
      </w:pPr>
      <w:r>
        <w:rPr>
          <w:rFonts w:ascii="Arial" w:cs="Arial" w:eastAsia="Arial" w:hAnsi="Arial"/>
          <w:sz w:val="21"/>
          <w:szCs w:val="21"/>
          <w:i w:val="1"/>
          <w:iCs w:val="1"/>
          <w:color w:val="auto"/>
        </w:rPr>
        <w:t>Limited Transferability of Nonqualified Stock Options</w:t>
      </w:r>
      <w:r>
        <w:rPr>
          <w:rFonts w:ascii="Arial" w:cs="Arial" w:eastAsia="Arial" w:hAnsi="Arial"/>
          <w:sz w:val="21"/>
          <w:szCs w:val="21"/>
          <w:color w:val="auto"/>
        </w:rPr>
        <w:t>. All Stock Options shall be nontransferable except (i)</w:t>
      </w:r>
      <w:r>
        <w:rPr>
          <w:rFonts w:ascii="Arial" w:cs="Arial" w:eastAsia="Arial" w:hAnsi="Arial"/>
          <w:sz w:val="21"/>
          <w:szCs w:val="21"/>
          <w:i w:val="1"/>
          <w:iCs w:val="1"/>
          <w:color w:val="auto"/>
        </w:rPr>
        <w:t xml:space="preserve"> </w:t>
      </w:r>
      <w:r>
        <w:rPr>
          <w:rFonts w:ascii="Arial" w:cs="Arial" w:eastAsia="Arial" w:hAnsi="Arial"/>
          <w:sz w:val="21"/>
          <w:szCs w:val="21"/>
          <w:color w:val="auto"/>
        </w:rPr>
        <w:t>upon the Participant’s death, in accordance with Section 14.3 hereof or (ii) in the case of Nonqualified Stock Options only, for the transfer of all or part of the Stock Option to a Participant’s “family member” (as defined for purposes of the Form S-8 registration statement under the Securities Act), or as otherwise permitted by the Committee to the extent also permitted by the general instructions of the Form S-8 registration statement, as may be amended from time to time, in each case as may be approved by the Committee in its discretion at the time of proposed transfer; provided, in each case, that any permitted transfer shall be for no consideration. The transfer of a Nonqualified Stock Option may be subject to such terms and conditions as the Committee may in its discretion impose from time to time. Subsequent transfers of a Nonqualified Stock Option shall be prohibited other than in accordance with Section 14.3 hereof.</w:t>
      </w:r>
    </w:p>
    <w:p>
      <w:pPr>
        <w:spacing w:after="0" w:line="184" w:lineRule="exact"/>
        <w:rPr>
          <w:rFonts w:ascii="Arial" w:cs="Arial" w:eastAsia="Arial" w:hAnsi="Arial"/>
          <w:sz w:val="21"/>
          <w:szCs w:val="21"/>
          <w:color w:val="auto"/>
        </w:rPr>
      </w:pPr>
    </w:p>
    <w:p>
      <w:pPr>
        <w:ind w:left="1500" w:hanging="743"/>
        <w:spacing w:after="0"/>
        <w:tabs>
          <w:tab w:leader="none" w:pos="1500" w:val="left"/>
        </w:tabs>
        <w:numPr>
          <w:ilvl w:val="0"/>
          <w:numId w:val="71"/>
        </w:numPr>
        <w:rPr>
          <w:rFonts w:ascii="Arial" w:cs="Arial" w:eastAsia="Arial" w:hAnsi="Arial"/>
          <w:sz w:val="22"/>
          <w:szCs w:val="22"/>
          <w:color w:val="auto"/>
        </w:rPr>
      </w:pPr>
      <w:r>
        <w:rPr>
          <w:rFonts w:ascii="Arial" w:cs="Arial" w:eastAsia="Arial" w:hAnsi="Arial"/>
          <w:sz w:val="22"/>
          <w:szCs w:val="22"/>
          <w:i w:val="1"/>
          <w:iCs w:val="1"/>
          <w:color w:val="auto"/>
        </w:rPr>
        <w:t>Additional Rules for Incentive Stock Options</w:t>
      </w:r>
      <w:r>
        <w:rPr>
          <w:rFonts w:ascii="Arial" w:cs="Arial" w:eastAsia="Arial" w:hAnsi="Arial"/>
          <w:sz w:val="22"/>
          <w:szCs w:val="22"/>
          <w:color w:val="auto"/>
        </w:rPr>
        <w:t>.</w:t>
      </w:r>
    </w:p>
    <w:p>
      <w:pPr>
        <w:spacing w:after="0" w:line="206" w:lineRule="exact"/>
        <w:rPr>
          <w:sz w:val="20"/>
          <w:szCs w:val="20"/>
          <w:color w:val="auto"/>
        </w:rPr>
      </w:pPr>
    </w:p>
    <w:p>
      <w:pPr>
        <w:ind w:right="160" w:firstLine="1497"/>
        <w:spacing w:after="0" w:line="257"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i w:val="1"/>
          <w:iCs w:val="1"/>
          <w:color w:val="auto"/>
        </w:rPr>
        <w:t>Eligibility</w:t>
      </w:r>
      <w:r>
        <w:rPr>
          <w:rFonts w:ascii="Arial" w:cs="Arial" w:eastAsia="Arial" w:hAnsi="Arial"/>
          <w:sz w:val="21"/>
          <w:szCs w:val="21"/>
          <w:color w:val="auto"/>
        </w:rPr>
        <w:t>. An Incentive Stock Option may be granted only to an Eligible Person who is considered an employee for purposes of Treasury Regulation Section 1.421-1(h) with respect to the Company or any Subsidiary that qualifies as a “subsidiary corporation” with respect to the Company for purposes of Section 424(f) of the Code.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0" w:name="page121"/>
    <w:bookmarkEnd w:id="120"/>
    <w:p>
      <w:pPr>
        <w:ind w:right="20" w:firstLine="1497"/>
        <w:spacing w:after="0" w:line="279" w:lineRule="auto"/>
        <w:rPr>
          <w:sz w:val="20"/>
          <w:szCs w:val="20"/>
          <w:color w:val="auto"/>
        </w:rPr>
      </w:pPr>
      <w:r>
        <w:rPr>
          <w:rFonts w:ascii="Arial" w:cs="Arial" w:eastAsia="Arial" w:hAnsi="Arial"/>
          <w:sz w:val="19"/>
          <w:szCs w:val="19"/>
          <w:color w:val="auto"/>
        </w:rPr>
        <w:t xml:space="preserve">ii. </w:t>
      </w:r>
      <w:r>
        <w:rPr>
          <w:rFonts w:ascii="Arial" w:cs="Arial" w:eastAsia="Arial" w:hAnsi="Arial"/>
          <w:sz w:val="19"/>
          <w:szCs w:val="19"/>
          <w:i w:val="1"/>
          <w:iCs w:val="1"/>
          <w:color w:val="auto"/>
        </w:rPr>
        <w:t>Annual Limits</w:t>
      </w:r>
      <w:r>
        <w:rPr>
          <w:rFonts w:ascii="Arial" w:cs="Arial" w:eastAsia="Arial" w:hAnsi="Arial"/>
          <w:sz w:val="19"/>
          <w:szCs w:val="19"/>
          <w:color w:val="auto"/>
        </w:rPr>
        <w:t>. No Incentive Stock Option shall be granted to a Participant as a result of which the aggregate Fair Market Value (determined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Stock Options into account in the order in which granted. Any Stock Option grant that exceeds such limit shall be treated as a Nonqualified Stock Option.</w:t>
      </w:r>
    </w:p>
    <w:p>
      <w:pPr>
        <w:spacing w:after="0" w:line="151" w:lineRule="exact"/>
        <w:rPr>
          <w:sz w:val="20"/>
          <w:szCs w:val="20"/>
          <w:color w:val="auto"/>
        </w:rPr>
      </w:pPr>
    </w:p>
    <w:p>
      <w:pPr>
        <w:ind w:right="120" w:firstLine="1497"/>
        <w:spacing w:after="0" w:line="249" w:lineRule="auto"/>
        <w:rPr>
          <w:sz w:val="20"/>
          <w:szCs w:val="20"/>
          <w:color w:val="auto"/>
        </w:rPr>
      </w:pPr>
      <w:r>
        <w:rPr>
          <w:rFonts w:ascii="Arial" w:cs="Arial" w:eastAsia="Arial" w:hAnsi="Arial"/>
          <w:sz w:val="21"/>
          <w:szCs w:val="21"/>
          <w:color w:val="auto"/>
        </w:rPr>
        <w:t xml:space="preserve">iii. </w:t>
      </w:r>
      <w:r>
        <w:rPr>
          <w:rFonts w:ascii="Arial" w:cs="Arial" w:eastAsia="Arial" w:hAnsi="Arial"/>
          <w:sz w:val="21"/>
          <w:szCs w:val="21"/>
          <w:i w:val="1"/>
          <w:iCs w:val="1"/>
          <w:color w:val="auto"/>
        </w:rPr>
        <w:t>Additional Limitations</w:t>
      </w:r>
      <w:r>
        <w:rPr>
          <w:rFonts w:ascii="Arial" w:cs="Arial" w:eastAsia="Arial" w:hAnsi="Arial"/>
          <w:sz w:val="21"/>
          <w:szCs w:val="21"/>
          <w:color w:val="auto"/>
        </w:rPr>
        <w:t>. In the case of any Incentive Stock Option granted to an Eligible Person who owns, either directly or indirectly (taking 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178" w:lineRule="exact"/>
        <w:rPr>
          <w:sz w:val="20"/>
          <w:szCs w:val="20"/>
          <w:color w:val="auto"/>
        </w:rPr>
      </w:pPr>
    </w:p>
    <w:p>
      <w:pPr>
        <w:ind w:firstLine="1497"/>
        <w:spacing w:after="0" w:line="235" w:lineRule="auto"/>
        <w:rPr>
          <w:sz w:val="20"/>
          <w:szCs w:val="20"/>
          <w:color w:val="auto"/>
        </w:rPr>
      </w:pPr>
      <w:r>
        <w:rPr>
          <w:rFonts w:ascii="Arial" w:cs="Arial" w:eastAsia="Arial" w:hAnsi="Arial"/>
          <w:sz w:val="22"/>
          <w:szCs w:val="22"/>
          <w:color w:val="auto"/>
        </w:rPr>
        <w:t xml:space="preserve">iv. </w:t>
      </w:r>
      <w:r>
        <w:rPr>
          <w:rFonts w:ascii="Arial" w:cs="Arial" w:eastAsia="Arial" w:hAnsi="Arial"/>
          <w:sz w:val="22"/>
          <w:szCs w:val="22"/>
          <w:i w:val="1"/>
          <w:iCs w:val="1"/>
          <w:color w:val="auto"/>
        </w:rPr>
        <w:t>Termination of Service</w:t>
      </w:r>
      <w:r>
        <w:rPr>
          <w:rFonts w:ascii="Arial" w:cs="Arial" w:eastAsia="Arial" w:hAnsi="Arial"/>
          <w:sz w:val="22"/>
          <w:szCs w:val="22"/>
          <w:color w:val="auto"/>
        </w:rPr>
        <w:t>. An Award of an Incentive Stock Option may provide that such Stock Option may be exercised not later than (i) three (3) months following termination of Service of the Participant with the Company and all Subsidiaries (other than as set forth in clause (ii) of this Section 6.7(d)) or (ii) one year following termination of Service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pacing w:after="0" w:line="188" w:lineRule="exact"/>
        <w:rPr>
          <w:sz w:val="20"/>
          <w:szCs w:val="20"/>
          <w:color w:val="auto"/>
        </w:rPr>
      </w:pPr>
    </w:p>
    <w:p>
      <w:pPr>
        <w:ind w:right="20" w:firstLine="1497"/>
        <w:spacing w:after="0" w:line="277" w:lineRule="auto"/>
        <w:rPr>
          <w:sz w:val="20"/>
          <w:szCs w:val="20"/>
          <w:color w:val="auto"/>
        </w:rPr>
      </w:pPr>
      <w:r>
        <w:rPr>
          <w:rFonts w:ascii="Arial" w:cs="Arial" w:eastAsia="Arial" w:hAnsi="Arial"/>
          <w:sz w:val="19"/>
          <w:szCs w:val="19"/>
          <w:color w:val="auto"/>
        </w:rPr>
        <w:t xml:space="preserve">v. </w:t>
      </w:r>
      <w:r>
        <w:rPr>
          <w:rFonts w:ascii="Arial" w:cs="Arial" w:eastAsia="Arial" w:hAnsi="Arial"/>
          <w:sz w:val="19"/>
          <w:szCs w:val="19"/>
          <w:i w:val="1"/>
          <w:iCs w:val="1"/>
          <w:color w:val="auto"/>
        </w:rPr>
        <w:t>Other Terms and Conditions; Nontransferability</w:t>
      </w:r>
      <w:r>
        <w:rPr>
          <w:rFonts w:ascii="Arial" w:cs="Arial" w:eastAsia="Arial" w:hAnsi="Arial"/>
          <w:sz w:val="19"/>
          <w:szCs w:val="19"/>
          <w:color w:val="auto"/>
        </w:rPr>
        <w:t>. Any Incentive Stock Option granted hereunder shall contain such additional terms 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152" w:lineRule="exact"/>
        <w:rPr>
          <w:sz w:val="20"/>
          <w:szCs w:val="20"/>
          <w:color w:val="auto"/>
        </w:rPr>
      </w:pPr>
    </w:p>
    <w:p>
      <w:pPr>
        <w:ind w:firstLine="1497"/>
        <w:spacing w:after="0" w:line="236" w:lineRule="auto"/>
        <w:rPr>
          <w:sz w:val="20"/>
          <w:szCs w:val="20"/>
          <w:color w:val="auto"/>
        </w:rPr>
      </w:pPr>
      <w:r>
        <w:rPr>
          <w:rFonts w:ascii="Arial" w:cs="Arial" w:eastAsia="Arial" w:hAnsi="Arial"/>
          <w:sz w:val="22"/>
          <w:szCs w:val="22"/>
          <w:color w:val="auto"/>
        </w:rPr>
        <w:t xml:space="preserve">vi. </w:t>
      </w:r>
      <w:r>
        <w:rPr>
          <w:rFonts w:ascii="Arial" w:cs="Arial" w:eastAsia="Arial" w:hAnsi="Arial"/>
          <w:sz w:val="22"/>
          <w:szCs w:val="22"/>
          <w:i w:val="1"/>
          <w:iCs w:val="1"/>
          <w:color w:val="auto"/>
        </w:rPr>
        <w:t>Disqualifying Dispositions</w:t>
      </w:r>
      <w:r>
        <w:rPr>
          <w:rFonts w:ascii="Arial" w:cs="Arial" w:eastAsia="Arial" w:hAnsi="Arial"/>
          <w:sz w:val="22"/>
          <w:szCs w:val="22"/>
          <w:color w:val="auto"/>
        </w:rPr>
        <w:t>. If shares of Common Stock acquired by exercise of an Incentive Stock Option are disposed of within two 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pacing w:after="0" w:line="187" w:lineRule="exact"/>
        <w:rPr>
          <w:sz w:val="20"/>
          <w:szCs w:val="20"/>
          <w:color w:val="auto"/>
        </w:rPr>
      </w:pPr>
    </w:p>
    <w:p>
      <w:pPr>
        <w:ind w:right="240" w:firstLine="757"/>
        <w:spacing w:after="0" w:line="287" w:lineRule="auto"/>
        <w:tabs>
          <w:tab w:leader="none" w:pos="1498"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 xml:space="preserve">Repricing Prohibited. </w:t>
      </w:r>
      <w:r>
        <w:rPr>
          <w:rFonts w:ascii="Arial" w:cs="Arial" w:eastAsia="Arial" w:hAnsi="Arial"/>
          <w:sz w:val="19"/>
          <w:szCs w:val="19"/>
          <w:color w:val="auto"/>
        </w:rPr>
        <w:t>Subject to the adjustment provisions contained in Section 4.5 hereof and other than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 Change in Control, without the prior approval of the Company’s stockholders, neither the Committee nor the Board shall cancel a Stock Option when the exercise price per share exceeds the Fair Market Value of one share of Common Stock in exchange for cash or another Award or cause the cancellation, substitution or amendment of a</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ind w:right="180"/>
        <w:spacing w:after="0" w:line="238" w:lineRule="auto"/>
        <w:rPr>
          <w:sz w:val="20"/>
          <w:szCs w:val="20"/>
          <w:color w:val="auto"/>
        </w:rPr>
      </w:pPr>
      <w:r>
        <w:rPr>
          <w:rFonts w:ascii="Arial" w:cs="Arial" w:eastAsia="Arial" w:hAnsi="Arial"/>
          <w:sz w:val="22"/>
          <w:szCs w:val="22"/>
          <w:color w:val="auto"/>
        </w:rPr>
        <w:t>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 requirements adopted by the NASDAQ or other principal exchange on which the Common Stock is then listed.</w:t>
      </w:r>
    </w:p>
    <w:p>
      <w:pPr>
        <w:spacing w:after="0" w:line="185" w:lineRule="exact"/>
        <w:rPr>
          <w:sz w:val="20"/>
          <w:szCs w:val="20"/>
          <w:color w:val="auto"/>
        </w:rPr>
      </w:pPr>
    </w:p>
    <w:p>
      <w:pPr>
        <w:ind w:right="20" w:firstLine="757"/>
        <w:spacing w:after="0"/>
        <w:tabs>
          <w:tab w:leader="none" w:pos="1498"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No Rights as Stockholder</w:t>
      </w:r>
      <w:r>
        <w:rPr>
          <w:rFonts w:ascii="Arial" w:cs="Arial" w:eastAsia="Arial" w:hAnsi="Arial"/>
          <w:sz w:val="22"/>
          <w:szCs w:val="22"/>
          <w:color w:val="auto"/>
        </w:rPr>
        <w:t>. The Participant shall not have any rights as a stockholder with respect to the shares</w:t>
      </w:r>
      <w:r>
        <w:rPr>
          <w:rFonts w:ascii="Arial" w:cs="Arial" w:eastAsia="Arial" w:hAnsi="Arial"/>
          <w:sz w:val="22"/>
          <w:szCs w:val="22"/>
          <w:i w:val="1"/>
          <w:iCs w:val="1"/>
          <w:color w:val="auto"/>
        </w:rPr>
        <w:t xml:space="preserve"> </w:t>
      </w:r>
      <w:r>
        <w:rPr>
          <w:rFonts w:ascii="Arial" w:cs="Arial" w:eastAsia="Arial" w:hAnsi="Arial"/>
          <w:sz w:val="22"/>
          <w:szCs w:val="22"/>
          <w:color w:val="auto"/>
        </w:rPr>
        <w:t>underlying a Stock Option until such time as shares or Common Stock are delivered to the Participant pursuant to the terms of the Award Agreement.</w:t>
      </w:r>
    </w:p>
    <w:p>
      <w:pPr>
        <w:spacing w:after="0" w:line="186" w:lineRule="exact"/>
        <w:rPr>
          <w:sz w:val="20"/>
          <w:szCs w:val="20"/>
          <w:color w:val="auto"/>
        </w:rPr>
      </w:pPr>
    </w:p>
    <w:p>
      <w:pPr>
        <w:ind w:left="1500" w:hanging="743"/>
        <w:spacing w:after="0"/>
        <w:tabs>
          <w:tab w:leader="none" w:pos="15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206" w:lineRule="exact"/>
        <w:rPr>
          <w:sz w:val="20"/>
          <w:szCs w:val="20"/>
          <w:color w:val="auto"/>
        </w:rPr>
      </w:pPr>
    </w:p>
    <w:p>
      <w:pPr>
        <w:ind w:firstLine="757"/>
        <w:spacing w:after="0" w:line="282" w:lineRule="auto"/>
        <w:tabs>
          <w:tab w:leader="none" w:pos="1498"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Grant of Stock Appreciation Rights</w:t>
      </w:r>
      <w:r>
        <w:rPr>
          <w:rFonts w:ascii="Arial" w:cs="Arial" w:eastAsia="Arial" w:hAnsi="Arial"/>
          <w:sz w:val="19"/>
          <w:szCs w:val="19"/>
          <w:color w:val="auto"/>
        </w:rPr>
        <w:t>. Stock Appreciation Rights may be granted to any Eligible Person selected</w:t>
      </w:r>
      <w:r>
        <w:rPr>
          <w:rFonts w:ascii="Arial" w:cs="Arial" w:eastAsia="Arial" w:hAnsi="Arial"/>
          <w:sz w:val="19"/>
          <w:szCs w:val="19"/>
          <w:i w:val="1"/>
          <w:iCs w:val="1"/>
          <w:color w:val="auto"/>
        </w:rPr>
        <w:t xml:space="preserve"> </w:t>
      </w:r>
      <w:r>
        <w:rPr>
          <w:rFonts w:ascii="Arial" w:cs="Arial" w:eastAsia="Arial" w:hAnsi="Arial"/>
          <w:sz w:val="19"/>
          <w:szCs w:val="19"/>
          <w:color w:val="auto"/>
        </w:rPr>
        <w:t>by the Committee. Stock Appreciation Rights may be granted on a basis that allows for the exercise of the right by the Participant, or that provides for the automatic exercise or payment of the right upon a specified date or event. Stock Appreciation Rights shall be non-transferable, except as provided in Section 14.3 hereof. All Stock Appreciation Rights granted under the Plan are intended to comply with or otherwise be exempt from the requirements of Section 409A of the Code, to the extent applicable.</w:t>
      </w:r>
    </w:p>
    <w:p>
      <w:pPr>
        <w:spacing w:after="0" w:line="147" w:lineRule="exact"/>
        <w:rPr>
          <w:rFonts w:ascii="Arial" w:cs="Arial" w:eastAsia="Arial" w:hAnsi="Arial"/>
          <w:sz w:val="19"/>
          <w:szCs w:val="19"/>
          <w:color w:val="auto"/>
        </w:rPr>
      </w:pPr>
    </w:p>
    <w:p>
      <w:pPr>
        <w:ind w:firstLine="757"/>
        <w:spacing w:after="0" w:line="270" w:lineRule="auto"/>
        <w:tabs>
          <w:tab w:leader="none" w:pos="1498"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Terms of Stock Appreciation Rights</w:t>
      </w:r>
      <w:r>
        <w:rPr>
          <w:rFonts w:ascii="Arial" w:cs="Arial" w:eastAsia="Arial" w:hAnsi="Arial"/>
          <w:sz w:val="19"/>
          <w:szCs w:val="19"/>
          <w:color w:val="auto"/>
        </w:rPr>
        <w:t>. The Committee shall in its discretion provide in an Award Agreement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time or times at which or the conditions upon which, a Stock Appreciation Right or portion thereof shall become vested and/or exercisable. If the Fair Market Value of a share of Common Stock exceeds the base price on the last day that the the Stock Appreciation Right may be exercised under an Award Agreement, the affected Participant shall be deemed to have exercised the vested portion of such Stock Appreciation Right and net share withholding for taxes (unless otherwise agreed) without the requirement of any further action. The requirements for vesting and exercisability of a Stock Appreciation Right may be based on the continued Service of a Participant with the Company or a Subsidiary for a specified time period (or periods), on the attainment of a specified performance goal(s) and/or on such other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maximum term of a Stock Appreciation Right shall be ten (10) years from the Date of Grant. Subject to compliance with Section 409A of the Code, as applicable, and the provisions of this Section 7.2, the Committee may extend at any time the period in which a Stock Appreciation Right may be exercised, but not beyond ten (10) years from the Date of Grant. The Committee may provide that a Stock Appreciation Right will cease to be exercisable upon or at the end of a period following a termination of Service for any reason. The base price of a Stock Appreciation Right shall be determined by the Committee in its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base price per share shall not be less than one hundred percent (100%) of the Fair Market Value of a share of Common Stock on the Date of Grant (other than with respect to a Stock Appreciation Right substituted or assumed under Section 14.10).</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ind w:firstLine="757"/>
        <w:spacing w:after="0" w:line="277" w:lineRule="auto"/>
        <w:tabs>
          <w:tab w:leader="none" w:pos="1498"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Payment of Stock Appreciation Rights</w:t>
      </w:r>
      <w:r>
        <w:rPr>
          <w:rFonts w:ascii="Arial" w:cs="Arial" w:eastAsia="Arial" w:hAnsi="Arial"/>
          <w:sz w:val="19"/>
          <w:szCs w:val="19"/>
          <w:color w:val="auto"/>
        </w:rPr>
        <w:t>. A Stock Appreciation Right will entitle the holder, upon exercise or</w:t>
      </w:r>
      <w:r>
        <w:rPr>
          <w:rFonts w:ascii="Arial" w:cs="Arial" w:eastAsia="Arial" w:hAnsi="Arial"/>
          <w:sz w:val="19"/>
          <w:szCs w:val="19"/>
          <w:i w:val="1"/>
          <w:iCs w:val="1"/>
          <w:color w:val="auto"/>
        </w:rPr>
        <w:t xml:space="preserve"> </w:t>
      </w:r>
      <w:r>
        <w:rPr>
          <w:rFonts w:ascii="Arial" w:cs="Arial" w:eastAsia="Arial" w:hAnsi="Arial"/>
          <w:sz w:val="19"/>
          <w:szCs w:val="19"/>
          <w:color w:val="auto"/>
        </w:rPr>
        <w:t>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152" w:lineRule="exact"/>
        <w:rPr>
          <w:rFonts w:ascii="Arial" w:cs="Arial" w:eastAsia="Arial" w:hAnsi="Arial"/>
          <w:sz w:val="19"/>
          <w:szCs w:val="19"/>
          <w:color w:val="auto"/>
        </w:rPr>
      </w:pPr>
    </w:p>
    <w:p>
      <w:pPr>
        <w:ind w:right="200" w:firstLine="757"/>
        <w:spacing w:after="0" w:line="246" w:lineRule="auto"/>
        <w:tabs>
          <w:tab w:leader="none" w:pos="1498" w:val="left"/>
        </w:tabs>
        <w:numPr>
          <w:ilvl w:val="0"/>
          <w:numId w:val="76"/>
        </w:numPr>
        <w:rPr>
          <w:rFonts w:ascii="Arial" w:cs="Arial" w:eastAsia="Arial" w:hAnsi="Arial"/>
          <w:sz w:val="21"/>
          <w:szCs w:val="21"/>
          <w:color w:val="auto"/>
        </w:rPr>
      </w:pPr>
      <w:r>
        <w:rPr>
          <w:rFonts w:ascii="Arial" w:cs="Arial" w:eastAsia="Arial" w:hAnsi="Arial"/>
          <w:sz w:val="21"/>
          <w:szCs w:val="21"/>
          <w:i w:val="1"/>
          <w:iCs w:val="1"/>
          <w:color w:val="auto"/>
        </w:rPr>
        <w:t>Repricing Prohibited</w:t>
      </w:r>
      <w:r>
        <w:rPr>
          <w:rFonts w:ascii="Arial" w:cs="Arial" w:eastAsia="Arial" w:hAnsi="Arial"/>
          <w:sz w:val="21"/>
          <w:szCs w:val="21"/>
          <w:color w:val="auto"/>
        </w:rPr>
        <w:t>. Subject to the adjustment provisions contained in Section 4.5 hereof and other than in</w:t>
      </w:r>
      <w:r>
        <w:rPr>
          <w:rFonts w:ascii="Arial" w:cs="Arial" w:eastAsia="Arial" w:hAnsi="Arial"/>
          <w:sz w:val="21"/>
          <w:szCs w:val="21"/>
          <w:i w:val="1"/>
          <w:iCs w:val="1"/>
          <w:color w:val="auto"/>
        </w:rPr>
        <w:t xml:space="preserve"> </w:t>
      </w:r>
      <w:r>
        <w:rPr>
          <w:rFonts w:ascii="Arial" w:cs="Arial" w:eastAsia="Arial" w:hAnsi="Arial"/>
          <w:sz w:val="21"/>
          <w:szCs w:val="21"/>
          <w:color w:val="auto"/>
        </w:rPr>
        <w:t>connection with a Change in Control, without the prior approval of the Company’s stockholders, neither the Committee nor the Board shall cancel a Stock Appreciation Right when the base price per share exceeds the Fair Market Value of one share of Common Stock in exchange for cash or another Award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the NASDAQ or other principal exchange on which the Common Stock is then listed.</w:t>
      </w:r>
    </w:p>
    <w:p>
      <w:pPr>
        <w:spacing w:after="0" w:line="179" w:lineRule="exact"/>
        <w:rPr>
          <w:rFonts w:ascii="Arial" w:cs="Arial" w:eastAsia="Arial" w:hAnsi="Arial"/>
          <w:sz w:val="21"/>
          <w:szCs w:val="21"/>
          <w:color w:val="auto"/>
        </w:rPr>
      </w:pPr>
    </w:p>
    <w:p>
      <w:pPr>
        <w:ind w:right="180" w:firstLine="757"/>
        <w:spacing w:after="0"/>
        <w:tabs>
          <w:tab w:leader="none" w:pos="1498"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No Rights as Stockholder</w:t>
      </w:r>
      <w:r>
        <w:rPr>
          <w:rFonts w:ascii="Arial" w:cs="Arial" w:eastAsia="Arial" w:hAnsi="Arial"/>
          <w:sz w:val="22"/>
          <w:szCs w:val="22"/>
          <w:color w:val="auto"/>
        </w:rPr>
        <w:t>. The Participant shall not have any rights as a stockholder with respect to the shares</w:t>
      </w:r>
      <w:r>
        <w:rPr>
          <w:rFonts w:ascii="Arial" w:cs="Arial" w:eastAsia="Arial" w:hAnsi="Arial"/>
          <w:sz w:val="22"/>
          <w:szCs w:val="22"/>
          <w:i w:val="1"/>
          <w:iCs w:val="1"/>
          <w:color w:val="auto"/>
        </w:rPr>
        <w:t xml:space="preserve"> </w:t>
      </w:r>
      <w:r>
        <w:rPr>
          <w:rFonts w:ascii="Arial" w:cs="Arial" w:eastAsia="Arial" w:hAnsi="Arial"/>
          <w:sz w:val="22"/>
          <w:szCs w:val="22"/>
          <w:color w:val="auto"/>
        </w:rPr>
        <w:t>underlying a Stock Appreciation Right unless and until such time as shares or Common Stock are delivered to the Participant pursuant to the terms of the Award Agreement.</w:t>
      </w:r>
    </w:p>
    <w:p>
      <w:pPr>
        <w:spacing w:after="0" w:line="186" w:lineRule="exact"/>
        <w:rPr>
          <w:sz w:val="20"/>
          <w:szCs w:val="20"/>
          <w:color w:val="auto"/>
        </w:rPr>
      </w:pPr>
    </w:p>
    <w:p>
      <w:pPr>
        <w:ind w:left="1500" w:hanging="743"/>
        <w:spacing w:after="0"/>
        <w:tabs>
          <w:tab w:leader="none" w:pos="15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Restricted Stock Awards</w:t>
      </w:r>
      <w:r>
        <w:rPr>
          <w:rFonts w:ascii="Arial" w:cs="Arial" w:eastAsia="Arial" w:hAnsi="Arial"/>
          <w:sz w:val="22"/>
          <w:szCs w:val="22"/>
          <w:color w:val="auto"/>
        </w:rPr>
        <w:t>.</w:t>
      </w:r>
    </w:p>
    <w:p>
      <w:pPr>
        <w:spacing w:after="0" w:line="206" w:lineRule="exact"/>
        <w:rPr>
          <w:sz w:val="20"/>
          <w:szCs w:val="20"/>
          <w:color w:val="auto"/>
        </w:rPr>
      </w:pPr>
    </w:p>
    <w:p>
      <w:pPr>
        <w:jc w:val="both"/>
        <w:ind w:right="40" w:firstLine="757"/>
        <w:spacing w:after="0"/>
        <w:tabs>
          <w:tab w:leader="none" w:pos="1498"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Grant of Restricted Stock Awards</w:t>
      </w:r>
      <w:r>
        <w:rPr>
          <w:rFonts w:ascii="Arial" w:cs="Arial" w:eastAsia="Arial" w:hAnsi="Arial"/>
          <w:sz w:val="22"/>
          <w:szCs w:val="22"/>
          <w:color w:val="auto"/>
        </w:rPr>
        <w:t>. A Restricted Stock Award may be granted to any Eligible Person selected by</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Committee. The Committee may require the payment by the Participant of a specified purchase price in connection with any Restricted Stock Award.</w:t>
      </w:r>
    </w:p>
    <w:p>
      <w:pPr>
        <w:spacing w:after="0" w:line="186" w:lineRule="exact"/>
        <w:rPr>
          <w:rFonts w:ascii="Arial" w:cs="Arial" w:eastAsia="Arial" w:hAnsi="Arial"/>
          <w:sz w:val="22"/>
          <w:szCs w:val="22"/>
          <w:color w:val="auto"/>
        </w:rPr>
      </w:pPr>
    </w:p>
    <w:p>
      <w:pPr>
        <w:ind w:right="20" w:firstLine="757"/>
        <w:spacing w:after="0" w:line="279" w:lineRule="auto"/>
        <w:tabs>
          <w:tab w:leader="none" w:pos="1498" w:val="left"/>
        </w:tabs>
        <w:numPr>
          <w:ilvl w:val="0"/>
          <w:numId w:val="78"/>
        </w:numPr>
        <w:rPr>
          <w:rFonts w:ascii="Arial" w:cs="Arial" w:eastAsia="Arial" w:hAnsi="Arial"/>
          <w:sz w:val="19"/>
          <w:szCs w:val="19"/>
          <w:color w:val="auto"/>
        </w:rPr>
      </w:pPr>
      <w:r>
        <w:rPr>
          <w:rFonts w:ascii="Arial" w:cs="Arial" w:eastAsia="Arial" w:hAnsi="Arial"/>
          <w:sz w:val="19"/>
          <w:szCs w:val="19"/>
          <w:i w:val="1"/>
          <w:iCs w:val="1"/>
          <w:color w:val="auto"/>
        </w:rPr>
        <w:t>Vesting Requirements</w:t>
      </w:r>
      <w:r>
        <w:rPr>
          <w:rFonts w:ascii="Arial" w:cs="Arial" w:eastAsia="Arial" w:hAnsi="Arial"/>
          <w:sz w:val="19"/>
          <w:szCs w:val="19"/>
          <w:color w:val="auto"/>
        </w:rPr>
        <w:t>. The restrictions imposed on shares granted under a Restricted Stock Award shall lapse in</w:t>
      </w:r>
      <w:r>
        <w:rPr>
          <w:rFonts w:ascii="Arial" w:cs="Arial" w:eastAsia="Arial" w:hAnsi="Arial"/>
          <w:sz w:val="19"/>
          <w:szCs w:val="19"/>
          <w:i w:val="1"/>
          <w:iCs w:val="1"/>
          <w:color w:val="auto"/>
        </w:rPr>
        <w:t xml:space="preserve"> </w:t>
      </w:r>
      <w:r>
        <w:rPr>
          <w:rFonts w:ascii="Arial" w:cs="Arial" w:eastAsia="Arial" w:hAnsi="Arial"/>
          <w:sz w:val="19"/>
          <w:szCs w:val="19"/>
          <w:color w:val="auto"/>
        </w:rPr>
        <w:t>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Award are not satisfied, the Award shall be forfeited and the shares of Common Stock subject to the Award shall be returned to the Company.</w:t>
      </w:r>
    </w:p>
    <w:p>
      <w:pPr>
        <w:spacing w:after="0" w:line="150" w:lineRule="exact"/>
        <w:rPr>
          <w:rFonts w:ascii="Arial" w:cs="Arial" w:eastAsia="Arial" w:hAnsi="Arial"/>
          <w:sz w:val="19"/>
          <w:szCs w:val="19"/>
          <w:color w:val="auto"/>
        </w:rPr>
      </w:pPr>
    </w:p>
    <w:p>
      <w:pPr>
        <w:ind w:right="120" w:firstLine="757"/>
        <w:spacing w:after="0" w:line="297" w:lineRule="auto"/>
        <w:tabs>
          <w:tab w:leader="none" w:pos="1498" w:val="left"/>
        </w:tabs>
        <w:numPr>
          <w:ilvl w:val="0"/>
          <w:numId w:val="78"/>
        </w:numPr>
        <w:rPr>
          <w:rFonts w:ascii="Arial" w:cs="Arial" w:eastAsia="Arial" w:hAnsi="Arial"/>
          <w:sz w:val="19"/>
          <w:szCs w:val="19"/>
          <w:color w:val="auto"/>
        </w:rPr>
      </w:pPr>
      <w:r>
        <w:rPr>
          <w:rFonts w:ascii="Arial" w:cs="Arial" w:eastAsia="Arial" w:hAnsi="Arial"/>
          <w:sz w:val="19"/>
          <w:szCs w:val="19"/>
          <w:i w:val="1"/>
          <w:iCs w:val="1"/>
          <w:color w:val="auto"/>
        </w:rPr>
        <w:t>Transfer Restrictions</w:t>
      </w:r>
      <w:r>
        <w:rPr>
          <w:rFonts w:ascii="Arial" w:cs="Arial" w:eastAsia="Arial" w:hAnsi="Arial"/>
          <w:sz w:val="19"/>
          <w:szCs w:val="19"/>
          <w:color w:val="auto"/>
        </w:rPr>
        <w:t>. Shares granted under any Restricted Stock Award may not be transferred, assigned or</w:t>
      </w:r>
      <w:r>
        <w:rPr>
          <w:rFonts w:ascii="Arial" w:cs="Arial" w:eastAsia="Arial" w:hAnsi="Arial"/>
          <w:sz w:val="19"/>
          <w:szCs w:val="19"/>
          <w:i w:val="1"/>
          <w:iCs w:val="1"/>
          <w:color w:val="auto"/>
        </w:rPr>
        <w:t xml:space="preserve"> </w:t>
      </w:r>
      <w:r>
        <w:rPr>
          <w:rFonts w:ascii="Arial" w:cs="Arial" w:eastAsia="Arial" w:hAnsi="Arial"/>
          <w:sz w:val="19"/>
          <w:szCs w:val="19"/>
          <w:color w:val="auto"/>
        </w:rPr>
        <w:t>subject to any encumbrance, pledge or charge until all applicable restrictions are removed or have expired, except as provided in Section 14.3 hereof. Failure to satisfy any applicable restrictions shall result in the subject shares of the Restricted Stock Award</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3" w:name="page124"/>
    <w:bookmarkEnd w:id="123"/>
    <w:p>
      <w:pPr>
        <w:ind w:right="160"/>
        <w:spacing w:after="0" w:line="252" w:lineRule="auto"/>
        <w:rPr>
          <w:sz w:val="20"/>
          <w:szCs w:val="20"/>
          <w:color w:val="auto"/>
        </w:rPr>
      </w:pPr>
      <w:r>
        <w:rPr>
          <w:rFonts w:ascii="Arial" w:cs="Arial" w:eastAsia="Arial" w:hAnsi="Arial"/>
          <w:sz w:val="21"/>
          <w:szCs w:val="21"/>
          <w:color w:val="auto"/>
        </w:rPr>
        <w:t>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until all restrictions are removed or have expired.</w:t>
      </w:r>
    </w:p>
    <w:p>
      <w:pPr>
        <w:spacing w:after="0" w:line="174" w:lineRule="exact"/>
        <w:rPr>
          <w:sz w:val="20"/>
          <w:szCs w:val="20"/>
          <w:color w:val="auto"/>
        </w:rPr>
      </w:pPr>
    </w:p>
    <w:p>
      <w:pPr>
        <w:ind w:right="20" w:firstLine="757"/>
        <w:spacing w:after="0" w:line="245" w:lineRule="auto"/>
        <w:tabs>
          <w:tab w:leader="none" w:pos="1498" w:val="left"/>
        </w:tabs>
        <w:numPr>
          <w:ilvl w:val="0"/>
          <w:numId w:val="79"/>
        </w:numPr>
        <w:rPr>
          <w:rFonts w:ascii="Arial" w:cs="Arial" w:eastAsia="Arial" w:hAnsi="Arial"/>
          <w:sz w:val="21"/>
          <w:szCs w:val="21"/>
          <w:color w:val="auto"/>
        </w:rPr>
      </w:pPr>
      <w:r>
        <w:rPr>
          <w:rFonts w:ascii="Arial" w:cs="Arial" w:eastAsia="Arial" w:hAnsi="Arial"/>
          <w:sz w:val="21"/>
          <w:szCs w:val="21"/>
          <w:i w:val="1"/>
          <w:iCs w:val="1"/>
          <w:color w:val="auto"/>
        </w:rPr>
        <w:t>Rights as Stockholder</w:t>
      </w:r>
      <w:r>
        <w:rPr>
          <w:rFonts w:ascii="Arial" w:cs="Arial" w:eastAsia="Arial" w:hAnsi="Arial"/>
          <w:sz w:val="21"/>
          <w:szCs w:val="21"/>
          <w:color w:val="auto"/>
        </w:rPr>
        <w:t>. Subject to the foregoing provisions of this Section 8 and the applicable Award</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the Committee determines otherwise at the time the Restricted Stock Award is granted. The Committee shall determine and set forth in a Participant’s Award Agreement whether or not a Participant holding a Restricted Stock Award granted hereunder shall have the right to exercise voting rights with respect to the period during which the Restricted Stock Award is subject to forfeiture (the “</w:t>
      </w:r>
      <w:r>
        <w:rPr>
          <w:rFonts w:ascii="Arial" w:cs="Arial" w:eastAsia="Arial" w:hAnsi="Arial"/>
          <w:sz w:val="21"/>
          <w:szCs w:val="21"/>
          <w:i w:val="1"/>
          <w:iCs w:val="1"/>
          <w:color w:val="auto"/>
        </w:rPr>
        <w:t>Restriction Period</w:t>
      </w:r>
      <w:r>
        <w:rPr>
          <w:rFonts w:ascii="Arial" w:cs="Arial" w:eastAsia="Arial" w:hAnsi="Arial"/>
          <w:sz w:val="21"/>
          <w:szCs w:val="21"/>
          <w:color w:val="auto"/>
        </w:rPr>
        <w:t xml:space="preserve">”), and have the right to receive dividends on the Restricted Stock Award during the Restriction Period (and, if so, on what terms)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 Participant has the right to receive dividends paid with respect to the Restricted Stock Award, such dividends shall be subject to the same vesting terms as the related Restricted Stock Award.</w:t>
      </w:r>
    </w:p>
    <w:p>
      <w:pPr>
        <w:spacing w:after="0" w:line="180" w:lineRule="exact"/>
        <w:rPr>
          <w:rFonts w:ascii="Arial" w:cs="Arial" w:eastAsia="Arial" w:hAnsi="Arial"/>
          <w:sz w:val="21"/>
          <w:szCs w:val="21"/>
          <w:color w:val="auto"/>
        </w:rPr>
      </w:pPr>
    </w:p>
    <w:p>
      <w:pPr>
        <w:ind w:firstLine="757"/>
        <w:spacing w:after="0" w:line="282" w:lineRule="auto"/>
        <w:tabs>
          <w:tab w:leader="none" w:pos="1498" w:val="left"/>
        </w:tabs>
        <w:numPr>
          <w:ilvl w:val="0"/>
          <w:numId w:val="79"/>
        </w:numPr>
        <w:rPr>
          <w:rFonts w:ascii="Arial" w:cs="Arial" w:eastAsia="Arial" w:hAnsi="Arial"/>
          <w:sz w:val="19"/>
          <w:szCs w:val="19"/>
          <w:color w:val="auto"/>
        </w:rPr>
      </w:pPr>
      <w:r>
        <w:rPr>
          <w:rFonts w:ascii="Arial" w:cs="Arial" w:eastAsia="Arial" w:hAnsi="Arial"/>
          <w:sz w:val="19"/>
          <w:szCs w:val="19"/>
          <w:i w:val="1"/>
          <w:iCs w:val="1"/>
          <w:color w:val="auto"/>
        </w:rPr>
        <w:t>Section 83(b) Election</w:t>
      </w:r>
      <w:r>
        <w:rPr>
          <w:rFonts w:ascii="Arial" w:cs="Arial" w:eastAsia="Arial" w:hAnsi="Arial"/>
          <w:sz w:val="19"/>
          <w:szCs w:val="19"/>
          <w:color w:val="auto"/>
        </w:rPr>
        <w:t>. If a Participant makes an election pursuant to Section 83(b) of the Code with respect to</w:t>
      </w:r>
      <w:r>
        <w:rPr>
          <w:rFonts w:ascii="Arial" w:cs="Arial" w:eastAsia="Arial" w:hAnsi="Arial"/>
          <w:sz w:val="19"/>
          <w:szCs w:val="19"/>
          <w:i w:val="1"/>
          <w:iCs w:val="1"/>
          <w:color w:val="auto"/>
        </w:rPr>
        <w:t xml:space="preserve"> </w:t>
      </w:r>
      <w:r>
        <w:rPr>
          <w:rFonts w:ascii="Arial" w:cs="Arial" w:eastAsia="Arial" w:hAnsi="Arial"/>
          <w:sz w:val="19"/>
          <w:szCs w:val="19"/>
          <w:color w:val="auto"/>
        </w:rPr>
        <w:t>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147" w:lineRule="exact"/>
        <w:rPr>
          <w:sz w:val="20"/>
          <w:szCs w:val="20"/>
          <w:color w:val="auto"/>
        </w:rPr>
      </w:pPr>
    </w:p>
    <w:p>
      <w:pPr>
        <w:ind w:left="1500" w:hanging="743"/>
        <w:spacing w:after="0"/>
        <w:tabs>
          <w:tab w:leader="none" w:pos="150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206" w:lineRule="exact"/>
        <w:rPr>
          <w:sz w:val="20"/>
          <w:szCs w:val="20"/>
          <w:color w:val="auto"/>
        </w:rPr>
      </w:pPr>
    </w:p>
    <w:p>
      <w:pPr>
        <w:ind w:right="20" w:firstLine="757"/>
        <w:spacing w:after="0" w:line="236" w:lineRule="auto"/>
        <w:tabs>
          <w:tab w:leader="none" w:pos="1498"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Grant of Restricted Stock Units</w:t>
      </w:r>
      <w:r>
        <w:rPr>
          <w:rFonts w:ascii="Arial" w:cs="Arial" w:eastAsia="Arial" w:hAnsi="Arial"/>
          <w:sz w:val="22"/>
          <w:szCs w:val="22"/>
          <w:color w:val="auto"/>
        </w:rPr>
        <w:t>. A Restricted Stock Unit may be granted to any Eligible Person selected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The value of each Restricted Stock Unit is equal to the Fair Market Value of a share of Common Stock on the applicable date or time period of determination, as specified by the Committee. Restricted Stock Units shall be subject to such restrictions and conditions as the Committee shall determine. Restricted Stock Units shall be non-transferable, except as provided in Section 14.3 hereof.</w:t>
      </w:r>
    </w:p>
    <w:p>
      <w:pPr>
        <w:spacing w:after="0" w:line="187" w:lineRule="exact"/>
        <w:rPr>
          <w:rFonts w:ascii="Arial" w:cs="Arial" w:eastAsia="Arial" w:hAnsi="Arial"/>
          <w:sz w:val="22"/>
          <w:szCs w:val="22"/>
          <w:color w:val="auto"/>
        </w:rPr>
      </w:pPr>
    </w:p>
    <w:p>
      <w:pPr>
        <w:ind w:right="20" w:firstLine="757"/>
        <w:spacing w:after="0" w:line="235" w:lineRule="auto"/>
        <w:tabs>
          <w:tab w:leader="none" w:pos="1498"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Vesting of Restricted Stock Units</w:t>
      </w:r>
      <w:r>
        <w:rPr>
          <w:rFonts w:ascii="Arial" w:cs="Arial" w:eastAsia="Arial" w:hAnsi="Arial"/>
          <w:sz w:val="22"/>
          <w:szCs w:val="22"/>
          <w:color w:val="auto"/>
        </w:rPr>
        <w:t>. The Committee shall, in its discretion, determine any vesting requirements</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Restricted Stock Units, which shall be set forth in the Award Agreement. The requirements for vesting of a Restricted Stock Unit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Unit Award are not satisfied, the Award shall be forfeited.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4" w:name="page125"/>
    <w:bookmarkEnd w:id="124"/>
    <w:p>
      <w:pPr>
        <w:ind w:right="60" w:firstLine="757"/>
        <w:spacing w:after="0" w:line="248" w:lineRule="auto"/>
        <w:tabs>
          <w:tab w:leader="none" w:pos="1498" w:val="left"/>
        </w:tabs>
        <w:numPr>
          <w:ilvl w:val="0"/>
          <w:numId w:val="82"/>
        </w:numPr>
        <w:rPr>
          <w:rFonts w:ascii="Arial" w:cs="Arial" w:eastAsia="Arial" w:hAnsi="Arial"/>
          <w:sz w:val="21"/>
          <w:szCs w:val="21"/>
          <w:color w:val="auto"/>
        </w:rPr>
      </w:pPr>
      <w:r>
        <w:rPr>
          <w:rFonts w:ascii="Arial" w:cs="Arial" w:eastAsia="Arial" w:hAnsi="Arial"/>
          <w:sz w:val="21"/>
          <w:szCs w:val="21"/>
          <w:i w:val="1"/>
          <w:iCs w:val="1"/>
          <w:color w:val="auto"/>
        </w:rPr>
        <w:t>Payment of Restricted Stock Units</w:t>
      </w:r>
      <w:r>
        <w:rPr>
          <w:rFonts w:ascii="Arial" w:cs="Arial" w:eastAsia="Arial" w:hAnsi="Arial"/>
          <w:sz w:val="21"/>
          <w:szCs w:val="21"/>
          <w:color w:val="auto"/>
        </w:rPr>
        <w:t>. Restricted Stock Units shall become payable to a Participant at the time or</w:t>
      </w:r>
      <w:r>
        <w:rPr>
          <w:rFonts w:ascii="Arial" w:cs="Arial" w:eastAsia="Arial" w:hAnsi="Arial"/>
          <w:sz w:val="21"/>
          <w:szCs w:val="21"/>
          <w:i w:val="1"/>
          <w:iCs w:val="1"/>
          <w:color w:val="auto"/>
        </w:rPr>
        <w:t xml:space="preserve"> </w:t>
      </w:r>
      <w:r>
        <w:rPr>
          <w:rFonts w:ascii="Arial" w:cs="Arial" w:eastAsia="Arial" w:hAnsi="Arial"/>
          <w:sz w:val="21"/>
          <w:szCs w:val="21"/>
          <w:color w:val="auto"/>
        </w:rPr>
        <w:t>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a share of Common Stock, determined on such date or over such time period as determined by the Committee.</w:t>
      </w:r>
    </w:p>
    <w:p>
      <w:pPr>
        <w:spacing w:after="0" w:line="177" w:lineRule="exact"/>
        <w:rPr>
          <w:rFonts w:ascii="Arial" w:cs="Arial" w:eastAsia="Arial" w:hAnsi="Arial"/>
          <w:sz w:val="21"/>
          <w:szCs w:val="21"/>
          <w:color w:val="auto"/>
        </w:rPr>
      </w:pPr>
    </w:p>
    <w:p>
      <w:pPr>
        <w:ind w:right="520" w:firstLine="757"/>
        <w:spacing w:after="0" w:line="252" w:lineRule="auto"/>
        <w:tabs>
          <w:tab w:leader="none" w:pos="1498" w:val="left"/>
        </w:tabs>
        <w:numPr>
          <w:ilvl w:val="0"/>
          <w:numId w:val="82"/>
        </w:numPr>
        <w:rPr>
          <w:rFonts w:ascii="Arial" w:cs="Arial" w:eastAsia="Arial" w:hAnsi="Arial"/>
          <w:sz w:val="21"/>
          <w:szCs w:val="21"/>
          <w:color w:val="auto"/>
        </w:rPr>
      </w:pPr>
      <w:r>
        <w:rPr>
          <w:rFonts w:ascii="Arial" w:cs="Arial" w:eastAsia="Arial" w:hAnsi="Arial"/>
          <w:sz w:val="21"/>
          <w:szCs w:val="21"/>
          <w:i w:val="1"/>
          <w:iCs w:val="1"/>
          <w:color w:val="auto"/>
        </w:rPr>
        <w:t xml:space="preserve">Dividend Equivalent Rights. </w:t>
      </w:r>
      <w:r>
        <w:rPr>
          <w:rFonts w:ascii="Arial" w:cs="Arial" w:eastAsia="Arial" w:hAnsi="Arial"/>
          <w:sz w:val="21"/>
          <w:szCs w:val="21"/>
          <w:color w:val="auto"/>
        </w:rPr>
        <w:t>Dividends shall not be paid with respect to Restricted Stock Units. Dividend</w:t>
      </w:r>
      <w:r>
        <w:rPr>
          <w:rFonts w:ascii="Arial" w:cs="Arial" w:eastAsia="Arial" w:hAnsi="Arial"/>
          <w:sz w:val="21"/>
          <w:szCs w:val="21"/>
          <w:i w:val="1"/>
          <w:iCs w:val="1"/>
          <w:color w:val="auto"/>
        </w:rPr>
        <w:t xml:space="preserve"> </w:t>
      </w:r>
      <w:r>
        <w:rPr>
          <w:rFonts w:ascii="Arial" w:cs="Arial" w:eastAsia="Arial" w:hAnsi="Arial"/>
          <w:sz w:val="21"/>
          <w:szCs w:val="21"/>
          <w:color w:val="auto"/>
        </w:rPr>
        <w:t>equivalent rights may be granted with respect to the Shares subject to Restricted Stock Units to the extent permitted by the Committee and set forth in the applicable Award Agreement; provided that any dividend equivalent rights granted shall be subject to the same vesting terms as the related Restricted Stock Units.</w:t>
      </w:r>
    </w:p>
    <w:p>
      <w:pPr>
        <w:spacing w:after="0" w:line="173" w:lineRule="exact"/>
        <w:rPr>
          <w:rFonts w:ascii="Arial" w:cs="Arial" w:eastAsia="Arial" w:hAnsi="Arial"/>
          <w:sz w:val="21"/>
          <w:szCs w:val="21"/>
          <w:color w:val="auto"/>
        </w:rPr>
      </w:pPr>
    </w:p>
    <w:p>
      <w:pPr>
        <w:ind w:right="180" w:firstLine="757"/>
        <w:spacing w:after="0"/>
        <w:tabs>
          <w:tab w:leader="none" w:pos="1498"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No Rights as Stockholder</w:t>
      </w:r>
      <w:r>
        <w:rPr>
          <w:rFonts w:ascii="Arial" w:cs="Arial" w:eastAsia="Arial" w:hAnsi="Arial"/>
          <w:sz w:val="22"/>
          <w:szCs w:val="22"/>
          <w:color w:val="auto"/>
        </w:rPr>
        <w:t>. The Participant shall not have any rights as a stockholder with respect to the shares</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to a Restricted Stock Unit until such time as shares of Common Stock are delivered to the Participant pursuant to the terms of the Award Agreement.</w:t>
      </w:r>
    </w:p>
    <w:p>
      <w:pPr>
        <w:spacing w:after="0" w:line="186" w:lineRule="exact"/>
        <w:rPr>
          <w:sz w:val="20"/>
          <w:szCs w:val="20"/>
          <w:color w:val="auto"/>
        </w:rPr>
      </w:pPr>
    </w:p>
    <w:p>
      <w:pPr>
        <w:ind w:left="1500" w:hanging="743"/>
        <w:spacing w:after="0"/>
        <w:tabs>
          <w:tab w:leader="none" w:pos="15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Stock-Based Awards</w:t>
      </w:r>
      <w:r>
        <w:rPr>
          <w:rFonts w:ascii="Arial" w:cs="Arial" w:eastAsia="Arial" w:hAnsi="Arial"/>
          <w:sz w:val="22"/>
          <w:szCs w:val="22"/>
          <w:color w:val="auto"/>
        </w:rPr>
        <w:t>.</w:t>
      </w:r>
    </w:p>
    <w:p>
      <w:pPr>
        <w:spacing w:after="0" w:line="206" w:lineRule="exact"/>
        <w:rPr>
          <w:sz w:val="20"/>
          <w:szCs w:val="20"/>
          <w:color w:val="auto"/>
        </w:rPr>
      </w:pPr>
    </w:p>
    <w:p>
      <w:pPr>
        <w:ind w:right="60" w:firstLine="757"/>
        <w:spacing w:after="0" w:line="235" w:lineRule="auto"/>
        <w:tabs>
          <w:tab w:leader="none" w:pos="1498" w:val="left"/>
        </w:tabs>
        <w:numPr>
          <w:ilvl w:val="0"/>
          <w:numId w:val="84"/>
        </w:numPr>
        <w:rPr>
          <w:rFonts w:ascii="Arial" w:cs="Arial" w:eastAsia="Arial" w:hAnsi="Arial"/>
          <w:sz w:val="22"/>
          <w:szCs w:val="22"/>
          <w:color w:val="auto"/>
        </w:rPr>
      </w:pPr>
      <w:r>
        <w:rPr>
          <w:rFonts w:ascii="Arial" w:cs="Arial" w:eastAsia="Arial" w:hAnsi="Arial"/>
          <w:sz w:val="22"/>
          <w:szCs w:val="22"/>
          <w:i w:val="1"/>
          <w:iCs w:val="1"/>
          <w:color w:val="auto"/>
        </w:rPr>
        <w:t>Grant of Stock-Based Awards</w:t>
      </w:r>
      <w:r>
        <w:rPr>
          <w:rFonts w:ascii="Arial" w:cs="Arial" w:eastAsia="Arial" w:hAnsi="Arial"/>
          <w:sz w:val="22"/>
          <w:szCs w:val="22"/>
          <w:color w:val="auto"/>
        </w:rPr>
        <w:t>. A Stock-Based Award may be granted to any Eligible Person selected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A Stock-Based Award may be granted for past Services, in lieu of bonus or other cash compensation, as directors’ compensation or for any other valid purpose as determined by the Committee, and shall be based upon or calculated by reference to the Common Stock. The Committee shall determine the terms and conditions of such Awards, and such Awards may be made without vesting requirements. In addition, the Committee may, in connection with any Stock-Based Award, require the payment of a specified purchase price.</w:t>
      </w:r>
    </w:p>
    <w:p>
      <w:pPr>
        <w:spacing w:after="0" w:line="187" w:lineRule="exact"/>
        <w:rPr>
          <w:rFonts w:ascii="Arial" w:cs="Arial" w:eastAsia="Arial" w:hAnsi="Arial"/>
          <w:sz w:val="22"/>
          <w:szCs w:val="22"/>
          <w:color w:val="auto"/>
        </w:rPr>
      </w:pPr>
    </w:p>
    <w:p>
      <w:pPr>
        <w:ind w:right="100" w:firstLine="757"/>
        <w:spacing w:after="0" w:line="282" w:lineRule="auto"/>
        <w:tabs>
          <w:tab w:leader="none" w:pos="1498" w:val="left"/>
        </w:tabs>
        <w:numPr>
          <w:ilvl w:val="0"/>
          <w:numId w:val="84"/>
        </w:numPr>
        <w:rPr>
          <w:rFonts w:ascii="Arial" w:cs="Arial" w:eastAsia="Arial" w:hAnsi="Arial"/>
          <w:sz w:val="19"/>
          <w:szCs w:val="19"/>
          <w:color w:val="auto"/>
        </w:rPr>
      </w:pPr>
      <w:r>
        <w:rPr>
          <w:rFonts w:ascii="Arial" w:cs="Arial" w:eastAsia="Arial" w:hAnsi="Arial"/>
          <w:sz w:val="19"/>
          <w:szCs w:val="19"/>
          <w:i w:val="1"/>
          <w:iCs w:val="1"/>
          <w:color w:val="auto"/>
        </w:rPr>
        <w:t>Rights as Stockholder</w:t>
      </w:r>
      <w:r>
        <w:rPr>
          <w:rFonts w:ascii="Arial" w:cs="Arial" w:eastAsia="Arial" w:hAnsi="Arial"/>
          <w:sz w:val="19"/>
          <w:szCs w:val="19"/>
          <w:color w:val="auto"/>
        </w:rPr>
        <w:t>. The Participant shall not have any rights as a stockholder with respect to the shares of</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including the right to vote the shares and receive all dividends and other distributions paid or made with respect thereto, until such time as shares of Common Stock, if any, are issued to the Participant pursuant to the terms of the Award Agreement. If a Participant has the right to receive dividends paid with respect to the Stock-Based Award, such dividends shall be subject to the same vesting terms as the related Stock-Based Award, if applicable.</w:t>
      </w:r>
    </w:p>
    <w:p>
      <w:pPr>
        <w:spacing w:after="0" w:line="147" w:lineRule="exact"/>
        <w:rPr>
          <w:sz w:val="20"/>
          <w:szCs w:val="20"/>
          <w:color w:val="auto"/>
        </w:rPr>
      </w:pPr>
    </w:p>
    <w:p>
      <w:pPr>
        <w:ind w:left="1500" w:hanging="743"/>
        <w:spacing w:after="0"/>
        <w:tabs>
          <w:tab w:leader="none" w:pos="150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06" w:lineRule="exact"/>
        <w:rPr>
          <w:sz w:val="20"/>
          <w:szCs w:val="20"/>
          <w:color w:val="auto"/>
        </w:rPr>
      </w:pPr>
    </w:p>
    <w:p>
      <w:pPr>
        <w:ind w:firstLine="757"/>
        <w:spacing w:after="0" w:line="235" w:lineRule="auto"/>
        <w:tabs>
          <w:tab w:leader="none" w:pos="1498"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Effect on Awards</w:t>
      </w:r>
      <w:r>
        <w:rPr>
          <w:rFonts w:ascii="Arial" w:cs="Arial" w:eastAsia="Arial" w:hAnsi="Arial"/>
          <w:sz w:val="22"/>
          <w:szCs w:val="22"/>
          <w:color w:val="auto"/>
        </w:rPr>
        <w:t>. Upon the occurrence of a Change in Control, all outstanding Awards shall either be (a)</w:t>
      </w:r>
      <w:r>
        <w:rPr>
          <w:rFonts w:ascii="Arial" w:cs="Arial" w:eastAsia="Arial" w:hAnsi="Arial"/>
          <w:sz w:val="22"/>
          <w:szCs w:val="22"/>
          <w:i w:val="1"/>
          <w:iCs w:val="1"/>
          <w:color w:val="auto"/>
        </w:rPr>
        <w:t xml:space="preserve"> </w:t>
      </w:r>
      <w:r>
        <w:rPr>
          <w:rFonts w:ascii="Arial" w:cs="Arial" w:eastAsia="Arial" w:hAnsi="Arial"/>
          <w:sz w:val="22"/>
          <w:szCs w:val="22"/>
          <w:color w:val="auto"/>
        </w:rPr>
        <w:t>continued or assumed by the Company (if it is the surviving company or corporation) or by the surviving company or corporation or its parent (with such continuation or assumption including conversion into the right to receive securities, cash or a combination of both), or (b) substituted by the surviving company or corporation or its parent for awards (with such substitution including conversion into the right to receive securities, cash or a combination of both), with substantially similar terms for outstanding Awards (with appropriate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5" w:name="page126"/>
    <w:bookmarkEnd w:id="125"/>
    <w:p>
      <w:pPr>
        <w:ind w:right="20"/>
        <w:spacing w:after="0" w:line="287" w:lineRule="auto"/>
        <w:rPr>
          <w:sz w:val="20"/>
          <w:szCs w:val="20"/>
          <w:color w:val="auto"/>
        </w:rPr>
      </w:pPr>
      <w:r>
        <w:rPr>
          <w:rFonts w:ascii="Arial" w:cs="Arial" w:eastAsia="Arial" w:hAnsi="Arial"/>
          <w:sz w:val="19"/>
          <w:szCs w:val="19"/>
          <w:color w:val="auto"/>
        </w:rPr>
        <w:t>to the type of consideration payable upon settlement of the Awards or other relevant factors, and with any applicable performance conditions deemed achieved (i) for any completed performance period, based on actual performance, or (ii) for any partial or future performance period, at the greater of the target level or actual performance, in each case as determined by the Committee (with the Award remaining subject only to time vesting), unless otherwise provided in an Award Agreement).</w:t>
      </w:r>
    </w:p>
    <w:p>
      <w:pPr>
        <w:spacing w:after="0" w:line="143" w:lineRule="exact"/>
        <w:rPr>
          <w:sz w:val="20"/>
          <w:szCs w:val="20"/>
          <w:color w:val="auto"/>
        </w:rPr>
      </w:pPr>
    </w:p>
    <w:p>
      <w:pPr>
        <w:jc w:val="both"/>
        <w:ind w:firstLine="757"/>
        <w:spacing w:after="0" w:line="238" w:lineRule="auto"/>
        <w:tabs>
          <w:tab w:leader="none" w:pos="1498" w:val="left"/>
        </w:tabs>
        <w:numPr>
          <w:ilvl w:val="0"/>
          <w:numId w:val="87"/>
        </w:numPr>
        <w:rPr>
          <w:rFonts w:ascii="Arial" w:cs="Arial" w:eastAsia="Arial" w:hAnsi="Arial"/>
          <w:sz w:val="22"/>
          <w:szCs w:val="22"/>
          <w:color w:val="auto"/>
        </w:rPr>
      </w:pPr>
      <w:r>
        <w:rPr>
          <w:rFonts w:ascii="Arial" w:cs="Arial" w:eastAsia="Arial" w:hAnsi="Arial"/>
          <w:sz w:val="22"/>
          <w:szCs w:val="22"/>
          <w:i w:val="1"/>
          <w:iCs w:val="1"/>
          <w:color w:val="auto"/>
        </w:rPr>
        <w:t>Certain Adjustments</w:t>
      </w:r>
      <w:r>
        <w:rPr>
          <w:rFonts w:ascii="Arial" w:cs="Arial" w:eastAsia="Arial" w:hAnsi="Arial"/>
          <w:sz w:val="22"/>
          <w:szCs w:val="22"/>
          <w:color w:val="auto"/>
        </w:rPr>
        <w:t>. Notwithstanding Section 11.1, to the extent that outstanding Awards are not continued,</w:t>
      </w:r>
      <w:r>
        <w:rPr>
          <w:rFonts w:ascii="Arial" w:cs="Arial" w:eastAsia="Arial" w:hAnsi="Arial"/>
          <w:sz w:val="22"/>
          <w:szCs w:val="22"/>
          <w:i w:val="1"/>
          <w:iCs w:val="1"/>
          <w:color w:val="auto"/>
        </w:rPr>
        <w:t xml:space="preserve"> </w:t>
      </w:r>
      <w:r>
        <w:rPr>
          <w:rFonts w:ascii="Arial" w:cs="Arial" w:eastAsia="Arial" w:hAnsi="Arial"/>
          <w:sz w:val="22"/>
          <w:szCs w:val="22"/>
          <w:color w:val="auto"/>
        </w:rPr>
        <w:t>assumed or substituted pursuant to Section 11.1 upon the occurrence of a Change in Control, the Committee is authorized (but not obligated) to make adjustments in the terms and conditions of outstanding Awards, including without limitation the following (or any combination thereof):</w:t>
      </w:r>
    </w:p>
    <w:p>
      <w:pPr>
        <w:spacing w:after="0" w:line="185"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i. acceleration of exercisability, vesting and/or payment of outstanding Awards immediately prior to the occurrence of such event or upon or following such event;</w:t>
      </w:r>
    </w:p>
    <w:p>
      <w:pPr>
        <w:spacing w:after="0" w:line="175"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ii. upon written notice, providing that any outstanding Stock Options and Stock Appreciation Rights are exercisable during a period of time immediately prior to the scheduled consummation of the event or such other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143"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iii. cancellation of all or any portion of outstanding Awards for fair value (in the form of cash, Common Shares, other property or any combination thereof) as determined in the sole discretion of the Committee;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case of Stock Options and Stock Appreciation Rights or similar Awards, the fair value may equal the excess, if any, of the value or amount of the consideration to be paid in the Change in Control transaction to holders of shares of Common Stock (or, if no such consideration is paid, Fair Market Value of the shares of Common Stock) over the aggregate exercise or base price, as applicable, with respect to such Awards or portion thereof being canceled, or if there is no such excess, zero;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any payments or other consideration are deferred and/or contingent as a result of escrows, earn outs, holdbacks or any other contingencies, payments under this provision may be made on substantially the same terms and conditions applicable to, and only to the extent actually paid to, the holders of Common Shares in connection with the Change in Control.</w:t>
      </w:r>
    </w:p>
    <w:p>
      <w:pPr>
        <w:spacing w:after="0" w:line="181" w:lineRule="exact"/>
        <w:rPr>
          <w:sz w:val="20"/>
          <w:szCs w:val="20"/>
          <w:color w:val="auto"/>
        </w:rPr>
      </w:pPr>
    </w:p>
    <w:p>
      <w:pPr>
        <w:jc w:val="both"/>
        <w:ind w:firstLine="757"/>
        <w:spacing w:after="0" w:line="277" w:lineRule="auto"/>
        <w:tabs>
          <w:tab w:leader="none" w:pos="1498" w:val="left"/>
        </w:tabs>
        <w:numPr>
          <w:ilvl w:val="0"/>
          <w:numId w:val="88"/>
        </w:numPr>
        <w:rPr>
          <w:rFonts w:ascii="Arial" w:cs="Arial" w:eastAsia="Arial" w:hAnsi="Arial"/>
          <w:sz w:val="19"/>
          <w:szCs w:val="19"/>
          <w:color w:val="auto"/>
        </w:rPr>
      </w:pPr>
      <w:r>
        <w:rPr>
          <w:rFonts w:ascii="Arial" w:cs="Arial" w:eastAsia="Arial" w:hAnsi="Arial"/>
          <w:sz w:val="19"/>
          <w:szCs w:val="19"/>
          <w:i w:val="1"/>
          <w:iCs w:val="1"/>
          <w:color w:val="auto"/>
        </w:rPr>
        <w:t>Certain Terminations of Service</w:t>
      </w:r>
      <w:r>
        <w:rPr>
          <w:rFonts w:ascii="Arial" w:cs="Arial" w:eastAsia="Arial" w:hAnsi="Arial"/>
          <w:sz w:val="19"/>
          <w:szCs w:val="19"/>
          <w:color w:val="auto"/>
        </w:rPr>
        <w:t>. Notwithstanding the provisions of Section 11.1, if a Participant’s Service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and its Subsidiaries is terminated upon or within twenty four (24) months following a Change in Control by the Company without Cause or upon such other circumstances as determined by the Committee, the unvested portion (if any) of all outstanding Awards held by the Participant shall immediately vest (and, to the extent applicable, become exercisable) and be paid in full upon such termination, with any applicable performance conditions deemed achieved (i) for any completed performance period, based on actual performance, or (ii) for any partial or future performance period, at the greater of the target level or actual performance, in each case as determined by the Committee, unless otherwise provided in an Award Agreement.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ind w:right="140" w:firstLine="757"/>
        <w:spacing w:after="0" w:line="251" w:lineRule="auto"/>
        <w:tabs>
          <w:tab w:leader="none" w:pos="1498" w:val="left"/>
        </w:tabs>
        <w:numPr>
          <w:ilvl w:val="0"/>
          <w:numId w:val="89"/>
        </w:numPr>
        <w:rPr>
          <w:rFonts w:ascii="Arial" w:cs="Arial" w:eastAsia="Arial" w:hAnsi="Arial"/>
          <w:sz w:val="22"/>
          <w:szCs w:val="22"/>
          <w:color w:val="auto"/>
        </w:rPr>
      </w:pPr>
      <w:r>
        <w:rPr>
          <w:rFonts w:ascii="Arial" w:cs="Arial" w:eastAsia="Arial" w:hAnsi="Arial"/>
          <w:sz w:val="22"/>
          <w:szCs w:val="22"/>
          <w:i w:val="1"/>
          <w:iCs w:val="1"/>
          <w:color w:val="auto"/>
        </w:rPr>
        <w:t xml:space="preserve">Definition of Change in Control. </w:t>
      </w:r>
      <w:r>
        <w:rPr>
          <w:rFonts w:ascii="Arial" w:cs="Arial" w:eastAsia="Arial" w:hAnsi="Arial"/>
          <w:sz w:val="22"/>
          <w:szCs w:val="22"/>
          <w:color w:val="auto"/>
        </w:rPr>
        <w:t>Unless otherwise defined in an Award Agreement or other written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approved by the Committee, “Change in Control” means, and shall occur, if:</w:t>
      </w:r>
    </w:p>
    <w:p>
      <w:pPr>
        <w:spacing w:after="0" w:line="173" w:lineRule="exact"/>
        <w:rPr>
          <w:sz w:val="20"/>
          <w:szCs w:val="20"/>
          <w:color w:val="auto"/>
        </w:rPr>
      </w:pPr>
    </w:p>
    <w:p>
      <w:pPr>
        <w:ind w:right="40" w:firstLine="1497"/>
        <w:spacing w:after="0" w:line="249" w:lineRule="auto"/>
        <w:rPr>
          <w:sz w:val="20"/>
          <w:szCs w:val="20"/>
          <w:color w:val="auto"/>
        </w:rPr>
      </w:pPr>
      <w:r>
        <w:rPr>
          <w:rFonts w:ascii="Arial" w:cs="Arial" w:eastAsia="Arial" w:hAnsi="Arial"/>
          <w:sz w:val="21"/>
          <w:szCs w:val="21"/>
          <w:color w:val="auto"/>
        </w:rPr>
        <w:t>i. 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is or becomes the “beneficial owner” (as defined in Rule 13d-3 under the Exchange Act), directly or indirectly, of securities of the Company representing more than 50% of the combined voting power of the Company’s then outstanding securities;</w:t>
      </w:r>
    </w:p>
    <w:p>
      <w:pPr>
        <w:spacing w:after="0" w:line="178" w:lineRule="exact"/>
        <w:rPr>
          <w:sz w:val="20"/>
          <w:szCs w:val="20"/>
          <w:color w:val="auto"/>
        </w:rPr>
      </w:pPr>
    </w:p>
    <w:p>
      <w:pPr>
        <w:ind w:right="40" w:firstLine="1497"/>
        <w:spacing w:after="0" w:line="275" w:lineRule="auto"/>
        <w:rPr>
          <w:sz w:val="20"/>
          <w:szCs w:val="20"/>
          <w:color w:val="auto"/>
        </w:rPr>
      </w:pPr>
      <w:r>
        <w:rPr>
          <w:rFonts w:ascii="Arial" w:cs="Arial" w:eastAsia="Arial" w:hAnsi="Arial"/>
          <w:sz w:val="19"/>
          <w:szCs w:val="19"/>
          <w:color w:val="auto"/>
        </w:rPr>
        <w:t>ii. during any period of two consecutive years (the “</w:t>
      </w:r>
      <w:r>
        <w:rPr>
          <w:rFonts w:ascii="Arial" w:cs="Arial" w:eastAsia="Arial" w:hAnsi="Arial"/>
          <w:sz w:val="19"/>
          <w:szCs w:val="19"/>
          <w:i w:val="1"/>
          <w:iCs w:val="1"/>
          <w:color w:val="auto"/>
        </w:rPr>
        <w:t>Board Measurement Period</w:t>
      </w:r>
      <w:r>
        <w:rPr>
          <w:rFonts w:ascii="Arial" w:cs="Arial" w:eastAsia="Arial" w:hAnsi="Arial"/>
          <w:sz w:val="19"/>
          <w:szCs w:val="19"/>
          <w:color w:val="auto"/>
        </w:rPr>
        <w:t>”) individuals who at the beginning of such period constitute the Board and any new director (other than a director designated by a Person who has entered into an agreement with the Company to effect a transaction described in paragraph (a), (c), or (d) of this section, or a director initially elected or nominated as a result of an actual or threatened election contest with respect to directors or as a result of any other actual or threatened solicitation of proxies by or on behalf of any Person other than the Board)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157" w:lineRule="exact"/>
        <w:rPr>
          <w:sz w:val="20"/>
          <w:szCs w:val="20"/>
          <w:color w:val="auto"/>
        </w:rPr>
      </w:pPr>
    </w:p>
    <w:p>
      <w:pPr>
        <w:ind w:firstLine="1497"/>
        <w:spacing w:after="0" w:line="234" w:lineRule="auto"/>
        <w:rPr>
          <w:sz w:val="20"/>
          <w:szCs w:val="20"/>
          <w:color w:val="auto"/>
        </w:rPr>
      </w:pPr>
      <w:r>
        <w:rPr>
          <w:rFonts w:ascii="Arial" w:cs="Arial" w:eastAsia="Arial" w:hAnsi="Arial"/>
          <w:sz w:val="22"/>
          <w:szCs w:val="22"/>
          <w:color w:val="auto"/>
        </w:rPr>
        <w:t>iii.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provided, however, that a merger or consolidation effected to implement a recapitalization of the Company (or similar transaction) in which no Person (other than those covered by the exceptions in (i) above) acquires more than 50% of the combined voting power of the Company’s then outstanding securities shall not constitute a Change in Control of the Company; or</w:t>
      </w:r>
    </w:p>
    <w:p>
      <w:pPr>
        <w:spacing w:after="0" w:line="187" w:lineRule="exact"/>
        <w:rPr>
          <w:sz w:val="20"/>
          <w:szCs w:val="20"/>
          <w:color w:val="auto"/>
        </w:rPr>
      </w:pPr>
    </w:p>
    <w:p>
      <w:pPr>
        <w:ind w:firstLine="1497"/>
        <w:spacing w:after="0" w:line="249" w:lineRule="auto"/>
        <w:rPr>
          <w:sz w:val="20"/>
          <w:szCs w:val="20"/>
          <w:color w:val="auto"/>
        </w:rPr>
      </w:pPr>
      <w:r>
        <w:rPr>
          <w:rFonts w:ascii="Arial" w:cs="Arial" w:eastAsia="Arial" w:hAnsi="Arial"/>
          <w:sz w:val="21"/>
          <w:szCs w:val="21"/>
          <w:color w:val="auto"/>
        </w:rPr>
        <w:t>iv. the stockholders of the Company approve the consummation of the sale or disposition by the Company of all or substantially all of the Company’s assets other than (i)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(ii) pursuant to a spinoff type transaction, directly or indirectly, of such assets to the stockholders of the Company.</w:t>
      </w:r>
    </w:p>
    <w:p>
      <w:pPr>
        <w:spacing w:after="0" w:line="178"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7" w:name="page128"/>
    <w:bookmarkEnd w:id="127"/>
    <w:p>
      <w:pPr>
        <w:ind w:left="1500" w:hanging="743"/>
        <w:spacing w:after="0"/>
        <w:tabs>
          <w:tab w:leader="none" w:pos="150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Forfeiture Events</w:t>
      </w:r>
      <w:r>
        <w:rPr>
          <w:rFonts w:ascii="Arial" w:cs="Arial" w:eastAsia="Arial" w:hAnsi="Arial"/>
          <w:sz w:val="22"/>
          <w:szCs w:val="22"/>
          <w:color w:val="auto"/>
        </w:rPr>
        <w:t>.</w:t>
      </w:r>
    </w:p>
    <w:p>
      <w:pPr>
        <w:spacing w:after="0" w:line="206" w:lineRule="exact"/>
        <w:rPr>
          <w:sz w:val="20"/>
          <w:szCs w:val="20"/>
          <w:color w:val="auto"/>
        </w:rPr>
      </w:pPr>
    </w:p>
    <w:p>
      <w:pPr>
        <w:ind w:right="60" w:firstLine="757"/>
        <w:spacing w:after="0" w:line="246" w:lineRule="auto"/>
        <w:tabs>
          <w:tab w:leader="none" w:pos="1498" w:val="left"/>
        </w:tabs>
        <w:numPr>
          <w:ilvl w:val="0"/>
          <w:numId w:val="91"/>
        </w:numPr>
        <w:rPr>
          <w:rFonts w:ascii="Arial" w:cs="Arial" w:eastAsia="Arial" w:hAnsi="Arial"/>
          <w:sz w:val="21"/>
          <w:szCs w:val="21"/>
          <w:color w:val="auto"/>
        </w:rPr>
      </w:pPr>
      <w:r>
        <w:rPr>
          <w:rFonts w:ascii="Arial" w:cs="Arial" w:eastAsia="Arial" w:hAnsi="Arial"/>
          <w:sz w:val="21"/>
          <w:szCs w:val="21"/>
          <w:i w:val="1"/>
          <w:iCs w:val="1"/>
          <w:color w:val="auto"/>
        </w:rPr>
        <w:t>General</w:t>
      </w:r>
      <w:r>
        <w:rPr>
          <w:rFonts w:ascii="Arial" w:cs="Arial" w:eastAsia="Arial" w:hAnsi="Arial"/>
          <w:sz w:val="21"/>
          <w:szCs w:val="21"/>
          <w:color w:val="auto"/>
        </w:rPr>
        <w:t>. The Committee may specify in an Award Agreement that the Participant’s rights, payments and</w:t>
      </w:r>
      <w:r>
        <w:rPr>
          <w:rFonts w:ascii="Arial" w:cs="Arial" w:eastAsia="Arial" w:hAnsi="Arial"/>
          <w:sz w:val="21"/>
          <w:szCs w:val="21"/>
          <w:i w:val="1"/>
          <w:iCs w:val="1"/>
          <w:color w:val="auto"/>
        </w:rPr>
        <w:t xml:space="preserve"> </w:t>
      </w:r>
      <w:r>
        <w:rPr>
          <w:rFonts w:ascii="Arial" w:cs="Arial" w:eastAsia="Arial" w:hAnsi="Arial"/>
          <w:sz w:val="21"/>
          <w:szCs w:val="21"/>
          <w:color w:val="auto"/>
        </w:rPr>
        <w:t>benefits with respect to an Award are subject to reduction, cancellation, forfeiture or recoupment upon the occurrence of certain specified events, in addition to any otherwise applicable vesting or performance conditions of an Award. Such events may include, without limitation, termination of Service for Cause, violation of laws, regulations or material Company policies, breach of noncompetition, non-solicitation, confidentiality or other restrictive covenants that may apply to the Participant, application of a Company clawback policy relating to financial restatement, or other conduct by the Participant that is detrimental to the business or reputation of the Company.</w:t>
      </w:r>
    </w:p>
    <w:p>
      <w:pPr>
        <w:spacing w:after="0" w:line="184" w:lineRule="exact"/>
        <w:rPr>
          <w:rFonts w:ascii="Arial" w:cs="Arial" w:eastAsia="Arial" w:hAnsi="Arial"/>
          <w:sz w:val="21"/>
          <w:szCs w:val="21"/>
          <w:color w:val="auto"/>
        </w:rPr>
      </w:pPr>
    </w:p>
    <w:p>
      <w:pPr>
        <w:ind w:left="1500" w:hanging="743"/>
        <w:spacing w:after="0"/>
        <w:tabs>
          <w:tab w:leader="none" w:pos="1500" w:val="left"/>
        </w:tabs>
        <w:numPr>
          <w:ilvl w:val="0"/>
          <w:numId w:val="91"/>
        </w:numPr>
        <w:rPr>
          <w:rFonts w:ascii="Arial" w:cs="Arial" w:eastAsia="Arial" w:hAnsi="Arial"/>
          <w:sz w:val="22"/>
          <w:szCs w:val="22"/>
          <w:color w:val="auto"/>
        </w:rPr>
      </w:pPr>
      <w:r>
        <w:rPr>
          <w:rFonts w:ascii="Arial" w:cs="Arial" w:eastAsia="Arial" w:hAnsi="Arial"/>
          <w:sz w:val="22"/>
          <w:szCs w:val="22"/>
          <w:i w:val="1"/>
          <w:iCs w:val="1"/>
          <w:color w:val="auto"/>
        </w:rPr>
        <w:t>Termination for Cause</w:t>
      </w:r>
      <w:r>
        <w:rPr>
          <w:rFonts w:ascii="Arial" w:cs="Arial" w:eastAsia="Arial" w:hAnsi="Arial"/>
          <w:sz w:val="22"/>
          <w:szCs w:val="22"/>
          <w:color w:val="auto"/>
        </w:rPr>
        <w:t>.</w:t>
      </w:r>
    </w:p>
    <w:p>
      <w:pPr>
        <w:spacing w:after="0" w:line="206" w:lineRule="exact"/>
        <w:rPr>
          <w:sz w:val="20"/>
          <w:szCs w:val="20"/>
          <w:color w:val="auto"/>
        </w:rPr>
      </w:pPr>
    </w:p>
    <w:p>
      <w:pPr>
        <w:ind w:right="80" w:firstLine="1497"/>
        <w:spacing w:after="0" w:line="271"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i w:val="1"/>
          <w:iCs w:val="1"/>
          <w:color w:val="auto"/>
        </w:rPr>
        <w:t>Treatment of Awards</w:t>
      </w:r>
      <w:r>
        <w:rPr>
          <w:rFonts w:ascii="Arial" w:cs="Arial" w:eastAsia="Arial" w:hAnsi="Arial"/>
          <w:sz w:val="19"/>
          <w:szCs w:val="19"/>
          <w:color w:val="auto"/>
        </w:rPr>
        <w:t>. Unless otherwise provided by the Committee and set forth in an Award Agreement, if (i) a Participant’s Service with the Company or any Subsidiary shall be terminated for Cause or (ii) after termination of Service for any other reason, the Committee determines in its discretion either that, (1) during the Participant’s period of Service, the Participant engaged in an act or omission which would have warranted termination of Service for Cause or</w:t>
      </w:r>
    </w:p>
    <w:p>
      <w:pPr>
        <w:spacing w:after="0" w:line="3" w:lineRule="exact"/>
        <w:rPr>
          <w:sz w:val="20"/>
          <w:szCs w:val="20"/>
          <w:color w:val="auto"/>
        </w:rPr>
      </w:pPr>
    </w:p>
    <w:p>
      <w:pPr>
        <w:ind w:firstLine="8"/>
        <w:spacing w:after="0" w:line="270" w:lineRule="auto"/>
        <w:tabs>
          <w:tab w:leader="none" w:pos="306" w:val="left"/>
        </w:tabs>
        <w:numPr>
          <w:ilvl w:val="0"/>
          <w:numId w:val="92"/>
        </w:numPr>
        <w:rPr>
          <w:rFonts w:ascii="Arial" w:cs="Arial" w:eastAsia="Arial" w:hAnsi="Arial"/>
          <w:sz w:val="19"/>
          <w:szCs w:val="19"/>
          <w:color w:val="auto"/>
        </w:rPr>
      </w:pPr>
      <w:r>
        <w:rPr>
          <w:rFonts w:ascii="Arial" w:cs="Arial" w:eastAsia="Arial" w:hAnsi="Arial"/>
          <w:sz w:val="19"/>
          <w:szCs w:val="19"/>
          <w:color w:val="auto"/>
        </w:rPr>
        <w:t>after termination, the Participant engages in conduct that violates any continuing obligation or duty of the Participant in respect of the Company or any Subsidiary, such Participant’s rights, payments and benefits with respect to an Award shall be subject to cancellation, forfeiture and/or recoupment, as provided in Section 12.3 below. The Company shall have the power to determine whether the Participant has been terminated for Cause, the date upon which such termination for Cause occurs, whether the Participant engaged in an act or omission which would have warranted termination of Service for Cause or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 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Section 12.2.</w:t>
      </w:r>
    </w:p>
    <w:p>
      <w:pPr>
        <w:spacing w:after="0" w:line="164"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i w:val="1"/>
          <w:iCs w:val="1"/>
          <w:color w:val="auto"/>
        </w:rPr>
        <w:t>Definition of Cause</w:t>
      </w:r>
      <w:r>
        <w:rPr>
          <w:rFonts w:ascii="Arial" w:cs="Arial" w:eastAsia="Arial" w:hAnsi="Arial"/>
          <w:sz w:val="19"/>
          <w:szCs w:val="19"/>
          <w:color w:val="auto"/>
        </w:rPr>
        <w:t>. “</w:t>
      </w:r>
      <w:r>
        <w:rPr>
          <w:rFonts w:ascii="Arial" w:cs="Arial" w:eastAsia="Arial" w:hAnsi="Arial"/>
          <w:sz w:val="19"/>
          <w:szCs w:val="19"/>
          <w:i w:val="1"/>
          <w:iCs w:val="1"/>
          <w:color w:val="auto"/>
        </w:rPr>
        <w:t>Cause</w:t>
      </w:r>
      <w:r>
        <w:rPr>
          <w:rFonts w:ascii="Arial" w:cs="Arial" w:eastAsia="Arial" w:hAnsi="Arial"/>
          <w:sz w:val="19"/>
          <w:szCs w:val="19"/>
          <w:color w:val="auto"/>
        </w:rPr>
        <w:t>” means with respect to a Participant’s termination of Service, the</w:t>
      </w:r>
    </w:p>
    <w:p>
      <w:pPr>
        <w:spacing w:after="0" w:line="43"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following: (a) in the case where there is 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continues after receipt of written notice from the Company and a 10-day opportunity to cure; (2) gross misconduct or gross negligence in the performance of Participant’s duties; (3) fraud, embezzlement, theft, or any other act of material dishonesty or misconduct; (4)</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28" w:name="page129"/>
    <w:bookmarkEnd w:id="128"/>
    <w:p>
      <w:pPr>
        <w:spacing w:after="0" w:line="273" w:lineRule="auto"/>
        <w:rPr>
          <w:sz w:val="20"/>
          <w:szCs w:val="20"/>
          <w:color w:val="auto"/>
        </w:rPr>
      </w:pPr>
      <w:r>
        <w:rPr>
          <w:rFonts w:ascii="Arial" w:cs="Arial" w:eastAsia="Arial" w:hAnsi="Arial"/>
          <w:sz w:val="19"/>
          <w:szCs w:val="19"/>
          <w:color w:val="auto"/>
        </w:rPr>
        <w:t>conviction of, indictment for, or plea of guilty or nolo contendere to, a felony or any crime involving moral turpitude; (5) material breach or violation of any agreement with the Company or its Affiliates, any restrictive covenant applicable to Participant,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 cause for removal of a director under applicable law. Any voluntary termination of Service by the Participant in anticipation of an involuntary termination of the Participant’s Service for Cause shall be deemed to be a termination for Cause.</w:t>
      </w:r>
    </w:p>
    <w:p>
      <w:pPr>
        <w:spacing w:after="0" w:line="161" w:lineRule="exact"/>
        <w:rPr>
          <w:sz w:val="20"/>
          <w:szCs w:val="20"/>
          <w:color w:val="auto"/>
        </w:rPr>
      </w:pPr>
    </w:p>
    <w:p>
      <w:pPr>
        <w:ind w:left="1500" w:hanging="743"/>
        <w:spacing w:after="0"/>
        <w:tabs>
          <w:tab w:leader="none" w:pos="1500"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Right of Recapture</w:t>
      </w:r>
      <w:r>
        <w:rPr>
          <w:rFonts w:ascii="Arial" w:cs="Arial" w:eastAsia="Arial" w:hAnsi="Arial"/>
          <w:sz w:val="22"/>
          <w:szCs w:val="22"/>
          <w:color w:val="auto"/>
        </w:rPr>
        <w:t>.</w:t>
      </w:r>
    </w:p>
    <w:p>
      <w:pPr>
        <w:spacing w:after="0" w:line="206" w:lineRule="exact"/>
        <w:rPr>
          <w:sz w:val="20"/>
          <w:szCs w:val="20"/>
          <w:color w:val="auto"/>
        </w:rPr>
      </w:pPr>
    </w:p>
    <w:p>
      <w:pPr>
        <w:ind w:right="40" w:firstLine="1497"/>
        <w:spacing w:after="0" w:line="270" w:lineRule="auto"/>
        <w:rPr>
          <w:sz w:val="20"/>
          <w:szCs w:val="20"/>
          <w:color w:val="auto"/>
        </w:rPr>
      </w:pPr>
      <w:r>
        <w:rPr>
          <w:rFonts w:ascii="Arial" w:cs="Arial" w:eastAsia="Arial" w:hAnsi="Arial"/>
          <w:sz w:val="19"/>
          <w:szCs w:val="19"/>
          <w:color w:val="auto"/>
        </w:rPr>
        <w:t xml:space="preserve">i. </w:t>
      </w:r>
      <w:r>
        <w:rPr>
          <w:rFonts w:ascii="Arial" w:cs="Arial" w:eastAsia="Arial" w:hAnsi="Arial"/>
          <w:sz w:val="19"/>
          <w:szCs w:val="19"/>
          <w:i w:val="1"/>
          <w:iCs w:val="1"/>
          <w:color w:val="auto"/>
        </w:rPr>
        <w:t>General</w:t>
      </w:r>
      <w:r>
        <w:rPr>
          <w:rFonts w:ascii="Arial" w:cs="Arial" w:eastAsia="Arial" w:hAnsi="Arial"/>
          <w:sz w:val="19"/>
          <w:szCs w:val="19"/>
          <w:color w:val="auto"/>
        </w:rPr>
        <w:t>. If at any time within one year (or such longer time specified in an Award Agreement or other agreement with a Participant or policy applicable to the Participant) after the date on which a Participant exercises a Stock Option or Stock Appreciation Right or on which a Stock-Based Award, Restricted Stock Award or Restricted Stock Unit vests, is settled in shares or otherwise becomes payable, or on which income otherwise is realized or property is received by a Participant in connection with an Award, (i) a Participant’s Service is terminated for Cause, (ii) the Committee determines in its discretion that the Participant is subject to any recoupment of benefits pursuant to the Company’s compensation recovery, “clawback” or similar policy, as may be in effect from time to time, or (iii) after a Participant’s Service terminates for any other reason, the Committee determines in its discretion either that, (1) during the Participant’s period of Service, the Participant engaged in an act or omission which would have warranted termination of the Participant’s Service for Cause or (2) after a Participant’s termination of Service, the Participant engaged in conduct that violated any continuing obligation or duty of the Participant in respect of the Company or any Subsidiary, then, at the sole discretion of the Committee, any gain realized by the Participant from the exercise, vesting, payment, settlement or other realization of income or receipt of property by the Participant in connection with an Award, shall be repaid by the Participant to the Company upon notice from the Company, subject to applicable law. Such gain shall be determined as of the date or dates on which the gain is realized by the Participant, without regard to any subsequent change in the Fair Market Value of a share of Common Stock. To the extent not otherwise prohibited by law, the Company shall have the right to offset the amount of such repayment obligation against any amounts otherwise owed to the Participant by the Company (whether as wages, vacation pay or pursuant to any benefit plan or other compensatory arrangement).</w:t>
      </w:r>
    </w:p>
    <w:p>
      <w:pPr>
        <w:spacing w:after="0" w:line="200" w:lineRule="exact"/>
        <w:rPr>
          <w:sz w:val="20"/>
          <w:szCs w:val="20"/>
          <w:color w:val="auto"/>
        </w:rPr>
      </w:pPr>
    </w:p>
    <w:p>
      <w:pPr>
        <w:spacing w:after="0" w:line="211" w:lineRule="exact"/>
        <w:rPr>
          <w:sz w:val="20"/>
          <w:szCs w:val="20"/>
          <w:color w:val="auto"/>
        </w:rPr>
      </w:pPr>
    </w:p>
    <w:p>
      <w:pPr>
        <w:ind w:right="20" w:firstLine="1497"/>
        <w:spacing w:after="0" w:line="287" w:lineRule="auto"/>
        <w:rPr>
          <w:sz w:val="20"/>
          <w:szCs w:val="20"/>
          <w:color w:val="auto"/>
        </w:rPr>
      </w:pPr>
      <w:r>
        <w:rPr>
          <w:rFonts w:ascii="Arial" w:cs="Arial" w:eastAsia="Arial" w:hAnsi="Arial"/>
          <w:sz w:val="19"/>
          <w:szCs w:val="19"/>
          <w:color w:val="auto"/>
        </w:rPr>
        <w:t xml:space="preserve">ii. </w:t>
      </w:r>
      <w:r>
        <w:rPr>
          <w:rFonts w:ascii="Arial" w:cs="Arial" w:eastAsia="Arial" w:hAnsi="Arial"/>
          <w:sz w:val="19"/>
          <w:szCs w:val="19"/>
          <w:i w:val="1"/>
          <w:iCs w:val="1"/>
          <w:color w:val="auto"/>
        </w:rPr>
        <w:t>Accounting Restatement</w:t>
      </w:r>
      <w:r>
        <w:rPr>
          <w:rFonts w:ascii="Arial" w:cs="Arial" w:eastAsia="Arial" w:hAnsi="Arial"/>
          <w:sz w:val="19"/>
          <w:szCs w:val="19"/>
          <w:color w:val="auto"/>
        </w:rPr>
        <w:t>. If a Participant receives compensation pursuant to an Award under the Plan based on financial statements that are subsequently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9" w:name="page130"/>
    <w:bookmarkEnd w:id="129"/>
    <w:p>
      <w:pPr>
        <w:ind w:right="40"/>
        <w:spacing w:after="0" w:line="246" w:lineRule="auto"/>
        <w:rPr>
          <w:sz w:val="20"/>
          <w:szCs w:val="20"/>
          <w:color w:val="auto"/>
        </w:rPr>
      </w:pPr>
      <w:r>
        <w:rPr>
          <w:rFonts w:ascii="Arial" w:cs="Arial" w:eastAsia="Arial" w:hAnsi="Arial"/>
          <w:sz w:val="21"/>
          <w:szCs w:val="21"/>
          <w:color w:val="auto"/>
        </w:rPr>
        <w:t>received based on the accounting restatement, in accordance with (i) any compensation recovery, “clawback” or similar policy, as may be in effect from time to time to which such Participant is subject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(the “</w:t>
      </w:r>
      <w:r>
        <w:rPr>
          <w:rFonts w:ascii="Arial" w:cs="Arial" w:eastAsia="Arial" w:hAnsi="Arial"/>
          <w:sz w:val="21"/>
          <w:szCs w:val="21"/>
          <w:i w:val="1"/>
          <w:iCs w:val="1"/>
          <w:color w:val="auto"/>
        </w:rPr>
        <w:t>Policy</w:t>
      </w:r>
      <w:r>
        <w:rPr>
          <w:rFonts w:ascii="Arial" w:cs="Arial" w:eastAsia="Arial" w:hAnsi="Arial"/>
          <w:sz w:val="21"/>
          <w:szCs w:val="21"/>
          <w:color w:val="auto"/>
        </w:rPr>
        <w:t>”). By accepting an Award hereunder, the Participant acknowledges and agrees that the Policy, whenever adopted, shall apply to such Award, and all incentive-based compensation payable pursuant to such Award shall be subject to forfeiture and repayment pursuant to the terms of the Policy.</w:t>
      </w:r>
    </w:p>
    <w:p>
      <w:pPr>
        <w:spacing w:after="0" w:line="180" w:lineRule="exact"/>
        <w:rPr>
          <w:sz w:val="20"/>
          <w:szCs w:val="20"/>
          <w:color w:val="auto"/>
        </w:rPr>
      </w:pPr>
    </w:p>
    <w:p>
      <w:pPr>
        <w:ind w:right="80" w:firstLine="757"/>
        <w:spacing w:after="0" w:line="248" w:lineRule="auto"/>
        <w:tabs>
          <w:tab w:leader="none" w:pos="1498"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Transfer, Leave of Absence, Etc</w:t>
      </w:r>
      <w:r>
        <w:rPr>
          <w:rFonts w:ascii="Arial" w:cs="Arial" w:eastAsia="Arial" w:hAnsi="Arial"/>
          <w:sz w:val="21"/>
          <w:szCs w:val="21"/>
          <w:color w:val="auto"/>
        </w:rPr>
        <w:t>. For purposes of the Plan, except as otherwise determined by the Committee, the following events shall not be deemed a termination of Service: (a) a transfer to the service of the Company from a Subsidiary or from the Company to a Subsidiary, or from one Subsidiary to another; or (b) an approved leave of absence for military service or sickness, a leave of absence where the employee’s right to re-employment is protected either by a statute or by contract or under the policy pursuant to which the leave of absence was granted, a leave of absence for any other purpose approved by the Company or if the Committee otherwise so provides in writing.</w:t>
      </w:r>
    </w:p>
    <w:p>
      <w:pPr>
        <w:spacing w:after="0" w:line="176" w:lineRule="exact"/>
        <w:rPr>
          <w:rFonts w:ascii="Arial" w:cs="Arial" w:eastAsia="Arial" w:hAnsi="Arial"/>
          <w:sz w:val="21"/>
          <w:szCs w:val="21"/>
          <w:color w:val="auto"/>
        </w:rPr>
      </w:pPr>
    </w:p>
    <w:p>
      <w:pPr>
        <w:ind w:left="1500" w:hanging="743"/>
        <w:spacing w:after="0"/>
        <w:tabs>
          <w:tab w:leader="none" w:pos="15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206" w:lineRule="exact"/>
        <w:rPr>
          <w:sz w:val="20"/>
          <w:szCs w:val="20"/>
          <w:color w:val="auto"/>
        </w:rPr>
      </w:pPr>
    </w:p>
    <w:p>
      <w:pPr>
        <w:ind w:right="940" w:firstLine="757"/>
        <w:spacing w:after="0" w:line="328" w:lineRule="auto"/>
        <w:tabs>
          <w:tab w:leader="none" w:pos="1498"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Status of Plan</w:t>
      </w:r>
      <w:r>
        <w:rPr>
          <w:rFonts w:ascii="Arial" w:cs="Arial" w:eastAsia="Arial" w:hAnsi="Arial"/>
          <w:sz w:val="19"/>
          <w:szCs w:val="19"/>
          <w:color w:val="auto"/>
        </w:rPr>
        <w:t>. The Committee may authorize the creation of trusts or other arrangements to meet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obligations to deliver shares of Common Stock or make payments with respect to Awards.</w:t>
      </w:r>
    </w:p>
    <w:p>
      <w:pPr>
        <w:spacing w:after="0" w:line="104" w:lineRule="exact"/>
        <w:rPr>
          <w:rFonts w:ascii="Arial" w:cs="Arial" w:eastAsia="Arial" w:hAnsi="Arial"/>
          <w:sz w:val="19"/>
          <w:szCs w:val="19"/>
          <w:color w:val="auto"/>
        </w:rPr>
      </w:pPr>
    </w:p>
    <w:p>
      <w:pPr>
        <w:ind w:firstLine="757"/>
        <w:spacing w:after="0" w:line="271" w:lineRule="auto"/>
        <w:tabs>
          <w:tab w:leader="none" w:pos="1498"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Award Agreement</w:t>
      </w:r>
      <w:r>
        <w:rPr>
          <w:rFonts w:ascii="Arial" w:cs="Arial" w:eastAsia="Arial" w:hAnsi="Arial"/>
          <w:sz w:val="19"/>
          <w:szCs w:val="19"/>
          <w:color w:val="auto"/>
        </w:rPr>
        <w:t>. An Award under the Plan shall be evidenced by an Award Agreement in a written or</w:t>
      </w:r>
      <w:r>
        <w:rPr>
          <w:rFonts w:ascii="Arial" w:cs="Arial" w:eastAsia="Arial" w:hAnsi="Arial"/>
          <w:sz w:val="19"/>
          <w:szCs w:val="19"/>
          <w:i w:val="1"/>
          <w:iCs w:val="1"/>
          <w:color w:val="auto"/>
        </w:rPr>
        <w:t xml:space="preserve"> </w:t>
      </w:r>
      <w:r>
        <w:rPr>
          <w:rFonts w:ascii="Arial" w:cs="Arial" w:eastAsia="Arial" w:hAnsi="Arial"/>
          <w:sz w:val="19"/>
          <w:szCs w:val="19"/>
          <w:color w:val="auto"/>
        </w:rPr>
        <w:t>electronic form approved by the Committee setting forth the number of shares of Common Stock or other amounts or securities subject to the Award, the exercise price, base price or purchase price of the Award, the time or times at which an Award will become vested, exercisable or payable and the term of the Award. The Award Agreement also may set forth the effect on an Award of a Change in Control and/or a termination of Service under certain circumstances. The Award Agreement shall be subject to and incorporate, by reference or otherwise, all of the applicable terms and conditions of the Plan, and also may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ind w:firstLine="757"/>
        <w:spacing w:after="0" w:line="270" w:lineRule="auto"/>
        <w:tabs>
          <w:tab w:leader="none" w:pos="1498"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No Assignment or Transfer; Beneficiaries</w:t>
      </w:r>
      <w:r>
        <w:rPr>
          <w:rFonts w:ascii="Arial" w:cs="Arial" w:eastAsia="Arial" w:hAnsi="Arial"/>
          <w:sz w:val="19"/>
          <w:szCs w:val="19"/>
          <w:color w:val="auto"/>
        </w:rPr>
        <w:t>. Except as provided in Section 6.6 hereof or as otherwise provided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Committee to the extent not prohibited under Section A.1.(5) of the general instructions of Form S-8, as may be amended from time to time,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an outstanding Award may be exercised by or shall become payable to the Participant’s beneficiary as determined under the Company 401(k) retirement plan or other applicable retirement or pension plan.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 Committee) with the Company during the Participant’s lifetime. In the absence of a valid designation as provided above, if no validly designated beneficiary survives the Participant or if each surviving validly designated beneficiary is legally impaired or 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 Any transfer permitted under this Section 14.3 shall be for no consideration.</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right="20" w:firstLine="757"/>
        <w:spacing w:after="0" w:line="287" w:lineRule="auto"/>
        <w:tabs>
          <w:tab w:leader="none" w:pos="1498"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No Right to Employment or Continued Service</w:t>
      </w:r>
      <w:r>
        <w:rPr>
          <w:rFonts w:ascii="Arial" w:cs="Arial" w:eastAsia="Arial" w:hAnsi="Arial"/>
          <w:sz w:val="19"/>
          <w:szCs w:val="19"/>
          <w:color w:val="auto"/>
        </w:rPr>
        <w:t>. Nothing in the Plan, in the grant of any Award or in any Award</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or no reason at any time.</w:t>
      </w:r>
    </w:p>
    <w:p>
      <w:pPr>
        <w:spacing w:after="0" w:line="142" w:lineRule="exact"/>
        <w:rPr>
          <w:rFonts w:ascii="Arial" w:cs="Arial" w:eastAsia="Arial" w:hAnsi="Arial"/>
          <w:sz w:val="19"/>
          <w:szCs w:val="19"/>
          <w:color w:val="auto"/>
        </w:rPr>
      </w:pPr>
    </w:p>
    <w:p>
      <w:pPr>
        <w:ind w:right="20" w:firstLine="757"/>
        <w:spacing w:after="0" w:line="274" w:lineRule="auto"/>
        <w:tabs>
          <w:tab w:leader="none" w:pos="1498"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Rights as Stockholder</w:t>
      </w:r>
      <w:r>
        <w:rPr>
          <w:rFonts w:ascii="Arial" w:cs="Arial" w:eastAsia="Arial" w:hAnsi="Arial"/>
          <w:sz w:val="19"/>
          <w:szCs w:val="19"/>
          <w:color w:val="auto"/>
        </w:rPr>
        <w:t>. A Participant shall have no rights as a holder of shares of Common Stock with respect to</w:t>
      </w:r>
      <w:r>
        <w:rPr>
          <w:rFonts w:ascii="Arial" w:cs="Arial" w:eastAsia="Arial" w:hAnsi="Arial"/>
          <w:sz w:val="19"/>
          <w:szCs w:val="19"/>
          <w:i w:val="1"/>
          <w:iCs w:val="1"/>
          <w:color w:val="auto"/>
        </w:rPr>
        <w:t xml:space="preserve"> </w:t>
      </w:r>
      <w:r>
        <w:rPr>
          <w:rFonts w:ascii="Arial" w:cs="Arial" w:eastAsia="Arial" w:hAnsi="Arial"/>
          <w:sz w:val="19"/>
          <w:szCs w:val="19"/>
          <w:color w:val="auto"/>
        </w:rPr>
        <w:t>any unissued securities covered by an Award until the date the Participant becomes the holder of record of such securities. Except as provided in Section 4.5 hereof, no adjustment or other provision shall be made for dividends or other stockholder rights, except to the extent that the Award Agreement provides for dividend payments or dividend equivalent rights.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stock certificates (if any) be held in escrow by the Company for any shares of Common Stock or cause the shares to be legended in order to comply with the securities laws or other applicable restrictions. Should the shares of Common Stock be represented by book or electronic account entry rather than a</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ind w:right="360"/>
        <w:spacing w:after="0" w:line="251" w:lineRule="auto"/>
        <w:rPr>
          <w:sz w:val="20"/>
          <w:szCs w:val="20"/>
          <w:color w:val="auto"/>
        </w:rPr>
      </w:pPr>
      <w:r>
        <w:rPr>
          <w:rFonts w:ascii="Arial" w:cs="Arial" w:eastAsia="Arial" w:hAnsi="Arial"/>
          <w:sz w:val="22"/>
          <w:szCs w:val="22"/>
          <w:color w:val="auto"/>
        </w:rPr>
        <w:t>certificate, the Committee may take such steps to restrict transfer of the shares of Common Stock as the Committee considers necessary or advisable.</w:t>
      </w:r>
    </w:p>
    <w:p>
      <w:pPr>
        <w:spacing w:after="0" w:line="173" w:lineRule="exact"/>
        <w:rPr>
          <w:sz w:val="20"/>
          <w:szCs w:val="20"/>
          <w:color w:val="auto"/>
        </w:rPr>
      </w:pPr>
    </w:p>
    <w:p>
      <w:pPr>
        <w:ind w:right="100" w:firstLine="757"/>
        <w:spacing w:after="0"/>
        <w:tabs>
          <w:tab w:leader="none" w:pos="1498" w:val="left"/>
        </w:tabs>
        <w:numPr>
          <w:ilvl w:val="0"/>
          <w:numId w:val="97"/>
        </w:numPr>
        <w:rPr>
          <w:rFonts w:ascii="Arial" w:cs="Arial" w:eastAsia="Arial" w:hAnsi="Arial"/>
          <w:sz w:val="22"/>
          <w:szCs w:val="22"/>
          <w:color w:val="auto"/>
        </w:rPr>
      </w:pPr>
      <w:r>
        <w:rPr>
          <w:rFonts w:ascii="Arial" w:cs="Arial" w:eastAsia="Arial" w:hAnsi="Arial"/>
          <w:sz w:val="22"/>
          <w:szCs w:val="22"/>
          <w:i w:val="1"/>
          <w:iCs w:val="1"/>
          <w:color w:val="auto"/>
        </w:rPr>
        <w:t>Trading Policy and Other Restrictions</w:t>
      </w:r>
      <w:r>
        <w:rPr>
          <w:rFonts w:ascii="Arial" w:cs="Arial" w:eastAsia="Arial" w:hAnsi="Arial"/>
          <w:sz w:val="22"/>
          <w:szCs w:val="22"/>
          <w:color w:val="auto"/>
        </w:rPr>
        <w:t>. Transactions involving Awards under the Plan shall be subject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insider trading and other restrictions, terms, conditions and policies, established by the Committee from time to time or by applicable law.</w:t>
      </w:r>
    </w:p>
    <w:p>
      <w:pPr>
        <w:spacing w:after="0" w:line="186" w:lineRule="exact"/>
        <w:rPr>
          <w:rFonts w:ascii="Arial" w:cs="Arial" w:eastAsia="Arial" w:hAnsi="Arial"/>
          <w:sz w:val="22"/>
          <w:szCs w:val="22"/>
          <w:color w:val="auto"/>
        </w:rPr>
      </w:pPr>
    </w:p>
    <w:p>
      <w:pPr>
        <w:ind w:firstLine="757"/>
        <w:spacing w:after="0" w:line="269" w:lineRule="auto"/>
        <w:tabs>
          <w:tab w:leader="none" w:pos="1498" w:val="left"/>
        </w:tabs>
        <w:numPr>
          <w:ilvl w:val="0"/>
          <w:numId w:val="97"/>
        </w:numPr>
        <w:rPr>
          <w:rFonts w:ascii="Arial" w:cs="Arial" w:eastAsia="Arial" w:hAnsi="Arial"/>
          <w:sz w:val="19"/>
          <w:szCs w:val="19"/>
          <w:color w:val="auto"/>
        </w:rPr>
      </w:pPr>
      <w:r>
        <w:rPr>
          <w:rFonts w:ascii="Arial" w:cs="Arial" w:eastAsia="Arial" w:hAnsi="Arial"/>
          <w:sz w:val="19"/>
          <w:szCs w:val="19"/>
          <w:i w:val="1"/>
          <w:iCs w:val="1"/>
          <w:color w:val="auto"/>
        </w:rPr>
        <w:t>Section 409A Compliance</w:t>
      </w:r>
      <w:r>
        <w:rPr>
          <w:rFonts w:ascii="Arial" w:cs="Arial" w:eastAsia="Arial" w:hAnsi="Arial"/>
          <w:sz w:val="19"/>
          <w:szCs w:val="19"/>
          <w:color w:val="auto"/>
        </w:rPr>
        <w:t>. To the extent applicable, it is intended that the Plan and all Awards hereunder</w:t>
      </w:r>
      <w:r>
        <w:rPr>
          <w:rFonts w:ascii="Arial" w:cs="Arial" w:eastAsia="Arial" w:hAnsi="Arial"/>
          <w:sz w:val="19"/>
          <w:szCs w:val="19"/>
          <w:i w:val="1"/>
          <w:iCs w:val="1"/>
          <w:color w:val="auto"/>
        </w:rPr>
        <w:t xml:space="preserve"> </w:t>
      </w:r>
      <w:r>
        <w:rPr>
          <w:rFonts w:ascii="Arial" w:cs="Arial" w:eastAsia="Arial" w:hAnsi="Arial"/>
          <w:sz w:val="19"/>
          <w:szCs w:val="19"/>
          <w:color w:val="auto"/>
        </w:rPr>
        <w:t>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transaction or (iii) other action or arrangement contemplated by the provisions of the Plan is determined by the Committee to not comply with the applicable requirements of Section 409A of the Code and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For purposes of Section 409A of the Code, a Participant’s right to receive any installment payments pursuant to this Plan or any Award granted hereunder shall be treated as a right to receive a series of separate and distinct payments. For the avoidance of doubt, each applicable tranche of Common Shares subject to vesting under any Award shall be considered a right to receive a series of separate and distinct payments. In no event whatsoever shall the Company be liable for any additional tax, interest or penalties that may be imposed on a Participant by Section 409A of the Code or any damages for failing to comply with Section 409A of the Code.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firstLine="757"/>
        <w:spacing w:after="0" w:line="277" w:lineRule="auto"/>
        <w:tabs>
          <w:tab w:leader="none" w:pos="1498" w:val="left"/>
        </w:tabs>
        <w:numPr>
          <w:ilvl w:val="0"/>
          <w:numId w:val="97"/>
        </w:numPr>
        <w:rPr>
          <w:rFonts w:ascii="Arial" w:cs="Arial" w:eastAsia="Arial" w:hAnsi="Arial"/>
          <w:sz w:val="19"/>
          <w:szCs w:val="19"/>
          <w:color w:val="auto"/>
        </w:rPr>
      </w:pPr>
      <w:r>
        <w:rPr>
          <w:rFonts w:ascii="Arial" w:cs="Arial" w:eastAsia="Arial" w:hAnsi="Arial"/>
          <w:sz w:val="19"/>
          <w:szCs w:val="19"/>
          <w:i w:val="1"/>
          <w:iCs w:val="1"/>
          <w:color w:val="auto"/>
        </w:rPr>
        <w:t xml:space="preserve">Section 457A Compliance. </w:t>
      </w:r>
      <w:r>
        <w:rPr>
          <w:rFonts w:ascii="Arial" w:cs="Arial" w:eastAsia="Arial" w:hAnsi="Arial"/>
          <w:sz w:val="19"/>
          <w:szCs w:val="19"/>
          <w:color w:val="auto"/>
        </w:rPr>
        <w:t>In the event any Award is subject to Section 457A of the Code (“</w:t>
      </w:r>
      <w:r>
        <w:rPr>
          <w:rFonts w:ascii="Arial" w:cs="Arial" w:eastAsia="Arial" w:hAnsi="Arial"/>
          <w:sz w:val="19"/>
          <w:szCs w:val="19"/>
          <w:i w:val="1"/>
          <w:iCs w:val="1"/>
          <w:color w:val="auto"/>
        </w:rPr>
        <w:t>Section 457A</w:t>
      </w:r>
      <w:r>
        <w:rPr>
          <w:rFonts w:ascii="Arial" w:cs="Arial" w:eastAsia="Arial" w:hAnsi="Arial"/>
          <w:sz w:val="19"/>
          <w:szCs w:val="19"/>
          <w:color w:val="auto"/>
        </w:rPr>
        <w:t>”),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may, in its sole discretion and without a Participant’s prior consent, amend the Plan and/or Awards, adopt policies and procedures, or take any other actions (including amendments, policies, procedures and actions with retroactive effect) as are necessary or appropriate to (i) exempt the Plan and/or any Award from the application of Section 457A, (ii) preserve the intended tax treatment of any such Award, or (iii) comply with the requirements of Section 457A, including without limitation any such regulations, guidance, compliance programs and other interpretative authority that may be issued after the date of the grant. To the extent that an Award constitutes deferred compensation subject to Section 457A,</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2" w:name="page133"/>
    <w:bookmarkEnd w:id="132"/>
    <w:p>
      <w:pPr>
        <w:ind w:right="120"/>
        <w:spacing w:after="0"/>
        <w:rPr>
          <w:sz w:val="20"/>
          <w:szCs w:val="20"/>
          <w:color w:val="auto"/>
        </w:rPr>
      </w:pPr>
      <w:r>
        <w:rPr>
          <w:rFonts w:ascii="Arial" w:cs="Arial" w:eastAsia="Arial" w:hAnsi="Arial"/>
          <w:sz w:val="22"/>
          <w:szCs w:val="22"/>
          <w:color w:val="auto"/>
        </w:rPr>
        <w:t>such Award will be subject to taxation in accordance with Section 457A. In no event whatsoever shall the Company be liable for any additional tax, interest or penalties that may be imposed on a Participant by Section 457A of the Code or any damages for failing to comply with Section 457A of the Code.</w:t>
      </w:r>
    </w:p>
    <w:p>
      <w:pPr>
        <w:spacing w:after="0" w:line="187" w:lineRule="exact"/>
        <w:rPr>
          <w:sz w:val="20"/>
          <w:szCs w:val="20"/>
          <w:color w:val="auto"/>
        </w:rPr>
      </w:pPr>
    </w:p>
    <w:p>
      <w:pPr>
        <w:ind w:firstLine="757"/>
        <w:spacing w:after="0" w:line="244" w:lineRule="auto"/>
        <w:tabs>
          <w:tab w:leader="none" w:pos="1498" w:val="left"/>
        </w:tabs>
        <w:numPr>
          <w:ilvl w:val="0"/>
          <w:numId w:val="98"/>
        </w:numPr>
        <w:rPr>
          <w:rFonts w:ascii="Arial" w:cs="Arial" w:eastAsia="Arial" w:hAnsi="Arial"/>
          <w:sz w:val="21"/>
          <w:szCs w:val="21"/>
          <w:color w:val="auto"/>
        </w:rPr>
      </w:pPr>
      <w:r>
        <w:rPr>
          <w:rFonts w:ascii="Arial" w:cs="Arial" w:eastAsia="Arial" w:hAnsi="Arial"/>
          <w:sz w:val="21"/>
          <w:szCs w:val="21"/>
          <w:i w:val="1"/>
          <w:iCs w:val="1"/>
          <w:color w:val="auto"/>
        </w:rPr>
        <w:t>Securities Law Compliance</w:t>
      </w:r>
      <w:r>
        <w:rPr>
          <w:rFonts w:ascii="Arial" w:cs="Arial" w:eastAsia="Arial" w:hAnsi="Arial"/>
          <w:sz w:val="21"/>
          <w:szCs w:val="21"/>
          <w:color w:val="auto"/>
        </w:rPr>
        <w:t>. No shares of Common Stock will be issued or transferred pursuant to an Award</w:t>
      </w:r>
      <w:r>
        <w:rPr>
          <w:rFonts w:ascii="Arial" w:cs="Arial" w:eastAsia="Arial" w:hAnsi="Arial"/>
          <w:sz w:val="21"/>
          <w:szCs w:val="21"/>
          <w:i w:val="1"/>
          <w:iCs w:val="1"/>
          <w:color w:val="auto"/>
        </w:rPr>
        <w:t xml:space="preserve"> </w:t>
      </w:r>
      <w:r>
        <w:rPr>
          <w:rFonts w:ascii="Arial" w:cs="Arial" w:eastAsia="Arial" w:hAnsi="Arial"/>
          <w:sz w:val="21"/>
          <w:szCs w:val="21"/>
          <w:color w:val="auto"/>
        </w:rPr>
        <w:t>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action that the Company determines is necessary or advisable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solely for investment purposes and without any current intention to sell or distribute such shares.</w:t>
      </w:r>
    </w:p>
    <w:p>
      <w:pPr>
        <w:spacing w:after="0" w:line="188" w:lineRule="exact"/>
        <w:rPr>
          <w:rFonts w:ascii="Arial" w:cs="Arial" w:eastAsia="Arial" w:hAnsi="Arial"/>
          <w:sz w:val="21"/>
          <w:szCs w:val="21"/>
          <w:color w:val="auto"/>
        </w:rPr>
      </w:pPr>
    </w:p>
    <w:p>
      <w:pPr>
        <w:ind w:right="120" w:firstLine="757"/>
        <w:spacing w:after="0" w:line="274" w:lineRule="auto"/>
        <w:tabs>
          <w:tab w:leader="none" w:pos="1498"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Substitution or Assumption of Awards in Corporate Transactions</w:t>
      </w:r>
      <w:r>
        <w:rPr>
          <w:rFonts w:ascii="Arial" w:cs="Arial" w:eastAsia="Arial" w:hAnsi="Arial"/>
          <w:sz w:val="19"/>
          <w:szCs w:val="19"/>
          <w:color w:val="auto"/>
        </w:rPr>
        <w:t>. The Committee may grant Awards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Plan in connection with the acquisition, whether by purchase, merger, consolidation or other corporate transaction, of the business or assets of any corporation or other entity, in substitution for awards previously granted by such corporation or other entity or otherwise. The Committee may also assume any previously granted awards of a former employee or a current employee, director, consultant or other service provider of another corporation or entity that becomes an Eligible Person by reason of such corporation transaction. The terms and conditions of the substituted or assumed awards may vary from the terms and conditions that would otherwise be required by the Plan solely to the extent the Committee deems necessary for such purpose. To the extent permitted by applicable law and the listing requirements of the NASDAQ or other exchange or securities market on which the Common Shares are listed, any such substituted or assumed awards shall not reduce the Share Reserve.</w:t>
      </w:r>
    </w:p>
    <w:p>
      <w:pPr>
        <w:spacing w:after="0" w:line="158" w:lineRule="exact"/>
        <w:rPr>
          <w:rFonts w:ascii="Arial" w:cs="Arial" w:eastAsia="Arial" w:hAnsi="Arial"/>
          <w:sz w:val="19"/>
          <w:szCs w:val="19"/>
          <w:color w:val="auto"/>
        </w:rPr>
      </w:pPr>
    </w:p>
    <w:p>
      <w:pPr>
        <w:ind w:firstLine="757"/>
        <w:spacing w:after="0" w:line="273" w:lineRule="auto"/>
        <w:tabs>
          <w:tab w:leader="none" w:pos="1498"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Tax Withholding</w:t>
      </w:r>
      <w:r>
        <w:rPr>
          <w:rFonts w:ascii="Arial" w:cs="Arial" w:eastAsia="Arial" w:hAnsi="Arial"/>
          <w:sz w:val="19"/>
          <w:szCs w:val="19"/>
          <w:color w:val="auto"/>
        </w:rPr>
        <w:t>. The Participant shall be responsible for payment of any taxes or similar charges required by</w:t>
      </w:r>
      <w:r>
        <w:rPr>
          <w:rFonts w:ascii="Arial" w:cs="Arial" w:eastAsia="Arial" w:hAnsi="Arial"/>
          <w:sz w:val="19"/>
          <w:szCs w:val="19"/>
          <w:i w:val="1"/>
          <w:iCs w:val="1"/>
          <w:color w:val="auto"/>
        </w:rPr>
        <w:t xml:space="preserve"> </w:t>
      </w:r>
      <w:r>
        <w:rPr>
          <w:rFonts w:ascii="Arial" w:cs="Arial" w:eastAsia="Arial" w:hAnsi="Arial"/>
          <w:sz w:val="19"/>
          <w:szCs w:val="19"/>
          <w:color w:val="auto"/>
        </w:rPr>
        <w:t>law to be paid or withheld from an Award or an amount paid in satisfaction of an Award. Any required withholdings shall be paid by the Participant on or prior to the payment or other event that results in taxable income in respect of an Award. The Award Agreement may specify the manner in which the withholding obligation shall be satisfied with respect to the particular type of Award, which may include permitting the Participant to elect to satisfy the withholding obligation by tendering shares of Common Stock to the Company or having the Company withhold a number of shares of Common Stock having a value in each case up to the maximum statutory tax rates in the applicable jurisdiction or as the Committee may approve in its discretion (provided that such withholding does not result in adverse tax or accounting consequences to the Company), or similar charge required to be paid or withheld. In addition, to the extent permitted by the Committee in its sole discretion in an Award Agreement or otherwise, and subject to Section 16 of the Securities Act, withholding may be satisfied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ind w:right="80"/>
        <w:spacing w:after="0" w:line="282" w:lineRule="auto"/>
        <w:rPr>
          <w:sz w:val="20"/>
          <w:szCs w:val="20"/>
          <w:color w:val="auto"/>
        </w:rPr>
      </w:pPr>
      <w:r>
        <w:rPr>
          <w:rFonts w:ascii="Arial" w:cs="Arial" w:eastAsia="Arial" w:hAnsi="Arial"/>
          <w:sz w:val="19"/>
          <w:szCs w:val="19"/>
          <w:color w:val="auto"/>
        </w:rPr>
        <w:t>through an open-market, broker-assisted sales transaction pursuant to which the Company is promptly delivered the amount of proceeds necessary to satisfy the withholding amount, which shall be subject to any terms and conditions imposed by the Committee. The Company shall have the power and the right to require a Participant to remit to the Company the amount necessary to satisfy federal, state, provincial and local taxes, domestic or foreign, required by law or regulation to be withheld, and to deduct or withhold from any shares of Common Stock deliverable under an Award to satisfy such withholding obligation.</w:t>
      </w:r>
    </w:p>
    <w:p>
      <w:pPr>
        <w:spacing w:after="0" w:line="148" w:lineRule="exact"/>
        <w:rPr>
          <w:sz w:val="20"/>
          <w:szCs w:val="20"/>
          <w:color w:val="auto"/>
        </w:rPr>
      </w:pPr>
    </w:p>
    <w:p>
      <w:pPr>
        <w:ind w:right="40" w:firstLine="757"/>
        <w:spacing w:after="0" w:line="246" w:lineRule="auto"/>
        <w:tabs>
          <w:tab w:leader="none" w:pos="1498" w:val="left"/>
        </w:tabs>
        <w:numPr>
          <w:ilvl w:val="0"/>
          <w:numId w:val="99"/>
        </w:numPr>
        <w:rPr>
          <w:rFonts w:ascii="Arial" w:cs="Arial" w:eastAsia="Arial" w:hAnsi="Arial"/>
          <w:sz w:val="21"/>
          <w:szCs w:val="21"/>
          <w:color w:val="auto"/>
        </w:rPr>
      </w:pPr>
      <w:r>
        <w:rPr>
          <w:rFonts w:ascii="Arial" w:cs="Arial" w:eastAsia="Arial" w:hAnsi="Arial"/>
          <w:sz w:val="21"/>
          <w:szCs w:val="21"/>
          <w:i w:val="1"/>
          <w:iCs w:val="1"/>
          <w:color w:val="auto"/>
        </w:rPr>
        <w:t>Unfunded Plan</w:t>
      </w:r>
      <w:r>
        <w:rPr>
          <w:rFonts w:ascii="Arial" w:cs="Arial" w:eastAsia="Arial" w:hAnsi="Arial"/>
          <w:sz w:val="21"/>
          <w:szCs w:val="21"/>
          <w:color w:val="auto"/>
        </w:rPr>
        <w:t>. The adoption of the Plan and any reservation of shares of Common Stock or cash amounts by</w:t>
      </w:r>
      <w:r>
        <w:rPr>
          <w:rFonts w:ascii="Arial" w:cs="Arial" w:eastAsia="Arial" w:hAnsi="Arial"/>
          <w:sz w:val="21"/>
          <w:szCs w:val="21"/>
          <w:i w:val="1"/>
          <w:iCs w:val="1"/>
          <w:color w:val="auto"/>
        </w:rPr>
        <w:t xml:space="preserve"> </w:t>
      </w:r>
      <w:r>
        <w:rPr>
          <w:rFonts w:ascii="Arial" w:cs="Arial" w:eastAsia="Arial" w:hAnsi="Arial"/>
          <w:sz w:val="21"/>
          <w:szCs w:val="21"/>
          <w:color w:val="auto"/>
        </w:rPr>
        <w:t>the Company to discharge its obligations hereunder shall not be deemed to create a trust or other funded arrangement. Except upon the issuance of shares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spacing w:after="0" w:line="184" w:lineRule="exact"/>
        <w:rPr>
          <w:rFonts w:ascii="Arial" w:cs="Arial" w:eastAsia="Arial" w:hAnsi="Arial"/>
          <w:sz w:val="21"/>
          <w:szCs w:val="21"/>
          <w:color w:val="auto"/>
        </w:rPr>
      </w:pPr>
    </w:p>
    <w:p>
      <w:pPr>
        <w:ind w:right="160" w:firstLine="757"/>
        <w:spacing w:after="0" w:line="277" w:lineRule="auto"/>
        <w:tabs>
          <w:tab w:leader="none" w:pos="1498"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Other Compensation and Benefit Plans</w:t>
      </w:r>
      <w:r>
        <w:rPr>
          <w:rFonts w:ascii="Arial" w:cs="Arial" w:eastAsia="Arial" w:hAnsi="Arial"/>
          <w:sz w:val="19"/>
          <w:szCs w:val="19"/>
          <w:color w:val="auto"/>
        </w:rPr>
        <w:t>. The adoption of the Plan shall not affect any other share incentive or</w:t>
      </w:r>
      <w:r>
        <w:rPr>
          <w:rFonts w:ascii="Arial" w:cs="Arial" w:eastAsia="Arial" w:hAnsi="Arial"/>
          <w:sz w:val="19"/>
          <w:szCs w:val="19"/>
          <w:i w:val="1"/>
          <w:iCs w:val="1"/>
          <w:color w:val="auto"/>
        </w:rPr>
        <w:t xml:space="preserve"> </w:t>
      </w:r>
      <w:r>
        <w:rPr>
          <w:rFonts w:ascii="Arial" w:cs="Arial" w:eastAsia="Arial" w:hAnsi="Arial"/>
          <w:sz w:val="19"/>
          <w:szCs w:val="19"/>
          <w:color w:val="auto"/>
        </w:rPr>
        <w:t>other compensation plans in effect for the Company or any Subsidiary, nor shall the Plan preclude the Company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spacing w:after="0" w:line="151" w:lineRule="exact"/>
        <w:rPr>
          <w:rFonts w:ascii="Arial" w:cs="Arial" w:eastAsia="Arial" w:hAnsi="Arial"/>
          <w:sz w:val="19"/>
          <w:szCs w:val="19"/>
          <w:color w:val="auto"/>
        </w:rPr>
      </w:pPr>
    </w:p>
    <w:p>
      <w:pPr>
        <w:ind w:right="80" w:firstLine="757"/>
        <w:spacing w:after="0" w:line="250" w:lineRule="auto"/>
        <w:tabs>
          <w:tab w:leader="none" w:pos="1498" w:val="left"/>
        </w:tabs>
        <w:numPr>
          <w:ilvl w:val="0"/>
          <w:numId w:val="99"/>
        </w:numPr>
        <w:rPr>
          <w:rFonts w:ascii="Arial" w:cs="Arial" w:eastAsia="Arial" w:hAnsi="Arial"/>
          <w:sz w:val="22"/>
          <w:szCs w:val="22"/>
          <w:color w:val="auto"/>
        </w:rPr>
      </w:pPr>
      <w:r>
        <w:rPr>
          <w:rFonts w:ascii="Arial" w:cs="Arial" w:eastAsia="Arial" w:hAnsi="Arial"/>
          <w:sz w:val="22"/>
          <w:szCs w:val="22"/>
          <w:i w:val="1"/>
          <w:iCs w:val="1"/>
          <w:color w:val="auto"/>
        </w:rPr>
        <w:t>Plan Binding on Transferees</w:t>
      </w:r>
      <w:r>
        <w:rPr>
          <w:rFonts w:ascii="Arial" w:cs="Arial" w:eastAsia="Arial" w:hAnsi="Arial"/>
          <w:sz w:val="22"/>
          <w:szCs w:val="22"/>
          <w:color w:val="auto"/>
        </w:rPr>
        <w:t>. The Plan shall be binding upon the Company, its transferees and assigns,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 the Participant’s executor, administrator and permitted transferees and beneficiaries.</w:t>
      </w:r>
    </w:p>
    <w:p>
      <w:pPr>
        <w:spacing w:after="0" w:line="174" w:lineRule="exact"/>
        <w:rPr>
          <w:rFonts w:ascii="Arial" w:cs="Arial" w:eastAsia="Arial" w:hAnsi="Arial"/>
          <w:sz w:val="22"/>
          <w:szCs w:val="22"/>
          <w:color w:val="auto"/>
        </w:rPr>
      </w:pPr>
    </w:p>
    <w:p>
      <w:pPr>
        <w:ind w:right="760" w:firstLine="757"/>
        <w:spacing w:after="0" w:line="297" w:lineRule="auto"/>
        <w:tabs>
          <w:tab w:leader="none" w:pos="1498"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If any provision of the Plan or any Award Agreement shall be determined to be illegal or</w:t>
      </w:r>
      <w:r>
        <w:rPr>
          <w:rFonts w:ascii="Arial" w:cs="Arial" w:eastAsia="Arial" w:hAnsi="Arial"/>
          <w:sz w:val="19"/>
          <w:szCs w:val="19"/>
          <w:i w:val="1"/>
          <w:iCs w:val="1"/>
          <w:color w:val="auto"/>
        </w:rPr>
        <w:t xml:space="preserve"> </w:t>
      </w:r>
      <w:r>
        <w:rPr>
          <w:rFonts w:ascii="Arial" w:cs="Arial" w:eastAsia="Arial" w:hAnsi="Arial"/>
          <w:sz w:val="19"/>
          <w:szCs w:val="19"/>
          <w:color w:val="auto"/>
        </w:rPr>
        <w:t>unenforceable by any court of law in any jurisdiction, the remaining provisions hereof and thereof shall be severable and enforceable in accordance with their terms, and all provisions shall remain enforceable in any other jurisdiction.</w:t>
      </w:r>
    </w:p>
    <w:p>
      <w:pPr>
        <w:spacing w:after="0" w:line="133" w:lineRule="exact"/>
        <w:rPr>
          <w:rFonts w:ascii="Arial" w:cs="Arial" w:eastAsia="Arial" w:hAnsi="Arial"/>
          <w:sz w:val="19"/>
          <w:szCs w:val="19"/>
          <w:color w:val="auto"/>
        </w:rPr>
      </w:pPr>
    </w:p>
    <w:p>
      <w:pPr>
        <w:ind w:firstLine="757"/>
        <w:spacing w:after="0" w:line="234" w:lineRule="auto"/>
        <w:tabs>
          <w:tab w:leader="none" w:pos="1498" w:val="left"/>
        </w:tabs>
        <w:numPr>
          <w:ilvl w:val="0"/>
          <w:numId w:val="99"/>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Plan, all Awards and all Award Agreements, and all claims or causes of action (whether in</w:t>
      </w:r>
      <w:r>
        <w:rPr>
          <w:rFonts w:ascii="Arial" w:cs="Arial" w:eastAsia="Arial" w:hAnsi="Arial"/>
          <w:sz w:val="22"/>
          <w:szCs w:val="22"/>
          <w:i w:val="1"/>
          <w:iCs w:val="1"/>
          <w:color w:val="auto"/>
        </w:rPr>
        <w:t xml:space="preserve"> </w:t>
      </w:r>
      <w:r>
        <w:rPr>
          <w:rFonts w:ascii="Arial" w:cs="Arial" w:eastAsia="Arial" w:hAnsi="Arial"/>
          <w:sz w:val="22"/>
          <w:szCs w:val="22"/>
          <w:color w:val="auto"/>
        </w:rPr>
        <w:t>contract, tort or statute) that may be based upon, arise out of or relate to the Plan, any Award or Award Agreement, or the negotiation, execution or performance of any such documents or matter related thereto (including any claim or cause of action based upon, arising out of or related to any representation or warranty made in or in connection with the Plan, any Award or Award Agreement, or as an inducement to enter into any Award Agreement), shall be governed by, and enforced in accordance with, the internal laws of the State of Delaware, including its statutes of limitations and repose, but without regard to any borrowing</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statute that would result in the application of the statute of limitations or repose of any other jurisdiction.</w:t>
      </w:r>
    </w:p>
    <w:p>
      <w:pPr>
        <w:spacing w:after="0" w:line="207" w:lineRule="exact"/>
        <w:rPr>
          <w:sz w:val="20"/>
          <w:szCs w:val="20"/>
          <w:color w:val="auto"/>
        </w:rPr>
      </w:pPr>
    </w:p>
    <w:p>
      <w:pPr>
        <w:jc w:val="both"/>
        <w:ind w:right="100" w:firstLine="757"/>
        <w:spacing w:after="0" w:line="238" w:lineRule="auto"/>
        <w:tabs>
          <w:tab w:leader="none" w:pos="1498"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No Fractional Shares</w:t>
      </w:r>
      <w:r>
        <w:rPr>
          <w:rFonts w:ascii="Arial" w:cs="Arial" w:eastAsia="Arial" w:hAnsi="Arial"/>
          <w:sz w:val="22"/>
          <w:szCs w:val="22"/>
          <w:color w:val="auto"/>
        </w:rPr>
        <w:t>. No fractional shares of Common Stock shall be issued or delivered pursuant to the Plan</w:t>
      </w:r>
      <w:r>
        <w:rPr>
          <w:rFonts w:ascii="Arial" w:cs="Arial" w:eastAsia="Arial" w:hAnsi="Arial"/>
          <w:sz w:val="22"/>
          <w:szCs w:val="22"/>
          <w:i w:val="1"/>
          <w:iCs w:val="1"/>
          <w:color w:val="auto"/>
        </w:rPr>
        <w:t xml:space="preserve"> </w:t>
      </w:r>
      <w:r>
        <w:rPr>
          <w:rFonts w:ascii="Arial" w:cs="Arial" w:eastAsia="Arial" w:hAnsi="Arial"/>
          <w:sz w:val="22"/>
          <w:szCs w:val="22"/>
          <w:color w:val="auto"/>
        </w:rPr>
        <w:t>or any Award,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spacing w:after="0" w:line="184" w:lineRule="exact"/>
        <w:rPr>
          <w:rFonts w:ascii="Arial" w:cs="Arial" w:eastAsia="Arial" w:hAnsi="Arial"/>
          <w:sz w:val="22"/>
          <w:szCs w:val="22"/>
          <w:color w:val="auto"/>
        </w:rPr>
      </w:pPr>
    </w:p>
    <w:p>
      <w:pPr>
        <w:ind w:firstLine="757"/>
        <w:spacing w:after="0" w:line="236" w:lineRule="auto"/>
        <w:tabs>
          <w:tab w:leader="none" w:pos="1498"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No Guarantees Regarding Tax Treatment</w:t>
      </w:r>
      <w:r>
        <w:rPr>
          <w:rFonts w:ascii="Arial" w:cs="Arial" w:eastAsia="Arial" w:hAnsi="Arial"/>
          <w:sz w:val="22"/>
          <w:szCs w:val="22"/>
          <w:color w:val="auto"/>
        </w:rPr>
        <w:t>. Neither the Company nor the Committee make any guarantees to any</w:t>
      </w:r>
      <w:r>
        <w:rPr>
          <w:rFonts w:ascii="Arial" w:cs="Arial" w:eastAsia="Arial" w:hAnsi="Arial"/>
          <w:sz w:val="22"/>
          <w:szCs w:val="22"/>
          <w:i w:val="1"/>
          <w:iCs w:val="1"/>
          <w:color w:val="auto"/>
        </w:rPr>
        <w:t xml:space="preserve"> </w:t>
      </w:r>
      <w:r>
        <w:rPr>
          <w:rFonts w:ascii="Arial" w:cs="Arial" w:eastAsia="Arial" w:hAnsi="Arial"/>
          <w:sz w:val="22"/>
          <w:szCs w:val="22"/>
          <w:color w:val="auto"/>
        </w:rPr>
        <w:t>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or otherwise and neither the Company nor the Committee shall have any liability to a Person with respect thereto.</w:t>
      </w:r>
    </w:p>
    <w:p>
      <w:pPr>
        <w:spacing w:after="0" w:line="187" w:lineRule="exact"/>
        <w:rPr>
          <w:rFonts w:ascii="Arial" w:cs="Arial" w:eastAsia="Arial" w:hAnsi="Arial"/>
          <w:sz w:val="22"/>
          <w:szCs w:val="22"/>
          <w:color w:val="auto"/>
        </w:rPr>
      </w:pPr>
    </w:p>
    <w:p>
      <w:pPr>
        <w:ind w:right="340" w:firstLine="757"/>
        <w:spacing w:after="0" w:line="252" w:lineRule="auto"/>
        <w:tabs>
          <w:tab w:leader="none" w:pos="1498" w:val="left"/>
        </w:tabs>
        <w:numPr>
          <w:ilvl w:val="0"/>
          <w:numId w:val="100"/>
        </w:numPr>
        <w:rPr>
          <w:rFonts w:ascii="Arial" w:cs="Arial" w:eastAsia="Arial" w:hAnsi="Arial"/>
          <w:sz w:val="21"/>
          <w:szCs w:val="21"/>
          <w:color w:val="auto"/>
        </w:rPr>
      </w:pPr>
      <w:r>
        <w:rPr>
          <w:rFonts w:ascii="Arial" w:cs="Arial" w:eastAsia="Arial" w:hAnsi="Arial"/>
          <w:sz w:val="21"/>
          <w:szCs w:val="21"/>
          <w:i w:val="1"/>
          <w:iCs w:val="1"/>
          <w:color w:val="auto"/>
        </w:rPr>
        <w:t>Data Protection</w:t>
      </w:r>
      <w:r>
        <w:rPr>
          <w:rFonts w:ascii="Arial" w:cs="Arial" w:eastAsia="Arial" w:hAnsi="Arial"/>
          <w:sz w:val="21"/>
          <w:szCs w:val="21"/>
          <w:color w:val="auto"/>
        </w:rPr>
        <w:t>. By participating in the Plan, each Participant consents to the collection, processing,</w:t>
      </w:r>
      <w:r>
        <w:rPr>
          <w:rFonts w:ascii="Arial" w:cs="Arial" w:eastAsia="Arial" w:hAnsi="Arial"/>
          <w:sz w:val="21"/>
          <w:szCs w:val="21"/>
          <w:i w:val="1"/>
          <w:iCs w:val="1"/>
          <w:color w:val="auto"/>
        </w:rPr>
        <w:t xml:space="preserve"> </w:t>
      </w:r>
      <w:r>
        <w:rPr>
          <w:rFonts w:ascii="Arial" w:cs="Arial" w:eastAsia="Arial" w:hAnsi="Arial"/>
          <w:sz w:val="21"/>
          <w:szCs w:val="21"/>
          <w:color w:val="auto"/>
        </w:rPr>
        <w:t>transmission and storage by the Company, its Subsidiaries and any third party administrators of any data of a professional or personal nature for the purposes of administering the Plan and in connection with a Participant’s status as a stockholder of the Company upon the issuance of any shares of Common Stock pursuant to an Award.</w:t>
      </w:r>
    </w:p>
    <w:p>
      <w:pPr>
        <w:spacing w:after="0" w:line="173" w:lineRule="exact"/>
        <w:rPr>
          <w:rFonts w:ascii="Arial" w:cs="Arial" w:eastAsia="Arial" w:hAnsi="Arial"/>
          <w:sz w:val="21"/>
          <w:szCs w:val="21"/>
          <w:color w:val="auto"/>
        </w:rPr>
      </w:pPr>
    </w:p>
    <w:p>
      <w:pPr>
        <w:ind w:right="40" w:firstLine="757"/>
        <w:spacing w:after="0" w:line="275" w:lineRule="auto"/>
        <w:tabs>
          <w:tab w:leader="none" w:pos="1498" w:val="left"/>
        </w:tabs>
        <w:numPr>
          <w:ilvl w:val="0"/>
          <w:numId w:val="100"/>
        </w:numPr>
        <w:rPr>
          <w:rFonts w:ascii="Arial" w:cs="Arial" w:eastAsia="Arial" w:hAnsi="Arial"/>
          <w:sz w:val="19"/>
          <w:szCs w:val="19"/>
          <w:color w:val="auto"/>
        </w:rPr>
      </w:pPr>
      <w:r>
        <w:rPr>
          <w:rFonts w:ascii="Arial" w:cs="Arial" w:eastAsia="Arial" w:hAnsi="Arial"/>
          <w:sz w:val="19"/>
          <w:szCs w:val="19"/>
          <w:i w:val="1"/>
          <w:iCs w:val="1"/>
          <w:color w:val="auto"/>
        </w:rPr>
        <w:t xml:space="preserve">Awards to Non-U.S. Participants. </w:t>
      </w:r>
      <w:r>
        <w:rPr>
          <w:rFonts w:ascii="Arial" w:cs="Arial" w:eastAsia="Arial" w:hAnsi="Arial"/>
          <w:sz w:val="19"/>
          <w:szCs w:val="19"/>
          <w:color w:val="auto"/>
        </w:rPr>
        <w:t>To comply with the laws in countries other than the United States in which</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or any of its Subsidiaries or Affiliates operates or has employees, Non-Employee Directors or consultants, the Committee, in its sole discretion, shall have the power and authority to (i) modify the terms and conditions of any Award granted to Participants outside the United States to comply with applicable foreign laws, (ii) 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Section 14.20 by the Committee shall be attached to this Plan document as appendices.</w:t>
      </w:r>
    </w:p>
    <w:p>
      <w:pPr>
        <w:spacing w:after="0" w:line="157" w:lineRule="exact"/>
        <w:rPr>
          <w:sz w:val="20"/>
          <w:szCs w:val="20"/>
          <w:color w:val="auto"/>
        </w:rPr>
      </w:pPr>
    </w:p>
    <w:p>
      <w:pPr>
        <w:ind w:left="1500" w:hanging="743"/>
        <w:spacing w:after="0"/>
        <w:tabs>
          <w:tab w:leader="none" w:pos="150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Term; Amendment and Termination; Stockholder Approval</w:t>
      </w:r>
      <w:r>
        <w:rPr>
          <w:rFonts w:ascii="Arial" w:cs="Arial" w:eastAsia="Arial" w:hAnsi="Arial"/>
          <w:sz w:val="22"/>
          <w:szCs w:val="22"/>
          <w:color w:val="auto"/>
        </w:rPr>
        <w:t>.</w:t>
      </w:r>
    </w:p>
    <w:p>
      <w:pPr>
        <w:spacing w:after="0" w:line="206" w:lineRule="exact"/>
        <w:rPr>
          <w:sz w:val="20"/>
          <w:szCs w:val="20"/>
          <w:color w:val="auto"/>
        </w:rPr>
      </w:pPr>
    </w:p>
    <w:p>
      <w:pPr>
        <w:ind w:right="80" w:firstLine="757"/>
        <w:spacing w:after="0" w:line="249" w:lineRule="auto"/>
        <w:tabs>
          <w:tab w:leader="none" w:pos="1498" w:val="left"/>
        </w:tabs>
        <w:numPr>
          <w:ilvl w:val="0"/>
          <w:numId w:val="102"/>
        </w:numPr>
        <w:rPr>
          <w:rFonts w:ascii="Arial" w:cs="Arial" w:eastAsia="Arial" w:hAnsi="Arial"/>
          <w:sz w:val="21"/>
          <w:szCs w:val="21"/>
          <w:color w:val="auto"/>
        </w:rPr>
      </w:pPr>
      <w:r>
        <w:rPr>
          <w:rFonts w:ascii="Arial" w:cs="Arial" w:eastAsia="Arial" w:hAnsi="Arial"/>
          <w:sz w:val="21"/>
          <w:szCs w:val="21"/>
          <w:i w:val="1"/>
          <w:iCs w:val="1"/>
          <w:color w:val="auto"/>
        </w:rPr>
        <w:t>Term</w:t>
      </w:r>
      <w:r>
        <w:rPr>
          <w:rFonts w:ascii="Arial" w:cs="Arial" w:eastAsia="Arial" w:hAnsi="Arial"/>
          <w:sz w:val="21"/>
          <w:szCs w:val="21"/>
          <w:color w:val="auto"/>
        </w:rPr>
        <w:t>. The Board has adopted this plan and the Plan shall be effective as of the day immediately prior to the</w:t>
      </w:r>
      <w:r>
        <w:rPr>
          <w:rFonts w:ascii="Arial" w:cs="Arial" w:eastAsia="Arial" w:hAnsi="Arial"/>
          <w:sz w:val="21"/>
          <w:szCs w:val="21"/>
          <w:i w:val="1"/>
          <w:iCs w:val="1"/>
          <w:color w:val="auto"/>
        </w:rPr>
        <w:t xml:space="preserve"> </w:t>
      </w:r>
      <w:r>
        <w:rPr>
          <w:rFonts w:ascii="Arial" w:cs="Arial" w:eastAsia="Arial" w:hAnsi="Arial"/>
          <w:sz w:val="21"/>
          <w:szCs w:val="21"/>
          <w:color w:val="auto"/>
        </w:rPr>
        <w:t>date on which the Company’s registration statement on Form S-1 in connection with its initial public offering of Common Stock is declared effective by the Securities and Exchange Commission under the Securities Act, subject to approval of the Plan by the stockholders of the Company within 12 months of the adoption (the “</w:t>
      </w:r>
      <w:r>
        <w:rPr>
          <w:rFonts w:ascii="Arial" w:cs="Arial" w:eastAsia="Arial" w:hAnsi="Arial"/>
          <w:sz w:val="21"/>
          <w:szCs w:val="21"/>
          <w:i w:val="1"/>
          <w:iCs w:val="1"/>
          <w:color w:val="auto"/>
        </w:rPr>
        <w:t>Effective Date</w:t>
      </w:r>
      <w:r>
        <w:rPr>
          <w:rFonts w:ascii="Arial" w:cs="Arial" w:eastAsia="Arial" w:hAnsi="Arial"/>
          <w:sz w:val="21"/>
          <w:szCs w:val="21"/>
          <w:color w:val="auto"/>
        </w:rPr>
        <w:t>”). Subject to Section 15.2 hereof, the Plan shall terminate on the tenth anniversary of the Effective Date.</w:t>
      </w:r>
    </w:p>
    <w:p>
      <w:pPr>
        <w:spacing w:after="0" w:line="178" w:lineRule="exact"/>
        <w:rPr>
          <w:rFonts w:ascii="Arial" w:cs="Arial" w:eastAsia="Arial" w:hAnsi="Arial"/>
          <w:sz w:val="21"/>
          <w:szCs w:val="21"/>
          <w:color w:val="auto"/>
        </w:rPr>
      </w:pPr>
    </w:p>
    <w:p>
      <w:pPr>
        <w:ind w:right="60" w:firstLine="757"/>
        <w:spacing w:after="0" w:line="250" w:lineRule="auto"/>
        <w:tabs>
          <w:tab w:leader="none" w:pos="1498" w:val="left"/>
        </w:tabs>
        <w:numPr>
          <w:ilvl w:val="0"/>
          <w:numId w:val="102"/>
        </w:numPr>
        <w:rPr>
          <w:rFonts w:ascii="Arial" w:cs="Arial" w:eastAsia="Arial" w:hAnsi="Arial"/>
          <w:sz w:val="22"/>
          <w:szCs w:val="22"/>
          <w:color w:val="auto"/>
        </w:rPr>
      </w:pPr>
      <w:r>
        <w:rPr>
          <w:rFonts w:ascii="Arial" w:cs="Arial" w:eastAsia="Arial" w:hAnsi="Arial"/>
          <w:sz w:val="22"/>
          <w:szCs w:val="22"/>
          <w:i w:val="1"/>
          <w:iCs w:val="1"/>
          <w:color w:val="auto"/>
        </w:rPr>
        <w:t>Amendment and Termination</w:t>
      </w:r>
      <w:r>
        <w:rPr>
          <w:rFonts w:ascii="Arial" w:cs="Arial" w:eastAsia="Arial" w:hAnsi="Arial"/>
          <w:sz w:val="22"/>
          <w:szCs w:val="22"/>
          <w:color w:val="auto"/>
        </w:rPr>
        <w:t>. The Board may from time to time and in any respect, amend, modify, suspend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terminate the Plan;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amendment,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5" w:name="page136"/>
    <w:bookmarkEnd w:id="135"/>
    <w:p>
      <w:pPr>
        <w:spacing w:after="0" w:line="274" w:lineRule="auto"/>
        <w:rPr>
          <w:sz w:val="20"/>
          <w:szCs w:val="20"/>
          <w:color w:val="auto"/>
        </w:rPr>
      </w:pPr>
      <w:r>
        <w:rPr>
          <w:rFonts w:ascii="Arial" w:cs="Arial" w:eastAsia="Arial" w:hAnsi="Arial"/>
          <w:sz w:val="19"/>
          <w:szCs w:val="19"/>
          <w:color w:val="auto"/>
        </w:rPr>
        <w:t>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for purposes of compliance with Section 422 of the Code or for any other purpose, and shall seek such approval to the extent it deems necessary in its discretion to comply with applicable law or listing requirements of NASDAQ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securities laws, employment laws, accounting rules and other applicable laws, rules and regulations.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136" w:name="page137"/>
    <w:bookmarkEnd w:id="136"/>
    <w:p>
      <w:pPr>
        <w:ind w:left="9920"/>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7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We consent to the incorporation by reference in Registration Statement No. 333- 259535 on Form S-8 of our report dated March 15, 2022, relating to the financial statements of Definitive Healthcare Corp. appearing in this Annual Report on Form 10-K for the year ended December 31, 2021.</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w:t>
      </w:r>
      <w:r>
        <w:rPr>
          <w:rFonts w:ascii="Arial" w:cs="Arial" w:eastAsia="Arial" w:hAnsi="Arial"/>
          <w:sz w:val="20"/>
          <w:szCs w:val="20"/>
          <w:color w:val="auto"/>
        </w:rPr>
        <w:t>Deloitte &amp; Touche LLP</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Jason Krantz, certify that:</w:t>
      </w:r>
    </w:p>
    <w:p>
      <w:pPr>
        <w:spacing w:after="0" w:line="212" w:lineRule="exact"/>
        <w:rPr>
          <w:sz w:val="20"/>
          <w:szCs w:val="20"/>
          <w:color w:val="auto"/>
        </w:rPr>
      </w:pPr>
    </w:p>
    <w:p>
      <w:pPr>
        <w:ind w:left="520" w:hanging="512"/>
        <w:spacing w:after="0"/>
        <w:tabs>
          <w:tab w:leader="none" w:pos="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Definitive Healthcare Corp.;</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61" w:lineRule="auto"/>
        <w:tabs>
          <w:tab w:leader="none" w:pos="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20" w:val="left"/>
          <w:tab w:leader="none" w:pos="6540" w:val="left"/>
        </w:tabs>
        <w:rPr>
          <w:sz w:val="20"/>
          <w:szCs w:val="20"/>
          <w:color w:val="auto"/>
        </w:rPr>
      </w:pPr>
      <w:r>
        <w:rPr>
          <w:rFonts w:ascii="Arial" w:cs="Arial" w:eastAsia="Arial" w:hAnsi="Arial"/>
          <w:sz w:val="18"/>
          <w:szCs w:val="18"/>
          <w:color w:val="auto"/>
        </w:rPr>
        <w:t>Date:</w:t>
        <w:tab/>
        <w:t>March 15, 2022</w:t>
      </w:r>
      <w:r>
        <w:rPr>
          <w:sz w:val="20"/>
          <w:szCs w:val="20"/>
          <w:color w:val="auto"/>
        </w:rPr>
        <w:tab/>
      </w:r>
      <w:r>
        <w:rPr>
          <w:rFonts w:ascii="Arial" w:cs="Arial" w:eastAsia="Arial" w:hAnsi="Arial"/>
          <w:sz w:val="15"/>
          <w:szCs w:val="15"/>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6350</wp:posOffset>
            </wp:positionV>
            <wp:extent cx="30429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-130175</wp:posOffset>
            </wp:positionV>
            <wp:extent cx="298323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Chief Executive Officer</w:t>
      </w:r>
    </w:p>
    <w:p>
      <w:pPr>
        <w:ind w:left="65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Richard Booth, certify that:</w:t>
      </w:r>
    </w:p>
    <w:p>
      <w:pPr>
        <w:spacing w:after="0" w:line="212" w:lineRule="exact"/>
        <w:rPr>
          <w:sz w:val="20"/>
          <w:szCs w:val="20"/>
          <w:color w:val="auto"/>
        </w:rPr>
      </w:pPr>
    </w:p>
    <w:p>
      <w:pPr>
        <w:ind w:left="520" w:hanging="512"/>
        <w:spacing w:after="0"/>
        <w:tabs>
          <w:tab w:leader="none" w:pos="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Definitive Healthcare Corp.;</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61" w:lineRule="auto"/>
        <w:tabs>
          <w:tab w:leader="none" w:pos="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20" w:val="left"/>
          <w:tab w:leader="none" w:pos="6540" w:val="left"/>
        </w:tabs>
        <w:rPr>
          <w:sz w:val="20"/>
          <w:szCs w:val="20"/>
          <w:color w:val="auto"/>
        </w:rPr>
      </w:pPr>
      <w:r>
        <w:rPr>
          <w:rFonts w:ascii="Arial" w:cs="Arial" w:eastAsia="Arial" w:hAnsi="Arial"/>
          <w:sz w:val="18"/>
          <w:szCs w:val="18"/>
          <w:color w:val="auto"/>
        </w:rPr>
        <w:t>Date:</w:t>
        <w:tab/>
        <w:t>March 15, 2022</w:t>
      </w:r>
      <w:r>
        <w:rPr>
          <w:sz w:val="20"/>
          <w:szCs w:val="20"/>
          <w:color w:val="auto"/>
        </w:rPr>
        <w:tab/>
      </w:r>
      <w:r>
        <w:rPr>
          <w:rFonts w:ascii="Arial" w:cs="Arial" w:eastAsia="Arial" w:hAnsi="Arial"/>
          <w:sz w:val="16"/>
          <w:szCs w:val="16"/>
          <w:color w:val="auto"/>
        </w:rPr>
        <w:t>/s/Richard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6350</wp:posOffset>
            </wp:positionV>
            <wp:extent cx="676338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Richard Booth</w:t>
      </w:r>
    </w:p>
    <w:p>
      <w:pPr>
        <w:ind w:left="65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ind w:left="470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In connection with the Annual Report on Form 10-K of Definitive Healthcare Corp. (the “Company”) for the annual period ended December 31, 2021 as filed with the Securities and Exchange Commission on the date hereof (the “Report”), Jason Krantz, as Chief Executive Officer of the Company, and Richard Booth, as Chief Financial Officer of the Company, each hereby certifies, pursuant to 18 U.S.C. § 1350, as adopted pursuant to § 906 of the Sarbanes-Oxley Act of 2002, that, to the best of his knowledge:</w:t>
      </w:r>
    </w:p>
    <w:p>
      <w:pPr>
        <w:spacing w:after="0" w:line="188" w:lineRule="exact"/>
        <w:rPr>
          <w:sz w:val="20"/>
          <w:szCs w:val="20"/>
          <w:color w:val="auto"/>
        </w:rPr>
      </w:pPr>
    </w:p>
    <w:p>
      <w:pPr>
        <w:ind w:left="1020" w:hanging="503"/>
        <w:spacing w:after="0"/>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6350</wp:posOffset>
            </wp:positionV>
            <wp:extent cx="28289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Jason Krantz</w:t>
      </w:r>
    </w:p>
    <w:p>
      <w:pPr>
        <w:spacing w:after="0" w:line="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6350</wp:posOffset>
            </wp:positionV>
            <wp:extent cx="28289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Richard Booth</w:t>
      </w:r>
    </w:p>
    <w:p>
      <w:pPr>
        <w:spacing w:after="0" w:line="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ind w:left="6780"/>
        <w:spacing w:after="0"/>
        <w:rPr>
          <w:sz w:val="20"/>
          <w:szCs w:val="20"/>
          <w:color w:val="auto"/>
        </w:rPr>
      </w:pPr>
      <w:r>
        <w:rPr>
          <w:rFonts w:ascii="Arial" w:cs="Arial" w:eastAsia="Arial" w:hAnsi="Arial"/>
          <w:sz w:val="18"/>
          <w:szCs w:val="18"/>
          <w:i w:val="1"/>
          <w:iCs w:val="1"/>
          <w:color w:val="auto"/>
        </w:rPr>
        <w:t>(Principal Financial Officer)</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1)"/>
      <w:numFmt w:val="decimal"/>
      <w:start w:val="1"/>
    </w:lvl>
    <w:lvl w:ilvl="1">
      <w:lvlJc w:val="left"/>
      <w:lvlText w:val="•"/>
      <w:numFmt w:val="bullet"/>
      <w:start w:val="1"/>
    </w:lvl>
  </w:abstractNum>
  <w:abstractNum w:abstractNumId="3">
    <w:nsid w:val="4F4EF005"/>
    <w:multiLevelType w:val="hybridMultilevel"/>
    <w:lvl w:ilvl="0">
      <w:lvlJc w:val="left"/>
      <w:lvlText w:val="•"/>
      <w:numFmt w:val="bullet"/>
      <w:start w:val="1"/>
    </w:lvl>
    <w:lvl w:ilvl="1">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1)"/>
      <w:numFmt w:val="lowerLetter"/>
      <w:start w:val="1"/>
    </w:lvl>
  </w:abstractNum>
  <w:abstractNum w:abstractNumId="23">
    <w:nsid w:val="5FF87E05"/>
    <w:multiLevelType w:val="hybridMultilevel"/>
    <w:lvl w:ilvl="0">
      <w:lvlJc w:val="left"/>
      <w:lvlText w:val="(%1)"/>
      <w:numFmt w:val="lowerLetter"/>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1)"/>
      <w:numFmt w:val="decimal"/>
      <w:start w:val="2"/>
    </w:lvl>
  </w:abstractNum>
  <w:abstractNum w:abstractNumId="28">
    <w:nsid w:val="1F48EAA1"/>
    <w:multiLevelType w:val="hybridMultilevel"/>
    <w:lvl w:ilvl="0">
      <w:lvlJc w:val="left"/>
      <w:lvlText w:val="(%1)"/>
      <w:numFmt w:val="decimal"/>
      <w:start w:val="3"/>
    </w:lvl>
  </w:abstractNum>
  <w:abstractNum w:abstractNumId="29">
    <w:nsid w:val="1381823A"/>
    <w:multiLevelType w:val="hybridMultilevel"/>
    <w:lvl w:ilvl="0">
      <w:lvlJc w:val="left"/>
      <w:lvlText w:val="%1"/>
      <w:numFmt w:val="decimal"/>
      <w:start w:val="104"/>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1."/>
      <w:numFmt w:val="decimal"/>
      <w:start w:val="1"/>
    </w:lvl>
  </w:abstractNum>
  <w:abstractNum w:abstractNumId="33">
    <w:nsid w:val="15014ACB"/>
    <w:multiLevelType w:val="hybridMultilevel"/>
    <w:lvl w:ilvl="0">
      <w:lvlJc w:val="left"/>
      <w:lvlText w:val="(%1)"/>
      <w:numFmt w:val="lowerRoman"/>
      <w:start w:val="2"/>
    </w:lvl>
  </w:abstractNum>
  <w:abstractNum w:abstractNumId="34">
    <w:nsid w:val="5F5E7FD0"/>
    <w:multiLevelType w:val="hybridMultilevel"/>
    <w:lvl w:ilvl="0">
      <w:lvlJc w:val="left"/>
      <w:lvlText w:val="%1."/>
      <w:numFmt w:val="decimal"/>
      <w:start w:val="2"/>
    </w:lvl>
  </w:abstractNum>
  <w:abstractNum w:abstractNumId="35">
    <w:nsid w:val="98A3148"/>
    <w:multiLevelType w:val="hybridMultilevel"/>
    <w:lvl w:ilvl="0">
      <w:lvlJc w:val="left"/>
      <w:lvlText w:val="%1."/>
      <w:numFmt w:val="decimal"/>
      <w:start w:val="3"/>
    </w:lvl>
  </w:abstractNum>
  <w:abstractNum w:abstractNumId="36">
    <w:nsid w:val="799D0247"/>
    <w:multiLevelType w:val="hybridMultilevel"/>
    <w:lvl w:ilvl="0">
      <w:lvlJc w:val="left"/>
      <w:lvlText w:val="%1."/>
      <w:numFmt w:val="decimal"/>
      <w:start w:val="1"/>
    </w:lvl>
  </w:abstractNum>
  <w:abstractNum w:abstractNumId="37">
    <w:nsid w:val="6B94764"/>
    <w:multiLevelType w:val="hybridMultilevel"/>
    <w:lvl w:ilvl="0">
      <w:lvlJc w:val="left"/>
      <w:lvlText w:val="%1."/>
      <w:numFmt w:val="decimal"/>
      <w:start w:val="4"/>
    </w:lvl>
  </w:abstractNum>
  <w:abstractNum w:abstractNumId="38">
    <w:nsid w:val="42C296BD"/>
    <w:multiLevelType w:val="hybridMultilevel"/>
    <w:lvl w:ilvl="0">
      <w:lvlJc w:val="left"/>
      <w:lvlText w:val="%1."/>
      <w:numFmt w:val="decimal"/>
      <w:start w:val="5"/>
    </w:lvl>
  </w:abstractNum>
  <w:abstractNum w:abstractNumId="39">
    <w:nsid w:val="168E121F"/>
    <w:multiLevelType w:val="hybridMultilevel"/>
    <w:lvl w:ilvl="0">
      <w:lvlJc w:val="left"/>
      <w:lvlText w:val="%1."/>
      <w:numFmt w:val="decimal"/>
      <w:start w:val="7"/>
    </w:lvl>
  </w:abstractNum>
  <w:abstractNum w:abstractNumId="40">
    <w:nsid w:val="1EBA5D23"/>
    <w:multiLevelType w:val="hybridMultilevel"/>
    <w:lvl w:ilvl="0">
      <w:lvlJc w:val="left"/>
      <w:lvlText w:val="%1."/>
      <w:numFmt w:val="decimal"/>
      <w:start w:val="8"/>
    </w:lvl>
  </w:abstractNum>
  <w:abstractNum w:abstractNumId="41">
    <w:nsid w:val="661E3F1E"/>
    <w:multiLevelType w:val="hybridMultilevel"/>
    <w:lvl w:ilvl="0">
      <w:lvlJc w:val="left"/>
      <w:lvlText w:val="%1."/>
      <w:numFmt w:val="decimal"/>
      <w:start w:val="9"/>
    </w:lvl>
  </w:abstractNum>
  <w:abstractNum w:abstractNumId="42">
    <w:nsid w:val="5DC79EA8"/>
    <w:multiLevelType w:val="hybridMultilevel"/>
    <w:lvl w:ilvl="0">
      <w:lvlJc w:val="left"/>
      <w:lvlText w:val="%1."/>
      <w:numFmt w:val="decimal"/>
      <w:start w:val="10"/>
    </w:lvl>
  </w:abstractNum>
  <w:abstractNum w:abstractNumId="43">
    <w:nsid w:val="540A471C"/>
    <w:multiLevelType w:val="hybridMultilevel"/>
    <w:lvl w:ilvl="0">
      <w:lvlJc w:val="left"/>
      <w:lvlText w:val="%1."/>
      <w:numFmt w:val="decimal"/>
      <w:start w:val="11"/>
    </w:lvl>
  </w:abstractNum>
  <w:abstractNum w:abstractNumId="44">
    <w:nsid w:val="7BD3EE7B"/>
    <w:multiLevelType w:val="hybridMultilevel"/>
    <w:lvl w:ilvl="0">
      <w:lvlJc w:val="left"/>
      <w:lvlText w:val="%1."/>
      <w:numFmt w:val="decimal"/>
      <w:start w:val="12"/>
    </w:lvl>
  </w:abstractNum>
  <w:abstractNum w:abstractNumId="45">
    <w:nsid w:val="51D9C564"/>
    <w:multiLevelType w:val="hybridMultilevel"/>
    <w:lvl w:ilvl="0">
      <w:lvlJc w:val="left"/>
      <w:lvlText w:val="%1."/>
      <w:numFmt w:val="decimal"/>
      <w:start w:val="13"/>
    </w:lvl>
  </w:abstractNum>
  <w:abstractNum w:abstractNumId="46">
    <w:nsid w:val="613EFDC5"/>
    <w:multiLevelType w:val="hybridMultilevel"/>
    <w:lvl w:ilvl="0">
      <w:lvlJc w:val="left"/>
      <w:lvlText w:val="%1."/>
      <w:numFmt w:val="decimal"/>
      <w:start w:val="14"/>
    </w:lvl>
  </w:abstractNum>
  <w:abstractNum w:abstractNumId="47">
    <w:nsid w:val="BF72B14"/>
    <w:multiLevelType w:val="hybridMultilevel"/>
    <w:lvl w:ilvl="0">
      <w:lvlJc w:val="left"/>
      <w:lvlText w:val="%1."/>
      <w:numFmt w:val="decimal"/>
      <w:start w:val="15"/>
    </w:lvl>
  </w:abstractNum>
  <w:abstractNum w:abstractNumId="48">
    <w:nsid w:val="11447B73"/>
    <w:multiLevelType w:val="hybridMultilevel"/>
    <w:lvl w:ilvl="0">
      <w:lvlJc w:val="left"/>
      <w:lvlText w:val="%1."/>
      <w:numFmt w:val="decimal"/>
      <w:start w:val="16"/>
    </w:lvl>
  </w:abstractNum>
  <w:abstractNum w:abstractNumId="49">
    <w:nsid w:val="42963E5A"/>
    <w:multiLevelType w:val="hybridMultilevel"/>
    <w:lvl w:ilvl="0">
      <w:lvlJc w:val="left"/>
      <w:lvlText w:val="%1."/>
      <w:numFmt w:val="decimal"/>
      <w:start w:val="17"/>
    </w:lvl>
  </w:abstractNum>
  <w:abstractNum w:abstractNumId="50">
    <w:nsid w:val="A0382C5"/>
    <w:multiLevelType w:val="hybridMultilevel"/>
    <w:lvl w:ilvl="0">
      <w:lvlJc w:val="left"/>
      <w:lvlText w:val="%1."/>
      <w:numFmt w:val="decimal"/>
      <w:start w:val="18"/>
    </w:lvl>
  </w:abstractNum>
  <w:abstractNum w:abstractNumId="51">
    <w:nsid w:val="8F2B15E"/>
    <w:multiLevelType w:val="hybridMultilevel"/>
    <w:lvl w:ilvl="0">
      <w:lvlJc w:val="left"/>
      <w:lvlText w:val="%1."/>
      <w:numFmt w:val="decimal"/>
      <w:start w:val="19"/>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lvl w:ilvl="1">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1."/>
      <w:numFmt w:val="decimal"/>
      <w:start w:val="1"/>
    </w:lvl>
  </w:abstractNum>
  <w:abstractNum w:abstractNumId="57">
    <w:nsid w:val="6A5EE64"/>
    <w:multiLevelType w:val="hybridMultilevel"/>
    <w:lvl w:ilvl="0">
      <w:lvlJc w:val="left"/>
      <w:lvlText w:val="%1."/>
      <w:numFmt w:val="decimal"/>
      <w:start w:val="3"/>
    </w:lvl>
  </w:abstractNum>
  <w:abstractNum w:abstractNumId="58">
    <w:nsid w:val="14330624"/>
    <w:multiLevelType w:val="hybridMultilevel"/>
    <w:lvl w:ilvl="0">
      <w:lvlJc w:val="left"/>
      <w:lvlText w:val="%1."/>
      <w:numFmt w:val="lowerLetter"/>
      <w:start w:val="1"/>
    </w:lvl>
  </w:abstractNum>
  <w:abstractNum w:abstractNumId="59">
    <w:nsid w:val="7FFFCA11"/>
    <w:multiLevelType w:val="hybridMultilevel"/>
    <w:lvl w:ilvl="0">
      <w:lvlJc w:val="left"/>
      <w:lvlText w:val="%1."/>
      <w:numFmt w:val="lowerLetter"/>
      <w:start w:val="3"/>
    </w:lvl>
  </w:abstractNum>
  <w:abstractNum w:abstractNumId="60">
    <w:nsid w:val="1A27709E"/>
    <w:multiLevelType w:val="hybridMultilevel"/>
    <w:lvl w:ilvl="0">
      <w:lvlJc w:val="left"/>
      <w:lvlText w:val="%1."/>
      <w:numFmt w:val="decimal"/>
      <w:start w:val="4"/>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lowerRoman"/>
      <w:start w:val="1"/>
    </w:lvl>
    <w:lvl w:ilvl="1">
      <w:lvlJc w:val="left"/>
      <w:lvlText w:val="%2."/>
      <w:numFmt w:val="lowerLetter"/>
      <w:start w:val="4"/>
    </w:lvl>
  </w:abstractNum>
  <w:abstractNum w:abstractNumId="63">
    <w:nsid w:val="7FB7E0AA"/>
    <w:multiLevelType w:val="hybridMultilevel"/>
    <w:lvl w:ilvl="0">
      <w:lvlJc w:val="left"/>
      <w:lvlText w:val="(%1)"/>
      <w:numFmt w:val="lowerRoman"/>
      <w:start w:val="1"/>
    </w:lvl>
    <w:lvl w:ilvl="1">
      <w:lvlJc w:val="left"/>
      <w:lvlText w:val="%2."/>
      <w:numFmt w:val="lowerLetter"/>
      <w:start w:val="5"/>
    </w:lvl>
  </w:abstractNum>
  <w:abstractNum w:abstractNumId="64">
    <w:nsid w:val="6EB5BD4"/>
    <w:multiLevelType w:val="hybridMultilevel"/>
    <w:lvl w:ilvl="0">
      <w:lvlJc w:val="left"/>
      <w:lvlText w:val="%1."/>
      <w:numFmt w:val="decimal"/>
      <w:start w:val="5"/>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2"/>
    </w:lvl>
  </w:abstractNum>
  <w:abstractNum w:abstractNumId="67">
    <w:nsid w:val="885E1B"/>
    <w:multiLevelType w:val="hybridMultilevel"/>
    <w:lvl w:ilvl="0">
      <w:lvlJc w:val="left"/>
      <w:lvlText w:val="%1."/>
      <w:numFmt w:val="decimal"/>
      <w:start w:val="6"/>
    </w:lvl>
  </w:abstractNum>
  <w:abstractNum w:abstractNumId="68">
    <w:nsid w:val="76272110"/>
    <w:multiLevelType w:val="hybridMultilevel"/>
    <w:lvl w:ilvl="0">
      <w:lvlJc w:val="left"/>
      <w:lvlText w:val="%1"/>
      <w:numFmt w:val="decimal"/>
      <w:start w:val="1"/>
    </w:lvl>
    <w:lvl w:ilvl="1">
      <w:lvlJc w:val="left"/>
      <w:lvlText w:val="%2."/>
      <w:numFmt w:val="lowerLetter"/>
      <w:start w:val="1"/>
    </w:lvl>
  </w:abstractNum>
  <w:abstractNum w:abstractNumId="69">
    <w:nsid w:val="4C04A8AF"/>
    <w:multiLevelType w:val="hybridMultilevel"/>
    <w:lvl w:ilvl="0">
      <w:lvlJc w:val="left"/>
      <w:lvlText w:val="(%1)"/>
      <w:numFmt w:val="decimal"/>
      <w:start w:val="10"/>
    </w:lvl>
    <w:lvl w:ilvl="1">
      <w:lvlJc w:val="left"/>
      <w:lvlText w:val="%2"/>
      <w:numFmt w:val="lowerLetter"/>
      <w:start w:val="1"/>
    </w:lvl>
  </w:abstractNum>
  <w:abstractNum w:abstractNumId="70">
    <w:nsid w:val="1716703B"/>
    <w:multiLevelType w:val="hybridMultilevel"/>
    <w:lvl w:ilvl="0">
      <w:lvlJc w:val="left"/>
      <w:lvlText w:val="%1."/>
      <w:numFmt w:val="lowerLetter"/>
      <w:start w:val="5"/>
    </w:lvl>
  </w:abstractNum>
  <w:abstractNum w:abstractNumId="71">
    <w:nsid w:val="14E17E33"/>
    <w:multiLevelType w:val="hybridMultilevel"/>
    <w:lvl w:ilvl="0">
      <w:lvlJc w:val="left"/>
      <w:lvlText w:val="%1."/>
      <w:numFmt w:val="lowerLetter"/>
      <w:start w:val="8"/>
    </w:lvl>
  </w:abstractNum>
  <w:abstractNum w:abstractNumId="72">
    <w:nsid w:val="3222E7CD"/>
    <w:multiLevelType w:val="hybridMultilevel"/>
    <w:lvl w:ilvl="0">
      <w:lvlJc w:val="left"/>
      <w:lvlText w:val="%1."/>
      <w:numFmt w:val="lowerRoman"/>
      <w:start w:val="1"/>
    </w:lvl>
  </w:abstractNum>
  <w:abstractNum w:abstractNumId="73">
    <w:nsid w:val="74DE0EE3"/>
    <w:multiLevelType w:val="hybridMultilevel"/>
    <w:lvl w:ilvl="0">
      <w:lvlJc w:val="left"/>
      <w:lvlText w:val="%1."/>
      <w:numFmt w:val="decimal"/>
      <w:start w:val="7"/>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3"/>
    </w:lvl>
  </w:abstractNum>
  <w:abstractNum w:abstractNumId="76">
    <w:nsid w:val="46B7D447"/>
    <w:multiLevelType w:val="hybridMultilevel"/>
    <w:lvl w:ilvl="0">
      <w:lvlJc w:val="left"/>
      <w:lvlText w:val="%1."/>
      <w:numFmt w:val="decimal"/>
      <w:start w:val="8"/>
    </w:lvl>
  </w:abstractNum>
  <w:abstractNum w:abstractNumId="77">
    <w:nsid w:val="4A2AC315"/>
    <w:multiLevelType w:val="hybridMultilevel"/>
    <w:lvl w:ilvl="0">
      <w:lvlJc w:val="left"/>
      <w:lvlText w:val="%1."/>
      <w:numFmt w:val="lowerLetter"/>
      <w:start w:val="1"/>
    </w:lvl>
  </w:abstractNum>
  <w:abstractNum w:abstractNumId="78">
    <w:nsid w:val="39EE015C"/>
    <w:multiLevelType w:val="hybridMultilevel"/>
    <w:lvl w:ilvl="0">
      <w:lvlJc w:val="left"/>
      <w:lvlText w:val="%1."/>
      <w:numFmt w:val="lowerLetter"/>
      <w:start w:val="4"/>
    </w:lvl>
  </w:abstractNum>
  <w:abstractNum w:abstractNumId="79">
    <w:nsid w:val="57FC4FBB"/>
    <w:multiLevelType w:val="hybridMultilevel"/>
    <w:lvl w:ilvl="0">
      <w:lvlJc w:val="left"/>
      <w:lvlText w:val="%1."/>
      <w:numFmt w:val="decimal"/>
      <w:start w:val="9"/>
    </w:lvl>
  </w:abstractNum>
  <w:abstractNum w:abstractNumId="80">
    <w:nsid w:val="CC1016F"/>
    <w:multiLevelType w:val="hybridMultilevel"/>
    <w:lvl w:ilvl="0">
      <w:lvlJc w:val="left"/>
      <w:lvlText w:val="%1."/>
      <w:numFmt w:val="lowerLetter"/>
      <w:start w:val="1"/>
    </w:lvl>
  </w:abstractNum>
  <w:abstractNum w:abstractNumId="81">
    <w:nsid w:val="43F18422"/>
    <w:multiLevelType w:val="hybridMultilevel"/>
    <w:lvl w:ilvl="0">
      <w:lvlJc w:val="left"/>
      <w:lvlText w:val="%1."/>
      <w:numFmt w:val="lowerLetter"/>
      <w:start w:val="3"/>
    </w:lvl>
  </w:abstractNum>
  <w:abstractNum w:abstractNumId="82">
    <w:nsid w:val="60EF0119"/>
    <w:multiLevelType w:val="hybridMultilevel"/>
    <w:lvl w:ilvl="0">
      <w:lvlJc w:val="left"/>
      <w:lvlText w:val="%1."/>
      <w:numFmt w:val="decimal"/>
      <w:start w:val="10"/>
    </w:lvl>
  </w:abstractNum>
  <w:abstractNum w:abstractNumId="83">
    <w:nsid w:val="26F324BA"/>
    <w:multiLevelType w:val="hybridMultilevel"/>
    <w:lvl w:ilvl="0">
      <w:lvlJc w:val="left"/>
      <w:lvlText w:val="%1."/>
      <w:numFmt w:val="lowerLetter"/>
      <w:start w:val="1"/>
    </w:lvl>
  </w:abstractNum>
  <w:abstractNum w:abstractNumId="84">
    <w:nsid w:val="7F01579B"/>
    <w:multiLevelType w:val="hybridMultilevel"/>
    <w:lvl w:ilvl="0">
      <w:lvlJc w:val="left"/>
      <w:lvlText w:val="%1."/>
      <w:numFmt w:val="decimal"/>
      <w:start w:val="11"/>
    </w:lvl>
  </w:abstractNum>
  <w:abstractNum w:abstractNumId="85">
    <w:nsid w:val="49DA307D"/>
    <w:multiLevelType w:val="hybridMultilevel"/>
    <w:lvl w:ilvl="0">
      <w:lvlJc w:val="left"/>
      <w:lvlText w:val="%1."/>
      <w:numFmt w:val="lowerLetter"/>
      <w:start w:val="1"/>
    </w:lvl>
  </w:abstractNum>
  <w:abstractNum w:abstractNumId="86">
    <w:nsid w:val="7055A5F5"/>
    <w:multiLevelType w:val="hybridMultilevel"/>
    <w:lvl w:ilvl="0">
      <w:lvlJc w:val="left"/>
      <w:lvlText w:val="%1."/>
      <w:numFmt w:val="lowerLetter"/>
      <w:start w:val="2"/>
    </w:lvl>
  </w:abstractNum>
  <w:abstractNum w:abstractNumId="87">
    <w:nsid w:val="5FB8370B"/>
    <w:multiLevelType w:val="hybridMultilevel"/>
    <w:lvl w:ilvl="0">
      <w:lvlJc w:val="left"/>
      <w:lvlText w:val="%1."/>
      <w:numFmt w:val="lowerLetter"/>
      <w:start w:val="3"/>
    </w:lvl>
  </w:abstractNum>
  <w:abstractNum w:abstractNumId="88">
    <w:nsid w:val="50801EE1"/>
    <w:multiLevelType w:val="hybridMultilevel"/>
    <w:lvl w:ilvl="0">
      <w:lvlJc w:val="left"/>
      <w:lvlText w:val="%1."/>
      <w:numFmt w:val="lowerLetter"/>
      <w:start w:val="4"/>
    </w:lvl>
  </w:abstractNum>
  <w:abstractNum w:abstractNumId="89">
    <w:nsid w:val="488AC1A"/>
    <w:multiLevelType w:val="hybridMultilevel"/>
    <w:lvl w:ilvl="0">
      <w:lvlJc w:val="left"/>
      <w:lvlText w:val="%1."/>
      <w:numFmt w:val="decimal"/>
      <w:start w:val="12"/>
    </w:lvl>
  </w:abstractNum>
  <w:abstractNum w:abstractNumId="90">
    <w:nsid w:val="5FB8011C"/>
    <w:multiLevelType w:val="hybridMultilevel"/>
    <w:lvl w:ilvl="0">
      <w:lvlJc w:val="left"/>
      <w:lvlText w:val="%1."/>
      <w:numFmt w:val="lowerLetter"/>
      <w:start w:val="1"/>
    </w:lvl>
  </w:abstractNum>
  <w:abstractNum w:abstractNumId="91">
    <w:nsid w:val="6AA78F7F"/>
    <w:multiLevelType w:val="hybridMultilevel"/>
    <w:lvl w:ilvl="0">
      <w:lvlJc w:val="left"/>
      <w:lvlText w:val="(%1)"/>
      <w:numFmt w:val="decimal"/>
      <w:start w:val="2"/>
    </w:lvl>
  </w:abstractNum>
  <w:abstractNum w:abstractNumId="92">
    <w:nsid w:val="7672BD23"/>
    <w:multiLevelType w:val="hybridMultilevel"/>
    <w:lvl w:ilvl="0">
      <w:lvlJc w:val="left"/>
      <w:lvlText w:val="%1."/>
      <w:numFmt w:val="lowerLetter"/>
      <w:start w:val="3"/>
    </w:lvl>
  </w:abstractNum>
  <w:abstractNum w:abstractNumId="93">
    <w:nsid w:val="6FC75AF8"/>
    <w:multiLevelType w:val="hybridMultilevel"/>
    <w:lvl w:ilvl="0">
      <w:lvlJc w:val="left"/>
      <w:lvlText w:val="%1."/>
      <w:numFmt w:val="decimal"/>
      <w:start w:val="13"/>
    </w:lvl>
  </w:abstractNum>
  <w:abstractNum w:abstractNumId="94">
    <w:nsid w:val="6A5F7029"/>
    <w:multiLevelType w:val="hybridMultilevel"/>
    <w:lvl w:ilvl="0">
      <w:lvlJc w:val="left"/>
      <w:lvlText w:val="%1."/>
      <w:numFmt w:val="lowerLetter"/>
      <w:start w:val="1"/>
    </w:lvl>
  </w:abstractNum>
  <w:abstractNum w:abstractNumId="95">
    <w:nsid w:val="7D5E18F8"/>
    <w:multiLevelType w:val="hybridMultilevel"/>
    <w:lvl w:ilvl="0">
      <w:lvlJc w:val="left"/>
      <w:lvlText w:val="%1."/>
      <w:numFmt w:val="lowerLetter"/>
      <w:start w:val="3"/>
    </w:lvl>
  </w:abstractNum>
  <w:abstractNum w:abstractNumId="96">
    <w:nsid w:val="5F3534A4"/>
    <w:multiLevelType w:val="hybridMultilevel"/>
    <w:lvl w:ilvl="0">
      <w:lvlJc w:val="left"/>
      <w:lvlText w:val="%1."/>
      <w:numFmt w:val="lowerLetter"/>
      <w:start w:val="6"/>
    </w:lvl>
  </w:abstractNum>
  <w:abstractNum w:abstractNumId="97">
    <w:nsid w:val="73A1821B"/>
    <w:multiLevelType w:val="hybridMultilevel"/>
    <w:lvl w:ilvl="0">
      <w:lvlJc w:val="left"/>
      <w:lvlText w:val="%1."/>
      <w:numFmt w:val="lowerLetter"/>
      <w:start w:val="9"/>
    </w:lvl>
  </w:abstractNum>
  <w:abstractNum w:abstractNumId="98">
    <w:nsid w:val="7DE67713"/>
    <w:multiLevelType w:val="hybridMultilevel"/>
    <w:lvl w:ilvl="0">
      <w:lvlJc w:val="left"/>
      <w:lvlText w:val="%1."/>
      <w:numFmt w:val="lowerLetter"/>
      <w:start w:val="12"/>
    </w:lvl>
  </w:abstractNum>
  <w:abstractNum w:abstractNumId="99">
    <w:nsid w:val="555C55B5"/>
    <w:multiLevelType w:val="hybridMultilevel"/>
    <w:lvl w:ilvl="0">
      <w:lvlJc w:val="left"/>
      <w:lvlText w:val="%1."/>
      <w:numFmt w:val="lowerLetter"/>
      <w:start w:val="17"/>
    </w:lvl>
  </w:abstractNum>
  <w:abstractNum w:abstractNumId="100">
    <w:nsid w:val="3FA62ACA"/>
    <w:multiLevelType w:val="hybridMultilevel"/>
    <w:lvl w:ilvl="0">
      <w:lvlJc w:val="left"/>
      <w:lvlText w:val="%1."/>
      <w:numFmt w:val="decimal"/>
      <w:start w:val="15"/>
    </w:lvl>
  </w:abstractNum>
  <w:abstractNum w:abstractNumId="101">
    <w:nsid w:val="14FCE74E"/>
    <w:multiLevelType w:val="hybridMultilevel"/>
    <w:lvl w:ilvl="0">
      <w:lvlJc w:val="left"/>
      <w:lvlText w:val="%1."/>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png"/><Relationship Id="rId428" Type="http://schemas.openxmlformats.org/officeDocument/2006/relationships/image" Target="media/image396.png"/><Relationship Id="rId429"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438" Type="http://schemas.openxmlformats.org/officeDocument/2006/relationships/image" Target="media/image406.png"/><Relationship Id="rId439" Type="http://schemas.openxmlformats.org/officeDocument/2006/relationships/image" Target="media/image407.png"/><Relationship Id="rId440" Type="http://schemas.openxmlformats.org/officeDocument/2006/relationships/image" Target="media/image408.png"/><Relationship Id="rId441" Type="http://schemas.openxmlformats.org/officeDocument/2006/relationships/image" Target="media/image409.png"/><Relationship Id="rId442" Type="http://schemas.openxmlformats.org/officeDocument/2006/relationships/image" Target="media/image410.png"/><Relationship Id="rId443" Type="http://schemas.openxmlformats.org/officeDocument/2006/relationships/image" Target="media/image411.png"/><Relationship Id="rId444" Type="http://schemas.openxmlformats.org/officeDocument/2006/relationships/image" Target="media/image412.png"/><Relationship Id="rId445" Type="http://schemas.openxmlformats.org/officeDocument/2006/relationships/image" Target="media/image413.png"/><Relationship Id="rId446" Type="http://schemas.openxmlformats.org/officeDocument/2006/relationships/image" Target="media/image414.png"/><Relationship Id="rId447" Type="http://schemas.openxmlformats.org/officeDocument/2006/relationships/image" Target="media/image415.png"/><Relationship Id="rId448" Type="http://schemas.openxmlformats.org/officeDocument/2006/relationships/image" Target="media/image416.png"/><Relationship Id="rId449" Type="http://schemas.openxmlformats.org/officeDocument/2006/relationships/image" Target="media/image417.png"/><Relationship Id="rId450" Type="http://schemas.openxmlformats.org/officeDocument/2006/relationships/image" Target="media/image418.png"/><Relationship Id="rId451" Type="http://schemas.openxmlformats.org/officeDocument/2006/relationships/image" Target="media/image419.png"/><Relationship Id="rId452" Type="http://schemas.openxmlformats.org/officeDocument/2006/relationships/image" Target="media/image420.png"/><Relationship Id="rId453" Type="http://schemas.openxmlformats.org/officeDocument/2006/relationships/image" Target="media/image421.png"/><Relationship Id="rId454" Type="http://schemas.openxmlformats.org/officeDocument/2006/relationships/image" Target="media/image422.png"/><Relationship Id="rId455" Type="http://schemas.openxmlformats.org/officeDocument/2006/relationships/image" Target="media/image423.png"/><Relationship Id="rId456" Type="http://schemas.openxmlformats.org/officeDocument/2006/relationships/image" Target="media/image424.png"/><Relationship Id="rId457" Type="http://schemas.openxmlformats.org/officeDocument/2006/relationships/image" Target="media/image425.png"/><Relationship Id="rId458" Type="http://schemas.openxmlformats.org/officeDocument/2006/relationships/image" Target="media/image426.png"/><Relationship Id="rId459" Type="http://schemas.openxmlformats.org/officeDocument/2006/relationships/image" Target="media/image427.png"/><Relationship Id="rId460" Type="http://schemas.openxmlformats.org/officeDocument/2006/relationships/image" Target="media/image428.png"/><Relationship Id="rId461" Type="http://schemas.openxmlformats.org/officeDocument/2006/relationships/image" Target="media/image429.png"/><Relationship Id="rId462" Type="http://schemas.openxmlformats.org/officeDocument/2006/relationships/image" Target="media/image430.png"/><Relationship Id="rId463" Type="http://schemas.openxmlformats.org/officeDocument/2006/relationships/image" Target="media/image431.png"/><Relationship Id="rId464" Type="http://schemas.openxmlformats.org/officeDocument/2006/relationships/image" Target="media/image432.png"/><Relationship Id="rId465" Type="http://schemas.openxmlformats.org/officeDocument/2006/relationships/image" Target="media/image433.png"/><Relationship Id="rId466" Type="http://schemas.openxmlformats.org/officeDocument/2006/relationships/image" Target="media/image434.png"/><Relationship Id="rId467" Type="http://schemas.openxmlformats.org/officeDocument/2006/relationships/image" Target="media/image435.png"/><Relationship Id="rId468" Type="http://schemas.openxmlformats.org/officeDocument/2006/relationships/image" Target="media/image436.png"/><Relationship Id="rId469" Type="http://schemas.openxmlformats.org/officeDocument/2006/relationships/image" Target="media/image437.png"/><Relationship Id="rId470" Type="http://schemas.openxmlformats.org/officeDocument/2006/relationships/image" Target="media/image438.png"/><Relationship Id="rId471" Type="http://schemas.openxmlformats.org/officeDocument/2006/relationships/image" Target="media/image439.png"/><Relationship Id="rId472"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5" Type="http://schemas.openxmlformats.org/officeDocument/2006/relationships/image" Target="media/image443.png"/><Relationship Id="rId476" Type="http://schemas.openxmlformats.org/officeDocument/2006/relationships/image" Target="media/image444.png"/><Relationship Id="rId477" Type="http://schemas.openxmlformats.org/officeDocument/2006/relationships/image" Target="media/image445.png"/><Relationship Id="rId478"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2" Type="http://schemas.openxmlformats.org/officeDocument/2006/relationships/image" Target="media/image450.png"/><Relationship Id="rId483" Type="http://schemas.openxmlformats.org/officeDocument/2006/relationships/image" Target="media/image451.pn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492" Type="http://schemas.openxmlformats.org/officeDocument/2006/relationships/image" Target="media/image460.png"/><Relationship Id="rId493" Type="http://schemas.openxmlformats.org/officeDocument/2006/relationships/image" Target="media/image461.png"/><Relationship Id="rId494" Type="http://schemas.openxmlformats.org/officeDocument/2006/relationships/image" Target="media/image462.pn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png"/><Relationship Id="rId498" Type="http://schemas.openxmlformats.org/officeDocument/2006/relationships/image" Target="media/image466.png"/><Relationship Id="rId499" Type="http://schemas.openxmlformats.org/officeDocument/2006/relationships/image" Target="media/image467.pn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png"/><Relationship Id="rId510" Type="http://schemas.openxmlformats.org/officeDocument/2006/relationships/image" Target="media/image478.png"/><Relationship Id="rId511" Type="http://schemas.openxmlformats.org/officeDocument/2006/relationships/image" Target="media/image479.png"/><Relationship Id="rId512" Type="http://schemas.openxmlformats.org/officeDocument/2006/relationships/image" Target="media/image480.png"/><Relationship Id="rId513" Type="http://schemas.openxmlformats.org/officeDocument/2006/relationships/image" Target="media/image481.png"/><Relationship Id="rId514" Type="http://schemas.openxmlformats.org/officeDocument/2006/relationships/image" Target="media/image482.png"/><Relationship Id="rId515" Type="http://schemas.openxmlformats.org/officeDocument/2006/relationships/image" Target="media/image483.png"/><Relationship Id="rId516" Type="http://schemas.openxmlformats.org/officeDocument/2006/relationships/image" Target="media/image484.png"/><Relationship Id="rId517" Type="http://schemas.openxmlformats.org/officeDocument/2006/relationships/image" Target="media/image485.png"/><Relationship Id="rId518" Type="http://schemas.openxmlformats.org/officeDocument/2006/relationships/image" Target="media/image486.png"/><Relationship Id="rId106" Type="http://schemas.openxmlformats.org/officeDocument/2006/relationships/hyperlink" Target="https://www.sec.gov/Archives/edgar/data/1861795/000095017021003484/dh-ex3_1.htm" TargetMode="External"/><Relationship Id="rId107" Type="http://schemas.openxmlformats.org/officeDocument/2006/relationships/hyperlink" Target="https://www.sec.gov/Archives/edgar/data/1861795/000095017021003484/dh-ex3_2.htm" TargetMode="External"/><Relationship Id="rId108" Type="http://schemas.openxmlformats.org/officeDocument/2006/relationships/hyperlink" Target="https://www.sec.gov/Archives/edgar/data/1861795/000095017021003484/dh-ex3_3.htm" TargetMode="External"/><Relationship Id="rId109" Type="http://schemas.openxmlformats.org/officeDocument/2006/relationships/hyperlink" Target="https://www.sec.gov/Archives/edgar/data/1861795/000119312521277423/d402153dex101.htm" TargetMode="External"/><Relationship Id="rId110" Type="http://schemas.openxmlformats.org/officeDocument/2006/relationships/hyperlink" Target="https://www.sec.gov/Archives/edgar/data/1861795/000095017021003484/dh-ex10_8.htm" TargetMode="External"/><Relationship Id="rId111" Type="http://schemas.openxmlformats.org/officeDocument/2006/relationships/hyperlink" Target="https://www.sec.gov/Archives/edgar/data/1861795/000095017021003484/dh-ex10_9.htm" TargetMode="External"/><Relationship Id="rId112" Type="http://schemas.openxmlformats.org/officeDocument/2006/relationships/hyperlink" Target="https://www.sec.gov/Archives/edgar/data/1861795/000095017021003484/dh-ex10_10.htm" TargetMode="External"/><Relationship Id="rId113" Type="http://schemas.openxmlformats.org/officeDocument/2006/relationships/hyperlink" Target="https://www.sec.gov/Archives/edgar/data/1861795/000095017021003484/dh-ex10_11.htm" TargetMode="External"/><Relationship Id="rId114" Type="http://schemas.openxmlformats.org/officeDocument/2006/relationships/hyperlink" Target="https://www.sec.gov/Archives/edgar/data/1861795/000095017021003484/dh-ex10_12.htm" TargetMode="External"/><Relationship Id="rId115" Type="http://schemas.openxmlformats.org/officeDocument/2006/relationships/hyperlink" Target="https://www.sec.gov/Archives/edgar/data/1861795/000095017021003484/dh-ex10_13.htm" TargetMode="External"/><Relationship Id="rId116" Type="http://schemas.openxmlformats.org/officeDocument/2006/relationships/hyperlink" Target="https://www.sec.gov/Archives/edgar/data/1861795/000095017021003484/dh-ex10_14.htm" TargetMode="External"/><Relationship Id="rId117" Type="http://schemas.openxmlformats.org/officeDocument/2006/relationships/hyperlink" Target="https://www.sec.gov/Archives/edgar/data/1861795/000119312521266049/d127783dex1019.htm" TargetMode="External"/><Relationship Id="rId121" Type="http://schemas.openxmlformats.org/officeDocument/2006/relationships/hyperlink" Target="https://www.sec.gov/Archives/edgar/data/1861795/000119312521330014/d204687dex1021.htm" TargetMode="External"/><Relationship Id="rId122" Type="http://schemas.openxmlformats.org/officeDocument/2006/relationships/hyperlink" Target="https://www.sec.gov/Archives/edgar/data/1861795/000119312521252899/d127783dex101.htm" TargetMode="External"/><Relationship Id="rId123" Type="http://schemas.openxmlformats.org/officeDocument/2006/relationships/hyperlink" Target="https://www.sec.gov/Archives/edgar/data/1861795/000119312521252899/d127783dex103.htm" TargetMode="External"/><Relationship Id="rId124" Type="http://schemas.openxmlformats.org/officeDocument/2006/relationships/hyperlink" Target="https://www.sec.gov/Archives/edgar/data/1861795/000119312521252899/d127783dex104.htm" TargetMode="External"/><Relationship Id="rId125" Type="http://schemas.openxmlformats.org/officeDocument/2006/relationships/hyperlink" Target="https://www.sec.gov/Archives/edgar/data/1861795/000119312521252899/d127783dex106.htm" TargetMode="External"/><Relationship Id="rId126" Type="http://schemas.openxmlformats.org/officeDocument/2006/relationships/hyperlink" Target="https://www.sec.gov/Archives/edgar/data/1861795/000119312521252899/d127783dex107.htm" TargetMode="External"/><Relationship Id="rId127" Type="http://schemas.openxmlformats.org/officeDocument/2006/relationships/hyperlink" Target="https://www.sec.gov/Archives/edgar/data/1861795/000119312521252899/d127783dex108.htm" TargetMode="External"/><Relationship Id="rId128" Type="http://schemas.openxmlformats.org/officeDocument/2006/relationships/hyperlink" Target="https://www.sec.gov/Archives/edgar/data/1861795/000119312521252899/d127783dex109.htm" TargetMode="External"/><Relationship Id="rId129" Type="http://schemas.openxmlformats.org/officeDocument/2006/relationships/hyperlink" Target="https://www.sec.gov/Archives/edgar/data/1861795/000119312521252899/d127783dex1010.htm" TargetMode="External"/><Relationship Id="rId130" Type="http://schemas.openxmlformats.org/officeDocument/2006/relationships/hyperlink" Target="https://www.sec.gov/Archives/edgar/data/1861795/000119312521295520/d225328dex101.htm" TargetMode="External"/><Relationship Id="rId131" Type="http://schemas.openxmlformats.org/officeDocument/2006/relationships/hyperlink" Target="https://www.sec.gov/Archives/edgar/data/1861795/000095017021003484/dh-ex10_16.htm" TargetMode="External"/><Relationship Id="rId132" Type="http://schemas.openxmlformats.org/officeDocument/2006/relationships/hyperlink" Target="https://www.sec.gov/Archives/edgar/data/1861795/000095017021003484/dh-ex10_17.htm" TargetMode="External"/><Relationship Id="rId133" Type="http://schemas.openxmlformats.org/officeDocument/2006/relationships/hyperlink" Target="https://www.sec.gov/Archives/edgar/data/1861795/000119312521252899/d12778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2022-03-15T15:45:28Z</dcterms:created>
  <dcterms:modified xsi:type="dcterms:W3CDTF">2022-03-15T15:45:28Z</dcterms:modified>
</cp:coreProperties>
</file>