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Haywood Jeffrey Charles</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140 NEW MONTGOMERY STREET,</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FRANCISCO</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Definitive Healthcare Corp.</w:t>
              </w:r>
            </w:hyperlink>
            <w:r>
              <w:rPr/>
              <w:t xml:space="preserve"> [ </w:t>
            </w:r>
            <w:r>
              <w:rPr>
                <w:rFonts w:ascii="Times;serif" w:hAnsi="Times;serif"/>
                <w:color w:val="0000FF"/>
                <w:sz w:val="24"/>
                <w:highlight w:val="white"/>
              </w:rPr>
              <w:t>DH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05/10/2022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05/10/2022</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w:t>
            </w:r>
            <w:r>
              <w:rPr/>
              <w:t xml:space="preserve"> </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1,087</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1,087</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05/10/2022</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(2)</w:t>
            </w:r>
            <w:r>
              <w:rPr/>
              <w:t xml:space="preserve"> </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17,228</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18,315</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05/11/2022</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18,315</w:t>
            </w:r>
          </w:p>
        </w:tc>
        <w:tc>
          <w:tcPr>
            <w:tcW w:w="45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15.46</w:t>
            </w:r>
            <w:r>
              <w:rPr>
                <w:rFonts w:ascii="Times;serif" w:hAnsi="Times;serif"/>
                <w:color w:val="008000"/>
                <w:position w:val="7"/>
                <w:sz w:val="16"/>
                <w:sz w:val="20"/>
                <w:highlight w:val="white"/>
              </w:rPr>
              <w:t>(3)</w:t>
            </w:r>
            <w:r>
              <w:rPr/>
              <w:t xml:space="preserve"> </w:t>
            </w:r>
          </w:p>
        </w:tc>
        <w:tc>
          <w:tcPr>
            <w:tcW w:w="11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9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Pro rata distribution in kind from SE VII DHC AIV Feeder, L.P., of which the Reporting Person is a limited partner.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Pro rata distribution in kind from SE VII DHC AIV, L.P., of which the Reporting Person is a limited partner.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$15.22 to $15.81, inclusive. The Reporting Person undertakes to provide to Definitive Healthcare Corp., any security holder, or the staff of the Securities and Exchange Commission, upon request, full information regarding the number of shares sold at each separate price within the ranges set forth in this footnote to Form 4.</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Jeffrey C. Haywood</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8746" TargetMode="External"/><Relationship Id="rId4" Type="http://schemas.openxmlformats.org/officeDocument/2006/relationships/hyperlink" Target="http://www.sec.gov/cgi-bin/browse-edgar?action=getcompany&amp;CIK=000186179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661</Words>
  <CharactersWithSpaces>4094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