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Commission File Number 001-40815</w:t>
            </w:r>
          </w:p>
        </w:tc>
      </w:tr>
    </w:tbl>
    <w:p>
      <w:pPr>
        <w:spacing w:after="0" w:line="1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-295910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7"/>
          </w:tcPr>
          <w:p>
            <w:pPr>
              <w:jc w:val="center"/>
              <w:ind w:left="352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500" w:type="dxa"/>
            <w:vAlign w:val="bottom"/>
            <w:gridSpan w:val="3"/>
            <w:vMerge w:val="restart"/>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20" w:type="dxa"/>
            <w:vAlign w:val="bottom"/>
            <w:vMerge w:val="restart"/>
          </w:tcPr>
          <w:p>
            <w:pPr>
              <w:jc w:val="right"/>
              <w:ind w:right="2344"/>
              <w:spacing w:after="0"/>
              <w:rPr>
                <w:sz w:val="20"/>
                <w:szCs w:val="20"/>
                <w:color w:val="auto"/>
              </w:rPr>
            </w:pPr>
            <w:r>
              <w:rPr>
                <w:rFonts w:ascii="Times New Roman" w:cs="Times New Roman" w:eastAsia="Times New Roman" w:hAnsi="Times New Roman"/>
                <w:sz w:val="16"/>
                <w:szCs w:val="16"/>
                <w:b w:val="1"/>
                <w:bCs w:val="1"/>
                <w:color w:val="auto"/>
              </w:rPr>
              <w:t>86-3988281</w:t>
            </w:r>
          </w:p>
        </w:tc>
        <w:tc>
          <w:tcPr>
            <w:tcW w:w="0" w:type="dxa"/>
            <w:vAlign w:val="bottom"/>
          </w:tcPr>
          <w:p>
            <w:pPr>
              <w:spacing w:after="0"/>
              <w:rPr>
                <w:sz w:val="1"/>
                <w:szCs w:val="1"/>
                <w:color w:val="auto"/>
              </w:rPr>
            </w:pPr>
          </w:p>
        </w:tc>
      </w:tr>
      <w:tr>
        <w:trPr>
          <w:trHeight w:val="293"/>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20" w:type="dxa"/>
            <w:vAlign w:val="bottom"/>
          </w:tcPr>
          <w:p>
            <w:pPr>
              <w:jc w:val="center"/>
              <w:ind w:right="19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6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tcPr>
          <w:p>
            <w:pPr>
              <w:jc w:val="center"/>
              <w:ind w:right="192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5"/>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Framingham, MA</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tcPr>
          <w:p>
            <w:pPr>
              <w:jc w:val="right"/>
              <w:ind w:right="2524"/>
              <w:spacing w:after="0"/>
              <w:rPr>
                <w:sz w:val="20"/>
                <w:szCs w:val="20"/>
                <w:color w:val="auto"/>
              </w:rPr>
            </w:pPr>
            <w:r>
              <w:rPr>
                <w:rFonts w:ascii="Times New Roman" w:cs="Times New Roman" w:eastAsia="Times New Roman" w:hAnsi="Times New Roman"/>
                <w:sz w:val="16"/>
                <w:szCs w:val="16"/>
                <w:b w:val="1"/>
                <w:bCs w:val="1"/>
                <w:color w:val="auto"/>
              </w:rPr>
              <w:t>01701</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tcPr>
          <w:p>
            <w:pPr>
              <w:jc w:val="center"/>
              <w:ind w:right="192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9"/>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(508) 720-4224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20" w:type="dxa"/>
            <w:vAlign w:val="bottom"/>
            <w:gridSpan w:val="7"/>
          </w:tcPr>
          <w:p>
            <w:pPr>
              <w:jc w:val="center"/>
              <w:ind w:left="352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65"/>
        </w:trPr>
        <w:tc>
          <w:tcPr>
            <w:tcW w:w="45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312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3, 2025, the number of outstanding shares of the registrant’s Class A Common Stock was 103,303,387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Glossary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20" w:type="dxa"/>
            <w:vAlign w:val="bottom"/>
            <w:tcBorders>
              <w:top w:val="single" w:sz="8" w:color="0000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20" w:type="dxa"/>
            <w:vAlign w:val="bottom"/>
            <w:tcBorders>
              <w:top w:val="single" w:sz="8" w:color="0000FF"/>
            </w:tcBorders>
            <w:gridSpan w:val="2"/>
          </w:tcPr>
          <w:p>
            <w:pPr>
              <w:spacing w:after="0"/>
              <w:rPr>
                <w:sz w:val="24"/>
                <w:szCs w:val="24"/>
                <w:color w:val="auto"/>
              </w:rPr>
            </w:pPr>
          </w:p>
        </w:tc>
        <w:tc>
          <w:tcPr>
            <w:tcW w:w="5140" w:type="dxa"/>
            <w:vAlign w:val="bottom"/>
            <w:gridSpan w:val="12"/>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20" w:type="dxa"/>
            <w:vAlign w:val="bottom"/>
            <w:tcBorders>
              <w:bottom w:val="single" w:sz="8" w:color="0000EE"/>
            </w:tcBorders>
          </w:tcPr>
          <w:p>
            <w:pPr>
              <w:spacing w:after="0"/>
              <w:rPr>
                <w:sz w:val="24"/>
                <w:szCs w:val="24"/>
                <w:color w:val="auto"/>
              </w:rPr>
            </w:pPr>
          </w:p>
        </w:tc>
        <w:tc>
          <w:tcPr>
            <w:tcW w:w="4680" w:type="dxa"/>
            <w:vAlign w:val="bottom"/>
            <w:gridSpan w:val="8"/>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(Unaudited)</w:t>
            </w:r>
          </w:p>
        </w:tc>
        <w:tc>
          <w:tcPr>
            <w:tcW w:w="20" w:type="dxa"/>
            <w:vAlign w:val="bottom"/>
            <w:tcBorders>
              <w:bottom w:val="single" w:sz="8" w:color="0000EE"/>
            </w:tcBorders>
          </w:tcPr>
          <w:p>
            <w:pPr>
              <w:spacing w:after="0"/>
              <w:rPr>
                <w:sz w:val="24"/>
                <w:szCs w:val="24"/>
                <w:color w:val="auto"/>
              </w:rPr>
            </w:pPr>
          </w:p>
        </w:tc>
        <w:tc>
          <w:tcPr>
            <w:tcW w:w="3960" w:type="dxa"/>
            <w:vAlign w:val="bottom"/>
            <w:gridSpan w:val="3"/>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5"/>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Total Equity (Unaudited)</w:t>
            </w:r>
          </w:p>
        </w:tc>
        <w:tc>
          <w:tcPr>
            <w:tcW w:w="3740" w:type="dxa"/>
            <w:vAlign w:val="bottom"/>
            <w:gridSpan w:val="2"/>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080" w:type="dxa"/>
            <w:vAlign w:val="bottom"/>
            <w:gridSpan w:val="5"/>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1"/>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2"/>
            <w:vMerge w:val="continue"/>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2"/>
          </w:tcPr>
          <w:p>
            <w:pPr>
              <w:spacing w:after="0"/>
              <w:rPr>
                <w:sz w:val="24"/>
                <w:szCs w:val="24"/>
                <w:color w:val="auto"/>
              </w:rPr>
            </w:pPr>
          </w:p>
        </w:tc>
        <w:tc>
          <w:tcPr>
            <w:tcW w:w="7380" w:type="dxa"/>
            <w:vAlign w:val="bottom"/>
            <w:gridSpan w:val="15"/>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4"/>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7520" w:type="dxa"/>
            <w:vAlign w:val="bottom"/>
            <w:gridSpan w:val="16"/>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34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790"/>
        </w:trPr>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15"/>
          </w:tcPr>
          <w:p>
            <w:pPr>
              <w:ind w:left="45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3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As used in this Quarterly Report on Form 10-Q (“Quarterly Report”), the terms identified below have the meanings specified below unless otherwise noted or the context indicates otherwise. References in this Quarterly Report to “Definitive Healthcare Corp.” refer to Definitive Healthcare Corp. and not to any of its subsidiaries unless the context indicates otherwise. References in this Quarterly Report to “Definitive Healthcare,” “Definitive,” the “Company,” “we,” “us,” and “our” refer to Definitive Healthcare Corp. and its consolidated subsidiaries unless the context indicates otherwise.</w:t>
      </w:r>
    </w:p>
    <w:p>
      <w:pPr>
        <w:spacing w:after="0" w:line="5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27"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(as the term is defined below) and the direct parent company of DH Holdings.</w:t>
      </w: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Management Holdings, LLC</w:t>
      </w:r>
      <w:r>
        <w:rPr>
          <w:rFonts w:ascii="Times New Roman" w:cs="Times New Roman" w:eastAsia="Times New Roman" w:hAnsi="Times New Roman"/>
          <w:sz w:val="18"/>
          <w:szCs w:val="18"/>
          <w:color w:val="auto"/>
        </w:rPr>
        <w:t>” is a special purpose investment vehicle through which certain persons, primarily employees and certain legacy investors, indirectly hold interests in Definitive OpCo.</w:t>
      </w:r>
    </w:p>
    <w:p>
      <w:pPr>
        <w:ind w:left="1020" w:right="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(as the term is defined below)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that held LLC units in Definitive OpCo which, through the Reorganization Transactions (as the term is defined below), were merged into Definitive Healthcare Corp. and are now holders of Class A Common Stock.</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 owned subsidiary of AIDH Buyer.</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Populi</w:t>
      </w:r>
      <w:r>
        <w:rPr>
          <w:rFonts w:ascii="Times New Roman" w:cs="Times New Roman" w:eastAsia="Times New Roman" w:hAnsi="Times New Roman"/>
          <w:sz w:val="18"/>
          <w:szCs w:val="18"/>
          <w:color w:val="auto"/>
        </w:rPr>
        <w:t>” refers to Populi, Inc., a Delaware corporation.</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(as the term is defined below), Jason Krantz, DH Holdings, AIDH Management Holdings, LLC, certain affiliates of Advent, and certain other minority equity holders of Definitive OpCo prior to the Reorganization Transactions.</w:t>
      </w:r>
    </w:p>
    <w:p>
      <w:pPr>
        <w:spacing w:after="0" w:line="1"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right="9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xml:space="preserve">” refers to transactions completed in connection with the Company’s IPO as defined within Note 1. </w:t>
      </w: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included in Part I, Item 1 of this Quarterly Report.</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and Spectrum Equity.</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xml:space="preserve">” refers to the Tax Receivable Agreement between Definitive Healthcare Corp., Definitive OpCo, and the TRA Parties (as the term is defined below).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TRA.</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(i) our dependence on third parties, including public sources, for data, information, and other services, and our relationships with such third parties; (ii) increased accessibility to free or relatively inexpensive information sources; (iii) our ability to maintain high annual renewal rates; (iv) our ability to compete in the highly competitive industry in which we operate, and potential adverse effects of this competition; (v) our ability to maintain revenues if our products and services do not achieve and maintain broad market acceptance, or if we are unable to keep pace with or adapt to rapidly changing technology, evolving industry standards, macroeconomic market conditions, and changing regulatory requirements; (vi) changes in government policy positions, including trade policy, spending priorities, or reductions in government programs, government spending, or research funding; (vii) our loss of, or inability to attract and retain, key personnel; (viii) the effectiveness of our business plans; (ix) our ability to derive fully the anticipated benefits from organic growth, existing or future acquisitions, joint ventures, investments, or dispositions; (x) our exposure to risk from having operations and employees in other countries; (xi) our exposure to risk from the international scope of our operations, including potentially adverse tax consequences from the international scope of our operations and our corporate and financing structure; (xii) the strength of our brand and reputation; (xiii) our level of indebtedness, which could adversely affect our business, financial condition, and results of operations; (xiv) our ability to obtain, protect, defend, or enforce our intellectual property rights; (xv) our ability to leverage artificial intelligence technologies (“AI”) in our products and services, including generative AI, large language models, machine learning, and other AI tools; (xvi) any significant disruption in or unauthorized access to or breaches of our computer systems or those of third parties that we utilize in our operations, including those relating to cybersecurity or arising from cyberattacks; (xvii) our use of “open source” software in our products and services; (xviii) our ability to comply with applicable data protection and privacy laws; and (xix) other factors beyond our control.</w:t>
      </w:r>
    </w:p>
    <w:p>
      <w:pPr>
        <w:spacing w:after="0" w:line="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Part I, Item 1A, “Risk Factors,” in our Annual Report on Form 10-K for the year ended December 31, 2024 (the “2024 Form 10-K”) filed with the Securities and Exchange Commission (“SEC”) on February 27, 2025,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108,317</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105,378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184,786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34,371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53,232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13,040</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370,172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11,658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297,933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755,527</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1,089,389</w:t>
            </w: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10,763</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41,914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40,896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93,344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13,750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161,161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229,368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7,586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 liability</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49,511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25,088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482,195</w:t>
            </w:r>
          </w:p>
        </w:tc>
      </w:tr>
      <w:tr>
        <w:trPr>
          <w:trHeight w:val="425"/>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103,011,649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113,953,554 shares issued and outstanding at September 30, 2025 and December 31, 2024,</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38,349,047 shares issued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September 30, 2025, and 39,439,198 and 39,375,806 shares issued and outstanding,</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at December 31, 2024</w:t>
            </w:r>
          </w:p>
        </w:tc>
        <w:tc>
          <w:tcPr>
            <w:tcW w:w="14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1,085,445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deficit</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(770,191)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(640,574)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162,819</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755,527</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1,089,389</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-5322570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-5322570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-4208145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8"/>
                <w:szCs w:val="18"/>
                <w:color w:val="auto"/>
              </w:rPr>
            </w:pPr>
          </w:p>
        </w:tc>
      </w:tr>
      <w:tr>
        <w:trPr>
          <w:trHeight w:val="209"/>
        </w:trPr>
        <w:tc>
          <w:tcPr>
            <w:tcW w:w="5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100" w:type="dxa"/>
            <w:vAlign w:val="bottom"/>
          </w:tcPr>
          <w:p>
            <w:pPr>
              <w:spacing w:after="0"/>
              <w:rPr>
                <w:sz w:val="18"/>
                <w:szCs w:val="18"/>
                <w:color w:val="auto"/>
              </w:rPr>
            </w:pPr>
          </w:p>
        </w:tc>
      </w:tr>
      <w:tr>
        <w:trPr>
          <w:trHeight w:val="209"/>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334,010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(8,688)</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(225,367)</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(197,644)</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(611,257)</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(2,999)</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(3,749)</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(8,422)</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(11,328)</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remeasurement of TRA liability</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68,151</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(8,580)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100" w:type="dxa"/>
            <w:vAlign w:val="bottom"/>
            <w:shd w:val="clear" w:color="auto" w:fill="CFF0FC"/>
          </w:tcPr>
          <w:p>
            <w:pPr>
              <w:spacing w:after="0"/>
              <w:rPr>
                <w:sz w:val="18"/>
                <w:szCs w:val="18"/>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(17,268)</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(201,548)</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(192,056)</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(543,133)</w:t>
            </w: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00" w:type="dxa"/>
            <w:vAlign w:val="bottom"/>
            <w:shd w:val="clear" w:color="auto" w:fill="CFF0FC"/>
          </w:tcPr>
          <w:p>
            <w:pPr>
              <w:spacing w:after="0"/>
              <w:rPr>
                <w:sz w:val="18"/>
                <w:szCs w:val="18"/>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(17,792)</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(187,824)</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(182,150)</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(506,729)</w:t>
            </w: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(56,928)</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(52,533)</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(152,680)</w:t>
            </w: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(129,617)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(354,049)</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103,783,012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107,760,787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-3573780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-3573780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-3573780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-3573780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-2459355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-2459355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-2459355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-1344930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-1344930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-1344930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-1344930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-1062355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-1062355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-1062355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-770890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-770890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-770890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(17,792)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(187,824)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(182,150)</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(506,729)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interest rate hedging instruments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r>
      <w:tr>
        <w:trPr>
          <w:trHeight w:val="20"/>
        </w:trPr>
        <w:tc>
          <w:tcPr>
            <w:tcW w:w="54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(188,785)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(509,074)</w:t>
            </w: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(57,176)</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(52,862)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(153,260)</w:t>
            </w:r>
          </w:p>
        </w:tc>
      </w:tr>
      <w:tr>
        <w:trPr>
          <w:trHeight w:val="20"/>
        </w:trPr>
        <w:tc>
          <w:tcPr>
            <w:tcW w:w="54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(130,551)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(355,814)</w:t>
            </w: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-454025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-454025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-454025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86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113,953,554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39,439,198</w:t>
            </w:r>
          </w:p>
        </w:tc>
        <w:tc>
          <w:tcPr>
            <w:tcW w:w="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1,085,445</w:t>
            </w:r>
          </w:p>
        </w:tc>
        <w:tc>
          <w:tcPr>
            <w:tcW w:w="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(640,574)</w:t>
            </w:r>
          </w:p>
        </w:tc>
        <w:tc>
          <w:tcPr>
            <w:tcW w:w="1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(610)</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162,819</w:t>
            </w:r>
          </w:p>
        </w:tc>
        <w:tc>
          <w:tcPr>
            <w:tcW w:w="8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607,194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(107,228)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(47,865)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(155,093)</w:t>
            </w: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1,279,156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(902)</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(423,245)</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(1,874)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w:t>
            </w: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(5,604,751)</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(27,105)</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(21,155)</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441,443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(441,443)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9,113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(8,719)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109,646,157</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38,997,184</w:t>
            </w: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1,071,732</w:t>
            </w: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(747,802)</w:t>
            </w: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(1,264)</w:t>
            </w: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113,129</w:t>
            </w: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435,905</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(9,265)</w:t>
            </w: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654,437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(346)</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(196,303)</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w:t>
            </w: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(5,959,137)</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(23,624)</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(19,076)</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601,827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(601,827)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(7,018)</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5,118</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104,746,981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38,395,357</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1,060,200</w:t>
            </w:r>
          </w:p>
        </w:tc>
        <w:tc>
          <w:tcPr>
            <w:tcW w:w="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(755,353)</w:t>
            </w:r>
          </w:p>
        </w:tc>
        <w:tc>
          <w:tcPr>
            <w:tcW w:w="1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(1,337)</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107,618</w:t>
            </w:r>
          </w:p>
        </w:tc>
        <w:tc>
          <w:tcPr>
            <w:tcW w:w="8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411,233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(17,792)</w:t>
            </w: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806,836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(271,500)</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(1,063)</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settlement</w:t>
            </w:r>
          </w:p>
        </w:tc>
        <w:tc>
          <w:tcPr>
            <w:tcW w:w="12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w:t>
            </w: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(2,316,978)</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(9,221)</w:t>
            </w:r>
          </w:p>
        </w:tc>
        <w:tc>
          <w:tcPr>
            <w:tcW w:w="0" w:type="dxa"/>
            <w:vAlign w:val="bottom"/>
          </w:tcPr>
          <w:p>
            <w:pPr>
              <w:spacing w:after="0"/>
              <w:rPr>
                <w:sz w:val="1"/>
                <w:szCs w:val="1"/>
                <w:color w:val="auto"/>
              </w:rPr>
            </w:pPr>
          </w:p>
        </w:tc>
      </w:tr>
      <w:tr>
        <w:trPr>
          <w:trHeight w:val="126"/>
        </w:trPr>
        <w:tc>
          <w:tcPr>
            <w:tcW w:w="2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46,310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(46,310)</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(2,916)</w:t>
            </w: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103,011,649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38,349,047</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1,056,482</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4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(770,191</w:t>
            </w:r>
          </w:p>
        </w:tc>
        <w:tc>
          <w:tcPr>
            <w:tcW w:w="1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(1,544)</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104,820</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389,670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-2407920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-2407920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-2407920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-2407920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-2407920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-2407920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-2407920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-2407920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-128270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-128270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-128270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-128270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-128270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-128270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-128270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 (CONTINUED)</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3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0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ng</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116,562,252</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39,762,700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1,086,581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(227,450)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337,817</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1,199,174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(9,518)</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(3,200)</w:t>
            </w: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(12,718)</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1,822,506</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(2,534)</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2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(646,041)</w:t>
            </w: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(5,805)</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(5,806)</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51,308</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(51,308)</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(1,892)</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2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(47,388)</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117,790,025</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39,664,004</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1,095,482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(236,968)</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1,658</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334,741</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(213,635)</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(92,552)</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(306,187)</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513,252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(742)</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32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(161,854)</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settlement</w:t>
            </w: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Repurchases of Class A Common</w:t>
            </w: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(1,258,565)</w:t>
            </w:r>
          </w:p>
        </w:tc>
        <w:tc>
          <w:tcPr>
            <w:tcW w:w="12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(9,667)</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(7,003)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170,481</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(170,481)</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(1,997)</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2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(4,277)</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(2,713)</w:t>
            </w: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(2,713)</w:t>
            </w:r>
          </w:p>
        </w:tc>
        <w:tc>
          <w:tcPr>
            <w:tcW w:w="0" w:type="dxa"/>
            <w:vAlign w:val="bottom"/>
          </w:tcPr>
          <w:p>
            <w:pPr>
              <w:spacing w:after="0"/>
              <w:rPr>
                <w:sz w:val="1"/>
                <w:szCs w:val="1"/>
                <w:color w:val="auto"/>
              </w:rPr>
            </w:pPr>
          </w:p>
        </w:tc>
      </w:tr>
      <w:tr>
        <w:trPr>
          <w:trHeight w:val="158"/>
        </w:trPr>
        <w:tc>
          <w:tcPr>
            <w:tcW w:w="230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12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117,053,339</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39,489,246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1,094,217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(450,603)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241,500</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886,288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(130,896)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(56,928)</w:t>
            </w: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(187,824)</w:t>
            </w:r>
          </w:p>
        </w:tc>
        <w:tc>
          <w:tcPr>
            <w:tcW w:w="0" w:type="dxa"/>
            <w:vAlign w:val="bottom"/>
          </w:tcPr>
          <w:p>
            <w:pPr>
              <w:spacing w:after="0"/>
              <w:rPr>
                <w:sz w:val="1"/>
                <w:szCs w:val="1"/>
                <w:color w:val="auto"/>
              </w:rPr>
            </w:pPr>
          </w:p>
        </w:tc>
      </w:tr>
      <w:tr>
        <w:trPr>
          <w:trHeight w:val="149"/>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359,130</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(390)</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upon vesting of RSUs</w:t>
            </w:r>
          </w:p>
        </w:tc>
        <w:tc>
          <w:tcPr>
            <w:tcW w:w="12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(110,159)</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Repurchases of Class A Common</w:t>
            </w:r>
          </w:p>
        </w:tc>
        <w:tc>
          <w:tcPr>
            <w:tcW w:w="132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(1,885,951)</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(10,985)</w:t>
            </w: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(8,034)</w:t>
            </w:r>
          </w:p>
        </w:tc>
        <w:tc>
          <w:tcPr>
            <w:tcW w:w="0" w:type="dxa"/>
            <w:vAlign w:val="bottom"/>
          </w:tcPr>
          <w:p>
            <w:pPr>
              <w:spacing w:after="0"/>
              <w:rPr>
                <w:sz w:val="1"/>
                <w:szCs w:val="1"/>
                <w:color w:val="auto"/>
              </w:rPr>
            </w:pPr>
          </w:p>
        </w:tc>
      </w:tr>
      <w:tr>
        <w:trPr>
          <w:trHeight w:val="171"/>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w:t>
            </w:r>
          </w:p>
        </w:tc>
        <w:tc>
          <w:tcPr>
            <w:tcW w:w="13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(27,436)</w:t>
            </w:r>
          </w:p>
        </w:tc>
        <w:tc>
          <w:tcPr>
            <w:tcW w:w="120" w:type="dxa"/>
            <w:vAlign w:val="bottom"/>
          </w:tcPr>
          <w:p>
            <w:pPr>
              <w:spacing w:after="0"/>
              <w:rPr>
                <w:sz w:val="10"/>
                <w:szCs w:val="10"/>
                <w:color w:val="auto"/>
              </w:rPr>
            </w:pP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(909)</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32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FF0FC"/>
            </w:tcBorders>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58"/>
        </w:trPr>
        <w:tc>
          <w:tcPr>
            <w:tcW w:w="2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1200" w:type="dxa"/>
            <w:vAlign w:val="bottom"/>
            <w:vMerge w:val="continue"/>
            <w:shd w:val="clear" w:color="auto" w:fill="CFF0FC"/>
          </w:tcPr>
          <w:p>
            <w:pPr>
              <w:spacing w:after="0"/>
              <w:rPr>
                <w:sz w:val="13"/>
                <w:szCs w:val="13"/>
                <w:color w:val="auto"/>
              </w:rPr>
            </w:pPr>
          </w:p>
        </w:tc>
        <w:tc>
          <w:tcPr>
            <w:tcW w:w="120" w:type="dxa"/>
            <w:vAlign w:val="bottom"/>
            <w:tcBorders>
              <w:right w:val="single" w:sz="8" w:color="CFF0FC"/>
            </w:tcBorders>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20" w:type="dxa"/>
            <w:vAlign w:val="bottom"/>
            <w:tcBorders>
              <w:right w:val="single" w:sz="8" w:color="CFF0FC"/>
            </w:tcBorders>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115,443,795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39,460,224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1,087,555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(581,499)</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189,045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695,560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-128270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-128270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-128270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-128270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-128270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-128270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-128270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-128270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56"/>
        </w:trPr>
        <w:tc>
          <w:tcPr>
            <w:tcW w:w="6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78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(182,150)</w:t>
            </w:r>
          </w:p>
        </w:tc>
        <w:tc>
          <w:tcPr>
            <w:tcW w:w="4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(506,729)</w:t>
            </w:r>
          </w:p>
        </w:tc>
      </w:tr>
      <w:tr>
        <w:trPr>
          <w:trHeight w:val="162"/>
        </w:trPr>
        <w:tc>
          <w:tcPr>
            <w:tcW w:w="6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1,719</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39,903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36,816</w:t>
            </w: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deferred contract costs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11,463</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30,720</w:t>
            </w: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527</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Write-off of deferred offering costs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(Recovery of) provision for doubtful accounts receivable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Loss on partial extinguishment of debt</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Non-cash restructuring charges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1,047</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Goodwill impairment charges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176,531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591,794</w:t>
            </w: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TRA remeasurement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(10,623)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(68,151)</w:t>
            </w: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(3,240)</w:t>
            </w: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(10,310)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(36,609)</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23,148</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(3,481)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(7,205)</w:t>
            </w: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contract costs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(8,275)</w:t>
            </w: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Contingent consideration</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(602)</w:t>
            </w:r>
          </w:p>
        </w:tc>
      </w:tr>
      <w:tr>
        <w:trPr>
          <w:trHeight w:val="162"/>
        </w:trPr>
        <w:tc>
          <w:tcPr>
            <w:tcW w:w="644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(5,173)</w:t>
            </w:r>
          </w:p>
        </w:tc>
      </w:tr>
      <w:tr>
        <w:trPr>
          <w:trHeight w:val="162"/>
        </w:trPr>
        <w:tc>
          <w:tcPr>
            <w:tcW w:w="644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(1,468)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(12,136)</w:t>
            </w:r>
          </w:p>
        </w:tc>
      </w:tr>
      <w:tr>
        <w:trPr>
          <w:trHeight w:val="156"/>
        </w:trPr>
        <w:tc>
          <w:tcPr>
            <w:tcW w:w="64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54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51,057</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50,061</w:t>
            </w:r>
          </w:p>
        </w:tc>
        <w:tc>
          <w:tcPr>
            <w:tcW w:w="100" w:type="dxa"/>
            <w:vAlign w:val="bottom"/>
            <w:tcBorders>
              <w:top w:val="single" w:sz="8" w:color="CFF0FC"/>
            </w:tcBorders>
          </w:tcPr>
          <w:p>
            <w:pPr>
              <w:spacing w:after="0"/>
              <w:rPr>
                <w:sz w:val="13"/>
                <w:szCs w:val="13"/>
                <w:color w:val="auto"/>
              </w:rPr>
            </w:pPr>
          </w:p>
        </w:tc>
      </w:tr>
      <w:tr>
        <w:trPr>
          <w:trHeight w:val="155"/>
        </w:trPr>
        <w:tc>
          <w:tcPr>
            <w:tcW w:w="6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(12,280)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(1,443)</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Purchases of short-term investments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(64,065)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(192,670)</w:t>
            </w: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Maturities of short-term investments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173,869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207,504</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(13,530)</w:t>
            </w:r>
          </w:p>
        </w:tc>
      </w:tr>
      <w:tr>
        <w:trPr>
          <w:trHeight w:val="20"/>
        </w:trPr>
        <w:tc>
          <w:tcPr>
            <w:tcW w:w="64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4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97,524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(139)</w:t>
            </w:r>
          </w:p>
        </w:tc>
      </w:tr>
      <w:tr>
        <w:trPr>
          <w:trHeight w:val="155"/>
        </w:trPr>
        <w:tc>
          <w:tcPr>
            <w:tcW w:w="6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financing activities:</w:t>
            </w:r>
          </w:p>
        </w:tc>
        <w:tc>
          <w:tcPr>
            <w:tcW w:w="5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Repayments of term loan</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(250,625)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(10,313)</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Proceeds from term loan</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(1,660)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(3,546)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(7,270)</w:t>
            </w: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Repurchases of Class A Common Stock</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(49,452)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(15,037)</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of contingent consideration</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(1,000)</w:t>
            </w: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Payments under TRA</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(13,767)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(6,950)</w:t>
            </w:r>
          </w:p>
        </w:tc>
      </w:tr>
      <w:tr>
        <w:trPr>
          <w:trHeight w:val="162"/>
        </w:trPr>
        <w:tc>
          <w:tcPr>
            <w:tcW w:w="644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Member distributions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(2,827)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(2,811)</w:t>
            </w:r>
          </w:p>
        </w:tc>
      </w:tr>
      <w:tr>
        <w:trPr>
          <w:trHeight w:val="20"/>
        </w:trPr>
        <w:tc>
          <w:tcPr>
            <w:tcW w:w="64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64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(146,877)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(43,381)</w:t>
            </w:r>
          </w:p>
        </w:tc>
      </w:tr>
      <w:tr>
        <w:trPr>
          <w:trHeight w:val="155"/>
        </w:trPr>
        <w:tc>
          <w:tcPr>
            <w:tcW w:w="6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increase in cash and cash equivalents</w:t>
            </w:r>
          </w:p>
        </w:tc>
        <w:tc>
          <w:tcPr>
            <w:tcW w:w="5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1,704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6,541</w:t>
            </w: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4"/>
                <w:szCs w:val="14"/>
                <w:color w:val="auto"/>
              </w:rPr>
            </w:pPr>
          </w:p>
        </w:tc>
      </w:tr>
      <w:tr>
        <w:trPr>
          <w:trHeight w:val="162"/>
        </w:trPr>
        <w:tc>
          <w:tcPr>
            <w:tcW w:w="6440" w:type="dxa"/>
            <w:vAlign w:val="bottom"/>
            <w:tcBorders>
              <w:bottom w:val="single" w:sz="8" w:color="CFF0FC"/>
            </w:tcBorders>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105,378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130,976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440" w:type="dxa"/>
            <w:vAlign w:val="bottom"/>
          </w:tcPr>
          <w:p>
            <w:pPr>
              <w:ind w:left="240"/>
              <w:spacing w:after="0" w:line="156"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780" w:type="dxa"/>
            <w:vAlign w:val="bottom"/>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108,317</w:t>
            </w:r>
          </w:p>
        </w:tc>
        <w:tc>
          <w:tcPr>
            <w:tcW w:w="140" w:type="dxa"/>
            <w:vAlign w:val="bottom"/>
          </w:tcPr>
          <w:p>
            <w:pPr>
              <w:spacing w:after="0"/>
              <w:rPr>
                <w:sz w:val="13"/>
                <w:szCs w:val="13"/>
                <w:color w:val="auto"/>
              </w:rPr>
            </w:pPr>
          </w:p>
        </w:tc>
        <w:tc>
          <w:tcPr>
            <w:tcW w:w="400" w:type="dxa"/>
            <w:vAlign w:val="bottom"/>
            <w:gridSpan w:val="2"/>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137,609</w:t>
            </w:r>
          </w:p>
        </w:tc>
        <w:tc>
          <w:tcPr>
            <w:tcW w:w="100" w:type="dxa"/>
            <w:vAlign w:val="bottom"/>
          </w:tcPr>
          <w:p>
            <w:pPr>
              <w:spacing w:after="0"/>
              <w:rPr>
                <w:sz w:val="13"/>
                <w:szCs w:val="13"/>
                <w:color w:val="auto"/>
              </w:rPr>
            </w:pPr>
          </w:p>
        </w:tc>
      </w:tr>
      <w:tr>
        <w:trPr>
          <w:trHeight w:val="20"/>
        </w:trPr>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4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4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78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8,071</w:t>
            </w:r>
          </w:p>
        </w:tc>
        <w:tc>
          <w:tcPr>
            <w:tcW w:w="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10,886</w:t>
            </w: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78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208</w:t>
            </w:r>
          </w:p>
        </w:tc>
        <w:tc>
          <w:tcPr>
            <w:tcW w:w="140" w:type="dxa"/>
            <w:vAlign w:val="bottom"/>
          </w:tcPr>
          <w:p>
            <w:pPr>
              <w:spacing w:after="0"/>
              <w:rPr>
                <w:sz w:val="14"/>
                <w:szCs w:val="14"/>
                <w:color w:val="auto"/>
              </w:rPr>
            </w:pPr>
          </w:p>
        </w:tc>
        <w:tc>
          <w:tcPr>
            <w:tcW w:w="4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4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Acquisitions: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rPr>
              <w:t>Net assets acquired, net of cash acquired</w:t>
            </w:r>
          </w:p>
        </w:tc>
        <w:tc>
          <w:tcPr>
            <w:tcW w:w="78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13,675</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500"/>
              <w:spacing w:after="0" w:line="162" w:lineRule="exact"/>
              <w:rPr>
                <w:sz w:val="20"/>
                <w:szCs w:val="20"/>
                <w:color w:val="auto"/>
              </w:rPr>
            </w:pPr>
            <w:r>
              <w:rPr>
                <w:rFonts w:ascii="Times New Roman" w:cs="Times New Roman" w:eastAsia="Times New Roman" w:hAnsi="Times New Roman"/>
                <w:sz w:val="15"/>
                <w:szCs w:val="15"/>
                <w:color w:val="auto"/>
              </w:rPr>
              <w:t>Working capital adjustment receivable</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(145)</w:t>
            </w:r>
          </w:p>
        </w:tc>
      </w:tr>
      <w:tr>
        <w:trPr>
          <w:trHeight w:val="155"/>
        </w:trPr>
        <w:tc>
          <w:tcPr>
            <w:tcW w:w="6440" w:type="dxa"/>
            <w:vAlign w:val="bottom"/>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paid for acquisitions</w:t>
            </w:r>
          </w:p>
        </w:tc>
        <w:tc>
          <w:tcPr>
            <w:tcW w:w="5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13,530</w:t>
            </w:r>
          </w:p>
        </w:tc>
        <w:tc>
          <w:tcPr>
            <w:tcW w:w="100" w:type="dxa"/>
            <w:vAlign w:val="bottom"/>
          </w:tcPr>
          <w:p>
            <w:pPr>
              <w:spacing w:after="0"/>
              <w:rPr>
                <w:sz w:val="13"/>
                <w:szCs w:val="13"/>
                <w:color w:val="auto"/>
              </w:rPr>
            </w:pPr>
          </w:p>
        </w:tc>
      </w:tr>
      <w:tr>
        <w:trPr>
          <w:trHeight w:val="20"/>
        </w:trPr>
        <w:tc>
          <w:tcPr>
            <w:tcW w:w="6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4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98"/>
        </w:trPr>
        <w:tc>
          <w:tcPr>
            <w:tcW w:w="6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 liabilities</w:t>
            </w:r>
          </w:p>
        </w:tc>
        <w:tc>
          <w:tcPr>
            <w:tcW w:w="7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6,711</w:t>
            </w:r>
          </w:p>
        </w:tc>
        <w:tc>
          <w:tcPr>
            <w:tcW w:w="140" w:type="dxa"/>
            <w:vAlign w:val="bottom"/>
          </w:tcPr>
          <w:p>
            <w:pPr>
              <w:spacing w:after="0"/>
              <w:rPr>
                <w:sz w:val="17"/>
                <w:szCs w:val="17"/>
                <w:color w:val="auto"/>
              </w:rPr>
            </w:pPr>
          </w:p>
        </w:tc>
        <w:tc>
          <w:tcPr>
            <w:tcW w:w="4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-3331210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-3331210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-2696845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-2696845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-1651000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-1651000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-1222375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-1222375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(the “Company”) was formed on May 5, 2021 as a Delaware corporation to facilitate an IPO and other related transactions to carry on the business of Definitive OpCo. Following consummation of the Reorganization Transactions, as described below, Definitive OpCo became a subsidiary of the Company.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the Reorganization Transactions: Definitive OpCo entered into the Amended LLC Agreement pursuant to which members of Definitive OpCo prior to the IPO who continued to hold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the Company.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the Company, and subsequently merged into the Company (the “Mergers”). The former shareholders of the Blocker Companies collectively received a number of shares of Class A Common Stock in the Mergers equal to the number of LLC Units held by the Blocker Companies prior to the Mergers.</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The Company operates and controls all of the business and affairs of Definitive OpCo, and through Definitive OpCo and its subsidiaries, conducts its business. Accordingly, the Company consolidates the financial results of Definitive OpCo, and reports the noncontrolling interests of unexchanged LLC Unit holders on its unaudited condensed consolidated financial statements.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connection with the Reorganization Transactions and the IPO, the Company entered into a TRA.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September 30, 2025 and for the three and nine months ended September 30, 2025 and 2024 are unaudited and should be read in conjunction with the Company’s audited financial statements for the year ended December 31, 2024. All adjustments, consisting of normal recurring adjustments, except as otherwise noted, considered, in the opinion of management, necessary for a fair presentation of the unaudited condensed consolidated financial statements for these interim periods have been included.</w:t>
      </w:r>
    </w:p>
    <w:p>
      <w:pPr>
        <w:spacing w:after="0" w:line="82"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2024 Form 10-K for the Company’s significant accounting policies and estimates.</w:t>
      </w:r>
    </w:p>
    <w:p>
      <w:pPr>
        <w:spacing w:after="0" w:line="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is effective for annual periods beginning after December 15, 2024. ASU 2023-09 intends to enhance the transparency as well as usefulness of income tax disclosures, primarily related to the rate reconciliation and income taxes paid. Accordingly, applicable expanded disclosures will be reflected in the Company’s Annual Report on Form 10-K for the year ended December 31, 2025.</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ASU 2024-03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ASU 2024-03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if any, that adoption of this new accounting standard will have on its unaudited condensed consolidated financial statements and footnote disclosures.</w:t>
      </w:r>
    </w:p>
    <w:p>
      <w:pPr>
        <w:spacing w:after="0" w:line="7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(“ASU 2025-06”). ASU 2025-06 modernizes and clarifies the threshold for when an entity is required to begin capitalizing software costs and is based on when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reporting periods, with early adoption permitted. The Company is currently assessing the impact, if any, that adoption of this new accounting standard will have on its unaudited condensed consolidated financial statements and footnote disclosures.</w:t>
      </w:r>
    </w:p>
    <w:p>
      <w:pPr>
        <w:spacing w:after="0" w:line="74" w:lineRule="exact"/>
        <w:rPr>
          <w:sz w:val="20"/>
          <w:szCs w:val="20"/>
          <w:color w:val="auto"/>
        </w:rPr>
      </w:pPr>
    </w:p>
    <w:p>
      <w:pPr>
        <w:ind w:right="420" w:firstLine="509"/>
        <w:spacing w:after="0" w:line="262"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606): Derivative Scope Refinements and Scope Clarification for Share-Based Noncash Consideration from a Customer in a Revenue Contract </w:t>
      </w:r>
      <w:r>
        <w:rPr>
          <w:rFonts w:ascii="Times New Roman" w:cs="Times New Roman" w:eastAsia="Times New Roman" w:hAnsi="Times New Roman"/>
          <w:sz w:val="18"/>
          <w:szCs w:val="18"/>
          <w:color w:val="auto"/>
        </w:rPr>
        <w:t>(“ASU</w:t>
      </w:r>
    </w:p>
    <w:p>
      <w:pPr>
        <w:ind w:right="20"/>
        <w:spacing w:after="0" w:line="253" w:lineRule="auto"/>
        <w:rPr>
          <w:sz w:val="20"/>
          <w:szCs w:val="20"/>
          <w:color w:val="auto"/>
        </w:rPr>
      </w:pPr>
      <w:r>
        <w:rPr>
          <w:rFonts w:ascii="Times New Roman" w:cs="Times New Roman" w:eastAsia="Times New Roman" w:hAnsi="Times New Roman"/>
          <w:sz w:val="18"/>
          <w:szCs w:val="18"/>
          <w:color w:val="auto"/>
        </w:rPr>
        <w:t>2025-07”), which refines the scope Topic 815 and clarifies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assessing the impact, if any, that adoption of this new accounting standard will have on its unaudited condensed consolidated financial statements and footnote disclosures.</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first nine months of the current year have had, or are expected to have, a material impact on the Company’s unaudited condensed consolidated financial statements.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Carevoyance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Carevoyance acquisition during the fourth quarter of 2024. Acquisition-date fair values of assets and liabilities pertaining to this business combination have been allocated as follows:</w:t>
      </w:r>
    </w:p>
    <w:p>
      <w:pPr>
        <w:spacing w:after="0" w:line="59" w:lineRule="exact"/>
        <w:rPr>
          <w:sz w:val="20"/>
          <w:szCs w:val="20"/>
          <w:color w:val="auto"/>
        </w:rPr>
      </w:pPr>
    </w:p>
    <w:tbl>
      <w:tblPr>
        <w:tblLayout w:type="fixed"/>
        <w:tblInd w:w="300" w:type="dxa"/>
        <w:tblCellMar>
          <w:top w:w="0" w:type="dxa"/>
          <w:left w:w="0" w:type="dxa"/>
          <w:bottom w:w="0" w:type="dxa"/>
          <w:right w:w="0" w:type="dxa"/>
        </w:tblCellMar>
      </w:tblPr>
      <w:tr>
        <w:trPr>
          <w:trHeight w:val="164"/>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2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2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3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two years.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Carevoyance acquisition are estimated to be amortized over a weighted average of 6.9 years. See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this acquisition have not been presented because the effects were not material to the Company’s unaudited condensed consolidated financial results.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4" w:lineRule="exact"/>
        <w:rPr>
          <w:sz w:val="20"/>
          <w:szCs w:val="20"/>
          <w:color w:val="auto"/>
        </w:rPr>
      </w:pPr>
    </w:p>
    <w:p>
      <w:pPr>
        <w:ind w:right="220" w:firstLine="509"/>
        <w:spacing w:after="0" w:line="313"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three and nine months ended September 30, 2025 and 2024, respectively:</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4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060" w:type="dxa"/>
            <w:vAlign w:val="bottom"/>
            <w:gridSpan w:val="2"/>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60,897</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60" w:type="dxa"/>
            <w:vAlign w:val="bottom"/>
            <w:gridSpan w:val="2"/>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the deferred contract costs for the nine months ended September 30, 2025 and the year ended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is presented below:</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Pr>
          <w:p>
            <w:pPr>
              <w:spacing w:after="0"/>
              <w:rPr>
                <w:sz w:val="15"/>
                <w:szCs w:val="15"/>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30,810</w:t>
            </w: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amortized</w:t>
            </w: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(15,441)</w:t>
            </w: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12,756</w:t>
            </w:r>
          </w:p>
        </w:tc>
      </w:tr>
      <w:tr>
        <w:trPr>
          <w:trHeight w:val="20"/>
        </w:trPr>
        <w:tc>
          <w:tcPr>
            <w:tcW w:w="6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28,125</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14,389</w:t>
            </w:r>
          </w:p>
        </w:tc>
      </w:tr>
      <w:tr>
        <w:trPr>
          <w:trHeight w:val="20"/>
        </w:trPr>
        <w:tc>
          <w:tcPr>
            <w:tcW w:w="6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28,125</w:t>
            </w: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-736600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-736600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right="40" w:firstLine="509"/>
        <w:spacing w:after="0" w:line="313" w:lineRule="auto"/>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nine months ended September 30, 2025 and for the year ended December 31, 2024 is presented below:</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97,386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(179,987)</w:t>
            </w:r>
          </w:p>
        </w:tc>
        <w:tc>
          <w:tcPr>
            <w:tcW w:w="4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(252,202)</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178,635</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248,192</w:t>
            </w:r>
          </w:p>
        </w:tc>
      </w:tr>
      <w:tr>
        <w:trPr>
          <w:trHeight w:val="20"/>
        </w:trPr>
        <w:tc>
          <w:tcPr>
            <w:tcW w:w="6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92,024</w:t>
            </w:r>
          </w:p>
        </w:tc>
        <w:tc>
          <w:tcPr>
            <w:tcW w:w="2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93,376</w:t>
            </w: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164,853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2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247,286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293,723</w:t>
            </w: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-864870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2"/>
                <w:szCs w:val="12"/>
                <w:color w:val="auto"/>
              </w:rPr>
            </w:pPr>
          </w:p>
        </w:tc>
        <w:tc>
          <w:tcPr>
            <w:tcW w:w="12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treasuries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5,163</w:t>
            </w:r>
          </w:p>
        </w:tc>
        <w:tc>
          <w:tcPr>
            <w:tcW w:w="7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45,012</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45,028</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27,402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27,414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77,577</w:t>
            </w:r>
          </w:p>
        </w:tc>
        <w:tc>
          <w:tcPr>
            <w:tcW w:w="72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left w:val="single" w:sz="8" w:color="CFF0FC"/>
            </w:tcBorders>
            <w:shd w:val="clear" w:color="auto" w:fill="CFF0FC"/>
          </w:tcPr>
          <w:p>
            <w:pPr>
              <w:spacing w:after="0"/>
              <w:rPr>
                <w:sz w:val="19"/>
                <w:szCs w:val="19"/>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77,607</w:t>
            </w: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8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2"/>
                <w:szCs w:val="12"/>
                <w:color w:val="auto"/>
              </w:rPr>
            </w:pPr>
          </w:p>
        </w:tc>
        <w:tc>
          <w:tcPr>
            <w:tcW w:w="12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treasuries</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40" w:type="dxa"/>
            <w:vAlign w:val="bottom"/>
          </w:tcPr>
          <w:p>
            <w:pPr>
              <w:spacing w:after="0"/>
              <w:rPr>
                <w:sz w:val="18"/>
                <w:szCs w:val="18"/>
                <w:color w:val="auto"/>
              </w:rPr>
            </w:pPr>
          </w:p>
        </w:tc>
        <w:tc>
          <w:tcPr>
            <w:tcW w:w="7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184,717</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left w:val="single" w:sz="8" w:color="CFF0FC"/>
            </w:tcBorders>
            <w:shd w:val="clear" w:color="auto" w:fill="CFF0FC"/>
          </w:tcPr>
          <w:p>
            <w:pPr>
              <w:spacing w:after="0"/>
              <w:rPr>
                <w:sz w:val="19"/>
                <w:szCs w:val="19"/>
                <w:color w:val="auto"/>
              </w:rPr>
            </w:pPr>
          </w:p>
        </w:tc>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-1088390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-1071245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-1088390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-1071245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-1088390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-1071245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-1088390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-1071245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 Included in the amortized cost as of September 30, 2025 and December 31, 2024 is net accumulated accretion of $1.1 million and $1.6 million, respectively. Interest accretion on short-term investments was $0.8 million and $1.6 million during the three months ended September 30, 2025 and 2024, respectively, and $2.7 million and $5.4 million during the nine months ended September 30, 2025 and 2024, respectively.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35,081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54,618</w:t>
            </w: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35,552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55,346</w:t>
            </w:r>
          </w:p>
        </w:tc>
      </w:tr>
      <w:tr>
        <w:trPr>
          <w:trHeight w:val="216"/>
        </w:trPr>
        <w:tc>
          <w:tcPr>
            <w:tcW w:w="58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r>
      <w:tr>
        <w:trPr>
          <w:trHeight w:val="249"/>
        </w:trPr>
        <w:tc>
          <w:tcPr>
            <w:tcW w:w="580" w:type="dxa"/>
            <w:vAlign w:val="bottom"/>
          </w:tcPr>
          <w:p>
            <w:pPr>
              <w:spacing w:after="0"/>
              <w:rPr>
                <w:sz w:val="21"/>
                <w:szCs w:val="21"/>
                <w:color w:val="auto"/>
              </w:rPr>
            </w:pPr>
          </w:p>
        </w:tc>
        <w:tc>
          <w:tcPr>
            <w:tcW w:w="69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160" w:type="dxa"/>
            <w:vAlign w:val="bottom"/>
            <w:tcBorders>
              <w:left w:val="single" w:sz="8" w:color="CFF0FC"/>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98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 consisted of the following:</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60" w:type="dxa"/>
            <w:vAlign w:val="bottom"/>
            <w:tcBorders>
              <w:left w:val="single" w:sz="8" w:color="CFF0FC"/>
            </w:tcBorders>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6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73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60" w:type="dxa"/>
            <w:vAlign w:val="bottom"/>
            <w:tcBorders>
              <w:left w:val="single" w:sz="8" w:color="CFF0FC"/>
            </w:tcBorders>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software development in process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Pr>
          <w:p>
            <w:pPr>
              <w:spacing w:after="0"/>
              <w:rPr>
                <w:sz w:val="18"/>
                <w:szCs w:val="18"/>
                <w:color w:val="auto"/>
              </w:rPr>
            </w:pPr>
          </w:p>
        </w:tc>
        <w:tc>
          <w:tcPr>
            <w:tcW w:w="69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(7,460)</w:t>
            </w:r>
          </w:p>
        </w:tc>
      </w:tr>
      <w:tr>
        <w:trPr>
          <w:trHeight w:val="20"/>
        </w:trPr>
        <w:tc>
          <w:tcPr>
            <w:tcW w:w="580" w:type="dxa"/>
            <w:vAlign w:val="bottom"/>
          </w:tcPr>
          <w:p>
            <w:pPr>
              <w:spacing w:after="0" w:line="20" w:lineRule="exact"/>
              <w:rPr>
                <w:sz w:val="1"/>
                <w:szCs w:val="1"/>
                <w:color w:val="auto"/>
              </w:rPr>
            </w:pPr>
          </w:p>
        </w:tc>
        <w:tc>
          <w:tcPr>
            <w:tcW w:w="69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6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-3805555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-3788410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-3805555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-3788410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-1979295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-1962150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-1979295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$0.8 million and $0.5 million during the three months ended September 30, 2025 and 2024, respectively, and $2.3 million and $1.7 million during the nine months ended September 30, 2025 and 2024, respectively.</w:t>
      </w:r>
    </w:p>
    <w:p>
      <w:pPr>
        <w:spacing w:after="0" w:line="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5"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goodwill and intangible assets, as of September 30, 2025 and December 31, 2024, consisted of the following:</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191,049</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85,293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(53,310)</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31,983</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(13,332)</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69,540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(55,317)</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14,223</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(341,300)</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260,081</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216,752</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818,133</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(341,300)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476,833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213,696</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85,074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(43,526)</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41,548</w:t>
            </w: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(11,608)</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67,456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(49,237)</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18,219</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(301,065)</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297,933</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393,283</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992,281</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(301,065)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691,216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-2142490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-2142490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-1859915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-1859915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-1859915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-453390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-453390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$13.2 million and $12.5 million during the three months ended September 30, 2025 and 2024, respectively, of which $5.0 million and $3.6 million was included in cost of revenue during each respective period. Amortization expense associated with finite-lived intangible assets was $39.9 million and $36.8 million during the nine months ended September 30, 2025 and 2024, respectively, of which $15.6 million and $10.3 million was included in cost of revenue during each respective period.</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26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12,896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47,321</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40,542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31,461</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26,224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101,637</w:t>
            </w: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260,081</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it had one reporting unit.</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5"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and acquired intangible assets are initially recorded at fair value and tested periodically for impairment. For purposes of initial recognition, the Company estimates the fair value of these assets using primarily unobservable inputs, which are considered Level 3 fair value measurements as defined in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performs an impairment test of goodwill during the fourth quarter of each fiscal year and more frequently if indicators of potential impairment arise.</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Though the Company traditionally performs its annual impairment assessment in the first month of the fourth quarter of each calendar year, during the first quarter of 2025, the Company experienced declines in its market capitalization as a result of sustained decreases in the Company’s stock price, which represented a triggering event requiring management to perform a quantitative goodwill impairment test as of the end of the first quarter of 2025. As a result of the impairment test, the Company determined that the fair value of its single reporting unit as of the measurement date was lower than its carrying value and, accordingly, recorded a non-cash, pretax, goodwill impairment charge of $176.5 million during the first quarter of 2025. The goodwill impairment charge did not affect the Company’s liquidity or the financial covenants in its outstanding debt agreement.</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calculating the goodwill impairment charge,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triggering events identified during the third quarter of 2025 that would have required management to perform a goodwill impairment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and for the periods ended September 30, 2025 and December 31, 2024, goodwill consisted of the following:</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 - beginning of period</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(287,400)</w:t>
            </w: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beginning of period</w:t>
            </w:r>
          </w:p>
        </w:tc>
        <w:tc>
          <w:tcPr>
            <w:tcW w:w="2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 loss</w:t>
            </w:r>
          </w:p>
        </w:tc>
        <w:tc>
          <w:tcPr>
            <w:tcW w:w="2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(176,531)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(688,854)</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4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 - end of period</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(976,254)</w:t>
            </w: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As described above, the Company experienced a triggering event in the first quarter of 2025 resulting from declines in the Company’s market capitalization driven by sustained decreases in the Company’s stock price. Accordingly, the Company’s intangible assets were reviewed for impairment as a result of this triggering event. Based on quantitative and qualitative analyses performed during the first quarter of 2025, management concluded the assets were recoverable and no impairment charges were recorded on intangible assets as a result of the first quarter triggering event.</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during the third quarter of 2025 that would have required management to perform an impairment test on its intangible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 liability, current portion</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liability for data contract termination</w:t>
            </w: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matters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data expenditures</w:t>
            </w: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8"/>
                <w:szCs w:val="18"/>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100" w:type="dxa"/>
            <w:vAlign w:val="bottom"/>
            <w:shd w:val="clear" w:color="auto" w:fill="CFF0FC"/>
          </w:tcPr>
          <w:p>
            <w:pPr>
              <w:spacing w:after="0"/>
              <w:rPr>
                <w:sz w:val="19"/>
                <w:szCs w:val="19"/>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then-current workforce by approximately 150 people. Accordingly, during the three and nine months ended September 30, 2024, the Company incurred restructuring and related charges of $0.2 million and $8.0 million, respectively, consisting of severance payments, employee benefits, and related cash expenses.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activity in the Company’s liabilities resulting from the 2024 Restructuring Plan:</w:t>
      </w:r>
    </w:p>
    <w:p>
      <w:pPr>
        <w:spacing w:after="0" w:line="98"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Restructuring Plan</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incurred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 made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69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-170815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to incur additional material restructuring and related charges associated with the 2024 Restructuring Plan during the remainder of 2025.</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as of September 30, 2025 and December 31, 2024, respectively:</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168,438</w:t>
            </w:r>
          </w:p>
        </w:tc>
        <w:tc>
          <w:tcPr>
            <w:tcW w:w="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166,935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158,185</w:t>
            </w:r>
          </w:p>
        </w:tc>
        <w:tc>
          <w:tcPr>
            <w:tcW w:w="0" w:type="dxa"/>
            <w:vAlign w:val="bottom"/>
          </w:tcPr>
          <w:p>
            <w:pPr>
              <w:spacing w:after="0"/>
              <w:rPr>
                <w:sz w:val="1"/>
                <w:szCs w:val="1"/>
                <w:color w:val="auto"/>
              </w:rPr>
            </w:pPr>
          </w:p>
        </w:tc>
      </w:tr>
      <w:tr>
        <w:trPr>
          <w:trHeight w:val="250"/>
        </w:trPr>
        <w:tc>
          <w:tcPr>
            <w:tcW w:w="5340" w:type="dxa"/>
            <w:vAlign w:val="bottom"/>
            <w:tcBorders>
              <w:top w:val="single" w:sz="8" w:color="CFF0FC"/>
            </w:tcBorders>
          </w:tcPr>
          <w:p>
            <w:pPr>
              <w:spacing w:after="0"/>
              <w:rPr>
                <w:sz w:val="21"/>
                <w:szCs w:val="21"/>
                <w:color w:val="auto"/>
              </w:rPr>
            </w:pPr>
          </w:p>
        </w:tc>
        <w:tc>
          <w:tcPr>
            <w:tcW w:w="40" w:type="dxa"/>
            <w:vAlign w:val="bottom"/>
            <w:tcBorders>
              <w:top w:val="single" w:sz="8" w:color="CFF0FC"/>
              <w:bottom w:val="single" w:sz="8" w:color="auto"/>
            </w:tcBorders>
          </w:tcPr>
          <w:p>
            <w:pPr>
              <w:spacing w:after="0"/>
              <w:rPr>
                <w:sz w:val="21"/>
                <w:szCs w:val="21"/>
                <w:color w:val="auto"/>
              </w:rPr>
            </w:pPr>
          </w:p>
        </w:tc>
        <w:tc>
          <w:tcPr>
            <w:tcW w:w="200" w:type="dxa"/>
            <w:vAlign w:val="bottom"/>
            <w:tcBorders>
              <w:top w:val="single" w:sz="8" w:color="CFF0FC"/>
              <w:bottom w:val="single" w:sz="8" w:color="auto"/>
            </w:tcBorders>
          </w:tcPr>
          <w:p>
            <w:pPr>
              <w:spacing w:after="0"/>
              <w:rPr>
                <w:sz w:val="21"/>
                <w:szCs w:val="21"/>
                <w:color w:val="auto"/>
              </w:rPr>
            </w:pPr>
          </w:p>
        </w:tc>
        <w:tc>
          <w:tcPr>
            <w:tcW w:w="1020" w:type="dxa"/>
            <w:vAlign w:val="bottom"/>
            <w:tcBorders>
              <w:top w:val="single" w:sz="8" w:color="CFF0FC"/>
              <w:bottom w:val="single" w:sz="8" w:color="auto"/>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20" w:type="dxa"/>
            <w:vAlign w:val="bottom"/>
            <w:tcBorders>
              <w:top w:val="single" w:sz="8" w:color="CFF0FC"/>
              <w:bottom w:val="single" w:sz="8" w:color="auto"/>
            </w:tcBorders>
          </w:tcPr>
          <w:p>
            <w:pPr>
              <w:spacing w:after="0"/>
              <w:rPr>
                <w:sz w:val="21"/>
                <w:szCs w:val="21"/>
                <w:color w:val="auto"/>
              </w:rPr>
            </w:pPr>
          </w:p>
        </w:tc>
        <w:tc>
          <w:tcPr>
            <w:tcW w:w="160" w:type="dxa"/>
            <w:vAlign w:val="bottom"/>
            <w:tcBorders>
              <w:top w:val="single" w:sz="8" w:color="CFF0FC"/>
              <w:bottom w:val="single" w:sz="8" w:color="auto"/>
            </w:tcBorders>
          </w:tcPr>
          <w:p>
            <w:pPr>
              <w:spacing w:after="0"/>
              <w:rPr>
                <w:sz w:val="21"/>
                <w:szCs w:val="21"/>
                <w:color w:val="auto"/>
              </w:rPr>
            </w:pPr>
          </w:p>
        </w:tc>
        <w:tc>
          <w:tcPr>
            <w:tcW w:w="1720" w:type="dxa"/>
            <w:vAlign w:val="bottom"/>
            <w:tcBorders>
              <w:top w:val="single" w:sz="8" w:color="CFF0FC"/>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244,063</w:t>
            </w:r>
          </w:p>
        </w:tc>
        <w:tc>
          <w:tcPr>
            <w:tcW w:w="12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243,118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repaid $75.6 million in outstanding principal of the Term Facility (as defined below).</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2021 Credit Agreement</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September 30, 2025, the Pledged Assets of these subsidiaries approximated $649.0 million, and the net assets of these subsidiaries approximated $335.5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There was no outstanding balance on the Revolving Credit Facility at September 30, 2025. However, in lieu of a security deposit, the Company has provided a standby letter of credit of $0.3 million to the lessor of the Company’s corporate headquarters, which reduced the amount available under the Revolving Credit Facility to $49.7 million as of September 30, 2025.</w:t>
      </w:r>
    </w:p>
    <w:p>
      <w:pPr>
        <w:spacing w:after="0" w:line="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DH Holdings Credit Agreement Amendment, the Company repaid $69.1 million of outstanding principal amount of the Term Facility and reduced its borrowing capacity under the Revolving Credit Facility by $25.0 million. As a result, the Company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the Revolving Credit Facility. In addition, the Company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and are amortized over the life of the arrangement. At September 30, 2025 and December 31, 2024, the unamortized financing costs were $0.5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and cap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entered into two interest rate swap agreements, effective on March 31, 2022. The swap agreements matured on March 31, 2025. The two interest rate swap agreements each had a notional value of $61.9 million with fixed interest rates of 1.90650% and 1.90900%. Interest payments under the swaps were made monthly on a net settlement basis. The Company has not recorded any amounts due to ineffectiveness for the period ended September 30, 2025 or year ended December 31, 2024.</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 entered into two interest rate cap agreements, effective March 31, 2025. The two interest rate cap agreements each have a notional value of $67.4 million as of September 30, 2025, with an interest rate cap of 4.50%. Interest payment receipts under the caps, if any, are made monthly on a net settlement basis. The Company has not recorded any amounts due to ineffectiveness for the period ended September 30, 2025.</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caps are designated and qualify as cash flow hedges. Consequently, the change in the estimated fair value of the effective portion of the derivative is recognized in accumulated other comprehensive (deficit) income (“AOCI”) on the unaudited condensed consolidated balance sheets and reclassified to interest expense, net, when the underlying transaction has an impact on earnings. The Company expects to recognize $0.2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interest rate caps as of September 30, 2025 and the fair values of the interest rate swaps as of December 31, 2024 were recorded in the Company’s unaudited condensed consolidated balance sheets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3"/>
                <w:szCs w:val="13"/>
                <w:color w:val="auto"/>
              </w:rPr>
            </w:pPr>
          </w:p>
        </w:tc>
        <w:tc>
          <w:tcPr>
            <w:tcW w:w="3820" w:type="dxa"/>
            <w:vAlign w:val="bottom"/>
            <w:vMerge w:val="restart"/>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3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derivative asset</w:t>
            </w: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6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19"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(unadjusted)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their short maturities (less than 12 months).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September 30, 2025 and December 31, 2024, based on interest rates currently available to the Company for similar borrowings.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uses interest rate caps and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8"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3" w:name="page24"/>
    <w:bookmarkEnd w:id="23"/>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September 30, 2025 and December 31, 2024 were classified as Level 2 in the fair value hierarchy.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deferred consideration resulting from the acquisition of Populi in the third quarter of 2023, which is subject to meeting certain revenue metrics during calendar years 2024 and 2025, is measured at fair value on a recurring basis. During the third quarter of 2025, management estimated the fair value of the contingent consideration liability by calculating the present value of the expected payment at the conclusion of the measurement period. This assessment was performed using a probability-weighted approach, which incorporated updated assumptions reflecting increased certainty and reduced variability in the range of probable outcomes for the final three months of the measurement period. At September 30, 2025, the fair value of the contingent consideration associated with this acquisition was estimated to be $3.0 million, all of which was included in accrued expenses and other liabilities in the unaudited condensed consolidated balance sheets. The change in estimate of contingent consideration subsequent to initial measurement as of the acquisition date was recorded in transaction, integration, and restructuring expense in the accompanying unaudited condensed consolidated statements of operations.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Contingent consideration resulting from an earnout associated with a previous acquisition was paid during the year ended December 31, 2024.</w:t>
      </w:r>
    </w:p>
    <w:p>
      <w:pPr>
        <w:spacing w:after="0" w:line="11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w:t>
            </w:r>
          </w:p>
        </w:tc>
      </w:tr>
      <w:tr>
        <w:trPr>
          <w:trHeight w:val="20"/>
        </w:trPr>
        <w:tc>
          <w:tcPr>
            <w:tcW w:w="69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2025 and December 31, 2024, assets and liabilities measured at fair value on a recurring basis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rate cap contracts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tbl>
      <w:tblPr>
        <w:tblLayout w:type="fixed"/>
        <w:tblInd w:w="30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except for the non-current portion of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the notes to the consolidated financial statements in the Company’s 2024 Form 10-K.</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13. Noncontrolling Interest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operates and controls all of the business and affairs of Definitive OpCo, and through Definitive OpCo and its subsidiaries, conducts its business. Accordingly, the Company consolidates the financial results of Definitive OpCo, and reports the noncontrolling interests of its consolidated subsidiaries on its unaudited condensed consolidated financial statements based on the LLC Units held by Continuing Pre-IPO LLC Members other than the Company. Changes in the Company’s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2025, 1,089,580 LLC Units held by Continuing Pre-IPO LLC Members were exchanged for shares of Class A Common Stock of the Company pursuant to the terms of the Amended LLC Agreement. In addition, 2,740,429 restricted stock units (“RSUs”) vested and 891,048 shares of Class A Common Stock were withheld to cover withholding tax obligations, resulting in the net issuance of 1,849,381 shares of Class A Common Stock of the Company. Furthermore, 13,880,866 shares of Class A Common Stock have been repurchased and subsequently retired under Repurchase Programs (as the term is defined below) authorized by the Company’s board of directors (the “Board”).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4" w:lineRule="exact"/>
        <w:rPr>
          <w:sz w:val="20"/>
          <w:szCs w:val="20"/>
          <w:color w:val="auto"/>
        </w:rPr>
      </w:pPr>
    </w:p>
    <w:p>
      <w:pPr>
        <w:ind w:right="260" w:firstLine="509"/>
        <w:spacing w:after="0" w:line="280"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ownership interests in Definitive OpCo of 72.9% and 74.3%, respectively, and noncontrolling interests of 27.1% and 25.7%, respectively</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(Deficit)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changes in AOCI for the three and nine months ended September 30, 2025 and 2024,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 on Cash</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9"/>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45"/>
        </w:trPr>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-2211070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-2193925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-2211070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-2193925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-2211070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-2193925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-2211070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-2193925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-2211070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-2193925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-2211070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-2193925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-2211070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-2193925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-864870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-847725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-864870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-847725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-864870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-847725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-864870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-847725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-864870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-847725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-847725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-864870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-847725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15. Stockholders’ Equity and Equity-Based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May 2024, the Board authorized a stock repurchase program of up to $20.0 million of the Company’s Class A Common Stock, which expired on December 31, 2024 (the “2024 Repurchase Program”). On November 1, 2024, the Board announced a new stock repurchase program (the “2025 Repurchase Program” and, together with the 2024 Repurchase Program, the “Repurchase Programs”) of the Company’s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7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repurchased 13.9 million shares of Class A Common Stock under the 2025 Repurchase Program for an aggregate purchase price of $49.5 million, including commissions. As of September 30, 2025, the Company has repurchased an aggregate of 18.7 million shares of Class A Common Stock under the Repurchase Programs for an aggregate purchase price of $71.8 million, including commissions.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nine months ended September 30, 2025 and 2024, respectively, is provided in the following table.</w:t>
      </w:r>
    </w:p>
    <w:p>
      <w:pPr>
        <w:spacing w:after="0" w:line="6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accelerated the vesting of 199,625 and 557,433 previously unvested time-based RSUs, respectively, in connection with the departure of certain executive-level employees. The remaining unvested shares held by the award holders were forfeited upon separation, and the modifications resulted in incremental stock-based compensation charges of approximately $0.3 million and $0.9 million during the three and nine months ended September 30, 2025, respectively.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accelerated the vesting of 28,879 and 779,024 previously unvested time-based RSUs, respectively, and 9,300 and 58,565 previously unvested performance-based RSUs (“PSUs”), respectively. Additionally, the Company accelerated the vesting of 7,839 and 67,937 previously unvested LLC units during the three and nine months ended September 30, 2025, respectively. These modifications occurred in connection with departures of certain executive-level employees. Remaining unvested shares held by the award holders were forfeited upon separation, and the modifications resulted in incremental stock-based compensation charges of approximately $0.1 million and $7.4 million during the three and nine months ended September 30, 2024,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with Market Conditions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granted 1,544,724 PSUs to certain executives with a relative total stockholder return (“TSR”) component, pursuant to the Company’s 2021 Equity Incentive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2025, the revenue and adjusted EBITDA margin targets have been determined, with the fiscal year 2026 and 2027 targets to be determined within 75 days following the end of the previous applicable fiscal year, and the three-year cumulative performance targets set in 2027.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for these PSUs can only be established when a mutual understanding of the terms of the award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including the specific targets for the cumulative performance period being explicitly defined in 2027. In addition, the awards are not forfeited in the event an interim annual target for 2025 or 2026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 granted PSUs to its Executive Chairman with performance criteria related to the relative ranking of the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$0.6 million and $1.7 million in stock-based compensation expense associated with PSUs with market conditions during the three and nine months ended September 30, 2025, respectively, and $0.6 million and $1.1 million during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September 30, 2025.</w:t>
      </w:r>
    </w:p>
    <w:p>
      <w:pPr>
        <w:spacing w:after="0" w:line="7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has recorded net deferred tax liabilities of $14.0 million and $24.5 million, respectively.</w:t>
      </w:r>
    </w:p>
    <w:p>
      <w:pPr>
        <w:spacing w:after="0" w:line="5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U.S. The OBBBA includes significant provisions, such as the permanent extension of certain expiring elements of the Tax Cuts and Jobs Act, revisions to the international tax framework, and the reinstatement of favorable tax treatment for certain business-related provisions. OBBBA has multiple effective dates, with certain provisions effective in 2025. While the enactment of OBBBA does not materially affect the Company's deferred tax assets or income tax expense due to the existing valuation allowance, it resulted in an increase to the Company’s TRA liability of approximately $7.6 million during the third quarter of 2025. This change stems primarily from updates to tax law concerning software development expenses under Section 174 of the Internal Revenue Code (the “Code”).</w:t>
      </w:r>
    </w:p>
    <w:p>
      <w:pPr>
        <w:spacing w:after="0" w:line="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(3.0)% and 6.8% for the three months ended September 30, 2025 and 2024, respectively, and 5.2% and 6.7% for the nine months ended September 30, 2025 and 2024, respectively. The Company’s effective tax rate differs from the statutory tax rate of 21% due to the valuation allowance recorded, foreign tax rates that differ from the U.S. statutory tax rate, and partnership income that is not taxed.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Pursuant to the Company’s election under Section 754 of the Code, the Company expects to obtain an increase in its share of the tax basis in the net assets of Definitive OpCo when LLC Units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Tax Receivable Agreement (“TRA”) among the Company, Definitive OpCo, and the TRA Parties and has recorded a liability under the TRA of $38.2 million and $63.2 million as of September 30, 2025 and December 31, 2024, respectively. The $25.0 million decrease in the TRA liability during the nine months ended September 30, 2025 was primarily driven by a $10.6 million remeasurement of the liability based on future realizability of tax attributes with an offsetting adjustment to statement of operations and $13.8 million of payments to TRA Parties, while concurrently decreasing $0.6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17.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income attributable to the Company by the weighted-average number of shares of Class A Common Stock outstanding during the period, excluding unvested equity awards and subsidiary member units not exchanged. Diluted earnings per share of Class A Common Stock is calculated by dividing net income attributable to the Company, adjusted for the assumed exchange of all potentially dilutive securities by the weighted-average number of shares of Class A Common Stock outstanding.</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nine months ended September 30, 2025 and 2024.</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54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(17,792)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(187,824)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(182,150)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(506,729)</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(56,928)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(52,533)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(152,680)</w:t>
            </w:r>
          </w:p>
        </w:tc>
      </w:tr>
      <w:tr>
        <w:trPr>
          <w:trHeight w:val="20"/>
        </w:trPr>
        <w:tc>
          <w:tcPr>
            <w:tcW w:w="5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(354,049)</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for the three and nine months ended September 30, 2025 and 2024 (per share amounts unaudited).</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(354,049)</w:t>
            </w:r>
          </w:p>
        </w:tc>
        <w:tc>
          <w:tcPr>
            <w:tcW w:w="0" w:type="dxa"/>
            <w:vAlign w:val="bottom"/>
          </w:tcPr>
          <w:p>
            <w:pPr>
              <w:spacing w:after="0"/>
              <w:rPr>
                <w:sz w:val="1"/>
                <w:szCs w:val="1"/>
                <w:color w:val="auto"/>
              </w:rPr>
            </w:pPr>
          </w:p>
        </w:tc>
      </w:tr>
      <w:tr>
        <w:trPr>
          <w:trHeight w:val="216"/>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103,783,012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107,760,787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excluded from the computation of diluted net loss per share for the period presented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6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gridSpan w:val="2"/>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0"/>
        </w:trPr>
        <w:tc>
          <w:tcPr>
            <w:tcW w:w="4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Definitive OpCo LLC Units (vested and unvested)</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38,349,047</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39,460,224</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15,219,918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9,092,737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738"/>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18. Segment Data</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2024 Form 10-K.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spacing w:after="0" w:line="8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operating financial results of our single reportable segment, including revenue, significant expenses regularly provided to the CODM,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170180</wp:posOffset>
            </wp:positionV>
            <wp:extent cx="403288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32885" cy="16256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6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2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net </w:t>
            </w:r>
            <w:r>
              <w:rPr>
                <w:rFonts w:ascii="Times New Roman" w:cs="Times New Roman" w:eastAsia="Times New Roman" w:hAnsi="Times New Roman"/>
                <w:sz w:val="24"/>
                <w:szCs w:val="24"/>
                <w:color w:val="auto"/>
                <w:vertAlign w:val="superscript"/>
              </w:rPr>
              <w:t>(1)(2)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561,265</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20" w:type="dxa"/>
            <w:vAlign w:val="bottom"/>
            <w:shd w:val="clear" w:color="auto" w:fill="CFF0FC"/>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(17,792)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(187,824)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(182,150)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(506,729)</w:t>
            </w:r>
          </w:p>
        </w:tc>
      </w:tr>
      <w:tr>
        <w:trPr>
          <w:trHeight w:val="20"/>
        </w:trPr>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-256540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-256540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-256540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-256540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100" w:hanging="512"/>
        <w:spacing w:after="0" w:line="25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other segment items, net includes a TRA remeasurement loss of $7.1 million, depreciation and amortization expense of $9.1 million, transaction, integration, and restructuring expenses of $5.3 million, interest expense of $3.0 million, interest income of $1.7 million, and net foreign currency transaction losses of $0.1 million. For the three months ended September 30, 2024, other segment items, net includes a goodwill impairment charge of $228.2 million, a TRA remeasurement gain of $24.2 million, depreciation and amortization expense of $9.5 million, interest expense of $3.7 million, interest income of $3.7 million, transaction integration, and restructuring income, net of $2.0 million, and net foreign currency transaction losses of $0.4 million.</w:t>
      </w:r>
    </w:p>
    <w:p>
      <w:pPr>
        <w:spacing w:after="0" w:line="79" w:lineRule="exact"/>
        <w:rPr>
          <w:rFonts w:ascii="Times New Roman" w:cs="Times New Roman" w:eastAsia="Times New Roman" w:hAnsi="Times New Roman"/>
          <w:sz w:val="18"/>
          <w:szCs w:val="18"/>
          <w:color w:val="auto"/>
        </w:rPr>
      </w:pPr>
    </w:p>
    <w:p>
      <w:pPr>
        <w:ind w:left="520" w:hanging="512"/>
        <w:spacing w:after="0" w:line="255"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2025, other segment items, net includes a goodwill impairment charge of $176.5 million, a TRA remeasurement gain of $10.6 million, depreciation and amortization expense of $26.6 million, interest expense of $8.4 million, transaction integration, and restructuring expenses of $7.2 million, interest income of $5.5 million, net foreign currency transaction losses of $1.6 million, and a loss on the partial extinguishment of debt of $0.5 million. For the nine months ended September 30, 2024, other segment items, net includes a goodwill impairment charge of $591.8 million, a TRA remeasurement gain of $68.2 million, depreciation and amortization expense of $28.2 million, interest income of $11.4 million, interest expense of $11.3 million, transaction integration, and restructuring expenses of $9.4 million, and net foreign currency transaction losses of $0.1 million.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The Company has engaged in revenue transactions within the ordinary course of business with entities affiliated with its Sponsors and with members of the Board. During each of the three months ended September 30, 2025 and 2024, the Company recorded revenue from related parties of $0.3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 During the nine months ended September 30, 2025 and 2024, the Company recorded revenue from related parties of $0.6</w:t>
      </w:r>
      <w:r>
        <w:rPr>
          <w:rFonts w:ascii="Times New Roman" w:cs="Times New Roman" w:eastAsia="Times New Roman" w:hAnsi="Times New Roman"/>
          <w:sz w:val="18"/>
          <w:szCs w:val="18"/>
          <w:color w:val="000000"/>
        </w:rPr>
        <w:t xml:space="preserve"> million and </w:t>
      </w:r>
      <w:r>
        <w:rPr>
          <w:rFonts w:ascii="Times New Roman" w:cs="Times New Roman" w:eastAsia="Times New Roman" w:hAnsi="Times New Roman"/>
          <w:sz w:val="18"/>
          <w:szCs w:val="18"/>
          <w:color w:val="231F20"/>
        </w:rPr>
        <w:t>$0.7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respectively. Receivables for related party revenue transactions amounted to $0.1 million and $0.2 million at September 30, 2025 and December 31, 2024, respectively.</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During the three and nine months ended September 30, 2025, the Company also paid $0.3 million and $0.7 million, respectively, to related parties for transactions within the ordinary course of business. Payables to related parties amounted to $0.1 million at September 30, 2025. There were no such payments or payables during the three and nine months ended September 30, 2024.</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2024 Form 10-K.</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2024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2,400 customers as of September 30, 2025. We generally define a customer as a company that maintains one or more active paid subscriptions to our platform.</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January 16, 2024, we completed the purchase of assets comprising the Carevoyance business line of H1 Insights, Inc., a product that helps medical technology (“MedTech”) customers improve segmentation, targeting, and prospect engagement for $13.7 million, subject to closing adjustments.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accompanying unaudited condensed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experienced declines in our market capitalization as a result of sustained decreases in our stock price, which represented a triggering event requiring our management to perform a quantitative goodwill impairment test as of the end of the first quarter of 2025. As a result of the impairment test, we determined that the fair value of our single reporting unit was lower than its carrying value and, accordingly, recorded a non-cash, pre-tax, goodwill impairment charge of $176.5 million during the first quarter of 2025. The goodwill impairment charge did not affect our liquidity or the financial covenants in our outstanding debt agreement. There were no triggering events identified during the third quarter of 2025 that would have required our management to perform a goodwill impairment test.</w:t>
      </w:r>
    </w:p>
    <w:p>
      <w:pPr>
        <w:spacing w:after="0" w:line="77" w:lineRule="exact"/>
        <w:rPr>
          <w:sz w:val="20"/>
          <w:szCs w:val="20"/>
          <w:color w:val="auto"/>
        </w:rPr>
      </w:pPr>
    </w:p>
    <w:p>
      <w:pPr>
        <w:jc w:val="both"/>
        <w:ind w:right="3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will continue to monitor for potential impairment indicators and potential impairments. See Note 8.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to our accompanying unaudited condensed consolidated financial statements. Our reporting unit is at risk for future goodwill impairments if we experience a continued decline in our market capitalization or worsening macroeconomic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and nine months ended September 30, 2024, we incurred restructuring and related charges of $0.2 million and $8.0 million, respectively, consisting primarily of severance payments, employee benefits, and related cash expenses. These charges were recognized within transaction, integration, and restructuring expenses in our unaudited condensed consolidated statements of operations. We do not expect to incur any additional material charges associated with the 2024 Restructuring Plan.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fiscal year 2024, we recorded impairment charges of $1.2 million related to the consolidation of certain leased office space at our corporate headquarters. These charges comprised $0.9 million relating to the operating lease right-of-use assets and $0.3 million relating to the leasehold improvements. During the nine months ended September 30, 2025, we incurred additional impairment charges of $0.4 million related to the operating lease right-of-use assets. These charges were recognized within transaction, integration, and restructuring expenses in our unaudited condensed consolidated statements of operations for each respective period.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Sales Execution Challenges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(as the term is defined below). These changes created disruptions to our sales efforts in 2024, impacting both new customer acquisition and upsell to existing customers. These factors, in addition to the lower than historical renewal rates we observed through the second half of 2024 and throughout 2025, have impacted, and we expect will continue to impact, our results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part of the Company’s ongoing review of its organizational design with respect to executive leadership we have recently experienced several executive transitions.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November 7, 2024, we announced that our former Chief Financial Officer, Richard Booth, would be leaving the Company effective June 1, 2025. After a thorough search process, our board of directors (the “Board”) appointed Casey Heller, our former Senior Vice President of Finance, to the role of Chief Financial Officer effective June 2, 2025.</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we announced that the Chief Operating Officer position, held by Kate Shamsuddin Jensen, would be eliminated. Ms. Shamsuddin Jensen will remain employed with the Company through August 1, 2025. Ms. Shamsuddin Jensen’s departure constitutes a termination of employment without “cause” for purposes of any employment, equity compensation, or benefit agreement, plan, or arrangement of the Company and its subsidiaries to which Ms. Shamsuddin Jensen is a party or in which she otherwise participates.</w:t>
      </w:r>
    </w:p>
    <w:p>
      <w:pPr>
        <w:spacing w:after="0" w:line="7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Additionally, on July 20, 2025, Jill Larsen resigned from the Board and as a member and chair of the human capital management and compensation committee (the “Compensation Committee”) of the Board, effective July 21, 2025. Ms. Larsen’s resignation was related to increased responsibilities at her present employer and not the result of any disagreements with the Company relating to the Company’s operations, policies, or practices. Due to Ms.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Larsen’s resignation, the size of the Board was reduced from 10 members to 9 members. In addition, the Board appointed Scott Stephenson as a member and Chair of the Compensation Committee.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Sciences market. This churn has impacted our revenue growth since 2023, and we expect this will continue to have an impact on our growth in fiscal year 2025.</w:t>
      </w:r>
    </w:p>
    <w:p>
      <w:pPr>
        <w:spacing w:after="0" w:line="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conflicts in Ukraine and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We are working to mitigate potential risk through renegotiation of select existing agreements and the addition of new data sources.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total customer count, which includes smaller customers, was approximately 2,400 as of September 30, 2025, compared with approximately 2,570 customers as of September 30, 2024. Our Enterprise Customer accounts have decreased by 10 to 520 customers as of September 30, 2025 compared with 530 customers as of September 30, 2024. Our smaller customers have churned at disproportionately higher rates year-over-year, primarily due to current macroeconomic conditions.</w:t>
      </w:r>
    </w:p>
    <w:p>
      <w:pPr>
        <w:spacing w:after="0" w:line="1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of approximately 2,400 customers as of September 30, 2025.</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progress in expanding usage of our platform with our existing customers is demonstrated by our NDR, which is further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We have continued and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(“cRPO”)</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p>
    <w:p>
      <w:pPr>
        <w:spacing w:after="0" w:line="7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2025 relative to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current and total remaining performance obligations as of September 30, 2025 and December 31, 2024:</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164,853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188,050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247,286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During fiscal year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accompanying unaudited condensed consolidated financial statements for further details.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2024, coupled with continued macroeconomic headwinds and sales execution challenges throughout 2024. As we moved through 2024 and 2025, we have not seen subscription renewals return to historical levels. Based on these impacts, we expect our revenue to decline in 2025 compared with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jc w:val="both"/>
        <w:ind w:right="1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excluding amortization of acquired technology and data, consists of direct expenses related to the support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6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only increase if we make additional acquisitions in the future.</w:t>
      </w:r>
    </w:p>
    <w:p>
      <w:pPr>
        <w:spacing w:after="0" w:line="5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 We are working to mitigate potential risk through the renegotiation of select existing agreements and the addition of new data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expect that gross profit margin for 2025 will continue to be impacted by the expansion of data sources and the anticipated revenue declines, as described above. Revenue declines, in combination with our largely fixed cost structure, are expected to result in a decrease in gross profit margin in 2025.</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5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artificial intelligence to drive higher quality data and deeper insights.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w:t>
      </w:r>
    </w:p>
    <w:p>
      <w:pPr>
        <w:spacing w:after="0" w:line="75" w:lineRule="exact"/>
        <w:rPr>
          <w:sz w:val="20"/>
          <w:szCs w:val="20"/>
          <w:color w:val="auto"/>
        </w:rPr>
      </w:pPr>
    </w:p>
    <w:p>
      <w:pPr>
        <w:ind w:right="4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65"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strategic partnership, and integration activities we have undertaken, primarily accounting, legal due diligence, consulting, and advisory fees, as well as expenses related to the 2024 Restructuring Plan and our office relocations and consolidations.</w:t>
      </w:r>
    </w:p>
    <w:p>
      <w:pPr>
        <w:spacing w:after="0" w:line="6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represents the excess of consideration transferred over the fair value of tangible and identifiable intangible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the liabilities assumed in a business combination. Substantially all of our goodwill was recognized in the purchase price allocations when we were acquired in 2019 by Advent (the “Advent Acquisition”),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During the first quarter of 2025, we experienced declines in our market capitalization as a result of sustained decreases in our stock price, which represented a triggering event requiring our management to perform a quantitative goodwill impairment test as of the end of the first quarter of 2025. As a result of the impairment test, we determined that the fair value of our single reporting unit was lower than its carrying value and, accordingly, recorded a non-cash, pre-tax, goodwill impairment charge of $176.5 million during the first quarter of 2025. The goodwill impairment charges did not affect our liquidity or the financial covenants in our outstanding debt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consists of interest expense on our debt obligations and the amortization of debt discounts and debt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consists of earnings resulting from our cash and cash equivalents and short-term investments.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consists primarily of the revaluation of TRA liabilities, realized and unrealized gains and losses related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denominated in a foreign currency, and a loss on the partial extinguishment of debt. Significant changes in the projected liability resulting from the TRA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5"/>
                <w:szCs w:val="15"/>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6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54,681</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334,010</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(8,688)</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(225,367)</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(197,644)</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(611,257)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(17,268)</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(201,548)</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(192,056)</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(543,133)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(17,792)</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(187,824)</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(182,150)</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(506,729)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(56,928)</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(52,533)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(14,838)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(130,896)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(129,617)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(354,049)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99"/>
              </w:rPr>
              <w:t>43</w:t>
            </w: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-3256915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-3256915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-3256915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-3256915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-2150745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-2150745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-2150745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-2150745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-1293495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-1293495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-1002665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-985520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-1002665</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-985520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-1002665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-985520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decreased $2.7 million, or 4%, in the three months ended September 30, 2025 compared with the same period in the prior year due to lower subscription revenue of $2.7 million, partially offset by higher professional services revenue of less than $0.1 million. Revenue attributable to customers that existed prior to the start of 2025 decreased $9.4 million, which was partially offset by a $6.7 million increase in revenue from new customers in 2025, inclusive of revenue from a data partnership that was launched earlier this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Cost of revenue increased $0.4 million, or 3%, in the three months ended September 30, 2025 compared with the same period in the prior year. The increase was driven primarily by a $1.4 million increase in amortization expense resulting from new data asset purchases and higher rates of amortization on certain technology assets amortized under economic consumption methods, partially offset by a $0.8 million decrease in hosting fees and data subscription and collection costs. Though we continue to experience increased data and hosting costs as a result of expanded customer usage of our platform, the period-over-period net decrease in these costs was due to one-time credits resulting from renegotiations on existing data contracts and the exit of a major data contract from a prior acquisition that no longer provided an economic benefit to the Company. We also experienced a $0.2 million decrease in personnel costs, including stock-based compensation, which was primarily driven by a moderate reduction in headcount.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Operating expenses decreased $219.7 million, or 80%, during the three months ended September 30, 2025 compared with the same period in the prior year. The decrease to operating expense was primarily due to a goodwill impairment charge of $228.2 million incurred in the prior year period, which did not repeat in the current year period, and:</w:t>
      </w:r>
    </w:p>
    <w:p>
      <w:pPr>
        <w:spacing w:after="0" w:line="68" w:lineRule="exact"/>
        <w:rPr>
          <w:sz w:val="20"/>
          <w:szCs w:val="20"/>
          <w:color w:val="auto"/>
        </w:rPr>
      </w:pPr>
    </w:p>
    <w:p>
      <w:pPr>
        <w:ind w:left="1020" w:right="4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$0.3 million for the three months ended September 30, 2025. There were no individually significant drivers that contributed to the change from the comparable period in the prior year;</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product development expense of $0.3 million for the three months ended September 30, 2025, primarily due to increased costs associated with new software application investments during the current year, partially offset by lower personnel costs in the current period resulting from an increase in capitalized payroll and third-party costs related to internal-use software development;</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$1.0 million for the three months ended September 30, 2025, primarily due to consulting fees and severance costs associated with strategic transition initiatives and the write-off of deferred offering costs associated with the Company’s expired shelf registration, partially offset by reductions in bad debt expense.</w:t>
      </w:r>
    </w:p>
    <w:p>
      <w:pPr>
        <w:spacing w:after="0" w:line="67"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$0.4 million for the three months ended September 30, 2025, primarily as a result of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transaction, integration, and restructuring expenses of $7.3 million for the three months ended September 30, 2025, primarily driven by higher acquisition and integration costs during the current period, including an integration charge to recognize a liability for a major data contract from a prior acquisition that no longer provided an economic benefit to the Company.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Total other expense, net was $8.6 million for the three months ended September 30, 2025 compared to total other income, net, of $23.8 million in the same period in the prior year. The change was primarily driven by a TRA liability remeasurement loss of $7.1 million during the three months ended September 30, 2025 due largely to tax law updates concerning software development expenses under Internal Revenue Code Section 174 (“IRC 174”) from the codification of the One Big Beautiful Bill Act (the “OBBBA”), compared with a $24.2 million gain during the same period in the prior year. The TRA liability remeasurement gain in the prior year was primarily driven by a $228.2 million goodwill impairment charge incurred during the three months ended September 30, 2024. Also contributing to the change was a foreign currency transaction loss of $0.1 million in the current year period, compared with a loss of $0.4 million in the prior year period, as well as interest expense, net, of $1.3 million in the current period, compared with interest expense, net, of less than $0.1 million in the prior year period.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was $0.5 million for the three months ended September 30, 2025 compared to a benefit from income taxes of $13.7 million in the comparable prior year period. The overall change was primarily attributed to the $228.2 million impairment of goodwill during the prior period, resulting in a reduction of indefinite-lived deferred tax liabilities. The resulting income tax benefit from the goodwill impairment did not reoccur in the current period.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Revenue decreased $9.9 million, or 5%, in the nine months ended September 30, 2025 compared with the same period in the prior year due to lower subscription revenue of $10.9 million, partially offset by higher professional services revenue of $1.0 million. Revenue attributable to customers that existed prior to the start of 2025 decreased $24.1 million, which was partially offset by a $14.2 million increase in revenue from new customers in 2025, inclusive of revenue from a data partnership that was launched earlier this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Cost of revenue increased $3.6 million, or 9%, in the nine months ended September 30, 2025 compared with the same period in the prior year. The increase was driven primarily by a $5.3 million increase in amortization expense resulting from new data asset purchases and higher rates of amortization on certain technology assets amortized under economic consumption methods, partially offset by a $0.9 million decrease in hosting fees and data subscription and collection costs. Though we continue to experience increased data and hosting costs as a result of expanded customer usage of our platform, the year-over-year net decrease in these costs was due to one-time credits resulting from renegotiations on existing data contracts and the exit of a major data contract from a prior acquisition that no longer provided an economic benefit to the Company. We also experienced a $0.8 million decrease in personnel costs, including stock-based compensation, which was primarily driven by a moderate reduction in headcount.</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Operating expenses, which included goodwill impairment charges of $176.5 million and $591.8 million incurred during the nine months ended September 30, 2025 and 2024, respectively (refer to Note 8.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to our accompanying unaudited condensed consolidated financial statements for further details), decreased $427.1 million, or 56%, during the nine months ended September 30, 2025 compared with the same period in the prior year. The decrease to operating expense as compared to the prior-year period was primarily due to a lower goodwill impairment charge in the current period and:</w:t>
      </w:r>
    </w:p>
    <w:p>
      <w:pPr>
        <w:spacing w:after="0" w:line="291" w:lineRule="exact"/>
        <w:rPr>
          <w:sz w:val="20"/>
          <w:szCs w:val="20"/>
          <w:color w:val="auto"/>
        </w:rPr>
      </w:pPr>
    </w:p>
    <w:p>
      <w:pPr>
        <w:ind w:left="1020" w:right="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$1.9 million for the nine months ended September 30, 2025, primarily due to lower personnel costs in the current period, including stock-based compensation expense, resulting from the 2024 Restructuring Plan and the departure of certain executive-level employees in the prior year, which did not repeat at the same level during the nine months ended September 30, 2025, partially offset by increased costs associated with new software applications, and with certain sales and marketing events and advertising campaigns in the current period;</w:t>
      </w:r>
    </w:p>
    <w:p>
      <w:pPr>
        <w:spacing w:after="0" w:line="75"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$2.7 million for the nine months ended September 30, 2025, primarily driven by lower personnel costs in the current period, including stock-based compensation expense. Higher stock-based compensation costs in the first quarter of 2024 associated with equity grant modifications were primarily driven by the 2024 Restructuring Plan, which did not repeat at the same level during the current period. Capitalized payroll and third-party costs related to internal-use software development also increased during the current period, further contributing to the year-over-year decrease in product development expense, which was partially offset by increased costs associated with new software application investments in the current period;</w:t>
      </w:r>
    </w:p>
    <w:p>
      <w:pPr>
        <w:spacing w:after="0" w:line="79"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general and administrative expense of $3.5 million for the nine months ended September 30, 2025, primarily driven by lower stock-based compensation expense in the current period. Higher costs incurred in the prior period associated with equity grant modifications were primarily driven by the 2024 Restructuring Plan and the departure of certain executive-level employees, which did not repeat at the same level during the current period. Also during the current period, we experienced reductions in bad debt expense and business insurance costs. These decreases were partially offset by higher personnel costs, including consulting fees and severance costs associated with strategic transition initiatives, higher franchise taxes, and a charge for the write-off of deferred offering costs associated with the Company’s expired shelf registration;</w:t>
      </w:r>
    </w:p>
    <w:p>
      <w:pPr>
        <w:spacing w:after="0" w:line="80"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$1.6 million for the nine months ended September 30, 2025, primarily driven by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transaction, integration, and restructuring expenses of $2.1 million for the nine months ended September 30, 2025, primarily driven by higher costs incurred in the prior year period associated with the 2024 Restructuring Plan and the consolidation of certain leased office facilities, which did not repeat at the same level during the current period, partially offset by higher acquisition and integration costs during the current period, including an integration charge to</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6" w:name="page47"/>
    <w:bookmarkEnd w:id="46"/>
    <w:p>
      <w:pPr>
        <w:ind w:left="1020"/>
        <w:spacing w:after="0"/>
        <w:rPr>
          <w:sz w:val="20"/>
          <w:szCs w:val="20"/>
          <w:color w:val="auto"/>
        </w:rPr>
      </w:pPr>
      <w:r>
        <w:rPr>
          <w:rFonts w:ascii="Times New Roman" w:cs="Times New Roman" w:eastAsia="Times New Roman" w:hAnsi="Times New Roman"/>
          <w:sz w:val="18"/>
          <w:szCs w:val="18"/>
          <w:color w:val="auto"/>
        </w:rPr>
        <w:t>recognize a liability for a major data contract from a prior acquisition that no longer provided an economic benefit to the Company.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Total other income, net was $5.6 million for the nine months ended September 30, 2025 compared to $68.1 million in the same period in the prior year. The decrease was primarily driven by a $57.5 million decrease in the TRA liability remeasurement gain during the nine months ended September 30, 2025, compared with the same period in the prior year. The TRA liability remeasurement gain was lower in the current period, primarily as a result of a $415.3 million decrease in goodwill impairment charges incurred during the nine months ended September 30, 2025 compared with the same period in 2024, and to a lesser extent by a TRA remeasurement loss in the current quarter driven by tax law updates concerning software development expenses under IRC 174 from the codification of the OBBBA. Also contributing to the decrease in other income, net was a foreign currency transaction loss of $1.6 million in the current year period, compared with a loss of $0.1 million in the prior year period, interest expense, net, of $3.0 million in the current year period, compared with interest income, net, of less than $0.1 million in the prior year period, and a $0.5 million loss on the partial extinguishment of debt incurred during the nine months ended September 30, 2025.</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$9.9 million for the nine months ended September 30, 2025 compared to $36.4 million in the comparable prior year period. The decrease was primarily attributed to a $415.3 million decrease in goodwill impairment charges during the current period, resulting in reduced income tax benefits from the reduction of indefinite-lived deferred tax liabilities.</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to assess our operations.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and gross margin to adjusted gross profit and adjusted gross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7"/>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r>
      <w:tr>
        <w:trPr>
          <w:trHeight w:val="173"/>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gross profit and margin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80" w:type="dxa"/>
            <w:vAlign w:val="bottom"/>
            <w:tcBorders>
              <w:righ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136,366</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resulting from acquisition-related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4"/>
        </w:trPr>
        <w:tc>
          <w:tcPr>
            <w:tcW w:w="28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purchase accounting adjustments</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8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 costs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righ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49,374</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w:t>
            </w: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146,428</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157,918</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-159385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-159385</wp:posOffset>
            </wp:positionV>
            <wp:extent cx="1111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-159385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-159385</wp:posOffset>
            </wp:positionV>
            <wp:extent cx="1111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1111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-159385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-159385</wp:posOffset>
            </wp:positionV>
            <wp:extent cx="1117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47" w:lineRule="exact"/>
        <w:rPr>
          <w:sz w:val="20"/>
          <w:szCs w:val="20"/>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(income), net and loss on partial extinguishment of debt, (ii) provision for (benefit from) income taxes, and (iii) depreciation and amortization. Management further adjusts EBITDA in its presentation of Adjusted EBITDA to exclude (i) other expense (income), net, (ii) equity-based compensation, (iii) transaction, integration, and restructuring expenses, (iv) goodwill impairment,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w:t>
      </w:r>
    </w:p>
    <w:p>
      <w:pPr>
        <w:spacing w:after="0" w:line="8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margin to Adjusted EBITDA and Adjusted EBITDA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7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7"/>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r>
      <w:tr>
        <w:trPr>
          <w:trHeight w:val="17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5"/>
                <w:szCs w:val="15"/>
                <w:color w:val="auto"/>
              </w:rPr>
            </w:pPr>
          </w:p>
        </w:tc>
      </w:tr>
      <w:tr>
        <w:trPr>
          <w:trHeight w:val="156"/>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loss and margin</w:t>
            </w:r>
          </w:p>
        </w:tc>
        <w:tc>
          <w:tcPr>
            <w:tcW w:w="2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88"/>
              <w:spacing w:after="0" w:line="156" w:lineRule="exact"/>
              <w:rPr>
                <w:sz w:val="20"/>
                <w:szCs w:val="20"/>
                <w:color w:val="auto"/>
              </w:rPr>
            </w:pPr>
            <w:r>
              <w:rPr>
                <w:rFonts w:ascii="Times New Roman" w:cs="Times New Roman" w:eastAsia="Times New Roman" w:hAnsi="Times New Roman"/>
                <w:sz w:val="15"/>
                <w:szCs w:val="15"/>
                <w:color w:val="auto"/>
              </w:rPr>
              <w:t>(17,792)</w:t>
            </w:r>
          </w:p>
        </w:tc>
        <w:tc>
          <w:tcPr>
            <w:tcW w:w="11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right w:val="single" w:sz="8" w:color="CFF0FC"/>
            </w:tcBorders>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(187,824)</w:t>
            </w:r>
          </w:p>
        </w:tc>
        <w:tc>
          <w:tcPr>
            <w:tcW w:w="100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(300)%</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(182,150)</w:t>
            </w:r>
          </w:p>
        </w:tc>
        <w:tc>
          <w:tcPr>
            <w:tcW w:w="1320" w:type="dxa"/>
            <w:vAlign w:val="bottom"/>
            <w:tcBorders>
              <w:right w:val="single" w:sz="8" w:color="CFF0FC"/>
            </w:tcBorders>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(506,729)</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(267)%</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expense (income), 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1,331</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2,953</w:t>
            </w:r>
          </w:p>
        </w:tc>
        <w:tc>
          <w:tcPr>
            <w:tcW w:w="80" w:type="dxa"/>
            <w:vAlign w:val="bottom"/>
          </w:tcPr>
          <w:p>
            <w:pPr>
              <w:spacing w:after="0"/>
              <w:rPr>
                <w:sz w:val="14"/>
                <w:szCs w:val="14"/>
                <w:color w:val="auto"/>
              </w:rPr>
            </w:pPr>
          </w:p>
        </w:tc>
        <w:tc>
          <w:tcPr>
            <w:tcW w:w="132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4"/>
                <w:szCs w:val="14"/>
                <w:color w:val="auto"/>
              </w:rPr>
            </w:pPr>
          </w:p>
        </w:tc>
        <w:tc>
          <w:tcPr>
            <w:tcW w:w="9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(0)%</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Provision for (benefit from) income taxes</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524</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(13,724)</w:t>
            </w:r>
          </w:p>
        </w:tc>
        <w:tc>
          <w:tcPr>
            <w:tcW w:w="100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(9,906)</w:t>
            </w:r>
          </w:p>
        </w:tc>
        <w:tc>
          <w:tcPr>
            <w:tcW w:w="1320" w:type="dxa"/>
            <w:vAlign w:val="bottom"/>
            <w:tcBorders>
              <w:right w:val="single" w:sz="8" w:color="CFF0FC"/>
            </w:tcBorders>
            <w:gridSpan w:val="3"/>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(36,404)</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Loss on partial extinguishment of debt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507</w:t>
            </w:r>
          </w:p>
        </w:tc>
        <w:tc>
          <w:tcPr>
            <w:tcW w:w="80" w:type="dxa"/>
            <w:vAlign w:val="bottom"/>
          </w:tcPr>
          <w:p>
            <w:pPr>
              <w:spacing w:after="0"/>
              <w:rPr>
                <w:sz w:val="14"/>
                <w:szCs w:val="14"/>
                <w:color w:val="auto"/>
              </w:rPr>
            </w:pPr>
          </w:p>
        </w:tc>
        <w:tc>
          <w:tcPr>
            <w:tcW w:w="132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960" w:type="dxa"/>
            <w:vAlign w:val="bottom"/>
            <w:gridSpan w:val="3"/>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Depreciation &amp; amortization</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14,060</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13,063</w:t>
            </w: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42,215</w:t>
            </w:r>
          </w:p>
        </w:tc>
        <w:tc>
          <w:tcPr>
            <w:tcW w:w="8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3"/>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38,535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20%</w:t>
            </w:r>
          </w:p>
        </w:tc>
      </w:tr>
      <w:tr>
        <w:trPr>
          <w:trHeight w:val="20"/>
        </w:trPr>
        <w:tc>
          <w:tcPr>
            <w:tcW w:w="2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55"/>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EBITDA and margin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5"/>
                <w:szCs w:val="15"/>
                <w:color w:val="auto"/>
              </w:rPr>
              <w:t>(1,877)</w:t>
            </w:r>
          </w:p>
        </w:tc>
        <w:tc>
          <w:tcPr>
            <w:tcW w:w="118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(188,478)</w:t>
            </w:r>
          </w:p>
        </w:tc>
        <w:tc>
          <w:tcPr>
            <w:tcW w:w="10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(301)%</w:t>
            </w:r>
          </w:p>
        </w:tc>
        <w:tc>
          <w:tcPr>
            <w:tcW w:w="100" w:type="dxa"/>
            <w:vAlign w:val="bottom"/>
          </w:tcPr>
          <w:p>
            <w:pPr>
              <w:spacing w:after="0"/>
              <w:rPr>
                <w:sz w:val="13"/>
                <w:szCs w:val="13"/>
                <w:color w:val="auto"/>
              </w:rPr>
            </w:pPr>
          </w:p>
        </w:tc>
        <w:tc>
          <w:tcPr>
            <w:tcW w:w="7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(146,381)</w:t>
            </w:r>
          </w:p>
        </w:tc>
        <w:tc>
          <w:tcPr>
            <w:tcW w:w="1320" w:type="dxa"/>
            <w:vAlign w:val="bottom"/>
            <w:gridSpan w:val="3"/>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(504,656)</w:t>
            </w:r>
          </w:p>
        </w:tc>
        <w:tc>
          <w:tcPr>
            <w:tcW w:w="80" w:type="dxa"/>
            <w:vAlign w:val="bottom"/>
          </w:tcPr>
          <w:p>
            <w:pPr>
              <w:spacing w:after="0"/>
              <w:rPr>
                <w:sz w:val="13"/>
                <w:szCs w:val="13"/>
                <w:color w:val="auto"/>
              </w:rPr>
            </w:pPr>
          </w:p>
        </w:tc>
        <w:tc>
          <w:tcPr>
            <w:tcW w:w="9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(266)%</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Other expense (income), net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7,249</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(23,826)</w:t>
            </w:r>
          </w:p>
        </w:tc>
        <w:tc>
          <w:tcPr>
            <w:tcW w:w="100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(9,048)</w:t>
            </w:r>
          </w:p>
        </w:tc>
        <w:tc>
          <w:tcPr>
            <w:tcW w:w="1320" w:type="dxa"/>
            <w:vAlign w:val="bottom"/>
            <w:tcBorders>
              <w:right w:val="single" w:sz="8" w:color="CFF0FC"/>
            </w:tcBorders>
            <w:gridSpan w:val="3"/>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(68,066)</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Equity-based compensation </w:t>
            </w:r>
            <w:r>
              <w:rPr>
                <w:rFonts w:ascii="Times New Roman" w:cs="Times New Roman" w:eastAsia="Times New Roman" w:hAnsi="Times New Roman"/>
                <w:sz w:val="18"/>
                <w:szCs w:val="18"/>
                <w:color w:val="auto"/>
                <w:vertAlign w:val="superscript"/>
              </w:rPr>
              <w:t>(b)</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6,684</w:t>
            </w:r>
          </w:p>
        </w:tc>
        <w:tc>
          <w:tcPr>
            <w:tcW w:w="2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6,296</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20,983</w:t>
            </w:r>
          </w:p>
        </w:tc>
        <w:tc>
          <w:tcPr>
            <w:tcW w:w="80" w:type="dxa"/>
            <w:vAlign w:val="bottom"/>
          </w:tcPr>
          <w:p>
            <w:pPr>
              <w:spacing w:after="0"/>
              <w:rPr>
                <w:sz w:val="14"/>
                <w:szCs w:val="14"/>
                <w:color w:val="auto"/>
              </w:rPr>
            </w:pPr>
          </w:p>
        </w:tc>
        <w:tc>
          <w:tcPr>
            <w:tcW w:w="132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30,720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16%</w:t>
            </w: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5"/>
                <w:szCs w:val="15"/>
                <w:color w:val="auto"/>
              </w:rPr>
              <w:t>Transaction, integration, and restructuring</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89"/>
        </w:trPr>
        <w:tc>
          <w:tcPr>
            <w:tcW w:w="2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5"/>
                <w:szCs w:val="15"/>
                <w:color w:val="auto"/>
              </w:rPr>
              <w:t xml:space="preserve">expenses </w:t>
            </w:r>
            <w:r>
              <w:rPr>
                <w:rFonts w:ascii="Times New Roman" w:cs="Times New Roman" w:eastAsia="Times New Roman" w:hAnsi="Times New Roman"/>
                <w:sz w:val="20"/>
                <w:szCs w:val="20"/>
                <w:color w:val="auto"/>
                <w:vertAlign w:val="superscript"/>
              </w:rPr>
              <w:t>(c)</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5,308</w:t>
            </w:r>
          </w:p>
        </w:tc>
        <w:tc>
          <w:tcPr>
            <w:tcW w:w="2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(1,995)</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7,245</w:t>
            </w:r>
          </w:p>
        </w:tc>
        <w:tc>
          <w:tcPr>
            <w:tcW w:w="8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9,390</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w:t>
            </w:r>
          </w:p>
        </w:tc>
      </w:tr>
      <w:tr>
        <w:trPr>
          <w:trHeight w:val="162"/>
        </w:trPr>
        <w:tc>
          <w:tcPr>
            <w:tcW w:w="270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Goodwill impairment </w:t>
            </w:r>
            <w:r>
              <w:rPr>
                <w:rFonts w:ascii="Times New Roman" w:cs="Times New Roman" w:eastAsia="Times New Roman" w:hAnsi="Times New Roman"/>
                <w:sz w:val="18"/>
                <w:szCs w:val="18"/>
                <w:color w:val="auto"/>
                <w:vertAlign w:val="superscript"/>
              </w:rPr>
              <w:t>(d)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228,153</w:t>
            </w:r>
          </w:p>
        </w:tc>
        <w:tc>
          <w:tcPr>
            <w:tcW w:w="2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176,531</w:t>
            </w:r>
          </w:p>
        </w:tc>
        <w:tc>
          <w:tcPr>
            <w:tcW w:w="80" w:type="dxa"/>
            <w:vAlign w:val="bottom"/>
          </w:tcPr>
          <w:p>
            <w:pPr>
              <w:spacing w:after="0"/>
              <w:rPr>
                <w:sz w:val="14"/>
                <w:szCs w:val="14"/>
                <w:color w:val="auto"/>
              </w:rPr>
            </w:pPr>
          </w:p>
        </w:tc>
        <w:tc>
          <w:tcPr>
            <w:tcW w:w="132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591,794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312%</w:t>
            </w:r>
          </w:p>
        </w:tc>
      </w:tr>
      <w:tr>
        <w:trPr>
          <w:trHeight w:val="162"/>
        </w:trPr>
        <w:tc>
          <w:tcPr>
            <w:tcW w:w="27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Other non-core items </w:t>
            </w:r>
            <w:r>
              <w:rPr>
                <w:rFonts w:ascii="Times New Roman" w:cs="Times New Roman" w:eastAsia="Times New Roman" w:hAnsi="Times New Roman"/>
                <w:sz w:val="18"/>
                <w:szCs w:val="18"/>
                <w:color w:val="auto"/>
                <w:vertAlign w:val="superscript"/>
              </w:rPr>
              <w:t>(e)</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1,585</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465</w:t>
            </w:r>
          </w:p>
        </w:tc>
        <w:tc>
          <w:tcPr>
            <w:tcW w:w="280" w:type="dxa"/>
            <w:vAlign w:val="bottom"/>
            <w:tcBorders>
              <w:right w:val="single" w:sz="8" w:color="CFF0FC"/>
            </w:tcBorders>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2,981</w:t>
            </w:r>
          </w:p>
        </w:tc>
        <w:tc>
          <w:tcPr>
            <w:tcW w:w="8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3"/>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2,375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20"/>
        </w:trPr>
        <w:tc>
          <w:tcPr>
            <w:tcW w:w="2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 and margin</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18,949</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20,615</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52,311</w:t>
            </w:r>
          </w:p>
        </w:tc>
        <w:tc>
          <w:tcPr>
            <w:tcW w:w="8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-864870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-864870</wp:posOffset>
            </wp:positionV>
            <wp:extent cx="1282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-864870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1289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-864870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-864870</wp:posOffset>
            </wp:positionV>
            <wp:extent cx="1289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-864870</wp:posOffset>
            </wp:positionV>
            <wp:extent cx="1289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-136525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-136525</wp:posOffset>
            </wp:positionV>
            <wp:extent cx="1282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-136525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-136525</wp:posOffset>
            </wp:positionV>
            <wp:extent cx="12890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-136525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-136525</wp:posOffset>
            </wp:positionV>
            <wp:extent cx="12890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-136525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-136525</wp:posOffset>
            </wp:positionV>
            <wp:extent cx="1289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520" w:right="58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520" w:right="400" w:hanging="512"/>
        <w:spacing w:after="0" w:line="25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and strategic partnerships, inclusive of an integration charge in the third quarter of 2025 to recognize a liability for a major data contract from a prior acquisition that no longer provided an economic benefit to the Company. Restructuring expenses relate to the 2024 Restructuring Plan as well as impairment and restructuring charges related to office closures, relocations, and consolidations.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8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5"/>
                <w:szCs w:val="15"/>
                <w:color w:val="auto"/>
              </w:rPr>
            </w:pPr>
          </w:p>
        </w:tc>
        <w:tc>
          <w:tcPr>
            <w:tcW w:w="258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7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(3,280)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(3,510)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(3,970)</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 closure and relocation restructuring charges and impairments</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-1010920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-1010920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-1010920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left="520" w:right="20" w:hanging="512"/>
        <w:spacing w:after="0" w:line="25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 of 2025 and multiple quarters in fiscal year 2024. As a result of the impairment tests conducted, we determined that the fair value of our single reporting unit was lower than its carrying value and, accordingly, recorded the impairment charges.</w:t>
      </w:r>
    </w:p>
    <w:p>
      <w:pPr>
        <w:spacing w:after="0" w:line="2" w:lineRule="exact"/>
        <w:rPr>
          <w:rFonts w:ascii="Times New Roman" w:cs="Times New Roman" w:eastAsia="Times New Roman" w:hAnsi="Times New Roman"/>
          <w:sz w:val="18"/>
          <w:szCs w:val="18"/>
          <w:color w:val="auto"/>
        </w:rPr>
      </w:pPr>
    </w:p>
    <w:p>
      <w:pPr>
        <w:ind w:left="520" w:right="40" w:hanging="512"/>
        <w:spacing w:after="0" w:line="25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 including a charge in the third quarter of 2025 for the write-off of deferred offering costs associated with the Company’s expired shelf registration.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20" w:type="dxa"/>
            <w:vAlign w:val="bottom"/>
          </w:tcPr>
          <w:p>
            <w:pPr>
              <w:spacing w:after="0"/>
              <w:rPr>
                <w:sz w:val="13"/>
                <w:szCs w:val="13"/>
                <w:color w:val="auto"/>
              </w:rPr>
            </w:pPr>
          </w:p>
        </w:tc>
        <w:tc>
          <w:tcPr>
            <w:tcW w:w="2800" w:type="dxa"/>
            <w:vAlign w:val="bottom"/>
            <w:gridSpan w:val="7"/>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-1010920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-1010920</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2025, we had $108.3 million of cash and cash equivalents, $77.6 million of short-term investments, and $49.7 million available under our Revolving Credit Facility (as the term is defined below).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and acquisitions, as well as for various other financing activities, including debt services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accompanying unaudited condensed consolidated financial statements for further details), repurchases of our Class A Common Stock, distributions to members of Definitive OpCo, and payments under our TRA liability.</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2024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5"/>
                <w:szCs w:val="15"/>
                <w:color w:val="auto"/>
              </w:rPr>
            </w:pPr>
          </w:p>
        </w:tc>
        <w:tc>
          <w:tcPr>
            <w:tcW w:w="28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51,057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50,061</w:t>
            </w: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97,524</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(146,877)</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(43,381)</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 changes)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$51.1 million during the nine months ended September 30, 2025, primarily as a result of a net loss of $182.2 million, offset by non-cash charges of $227.8 million. The non-cash charges were primarily comprised of $176.5 million in goodwill impairment charges recorded during the nine months ended September 30, 2025, a gain on remeasurement of the TRA of $10.6 million, amortization of intangible assets of $39.9 million, equity compensation costs of $21.0 million, amortization of deferred contract costs of $11.9 million, a decrease in deferred taxes of $10.3 million, and a $0.5 million loss on the partial extinguishment of debt. The net increase in operating assets and liabilities of $5.4 million for the nine months ended September 30, 2025 was primarily driven by cash inflows resulting from a decrease in accounts receivable of $19.4 million and higher accounts payable, accrued expenses, and other liabilities, collectively, of $0.4 million. These factors were partially offset by cash outflows resulting from an increase in deferred contract costs of $9.4 million, an increase in prepaid expenses and other assets of $3.5 million, and a decrease in deferred revenue of $1.5 million due to the timing of billings and cash received in advance of revenue recognition for subscription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ended September 30, 2025 was $97.5 million, driven primarily by $173.9 million in maturities of short-term investments, partially offset by $64.1 million in purchases of short-term investments, and $12.3 million in purchases of property (including software), equipment, and data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2025 was $146.9 million, driven by net repayments of the 2021 Term Loan (as defined below) of $75.6 million, payments of $49.5 million for repurchases of our Class A Common Stock, including commissions, payments of $13.8 million under the TRA, taxes paid related to the net share settlement of equity awards of $3.5 million, distributions to members of $2.8 million, and payments of debt issuance costs of $1.7 million.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loans under the Term Facility and the Revolving Credit Facility mature on January 16, 2030. The Facilities are guaranteed, subject to customary exceptions, by all of DH Holdings’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 (the “Pledged Assets”). As of September 30, 2025, the Pledged Assets of these subsidiaries approximated $649.0 million, and the net assets of these subsidiaries approximated $335.5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was no outstanding balance on the Revolving Credit Facility as of September 30, 2025, though we provided a standby letter of credit of $0.3 million to the lessor of our corporate headquarters in lieu of a security deposit, reducing the amount available under our Revolving Credit Facility to $49.7 million.</w:t>
      </w:r>
    </w:p>
    <w:p>
      <w:pPr>
        <w:spacing w:after="0" w:line="68"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2021 Credit Agreement, as amended, includes certain financial covenants for which we were compliant as of September 30, 2025 and December 31, 2024. Refer to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accompanying unaudited condensed consolidated financial statements for further information.</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DH Holdings Credit Agreement Amendment, we repaid $69.1 million of outstanding principal amount of the Term Facility and reduced our borrowing capacity under the Revolving Credit Facility by $25.0 million. As a result, we incurred a loss on partial extinguishment of debt of $0.5 million during the first quarter of 2025 attributed to the derecognition of a proportionate amount of the unamortized debt discount, a result of repaying the $69.1 million of outstanding principal on the Term Facility and reducing our Revolving Credit Facility. In addition, we capitalized financing costs totaling $1.7 million, of which $1.2 million related to the Term Facility and $0.5 million related to the Revolving Line of Credit. The financing costs associated with the Term Facility are recorded as a contra-debt balance in term loan, net of current portion in the consolidated balance sheets and are amortized over the remaining life of the loan using the effective interest method. The financing costs associated with the Revolving Line of Credit are recorded in other assets in the unaudited condensed consolidated balance sheets and are amortized over the life of the arrangement. At September 30, 2025 and December 31, 2024, the unamortized financing costs were $0.5 million and $0.3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Financing obligations generally include repayment of principal amounts of the 2021 Term Loan, lease payments, and purchase obligations. With the exception of the DH Holdings Credit Agreement Amendment as described under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there have been no material changes to our financing obligations during the nine months ended September 30, 2025.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our 2024 Form 10-K for further information.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May 2024, our Board authorized a stock repurchase program of up to $20.0 million of our Class A Common Stock, which expired on December 31, 2024 (the “2024 Repurchase Program”). On November 1, 2024, our Board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September 30, 2025, an aggregate of 18.7 million shares of Class A Common Stock have been repurchased under the Repurchase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accompanying unaudited condensed consolidated financial statements.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a requirement of our lease agreement for our corporate headquarters, in lieu of a security deposit, we provided a standby letter of credit of $0.3 million, which is effective through March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Capital expenditures increased by $10.9 million to $12.3 million for the nine months ended September 30, 2025 compared to $1.4 million for the same period in the prior year, primarily driven by higher spend on software, using both internal and third-party resources, and data assets in the current year compared with the comparable prior year period, along with an increase in capitalized payroll and third-party costs related to internal-use software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2024 included in our 2024 Form 10-K. There have been no material changes to these policies or estimates as of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new accounting pronouncements described under “—Recently Issued Accounting Pronouncements Not Yet Adopted” within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to our accompanying unaudited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 There have been no material changes to our quantitative and qualitative disclosures about market risk as compared to the quantitative and qualitative disclosures about market risk described in our 2024 Form 10-K.</w:t>
      </w:r>
    </w:p>
    <w:p>
      <w:pPr>
        <w:spacing w:after="0" w:line="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97"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its objectives, and management necessarily applies its judgment in evaluating the cost-benefit relationship of possible controls and procedures. Based on such evaluation, our Chief Executive Officer and Chief Financial Officer have concluded that our disclosure controls and procedures were effective as of September 30, 2025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fiscal quarter ended September 30, 2025 that has materially affected, or is reasonably likely to materially affect, our internal control over financial reporting.</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risks and uncertainties, see also Part I, Item 1A, “Risk Factors,” in our 2024 Form 10-K. There have been no material changes in our risk factors since the filing of our 2024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September 30, 2025 are as follows:</w:t>
      </w:r>
    </w:p>
    <w:p>
      <w:pPr>
        <w:spacing w:after="0" w:line="17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80" w:type="dxa"/>
            <w:vAlign w:val="bottom"/>
          </w:tcPr>
          <w:p>
            <w:pPr>
              <w:spacing w:after="0"/>
              <w:rPr>
                <w:sz w:val="20"/>
                <w:szCs w:val="20"/>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21, 2025</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11, 2025</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21,364</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August 25, 2025</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80" w:type="dxa"/>
            <w:vAlign w:val="bottom"/>
          </w:tcPr>
          <w:p>
            <w:pPr>
              <w:spacing w:after="0"/>
              <w:rPr>
                <w:sz w:val="18"/>
                <w:szCs w:val="18"/>
                <w:color w:val="auto"/>
              </w:rPr>
            </w:pPr>
          </w:p>
        </w:tc>
      </w:tr>
      <w:tr>
        <w:trPr>
          <w:trHeight w:val="250"/>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46,310</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431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repurchases of our Class A Common Stock during the quarter ended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920" w:type="dxa"/>
            <w:vAlign w:val="bottom"/>
            <w:gridSpan w:val="2"/>
            <w:vMerge w:val="restart"/>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20" w:type="dxa"/>
            <w:vAlign w:val="bottom"/>
          </w:tcPr>
          <w:p>
            <w:pPr>
              <w:spacing w:after="0"/>
              <w:rPr>
                <w:sz w:val="9"/>
                <w:szCs w:val="9"/>
                <w:color w:val="auto"/>
              </w:rPr>
            </w:pPr>
          </w:p>
        </w:tc>
        <w:tc>
          <w:tcPr>
            <w:tcW w:w="2140" w:type="dxa"/>
            <w:vAlign w:val="bottom"/>
            <w:gridSpan w:val="3"/>
            <w:vMerge w:val="restart"/>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8"/>
                <w:szCs w:val="18"/>
                <w:color w:val="auto"/>
              </w:rPr>
            </w:pPr>
          </w:p>
        </w:tc>
        <w:tc>
          <w:tcPr>
            <w:tcW w:w="214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8"/>
                <w:szCs w:val="18"/>
                <w:b w:val="1"/>
                <w:bCs w:val="1"/>
                <w:color w:val="auto"/>
                <w:w w:val="98"/>
              </w:rPr>
              <w:t xml:space="preserve">the Plans or Programs </w:t>
            </w:r>
            <w:r>
              <w:rPr>
                <w:rFonts w:ascii="Times New Roman" w:cs="Times New Roman" w:eastAsia="Times New Roman" w:hAnsi="Times New Roman"/>
                <w:sz w:val="24"/>
                <w:szCs w:val="24"/>
                <w:b w:val="1"/>
                <w:bCs w:val="1"/>
                <w:color w:val="auto"/>
                <w:w w:val="98"/>
                <w:vertAlign w:val="superscript"/>
              </w:rPr>
              <w:t>(1)</w:t>
            </w:r>
          </w:p>
        </w:tc>
        <w:tc>
          <w:tcPr>
            <w:tcW w:w="0" w:type="dxa"/>
            <w:vAlign w:val="bottom"/>
          </w:tcPr>
          <w:p>
            <w:pPr>
              <w:spacing w:after="0"/>
              <w:rPr>
                <w:sz w:val="1"/>
                <w:szCs w:val="1"/>
                <w:color w:val="auto"/>
              </w:rPr>
            </w:pPr>
          </w:p>
        </w:tc>
      </w:tr>
      <w:tr>
        <w:trPr>
          <w:trHeight w:val="25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gridSpan w:val="2"/>
          </w:tcPr>
          <w:p>
            <w:pPr>
              <w:jc w:val="center"/>
              <w:ind w:right="140"/>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879,142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4.06</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879,142</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2025</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1,147,822</w:t>
            </w: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3.87</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1,147,822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290,014</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290,014</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48,556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2,316,978</w:t>
            </w:r>
          </w:p>
        </w:tc>
        <w:tc>
          <w:tcPr>
            <w:tcW w:w="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3.96</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2,316,978</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137160</wp:posOffset>
            </wp:positionV>
            <wp:extent cx="30175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45" w:lineRule="exact"/>
        <w:rPr>
          <w:sz w:val="20"/>
          <w:szCs w:val="20"/>
          <w:color w:val="auto"/>
        </w:rPr>
      </w:pPr>
    </w:p>
    <w:p>
      <w:pPr>
        <w:ind w:left="760" w:hanging="452"/>
        <w:spacing w:after="0" w:line="289" w:lineRule="auto"/>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On November 1, 2024, our Board announced the 2025 Repurchase Program of our Class A Common Stock authorizing up to $100.0 million in share repurchases. The Repurchase Program expires on December 31, 2025. Repurchases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500" w:type="dxa"/>
            <w:vAlign w:val="bottom"/>
            <w:gridSpan w:val="10"/>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4"/>
                <w:szCs w:val="14"/>
                <w:color w:val="auto"/>
              </w:rPr>
            </w:pPr>
          </w:p>
        </w:tc>
        <w:tc>
          <w:tcPr>
            <w:tcW w:w="980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Reorganization Agreement, dated September 14, 2021, between Definitive Healthcare Corp., AIDH TopCo, LLC and the parties named</w:t>
              </w:r>
            </w:hyperlink>
          </w:p>
        </w:tc>
        <w:tc>
          <w:tcPr>
            <w:tcW w:w="120" w:type="dxa"/>
            <w:vAlign w:val="bottom"/>
            <w:gridSpan w:val="2"/>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therein (incorporated by reference to Exhibit 10.8 to the Company’s Quarterly Report on Form 10-Q (File No. 001-40815) filed with the</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SEC on November 8, 2021).</w:t>
              </w:r>
            </w:hyperlink>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Amended and Restated Certificate of Incorporation of Definitive Healthcare Corp. (incorporated by reference to Exhibit 3.1 to the</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Company’s Quarterly 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Amended and Restated Bylaws of Definitive Healthcare Corp. (incorporated by reference to Exhibit 3.2 to the Company’s Quarterly</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1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360" w:type="dxa"/>
            <w:vAlign w:val="bottom"/>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right="4180" w:firstLine="8"/>
        <w:spacing w:after="0" w:line="365" w:lineRule="auto"/>
        <w:tabs>
          <w:tab w:leader="none" w:pos="1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or furnished herewith</w:t>
      </w:r>
    </w:p>
    <w:p>
      <w:pPr>
        <w:ind w:right="140" w:firstLine="8"/>
        <w:spacing w:after="0" w:line="261" w:lineRule="auto"/>
        <w:tabs>
          <w:tab w:leader="none" w:pos="1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irrespective of any general incorporation language contained in such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796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479"/>
        </w:trPr>
        <w:tc>
          <w:tcPr>
            <w:tcW w:w="2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 Kevin Coop</w:t>
            </w:r>
          </w:p>
        </w:tc>
      </w:tr>
      <w:tr>
        <w:trPr>
          <w:trHeight w:val="230"/>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6, 2025</w:t>
            </w:r>
          </w:p>
        </w:tc>
        <w:tc>
          <w:tcPr>
            <w:tcW w:w="3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19"/>
                <w:szCs w:val="19"/>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6"/>
                <w:szCs w:val="16"/>
                <w:color w:val="auto"/>
              </w:rPr>
            </w:pP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Kevin Coop</w:t>
            </w:r>
          </w:p>
        </w:tc>
      </w:tr>
      <w:tr>
        <w:trPr>
          <w:trHeight w:val="236"/>
        </w:trPr>
        <w:tc>
          <w:tcPr>
            <w:tcW w:w="2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66"/>
        </w:trPr>
        <w:tc>
          <w:tcPr>
            <w:tcW w:w="2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/s/ Casey Heller</w:t>
            </w:r>
          </w:p>
        </w:tc>
      </w:tr>
      <w:tr>
        <w:trPr>
          <w:trHeight w:val="22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6, 2025</w:t>
            </w:r>
          </w:p>
        </w:tc>
        <w:tc>
          <w:tcPr>
            <w:tcW w:w="32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19"/>
                <w:szCs w:val="19"/>
                <w:color w:val="auto"/>
              </w:rPr>
            </w:pPr>
          </w:p>
        </w:tc>
      </w:tr>
      <w:tr>
        <w:trPr>
          <w:trHeight w:val="189"/>
        </w:trPr>
        <w:tc>
          <w:tcPr>
            <w:tcW w:w="2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spacing w:after="0"/>
              <w:rPr>
                <w:sz w:val="16"/>
                <w:szCs w:val="16"/>
                <w:color w:val="auto"/>
              </w:rPr>
            </w:pP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Casey Heller</w:t>
            </w:r>
          </w:p>
        </w:tc>
      </w:tr>
      <w:tr>
        <w:trPr>
          <w:trHeight w:val="236"/>
        </w:trPr>
        <w:tc>
          <w:tcPr>
            <w:tcW w:w="2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Coop,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tabs>
          <w:tab w:leader="none" w:pos="620" w:val="left"/>
          <w:tab w:leader="none" w:pos="6620" w:val="left"/>
        </w:tabs>
        <w:rPr>
          <w:sz w:val="20"/>
          <w:szCs w:val="20"/>
          <w:color w:val="auto"/>
        </w:rPr>
      </w:pPr>
      <w:r>
        <w:rPr>
          <w:rFonts w:ascii="Times New Roman" w:cs="Times New Roman" w:eastAsia="Times New Roman" w:hAnsi="Times New Roman"/>
          <w:sz w:val="18"/>
          <w:szCs w:val="18"/>
          <w:color w:val="auto"/>
        </w:rPr>
        <w:t>Date:</w:t>
        <w:tab/>
        <w:t>November 6, 2025</w:t>
      </w:r>
      <w:r>
        <w:rPr>
          <w:sz w:val="20"/>
          <w:szCs w:val="20"/>
          <w:color w:val="auto"/>
        </w:rPr>
        <w:tab/>
      </w:r>
      <w:r>
        <w:rPr>
          <w:rFonts w:ascii="Times New Roman" w:cs="Times New Roman" w:eastAsia="Times New Roman" w:hAnsi="Times New Roman"/>
          <w:sz w:val="17"/>
          <w:szCs w:val="17"/>
          <w:i w:val="1"/>
          <w:iCs w:val="1"/>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27305</wp:posOffset>
            </wp:positionV>
            <wp:extent cx="30600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Casey Heller,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tabs>
          <w:tab w:leader="none" w:pos="660" w:val="left"/>
          <w:tab w:leader="none" w:pos="6620" w:val="left"/>
        </w:tabs>
        <w:rPr>
          <w:sz w:val="20"/>
          <w:szCs w:val="20"/>
          <w:color w:val="auto"/>
        </w:rPr>
      </w:pPr>
      <w:r>
        <w:rPr>
          <w:rFonts w:ascii="Times New Roman" w:cs="Times New Roman" w:eastAsia="Times New Roman" w:hAnsi="Times New Roman"/>
          <w:sz w:val="18"/>
          <w:szCs w:val="18"/>
          <w:color w:val="auto"/>
        </w:rPr>
        <w:t>Date:</w:t>
        <w:tab/>
        <w:t>November 6, 2025</w:t>
      </w:r>
      <w:r>
        <w:rPr>
          <w:sz w:val="20"/>
          <w:szCs w:val="20"/>
          <w:color w:val="auto"/>
        </w:rPr>
        <w:tab/>
      </w:r>
      <w:r>
        <w:rPr>
          <w:rFonts w:ascii="Times New Roman" w:cs="Times New Roman" w:eastAsia="Times New Roman" w:hAnsi="Times New Roman"/>
          <w:sz w:val="17"/>
          <w:szCs w:val="17"/>
          <w:i w:val="1"/>
          <w:iCs w:val="1"/>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27305</wp:posOffset>
            </wp:positionV>
            <wp:extent cx="31375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-127635</wp:posOffset>
            </wp:positionV>
            <wp:extent cx="29229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Definitive Healthcare Corp. (the “Company”) for the quarterly period ended September 30, 2025 as filed with the Securities and Exchange Commission on the date hereof (the “Report”), Kevin Coop,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their knowledge:</w:t>
      </w:r>
    </w:p>
    <w:p>
      <w:pPr>
        <w:spacing w:after="0" w:line="18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27305</wp:posOffset>
            </wp:positionV>
            <wp:extent cx="28460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Kevin Coop</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27305</wp:posOffset>
            </wp:positionV>
            <wp:extent cx="28460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Casey Heller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4"/>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71" Type="http://schemas.openxmlformats.org/officeDocument/2006/relationships/hyperlink" Target="https://www.sec.gov/Archives/edgar/data/1861795/000095017021003484/dh-ex10_8.htm" TargetMode="External"/><Relationship Id="rId372" Type="http://schemas.openxmlformats.org/officeDocument/2006/relationships/hyperlink" Target="https://www.sec.gov/Archives/edgar/data/1861795/000095017021003484/dh-ex3_1.htm" TargetMode="External"/><Relationship Id="rId373" Type="http://schemas.openxmlformats.org/officeDocument/2006/relationships/hyperlink" Target="https://www.sec.gov/Archives/edgar/data/1861795/000095017021003484/dh-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2025-11-06T15:49:34Z</dcterms:created>
  <dcterms:modified xsi:type="dcterms:W3CDTF">2025-11-06T15:49:34Z</dcterms:modified>
</cp:coreProperties>
</file>