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Chilukuri Sastry</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Definitive Healthcare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1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DEFINITIVE HEALTHCARE CORP.</w:t>
            </w:r>
          </w:p>
        </w:tc>
        <w:tc>
          <w:tcPr>
            <w:tcW w:w="2520" w:type="dxa"/>
            <w:vAlign w:val="bottom"/>
            <w:gridSpan w:val="3"/>
            <w:vMerge w:val="continue"/>
          </w:tcPr>
          <w:p>
            <w:pPr>
              <w:spacing w:after="0"/>
              <w:rPr>
                <w:sz w:val="11"/>
                <w:szCs w:val="11"/>
                <w:color w:val="auto"/>
              </w:rPr>
            </w:pPr>
          </w:p>
        </w:tc>
        <w:tc>
          <w:tcPr>
            <w:tcW w:w="1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492 OLD CONNECTICUT PATH, SUITE 401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55,911</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126,794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June 5, 2026 or the date of the Issuer's next annual meeting of stockholders, subject to the Reporting Person's continued service through the applicable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3932" TargetMode="External"/><Relationship Id="rId14"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2025-06-09T16:52:17Z</dcterms:created>
  <dcterms:modified xsi:type="dcterms:W3CDTF">2025-06-09T16:52:17Z</dcterms:modified>
</cp:coreProperties>
</file>