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28, 2024</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460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81-3988281</w:t>
            </w:r>
          </w:p>
        </w:tc>
      </w:tr>
      <w:tr>
        <w:trPr>
          <w:trHeight w:val="148"/>
        </w:trPr>
        <w:tc>
          <w:tcPr>
            <w:tcW w:w="460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60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c>
          <w:tcPr>
            <w:tcW w:w="2920" w:type="dxa"/>
            <w:vAlign w:val="bottom"/>
          </w:tcPr>
          <w:p>
            <w:pPr>
              <w:spacing w:after="0"/>
              <w:rPr>
                <w:sz w:val="24"/>
                <w:szCs w:val="24"/>
                <w:color w:val="auto"/>
              </w:rPr>
            </w:pPr>
          </w:p>
        </w:tc>
      </w:tr>
      <w:tr>
        <w:trPr>
          <w:trHeight w:val="227"/>
        </w:trPr>
        <w:tc>
          <w:tcPr>
            <w:tcW w:w="460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Framingham, MA</w:t>
            </w:r>
          </w:p>
        </w:tc>
        <w:tc>
          <w:tcPr>
            <w:tcW w:w="29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01701</w:t>
            </w:r>
          </w:p>
        </w:tc>
      </w:tr>
      <w:tr>
        <w:trPr>
          <w:trHeight w:val="190"/>
        </w:trPr>
        <w:tc>
          <w:tcPr>
            <w:tcW w:w="460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Definitive Healthcare Corp. 2021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Plans)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Matthew W. Ruderman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492 Old Connecticut Path, Suite 401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Framingham, MA 01701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(508) 720-4224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Jason Kent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Jean Park</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Julia Boesch</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left="4"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Healthcare Corp.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provides that the total number of shares reserved for issuance under the 2021 Plan will automatically increase on the first day of each fiscal year of the Company during the term of the Plan, commencing on January 1, 2023 and ending on (and including) January 1, 2032 by a number equal to the least of (i) 5% of the total number of shares of Definitive Healthcare Corp.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actually issued and outstanding on the last day of the preceding fiscal year, (ii) a number of shares of Common Stock determined by the Registrant’s board of directors, and (iii) 8,989,039 shares of Common Stock. Accordingly, on January 1, 2024, the number of shares of the Registrant’s Common Stock that may be issued under the 2021 Plan increased by an additional 5,828,112 shares (or, 5% of the outstanding shares of the Registrant’s Common Stock as of December 31, 2023). This Registration Statement on Form S-8 is being filed for the purpose of registering these additional shares reserved for issuance under the 2021 Plan. These additional shares of Common Stock are securities of the same class as other securities for which Registration Statements on Form S-8 were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on </w:t>
      </w:r>
      <w:hyperlink r:id="rId18">
        <w:r>
          <w:rPr>
            <w:rFonts w:ascii="Times New Roman" w:cs="Times New Roman" w:eastAsia="Times New Roman" w:hAnsi="Times New Roman"/>
            <w:sz w:val="18"/>
            <w:szCs w:val="18"/>
            <w:u w:val="single" w:color="auto"/>
            <w:color w:val="0000EE"/>
          </w:rPr>
          <w:t>September 14, 2021 (File No. 333-259535)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February 27, 2023 (File No. 333-270059)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i w:val="1"/>
          <w:iCs w:val="1"/>
          <w:color w:val="auto"/>
        </w:rPr>
        <w:t>Prior Forms S-8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80"/>
        <w:spacing w:after="0" w:line="312" w:lineRule="auto"/>
        <w:rPr>
          <w:sz w:val="20"/>
          <w:szCs w:val="20"/>
          <w:color w:val="auto"/>
        </w:rPr>
      </w:pPr>
      <w:r>
        <w:rPr>
          <w:rFonts w:ascii="Times New Roman" w:cs="Times New Roman" w:eastAsia="Times New Roman" w:hAnsi="Times New Roman"/>
          <w:sz w:val="17"/>
          <w:szCs w:val="17"/>
          <w:color w:val="auto"/>
        </w:rPr>
        <w:t>Pursuant to General Instruction E of Form S-8, the contents of the Prior Forms S-8, to the extent relating to the registration of the Registrant’s Common Stock issuable under the 2021 Plan, are incorporated herein by reference and made part of this Registration Statement, except as modified hereby.</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documents we filed with the SEC are incorporated by reference into this Registration Statement:</w:t>
      </w:r>
    </w:p>
    <w:p>
      <w:pPr>
        <w:spacing w:after="0" w:line="221" w:lineRule="exact"/>
        <w:rPr>
          <w:sz w:val="20"/>
          <w:szCs w:val="20"/>
          <w:color w:val="auto"/>
        </w:rPr>
      </w:pPr>
    </w:p>
    <w:p>
      <w:pPr>
        <w:ind w:left="4" w:right="360" w:hanging="4"/>
        <w:spacing w:after="0" w:line="286"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(the “</w:t>
      </w:r>
      <w:r>
        <w:rPr>
          <w:rFonts w:ascii="Times New Roman" w:cs="Times New Roman" w:eastAsia="Times New Roman" w:hAnsi="Times New Roman"/>
          <w:sz w:val="18"/>
          <w:szCs w:val="18"/>
          <w:b w:val="1"/>
          <w:bCs w:val="1"/>
          <w:i w:val="1"/>
          <w:iCs w:val="1"/>
          <w:color w:val="auto"/>
        </w:rPr>
        <w:t>2023 10-K</w:t>
      </w:r>
      <w:r>
        <w:rPr>
          <w:rFonts w:ascii="Times New Roman" w:cs="Times New Roman" w:eastAsia="Times New Roman" w:hAnsi="Times New Roman"/>
          <w:sz w:val="18"/>
          <w:szCs w:val="18"/>
          <w:color w:val="auto"/>
        </w:rPr>
        <w:t>”), which includes audited financial statements for the Registrant’s latest fiscal year, filed with the SEC on February 28, 2024.</w:t>
      </w:r>
    </w:p>
    <w:p>
      <w:pPr>
        <w:spacing w:after="0" w:line="158" w:lineRule="exact"/>
        <w:rPr>
          <w:rFonts w:ascii="Times New Roman" w:cs="Times New Roman" w:eastAsia="Times New Roman" w:hAnsi="Times New Roman"/>
          <w:sz w:val="18"/>
          <w:szCs w:val="18"/>
          <w:color w:val="auto"/>
        </w:rPr>
      </w:pPr>
    </w:p>
    <w:p>
      <w:pPr>
        <w:ind w:left="4" w:right="40" w:hanging="4"/>
        <w:spacing w:after="0" w:line="281" w:lineRule="auto"/>
        <w:tabs>
          <w:tab w:leader="none" w:pos="269"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the Registrant’s Class A Common Stock which is contained in the Registrant’s Registration Statement on </w:t>
      </w:r>
      <w:hyperlink r:id="rId21">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September 15, 2021 (File No. 001-40815) under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including any amendment or report filed for the purpose of updating such description, including </w:t>
      </w:r>
      <w:hyperlink r:id="rId22">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of the Registrant’s Annual Report on Form 10-K for the fiscal year ended </w:t>
      </w:r>
      <w:hyperlink r:id="rId23">
        <w:r>
          <w:rPr>
            <w:rFonts w:ascii="Times New Roman" w:cs="Times New Roman" w:eastAsia="Times New Roman" w:hAnsi="Times New Roman"/>
            <w:sz w:val="17"/>
            <w:szCs w:val="17"/>
            <w:u w:val="single" w:color="auto"/>
            <w:color w:val="0000EE"/>
          </w:rPr>
          <w:t>December 31, 2021</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filed with the SEC on March 15, 2022, including any amendment or report filed for the purpose of updating such description.</w:t>
      </w:r>
    </w:p>
    <w:p>
      <w:pPr>
        <w:spacing w:after="0" w:line="164" w:lineRule="exact"/>
        <w:rPr>
          <w:rFonts w:ascii="Times New Roman" w:cs="Times New Roman" w:eastAsia="Times New Roman" w:hAnsi="Times New Roman"/>
          <w:sz w:val="17"/>
          <w:szCs w:val="17"/>
          <w:color w:val="0000EE"/>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 No. 001-40815) filed with the SEC on </w:t>
      </w:r>
      <w:hyperlink r:id="rId24">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January 16,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hanging="4"/>
        <w:spacing w:after="0" w:line="254" w:lineRule="auto"/>
        <w:tabs>
          <w:tab w:leader="none" w:pos="26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4"/>
          </w:cols>
          <w:pgMar w:left="436"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520" w:type="dxa"/>
            <w:vAlign w:val="bottom"/>
            <w:gridSpan w:val="12"/>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Amended and Restated Certificate of Incorporation of Definitive Healthcare Corp. (incorporated by reference to Exhibit 3.1 to the</w:t>
              </w:r>
            </w:hyperlink>
          </w:p>
        </w:tc>
        <w:tc>
          <w:tcPr>
            <w:tcW w:w="340" w:type="dxa"/>
            <w:vAlign w:val="bottom"/>
            <w:gridSpan w:val="3"/>
          </w:tcPr>
          <w:p>
            <w:pPr>
              <w:spacing w:after="0"/>
              <w:rPr>
                <w:sz w:val="22"/>
                <w:szCs w:val="22"/>
                <w:color w:val="auto"/>
              </w:rPr>
            </w:pPr>
          </w:p>
        </w:tc>
      </w:tr>
      <w:tr>
        <w:trPr>
          <w:trHeight w:val="196"/>
        </w:trPr>
        <w:tc>
          <w:tcPr>
            <w:tcW w:w="1300" w:type="dxa"/>
            <w:vAlign w:val="bottom"/>
          </w:tcPr>
          <w:p>
            <w:pPr>
              <w:spacing w:after="0"/>
              <w:rPr>
                <w:sz w:val="17"/>
                <w:szCs w:val="17"/>
                <w:color w:val="auto"/>
              </w:rPr>
            </w:pPr>
          </w:p>
        </w:tc>
        <w:tc>
          <w:tcPr>
            <w:tcW w:w="9720" w:type="dxa"/>
            <w:vAlign w:val="bottom"/>
            <w:gridSpan w:val="1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Company’s Quarterly Report on Form 10-Q (File No. 001-40815) filed with the SEC on November 8, 2021).</w:t>
              </w:r>
            </w:hyperlink>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Bylaws of Definitive Healthcare Corp. (incorporated by reference to Exhibit 3.2 to the Company’s Quarterly</w:t>
              </w:r>
            </w:hyperlink>
          </w:p>
        </w:tc>
        <w:tc>
          <w:tcPr>
            <w:tcW w:w="1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720" w:type="dxa"/>
            <w:vAlign w:val="bottom"/>
            <w:gridSpan w:val="1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Report on Form 10-Q (File No. 001-40815) filed with the SEC on November 8, 2021).</w:t>
              </w:r>
            </w:hyperlink>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Legal Opinion of Cooley LLP.</w:t>
            </w:r>
          </w:p>
        </w:tc>
        <w:tc>
          <w:tcPr>
            <w:tcW w:w="4040" w:type="dxa"/>
            <w:vAlign w:val="bottom"/>
            <w:tcBorders>
              <w:top w:val="single" w:sz="8" w:color="0000EE"/>
            </w:tcBorders>
            <w:gridSpan w:val="7"/>
          </w:tcPr>
          <w:p>
            <w:pPr>
              <w:spacing w:after="0"/>
              <w:rPr>
                <w:sz w:val="24"/>
                <w:szCs w:val="24"/>
                <w:color w:val="auto"/>
              </w:rPr>
            </w:pPr>
          </w:p>
        </w:tc>
        <w:tc>
          <w:tcPr>
            <w:tcW w:w="3480" w:type="dxa"/>
            <w:vAlign w:val="bottom"/>
            <w:gridSpan w:val="5"/>
          </w:tcPr>
          <w:p>
            <w:pPr>
              <w:spacing w:after="0"/>
              <w:rPr>
                <w:sz w:val="24"/>
                <w:szCs w:val="24"/>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580" w:type="dxa"/>
            <w:vAlign w:val="bottom"/>
            <w:gridSpan w:val="6"/>
          </w:tcPr>
          <w:p>
            <w:pPr>
              <w:spacing w:after="0"/>
              <w:rPr>
                <w:sz w:val="24"/>
                <w:szCs w:val="24"/>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7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No. 5.1).</w:t>
            </w: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7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to this Registration Statement).</w:t>
            </w: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20" w:type="dxa"/>
            <w:vAlign w:val="bottom"/>
            <w:gridSpan w:val="1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The Definitive Healthcare Corp. 2021 Equity Incentive Plan (incorporated by reference to Exhibit 10.12 of the Registrant’s Annual</w:t>
              </w:r>
            </w:hyperlink>
          </w:p>
        </w:tc>
      </w:tr>
      <w:tr>
        <w:trPr>
          <w:trHeight w:val="196"/>
        </w:trPr>
        <w:tc>
          <w:tcPr>
            <w:tcW w:w="130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Report on Form 10-K (File. No. 001-40815) filed with the SEC on March 15, 2022).</w:t>
              </w:r>
            </w:hyperlink>
          </w:p>
        </w:tc>
        <w:tc>
          <w:tcPr>
            <w:tcW w:w="3340" w:type="dxa"/>
            <w:vAlign w:val="bottom"/>
            <w:tcBorders>
              <w:top w:val="single" w:sz="8" w:color="0000EE"/>
            </w:tcBorders>
            <w:gridSpan w:val="5"/>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97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4" w:hanging="1304"/>
        <w:spacing w:after="0"/>
        <w:tabs>
          <w:tab w:leader="none" w:pos="13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State of Massachusetts, on February 28,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Jason Krantz or Richard Booth,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0"/>
          </w:cols>
          <w:pgMar w:left="440" w:top="26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Krantz</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Executive Chairman and Interim Chief</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78"/>
        </w:trPr>
        <w:tc>
          <w:tcPr>
            <w:tcW w:w="3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Jason Krantz</w:t>
            </w:r>
          </w:p>
        </w:tc>
        <w:tc>
          <w:tcPr>
            <w:tcW w:w="4080" w:type="dxa"/>
            <w:vAlign w:val="bottom"/>
          </w:tcPr>
          <w:p>
            <w:pPr>
              <w:jc w:val="center"/>
              <w:ind w:right="231"/>
              <w:spacing w:after="0" w:line="177" w:lineRule="exact"/>
              <w:rPr>
                <w:sz w:val="20"/>
                <w:szCs w:val="20"/>
                <w:color w:val="auto"/>
              </w:rPr>
            </w:pPr>
            <w:r>
              <w:rPr>
                <w:rFonts w:ascii="Times New Roman" w:cs="Times New Roman" w:eastAsia="Times New Roman" w:hAnsi="Times New Roman"/>
                <w:sz w:val="18"/>
                <w:szCs w:val="18"/>
                <w:color w:val="auto"/>
                <w:w w:val="99"/>
              </w:rPr>
              <w:t>Executive Officer</w:t>
            </w:r>
          </w:p>
        </w:tc>
        <w:tc>
          <w:tcPr>
            <w:tcW w:w="204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4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Booth</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78"/>
        </w:trPr>
        <w:tc>
          <w:tcPr>
            <w:tcW w:w="3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Richard Booth</w:t>
            </w:r>
          </w:p>
        </w:tc>
        <w:tc>
          <w:tcPr>
            <w:tcW w:w="4080" w:type="dxa"/>
            <w:vAlign w:val="bottom"/>
          </w:tcPr>
          <w:p>
            <w:pPr>
              <w:jc w:val="center"/>
              <w:ind w:right="231"/>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204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40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4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Sastry Chilukuri</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Sastry Chilukuri</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Egan</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 Egan</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Allen Hamood</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Samuel Allen Hamood</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Haywood</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 Haywood</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Jill Larsen</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Jill Larsen</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Stephenson</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Stephenson</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A. Winters</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Kathleen A. Winters</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Lauren Young</w:t>
            </w:r>
          </w:p>
        </w:tc>
        <w:tc>
          <w:tcPr>
            <w:tcW w:w="40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Lauren Young</w:t>
            </w: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019"/>
          </w:cols>
          <w:pgMar w:left="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Boesch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+1 415 693 2326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jboesch@cooley.com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have acted as counsel to Definitive Healthcare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covering the offering of up to 5,828,112 shares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the Company’s Class A Common Stock, $0.001 par value per share, issuable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prospectuses,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 Embarcadero Center 20th Floor San Francisco, California 94111-4004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(414) 693-2000 f: (415) 693-2222 cooley.com</w:t>
      </w:r>
    </w:p>
    <w:p>
      <w:pPr>
        <w:sectPr>
          <w:pgSz w:w="11900" w:h="16838" w:orient="portrait"/>
          <w:cols w:equalWidth="0" w:num="1">
            <w:col w:w="11020"/>
          </w:cols>
          <w:pgMar w:left="440" w:top="117" w:right="4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Julia Boesch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Julia Boesch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 Embarcadero Center 20th Floor San Francisco, California 94111-4004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(414) 693-2000 f: (415) 693-2222 cooley.com</w:t>
      </w:r>
    </w:p>
    <w:p>
      <w:pPr>
        <w:sectPr>
          <w:pgSz w:w="11900" w:h="16838" w:orient="portrait"/>
          <w:cols w:equalWidth="0" w:num="1">
            <w:col w:w="11000"/>
          </w:cols>
          <w:pgMar w:left="440" w:top="1012"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our reports dated February 28, 2024 relating to the financial statements of Definitive Healthcare Corp. and the effectiveness of Definitive Healthcare Corp.’s internal control over financial reporting, appearing in the Annual Report on Form 10-K of Definitive Healthcare Corp.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80"/>
        </w:trPr>
        <w:tc>
          <w:tcPr>
            <w:tcW w:w="104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3"/>
                <w:szCs w:val="13"/>
                <w:color w:val="auto"/>
                <w:w w:val="98"/>
              </w:rPr>
              <w:t xml:space="preserve">Registered </w:t>
            </w:r>
            <w:r>
              <w:rPr>
                <w:rFonts w:ascii="Times New Roman" w:cs="Times New Roman" w:eastAsia="Times New Roman" w:hAnsi="Times New Roman"/>
                <w:sz w:val="18"/>
                <w:szCs w:val="18"/>
                <w:color w:val="auto"/>
                <w:w w:val="98"/>
                <w:vertAlign w:val="superscript"/>
              </w:rPr>
              <w:t>(1)</w:t>
            </w:r>
            <w:r>
              <w:rPr>
                <w:rFonts w:ascii="Times New Roman" w:cs="Times New Roman" w:eastAsia="Times New Roman" w:hAnsi="Times New Roman"/>
                <w:sz w:val="13"/>
                <w:szCs w:val="13"/>
                <w:color w:val="auto"/>
                <w:w w:val="98"/>
              </w:rPr>
              <w:t xml:space="preserve">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1040" w:type="dxa"/>
            <w:vAlign w:val="bottom"/>
            <w:tcBorders>
              <w:left w:val="single" w:sz="8" w:color="auto"/>
              <w:right w:val="single" w:sz="8" w:color="auto"/>
            </w:tcBorders>
          </w:tcPr>
          <w:p>
            <w:pPr>
              <w:jc w:val="center"/>
              <w:ind w:left="4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5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Class A Common</w:t>
            </w: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$0.001 par</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8"/>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w:t>
            </w:r>
          </w:p>
        </w:tc>
        <w:tc>
          <w:tcPr>
            <w:tcW w:w="7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6"/>
                <w:szCs w:val="26"/>
                <w:color w:val="auto"/>
                <w:w w:val="91"/>
                <w:vertAlign w:val="superscript"/>
              </w:rPr>
              <w:t>(2)</w:t>
            </w:r>
          </w:p>
        </w:tc>
        <w:tc>
          <w:tcPr>
            <w:tcW w:w="10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 xml:space="preserve">5,828,112 </w:t>
            </w:r>
            <w:r>
              <w:rPr>
                <w:rFonts w:ascii="Times New Roman" w:cs="Times New Roman" w:eastAsia="Times New Roman" w:hAnsi="Times New Roman"/>
                <w:sz w:val="26"/>
                <w:szCs w:val="26"/>
                <w:color w:val="auto"/>
                <w:w w:val="95"/>
                <w:vertAlign w:val="superscript"/>
              </w:rPr>
              <w:t>(3)</w:t>
            </w:r>
          </w:p>
        </w:tc>
        <w:tc>
          <w:tcPr>
            <w:tcW w:w="6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$9.20</w:t>
            </w:r>
            <w:r>
              <w:rPr>
                <w:rFonts w:ascii="Times New Roman" w:cs="Times New Roman" w:eastAsia="Times New Roman" w:hAnsi="Times New Roman"/>
                <w:sz w:val="26"/>
                <w:szCs w:val="26"/>
                <w:color w:val="auto"/>
                <w:w w:val="92"/>
                <w:vertAlign w:val="superscript"/>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$53,618,630.40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$7,914.11</w:t>
            </w:r>
          </w:p>
        </w:tc>
      </w:tr>
      <w:tr>
        <w:trPr>
          <w:trHeight w:val="232"/>
        </w:trPr>
        <w:tc>
          <w:tcPr>
            <w:tcW w:w="10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$7,914.11</w:t>
            </w:r>
          </w:p>
        </w:tc>
      </w:tr>
      <w:tr>
        <w:trPr>
          <w:trHeight w:val="237"/>
        </w:trPr>
        <w:tc>
          <w:tcPr>
            <w:tcW w:w="10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7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97"/>
              <w:spacing w:after="0"/>
              <w:rPr>
                <w:sz w:val="20"/>
                <w:szCs w:val="20"/>
                <w:color w:val="auto"/>
              </w:rPr>
            </w:pPr>
            <w:r>
              <w:rPr>
                <w:rFonts w:ascii="Times New Roman" w:cs="Times New Roman" w:eastAsia="Times New Roman" w:hAnsi="Times New Roman"/>
                <w:sz w:val="18"/>
                <w:szCs w:val="18"/>
                <w:color w:val="auto"/>
                <w:w w:val="98"/>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$7,914.11</w:t>
            </w:r>
          </w:p>
        </w:tc>
      </w:tr>
    </w:tbl>
    <w:p>
      <w:pPr>
        <w:spacing w:after="0" w:line="221" w:lineRule="exact"/>
        <w:rPr>
          <w:sz w:val="20"/>
          <w:szCs w:val="20"/>
          <w:color w:val="auto"/>
        </w:rPr>
      </w:pPr>
    </w:p>
    <w:p>
      <w:pPr>
        <w:ind w:left="424" w:right="2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Class A Common Stock of Definitive Healthcare Corp.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Definitive Healthcare Corp.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set forth herein by reason of any stock dividend, stock split, recapitalization, or other similar transaction effected that results in an increase to the number of outstanding shares of the Registrant’s Class A common stock, as applicable.</w:t>
      </w:r>
    </w:p>
    <w:p>
      <w:pPr>
        <w:spacing w:after="0" w:line="2"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457(h) of the Securities Act solely for purposes of calculating the registration fee on the basis of $9.20, the average of the high and low prices of the Registrant’s Class A common stock as reported on the Nasdaq Stock Market on February 23, 2024.</w:t>
      </w:r>
    </w:p>
    <w:p>
      <w:pPr>
        <w:spacing w:after="0" w:line="212"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5,828,112 additional shares of the Registrant’s Class A Common Stock available for issuance as a result of the annual evergreen increase on January 1, 2024 under the 2021 Plan.</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eg"/><Relationship Id="rId33" Type="http://schemas.openxmlformats.org/officeDocument/2006/relationships/image" Target="media/image15.png"/><Relationship Id="rId34" Type="http://schemas.openxmlformats.org/officeDocument/2006/relationships/image" Target="media/image16.jpeg"/><Relationship Id="rId35" Type="http://schemas.openxmlformats.org/officeDocument/2006/relationships/image" Target="media/image17.png"/><Relationship Id="rId18" Type="http://schemas.openxmlformats.org/officeDocument/2006/relationships/hyperlink" Target="http://www.sec.gov/Archives/edgar/data/1861795/000119312521273190/d204559ds8.htm" TargetMode="External"/><Relationship Id="rId19" Type="http://schemas.openxmlformats.org/officeDocument/2006/relationships/hyperlink" Target="http://www.sec.gov/Archives/edgar/data/1861795/000119312523050866/d458388ds8.htm" TargetMode="External"/><Relationship Id="rId20" Type="http://schemas.openxmlformats.org/officeDocument/2006/relationships/hyperlink" Target="http://www.sec.gov/ix?doc=/Archives/edgar/data/1861795/000095017024022134/dh-20231231.htm" TargetMode="External"/><Relationship Id="rId21" Type="http://schemas.openxmlformats.org/officeDocument/2006/relationships/hyperlink" Target="http://www.sec.gov/Archives/edgar/data/1861795/000119312521273352/d208467d8a12b.htm" TargetMode="External"/><Relationship Id="rId22" Type="http://schemas.openxmlformats.org/officeDocument/2006/relationships/hyperlink" Target="http://www.sec.gov/Archives/edgar/data/1861795/000095017022003770/dh-ex4_1.htm" TargetMode="External"/><Relationship Id="rId23" Type="http://schemas.openxmlformats.org/officeDocument/2006/relationships/hyperlink" Target="http://www.sec.gov/ix?doc=/Archives/edgar/data/1861795/000095017022003770/dh-20211231.htm" TargetMode="External"/><Relationship Id="rId24" Type="http://schemas.openxmlformats.org/officeDocument/2006/relationships/hyperlink" Target="http://www.sec.gov/ix?doc=/Archives/edgar/data/1861795/000095017024001529/dh-20240103.htm" TargetMode="External"/><Relationship Id="rId25" Type="http://schemas.openxmlformats.org/officeDocument/2006/relationships/hyperlink" Target="http://www.sec.gov/ix?doc=/Archives/edgar/data/1861795/000119312524008562/d683059d8k.htm" TargetMode="External"/><Relationship Id="rId27" Type="http://schemas.openxmlformats.org/officeDocument/2006/relationships/hyperlink" Target="http://www.sec.gov/Archives/edgar/data/1861795/000095017021003484/dh-ex3_1.htm" TargetMode="External"/><Relationship Id="rId28" Type="http://schemas.openxmlformats.org/officeDocument/2006/relationships/hyperlink" Target="http://www.sec.gov/Archives/edgar/data/1861795/000095017021003484/dh-ex3_2.htm" TargetMode="External"/><Relationship Id="rId29" Type="http://schemas.openxmlformats.org/officeDocument/2006/relationships/hyperlink" Target="http://www.sec.gov/Archives/edgar/data/1861795/000095017022003770/dh-ex10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2024-02-29T05:42:24Z</dcterms:created>
  <dcterms:modified xsi:type="dcterms:W3CDTF">2024-02-29T05:42:24Z</dcterms:modified>
</cp:coreProperties>
</file>