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June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tbl>
      <w:tblPr>
        <w:tblLayout w:type="fixed"/>
        <w:tblInd w:w="1420" w:type="dxa"/>
        <w:tblCellMar>
          <w:top w:w="0" w:type="dxa"/>
          <w:left w:w="0" w:type="dxa"/>
          <w:bottom w:w="0" w:type="dxa"/>
          <w:right w:w="0" w:type="dxa"/>
        </w:tblCellMar>
      </w:tblPr>
      <w:tr>
        <w:trPr>
          <w:trHeight w:val="530"/>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43"/>
                <w:szCs w:val="43"/>
                <w:b w:val="1"/>
                <w:bCs w:val="1"/>
                <w:color w:val="auto"/>
                <w:w w:val="93"/>
              </w:rPr>
              <w:t>Definitive Healthcare Corp.</w:t>
            </w:r>
          </w:p>
        </w:tc>
      </w:tr>
      <w:tr>
        <w:trPr>
          <w:trHeight w:val="174"/>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3"/>
                <w:szCs w:val="13"/>
                <w:b w:val="1"/>
                <w:bCs w:val="1"/>
                <w:color w:val="auto"/>
                <w:w w:val="94"/>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6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486"/>
        </w:trPr>
        <w:tc>
          <w:tcPr>
            <w:tcW w:w="1320" w:type="dxa"/>
            <w:vAlign w:val="bottom"/>
          </w:tcPr>
          <w:p>
            <w:pPr>
              <w:jc w:val="center"/>
              <w:ind w:right="245"/>
              <w:spacing w:after="0"/>
              <w:rPr>
                <w:sz w:val="20"/>
                <w:szCs w:val="20"/>
                <w:color w:val="auto"/>
              </w:rPr>
            </w:pPr>
            <w:r>
              <w:rPr>
                <w:rFonts w:ascii="Arial" w:cs="Arial" w:eastAsia="Arial" w:hAnsi="Arial"/>
                <w:sz w:val="18"/>
                <w:szCs w:val="18"/>
                <w:b w:val="1"/>
                <w:bCs w:val="1"/>
                <w:color w:val="auto"/>
                <w:w w:val="91"/>
              </w:rPr>
              <w:t>Delaware</w:t>
            </w:r>
          </w:p>
        </w:tc>
        <w:tc>
          <w:tcPr>
            <w:tcW w:w="7120" w:type="dxa"/>
            <w:vAlign w:val="bottom"/>
            <w:gridSpan w:val="3"/>
          </w:tcPr>
          <w:p>
            <w:pPr>
              <w:jc w:val="center"/>
              <w:ind w:left="5966"/>
              <w:spacing w:after="0"/>
              <w:rPr>
                <w:sz w:val="20"/>
                <w:szCs w:val="20"/>
                <w:color w:val="auto"/>
              </w:rPr>
            </w:pPr>
            <w:r>
              <w:rPr>
                <w:rFonts w:ascii="Arial" w:cs="Arial" w:eastAsia="Arial" w:hAnsi="Arial"/>
                <w:sz w:val="18"/>
                <w:szCs w:val="18"/>
                <w:b w:val="1"/>
                <w:bCs w:val="1"/>
                <w:color w:val="auto"/>
                <w:w w:val="89"/>
              </w:rPr>
              <w:t>86-3988281</w:t>
            </w:r>
          </w:p>
        </w:tc>
      </w:tr>
      <w:tr>
        <w:trPr>
          <w:trHeight w:val="149"/>
        </w:trPr>
        <w:tc>
          <w:tcPr>
            <w:tcW w:w="1320" w:type="dxa"/>
            <w:vAlign w:val="bottom"/>
          </w:tcPr>
          <w:p>
            <w:pPr>
              <w:jc w:val="center"/>
              <w:ind w:right="265"/>
              <w:spacing w:after="0"/>
              <w:rPr>
                <w:sz w:val="20"/>
                <w:szCs w:val="20"/>
                <w:color w:val="auto"/>
              </w:rPr>
            </w:pPr>
            <w:r>
              <w:rPr>
                <w:rFonts w:ascii="Arial" w:cs="Arial" w:eastAsia="Arial" w:hAnsi="Arial"/>
                <w:sz w:val="13"/>
                <w:szCs w:val="13"/>
                <w:b w:val="1"/>
                <w:bCs w:val="1"/>
                <w:color w:val="auto"/>
                <w:w w:val="94"/>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1993"/>
              <w:spacing w:after="0"/>
              <w:rPr>
                <w:sz w:val="20"/>
                <w:szCs w:val="20"/>
                <w:color w:val="auto"/>
              </w:rPr>
            </w:pPr>
            <w:r>
              <w:rPr>
                <w:rFonts w:ascii="Arial" w:cs="Arial" w:eastAsia="Arial" w:hAnsi="Arial"/>
                <w:sz w:val="13"/>
                <w:szCs w:val="13"/>
                <w:b w:val="1"/>
                <w:bCs w:val="1"/>
                <w:color w:val="auto"/>
                <w:w w:val="96"/>
              </w:rPr>
              <w:t>(IRS Employer</w:t>
            </w:r>
          </w:p>
        </w:tc>
      </w:tr>
      <w:tr>
        <w:trPr>
          <w:trHeight w:val="170"/>
        </w:trPr>
        <w:tc>
          <w:tcPr>
            <w:tcW w:w="1320" w:type="dxa"/>
            <w:vAlign w:val="bottom"/>
          </w:tcPr>
          <w:p>
            <w:pPr>
              <w:jc w:val="center"/>
              <w:ind w:right="245"/>
              <w:spacing w:after="0"/>
              <w:rPr>
                <w:sz w:val="20"/>
                <w:szCs w:val="20"/>
                <w:color w:val="auto"/>
              </w:rPr>
            </w:pPr>
            <w:r>
              <w:rPr>
                <w:rFonts w:ascii="Arial" w:cs="Arial" w:eastAsia="Arial" w:hAnsi="Arial"/>
                <w:sz w:val="13"/>
                <w:szCs w:val="13"/>
                <w:b w:val="1"/>
                <w:bCs w:val="1"/>
                <w:color w:val="auto"/>
                <w:w w:val="96"/>
              </w:rPr>
              <w:t>of Incorporation)</w:t>
            </w:r>
          </w:p>
        </w:tc>
        <w:tc>
          <w:tcPr>
            <w:tcW w:w="1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20" w:type="dxa"/>
            <w:vAlign w:val="bottom"/>
          </w:tcPr>
          <w:p>
            <w:pPr>
              <w:jc w:val="center"/>
              <w:ind w:left="1993"/>
              <w:spacing w:after="0"/>
              <w:rPr>
                <w:sz w:val="20"/>
                <w:szCs w:val="20"/>
                <w:color w:val="auto"/>
              </w:rPr>
            </w:pPr>
            <w:r>
              <w:rPr>
                <w:rFonts w:ascii="Arial" w:cs="Arial" w:eastAsia="Arial" w:hAnsi="Arial"/>
                <w:sz w:val="13"/>
                <w:szCs w:val="13"/>
                <w:b w:val="1"/>
                <w:bCs w:val="1"/>
                <w:color w:val="auto"/>
                <w:w w:val="96"/>
              </w:rPr>
              <w:t>Identification No.)</w:t>
            </w:r>
          </w:p>
        </w:tc>
      </w:tr>
      <w:tr>
        <w:trPr>
          <w:trHeight w:val="234"/>
        </w:trPr>
        <w:tc>
          <w:tcPr>
            <w:tcW w:w="1320" w:type="dxa"/>
            <w:vAlign w:val="bottom"/>
          </w:tcPr>
          <w:p>
            <w:pPr>
              <w:spacing w:after="0"/>
              <w:rPr>
                <w:sz w:val="20"/>
                <w:szCs w:val="20"/>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8"/>
                <w:szCs w:val="18"/>
                <w:b w:val="1"/>
                <w:bCs w:val="1"/>
                <w:color w:val="auto"/>
                <w:w w:val="90"/>
              </w:rPr>
              <w:t>492 Old Connecticut Path, Suite 401</w:t>
            </w:r>
          </w:p>
        </w:tc>
      </w:tr>
      <w:tr>
        <w:trPr>
          <w:trHeight w:val="243"/>
        </w:trPr>
        <w:tc>
          <w:tcPr>
            <w:tcW w:w="1320" w:type="dxa"/>
            <w:vAlign w:val="bottom"/>
          </w:tcPr>
          <w:p>
            <w:pPr>
              <w:spacing w:after="0"/>
              <w:rPr>
                <w:sz w:val="21"/>
                <w:szCs w:val="21"/>
                <w:color w:val="auto"/>
              </w:rPr>
            </w:pPr>
          </w:p>
        </w:tc>
        <w:tc>
          <w:tcPr>
            <w:tcW w:w="7120" w:type="dxa"/>
            <w:vAlign w:val="bottom"/>
            <w:gridSpan w:val="3"/>
          </w:tcPr>
          <w:p>
            <w:pPr>
              <w:jc w:val="center"/>
              <w:ind w:right="1233"/>
              <w:spacing w:after="0"/>
              <w:rPr>
                <w:sz w:val="20"/>
                <w:szCs w:val="20"/>
                <w:color w:val="auto"/>
              </w:rPr>
            </w:pPr>
            <w:r>
              <w:rPr>
                <w:rFonts w:ascii="Arial" w:cs="Arial" w:eastAsia="Arial" w:hAnsi="Arial"/>
                <w:sz w:val="18"/>
                <w:szCs w:val="18"/>
                <w:b w:val="1"/>
                <w:bCs w:val="1"/>
                <w:color w:val="auto"/>
                <w:w w:val="89"/>
              </w:rPr>
              <w:t>Framingham, Massachusetts 01701</w:t>
            </w:r>
          </w:p>
        </w:tc>
      </w:tr>
      <w:tr>
        <w:trPr>
          <w:trHeight w:val="229"/>
        </w:trPr>
        <w:tc>
          <w:tcPr>
            <w:tcW w:w="1320" w:type="dxa"/>
            <w:vAlign w:val="bottom"/>
          </w:tcPr>
          <w:p>
            <w:pPr>
              <w:spacing w:after="0"/>
              <w:rPr>
                <w:sz w:val="19"/>
                <w:szCs w:val="19"/>
                <w:color w:val="auto"/>
              </w:rPr>
            </w:pPr>
          </w:p>
        </w:tc>
        <w:tc>
          <w:tcPr>
            <w:tcW w:w="7120" w:type="dxa"/>
            <w:vAlign w:val="bottom"/>
            <w:gridSpan w:val="3"/>
          </w:tcPr>
          <w:p>
            <w:pPr>
              <w:jc w:val="center"/>
              <w:ind w:right="1333"/>
              <w:spacing w:after="0"/>
              <w:rPr>
                <w:sz w:val="20"/>
                <w:szCs w:val="20"/>
                <w:color w:val="auto"/>
              </w:rPr>
            </w:pPr>
            <w:r>
              <w:rPr>
                <w:rFonts w:ascii="Arial" w:cs="Arial" w:eastAsia="Arial" w:hAnsi="Arial"/>
                <w:sz w:val="13"/>
                <w:szCs w:val="13"/>
                <w:b w:val="1"/>
                <w:bCs w:val="1"/>
                <w:color w:val="auto"/>
                <w:w w:val="93"/>
              </w:rPr>
              <w:t>(Address of Principal Executive Offices)</w:t>
            </w:r>
          </w:p>
        </w:tc>
      </w:tr>
      <w:tr>
        <w:trPr>
          <w:trHeight w:val="500"/>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Arial" w:cs="Arial" w:eastAsia="Arial" w:hAnsi="Arial"/>
                <w:sz w:val="18"/>
                <w:szCs w:val="18"/>
                <w:b w:val="1"/>
                <w:bCs w:val="1"/>
                <w:color w:val="auto"/>
                <w:w w:val="89"/>
              </w:rPr>
              <w:t>508 720-4224</w:t>
            </w:r>
          </w:p>
        </w:tc>
        <w:tc>
          <w:tcPr>
            <w:tcW w:w="3120" w:type="dxa"/>
            <w:vAlign w:val="bottom"/>
          </w:tcPr>
          <w:p>
            <w:pPr>
              <w:spacing w:after="0"/>
              <w:rPr>
                <w:sz w:val="24"/>
                <w:szCs w:val="24"/>
                <w:color w:val="auto"/>
              </w:rPr>
            </w:pPr>
          </w:p>
        </w:tc>
      </w:tr>
      <w:tr>
        <w:trPr>
          <w:trHeight w:val="188"/>
        </w:trPr>
        <w:tc>
          <w:tcPr>
            <w:tcW w:w="1320" w:type="dxa"/>
            <w:vAlign w:val="bottom"/>
          </w:tcPr>
          <w:p>
            <w:pPr>
              <w:spacing w:after="0"/>
              <w:rPr>
                <w:sz w:val="16"/>
                <w:szCs w:val="16"/>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3"/>
                <w:szCs w:val="13"/>
                <w:b w:val="1"/>
                <w:bCs w:val="1"/>
                <w:color w:val="auto"/>
                <w:w w:val="92"/>
              </w:rPr>
              <w:t>Registrant’s telephone number, including area code</w:t>
            </w:r>
          </w:p>
        </w:tc>
      </w:tr>
      <w:tr>
        <w:trPr>
          <w:trHeight w:val="635"/>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13"/>
              <w:spacing w:after="0"/>
              <w:rPr>
                <w:sz w:val="20"/>
                <w:szCs w:val="20"/>
                <w:color w:val="auto"/>
              </w:rPr>
            </w:pPr>
            <w:r>
              <w:rPr>
                <w:rFonts w:ascii="Arial" w:cs="Arial" w:eastAsia="Arial" w:hAnsi="Arial"/>
                <w:sz w:val="18"/>
                <w:szCs w:val="18"/>
                <w:b w:val="1"/>
                <w:bCs w:val="1"/>
                <w:color w:val="auto"/>
                <w:w w:val="90"/>
              </w:rPr>
              <w:t>Not Applicable</w:t>
            </w:r>
          </w:p>
        </w:tc>
      </w:tr>
      <w:tr>
        <w:trPr>
          <w:trHeight w:val="175"/>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3"/>
                <w:szCs w:val="13"/>
                <w:b w:val="1"/>
                <w:bCs w:val="1"/>
                <w:color w:val="auto"/>
                <w:w w:val="94"/>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128905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5" w:lineRule="exact"/>
        <w:rPr>
          <w:sz w:val="24"/>
          <w:szCs w:val="24"/>
          <w:color w:val="auto"/>
        </w:rPr>
      </w:pPr>
    </w:p>
    <w:tbl>
      <w:tblPr>
        <w:tblLayout w:type="fixed"/>
        <w:tblInd w:w="84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4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Symbol</w:t>
            </w:r>
          </w:p>
        </w:tc>
        <w:tc>
          <w:tcPr>
            <w:tcW w:w="14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28"/>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9"/>
              </w:rPr>
              <w:t>Class A Common Stock, $0.001 par value</w:t>
            </w:r>
          </w:p>
        </w:tc>
        <w:tc>
          <w:tcPr>
            <w:tcW w:w="1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DH</w:t>
            </w:r>
          </w:p>
        </w:tc>
        <w:tc>
          <w:tcPr>
            <w:tcW w:w="140" w:type="dxa"/>
            <w:vAlign w:val="bottom"/>
          </w:tcPr>
          <w:p>
            <w:pPr>
              <w:spacing w:after="0"/>
              <w:rPr>
                <w:sz w:val="19"/>
                <w:szCs w:val="19"/>
                <w:color w:val="auto"/>
              </w:rPr>
            </w:pPr>
          </w:p>
        </w:tc>
        <w:tc>
          <w:tcPr>
            <w:tcW w:w="3360" w:type="dxa"/>
            <w:vAlign w:val="bottom"/>
          </w:tcPr>
          <w:p>
            <w:pPr>
              <w:ind w:left="38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6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June 1, 2023, Definitive Healthcare Corp. (NASDAQ:DH) (the “Company”) held its 2023 Annual Meeting of Stockholders (the “Annual Meeting”). At the close of business on April 3, 2023, the record date for determination of stockholders entitled to vote at the Annual Meeting, there were 110,162,665 shares of Class A common stock and 44,218,741 shares of Class B common stock of the Company issued and outstanding. At the Annual Meeting, the stockholders of the Company (i) elected four Class II directors to serve a three-year term expiring at the annual meeting in 2026, or until their successors have been duly elected and qualified; (ii) approved, on a non-binding, advisory basis, a frequency of future non-binding advisory votes on the compensation of our named executive officers of one year; and (iii) ratified the selection of Deloitte &amp; Touche LLP as the Company’s independent auditor for fiscal year 2023.</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final results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Proposal #1:</w:t>
            </w:r>
          </w:p>
        </w:tc>
        <w:tc>
          <w:tcPr>
            <w:tcW w:w="144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Withhold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w w:val="99"/>
              </w:rPr>
              <w:t>Broker Non-Votes</w:t>
            </w:r>
          </w:p>
        </w:tc>
        <w:tc>
          <w:tcPr>
            <w:tcW w:w="140" w:type="dxa"/>
            <w:vAlign w:val="bottom"/>
          </w:tcPr>
          <w:p>
            <w:pPr>
              <w:spacing w:after="0"/>
              <w:rPr>
                <w:sz w:val="16"/>
                <w:szCs w:val="16"/>
                <w:color w:val="auto"/>
              </w:rPr>
            </w:pPr>
          </w:p>
        </w:tc>
      </w:tr>
      <w:tr>
        <w:trPr>
          <w:trHeight w:val="236"/>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Election of Chris Egan</w:t>
            </w:r>
          </w:p>
        </w:tc>
        <w:tc>
          <w:tcPr>
            <w:tcW w:w="78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141,973,375</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2,930,251</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2,063,617</w:t>
            </w:r>
          </w:p>
        </w:tc>
        <w:tc>
          <w:tcPr>
            <w:tcW w:w="140" w:type="dxa"/>
            <w:vAlign w:val="bottom"/>
            <w:shd w:val="clear" w:color="auto" w:fill="CFF0FC"/>
          </w:tcPr>
          <w:p>
            <w:pPr>
              <w:spacing w:after="0"/>
              <w:rPr>
                <w:sz w:val="20"/>
                <w:szCs w:val="20"/>
                <w:color w:val="auto"/>
              </w:rPr>
            </w:pPr>
          </w:p>
        </w:tc>
      </w:tr>
      <w:tr>
        <w:trPr>
          <w:trHeight w:val="237"/>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Election of Samuel A. Hamood</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142,001,523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8"/>
                <w:szCs w:val="18"/>
                <w:color w:val="auto"/>
              </w:rPr>
              <w:t>2,902,103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2,063,617</w:t>
            </w:r>
          </w:p>
        </w:tc>
        <w:tc>
          <w:tcPr>
            <w:tcW w:w="140" w:type="dxa"/>
            <w:vAlign w:val="bottom"/>
          </w:tcPr>
          <w:p>
            <w:pPr>
              <w:spacing w:after="0"/>
              <w:rPr>
                <w:sz w:val="20"/>
                <w:szCs w:val="20"/>
                <w:color w:val="auto"/>
              </w:rPr>
            </w:pPr>
          </w:p>
        </w:tc>
      </w:tr>
      <w:tr>
        <w:trPr>
          <w:trHeight w:val="249"/>
        </w:trPr>
        <w:tc>
          <w:tcPr>
            <w:tcW w:w="4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Election of Jill Larsen</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130,600,677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52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14,302,949</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2,063,617</w:t>
            </w:r>
          </w:p>
        </w:tc>
        <w:tc>
          <w:tcPr>
            <w:tcW w:w="140" w:type="dxa"/>
            <w:vAlign w:val="bottom"/>
            <w:shd w:val="clear" w:color="auto" w:fill="CFF0FC"/>
          </w:tcPr>
          <w:p>
            <w:pPr>
              <w:spacing w:after="0"/>
              <w:rPr>
                <w:sz w:val="21"/>
                <w:szCs w:val="21"/>
                <w:color w:val="auto"/>
              </w:rPr>
            </w:pP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Election of Sastry Chilukuri</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143,372,138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8"/>
                <w:szCs w:val="18"/>
                <w:color w:val="auto"/>
              </w:rPr>
              <w:t>1,531,488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2,063,617</w:t>
            </w:r>
          </w:p>
        </w:tc>
        <w:tc>
          <w:tcPr>
            <w:tcW w:w="140" w:type="dxa"/>
            <w:vAlign w:val="bottom"/>
          </w:tcPr>
          <w:p>
            <w:pPr>
              <w:spacing w:after="0"/>
              <w:rPr>
                <w:sz w:val="20"/>
                <w:szCs w:val="20"/>
                <w:color w:val="auto"/>
              </w:rPr>
            </w:pPr>
          </w:p>
        </w:tc>
      </w:tr>
      <w:tr>
        <w:trPr>
          <w:trHeight w:val="395"/>
        </w:trPr>
        <w:tc>
          <w:tcPr>
            <w:tcW w:w="3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Broker Non-</w:t>
            </w:r>
          </w:p>
        </w:tc>
        <w:tc>
          <w:tcPr>
            <w:tcW w:w="140" w:type="dxa"/>
            <w:vAlign w:val="bottom"/>
          </w:tcPr>
          <w:p>
            <w:pPr>
              <w:spacing w:after="0"/>
              <w:rPr>
                <w:sz w:val="24"/>
                <w:szCs w:val="24"/>
                <w:color w:val="auto"/>
              </w:rPr>
            </w:pPr>
          </w:p>
        </w:tc>
      </w:tr>
      <w:tr>
        <w:trPr>
          <w:trHeight w:val="185"/>
        </w:trPr>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Proposal #2:</w:t>
            </w:r>
          </w:p>
        </w:tc>
        <w:tc>
          <w:tcPr>
            <w:tcW w:w="14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6"/>
                <w:szCs w:val="16"/>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 Years</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3 Years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Abstain</w:t>
            </w:r>
          </w:p>
        </w:tc>
        <w:tc>
          <w:tcPr>
            <w:tcW w:w="260" w:type="dxa"/>
            <w:vAlign w:val="bottom"/>
          </w:tcPr>
          <w:p>
            <w:pPr>
              <w:spacing w:after="0"/>
              <w:rPr>
                <w:sz w:val="16"/>
                <w:szCs w:val="16"/>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Votes</w:t>
            </w:r>
          </w:p>
        </w:tc>
        <w:tc>
          <w:tcPr>
            <w:tcW w:w="140" w:type="dxa"/>
            <w:vAlign w:val="bottom"/>
          </w:tcPr>
          <w:p>
            <w:pPr>
              <w:spacing w:after="0"/>
              <w:rPr>
                <w:sz w:val="16"/>
                <w:szCs w:val="16"/>
                <w:color w:val="auto"/>
              </w:rPr>
            </w:pPr>
          </w:p>
        </w:tc>
      </w:tr>
      <w:tr>
        <w:trPr>
          <w:trHeight w:val="209"/>
        </w:trPr>
        <w:tc>
          <w:tcPr>
            <w:tcW w:w="4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Frequency of Future Advisory Vote on Named Executive</w:t>
            </w: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4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Officer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144,374,698</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305,719</w:t>
            </w:r>
          </w:p>
        </w:tc>
        <w:tc>
          <w:tcPr>
            <w:tcW w:w="13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218,960</w:t>
            </w:r>
          </w:p>
        </w:tc>
        <w:tc>
          <w:tcPr>
            <w:tcW w:w="1360" w:type="dxa"/>
            <w:vAlign w:val="bottom"/>
            <w:gridSpan w:val="7"/>
            <w:shd w:val="clear" w:color="auto" w:fill="CFF0FC"/>
          </w:tcPr>
          <w:p>
            <w:pPr>
              <w:jc w:val="right"/>
              <w:ind w:right="20"/>
              <w:spacing w:after="0"/>
              <w:rPr>
                <w:sz w:val="20"/>
                <w:szCs w:val="20"/>
                <w:color w:val="auto"/>
              </w:rPr>
            </w:pPr>
            <w:r>
              <w:rPr>
                <w:rFonts w:ascii="Arial" w:cs="Arial" w:eastAsia="Arial" w:hAnsi="Arial"/>
                <w:sz w:val="18"/>
                <w:szCs w:val="18"/>
                <w:color w:val="auto"/>
              </w:rPr>
              <w:t>4,249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2,063,617</w:t>
            </w:r>
          </w:p>
        </w:tc>
        <w:tc>
          <w:tcPr>
            <w:tcW w:w="140" w:type="dxa"/>
            <w:vAlign w:val="bottom"/>
            <w:shd w:val="clear" w:color="auto" w:fill="CFF0FC"/>
          </w:tcPr>
          <w:p>
            <w:pPr>
              <w:spacing w:after="0"/>
              <w:rPr>
                <w:sz w:val="21"/>
                <w:szCs w:val="21"/>
                <w:color w:val="auto"/>
              </w:rPr>
            </w:pPr>
          </w:p>
        </w:tc>
      </w:tr>
      <w:tr>
        <w:trPr>
          <w:trHeight w:val="418"/>
        </w:trPr>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Proposal #3:</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w w:val="89"/>
              </w:rPr>
              <w:t>Against</w:t>
            </w:r>
          </w:p>
        </w:tc>
        <w:tc>
          <w:tcPr>
            <w:tcW w:w="260" w:type="dxa"/>
            <w:vAlign w:val="bottom"/>
          </w:tcPr>
          <w:p>
            <w:pPr>
              <w:spacing w:after="0"/>
              <w:rPr>
                <w:sz w:val="24"/>
                <w:szCs w:val="24"/>
                <w:color w:val="auto"/>
              </w:rPr>
            </w:pPr>
          </w:p>
        </w:tc>
        <w:tc>
          <w:tcPr>
            <w:tcW w:w="1120" w:type="dxa"/>
            <w:vAlign w:val="bottom"/>
          </w:tcPr>
          <w:p>
            <w:pPr>
              <w:jc w:val="right"/>
              <w:ind w:right="428"/>
              <w:spacing w:after="0"/>
              <w:rPr>
                <w:sz w:val="20"/>
                <w:szCs w:val="20"/>
                <w:color w:val="auto"/>
              </w:rPr>
            </w:pPr>
            <w:r>
              <w:rPr>
                <w:rFonts w:ascii="Arial" w:cs="Arial" w:eastAsia="Arial" w:hAnsi="Arial"/>
                <w:sz w:val="14"/>
                <w:szCs w:val="14"/>
                <w:b w:val="1"/>
                <w:bCs w:val="1"/>
                <w:color w:val="auto"/>
              </w:rPr>
              <w:t>Abstain</w:t>
            </w:r>
          </w:p>
        </w:tc>
        <w:tc>
          <w:tcPr>
            <w:tcW w:w="140" w:type="dxa"/>
            <w:vAlign w:val="bottom"/>
          </w:tcPr>
          <w:p>
            <w:pPr>
              <w:spacing w:after="0"/>
              <w:rPr>
                <w:sz w:val="24"/>
                <w:szCs w:val="24"/>
                <w:color w:val="auto"/>
              </w:rPr>
            </w:pPr>
          </w:p>
        </w:tc>
      </w:tr>
      <w:tr>
        <w:trPr>
          <w:trHeight w:val="237"/>
        </w:trPr>
        <w:tc>
          <w:tcPr>
            <w:tcW w:w="59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w w:val="92"/>
              </w:rPr>
              <w:t>Ratification of Deloitte &amp; Touche LLP as independent auditor for fiscal year 2023</w:t>
            </w:r>
          </w:p>
        </w:tc>
        <w:tc>
          <w:tcPr>
            <w:tcW w:w="140" w:type="dxa"/>
            <w:vAlign w:val="bottom"/>
            <w:shd w:val="clear" w:color="auto" w:fill="CFF0FC"/>
          </w:tcPr>
          <w:p>
            <w:pPr>
              <w:spacing w:after="0"/>
              <w:rPr>
                <w:sz w:val="20"/>
                <w:szCs w:val="20"/>
                <w:color w:val="auto"/>
              </w:rPr>
            </w:pPr>
          </w:p>
        </w:tc>
        <w:tc>
          <w:tcPr>
            <w:tcW w:w="148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144,466,280</w:t>
            </w:r>
          </w:p>
        </w:tc>
        <w:tc>
          <w:tcPr>
            <w:tcW w:w="26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2,468,804</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32,159</w:t>
            </w:r>
          </w:p>
        </w:tc>
        <w:tc>
          <w:tcPr>
            <w:tcW w:w="14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Based on the results of the advisory vote on the frequency of advisory votes on the compensation of the Company’s named executive officers, the Company’s Board of Directors has determined that the Company will hold future advisory votes on the compensation of its named executive officers every year until the next required vote on the frequency of advisory votes on the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DEFINITIVE HEALTHCARE CORP.</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Booth</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Richard Booth</w:t>
            </w:r>
          </w:p>
        </w:tc>
      </w:tr>
      <w:tr>
        <w:trPr>
          <w:trHeight w:val="24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2023-06-05T15:15:03Z</dcterms:created>
  <dcterms:modified xsi:type="dcterms:W3CDTF">2023-06-05T15:15:03Z</dcterms:modified>
</cp:coreProperties>
</file>