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9"/>
                </w:rPr>
                <w:t>Shamsuddin Kate Marie</w:t>
              </w:r>
            </w:hyperlink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Definitive Healthcare Corp.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DH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DEFINITIVE HEALTHCARE CORP.</w:t>
            </w:r>
          </w:p>
        </w:tc>
        <w:tc>
          <w:tcPr>
            <w:tcW w:w="25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02/16/2023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492 OLD CONNECTICUT PATH, SUITE 401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8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Product Officer</w:t>
      </w:r>
    </w:p>
    <w:p>
      <w:pPr>
        <w:spacing w:after="0" w:line="4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FRAMINGHAM MA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01701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02/16/2023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136,640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0.00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188,363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jc w:val="both"/>
        <w:ind w:left="40" w:right="340" w:firstLine="7"/>
        <w:spacing w:after="0" w:line="250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restricted stock units ("RSUs"), each representing a contingent right to receive one share of the Issuer's Class A Common Stock, par value $0.001. The RSUs vest over a four-year period, with 25% of the RSUs vesting on February 1, 2024, followed by quarterly vesting of 6.25% every three months thereafter over the subsequent three years, in each case subject to the Reporting Person's continued service with the Issuer through each such vesting date.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Matthew Ruderman, as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02/21/2023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0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attorney in fact</w:t>
            </w:r>
          </w:p>
        </w:tc>
        <w:tc>
          <w:tcPr>
            <w:tcW w:w="7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0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78756" TargetMode="External"/><Relationship Id="rId13" Type="http://schemas.openxmlformats.org/officeDocument/2006/relationships/hyperlink" Target="http://www.sec.gov/cgi-bin/browse-edgar?action=getcompany&amp;CIK=000186179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2023-02-21T19:01:18Z</dcterms:created>
  <dcterms:modified xsi:type="dcterms:W3CDTF">2023-02-21T19:01:18Z</dcterms:modified>
</cp:coreProperties>
</file>