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-223520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4"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22225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SEA VII Management, LLC</w:t>
        </w:r>
      </w:hyperlink>
    </w:p>
    <w:p>
      <w:pPr>
        <w:spacing w:after="0" w:line="28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140 NEW MONTGOMERY STREET, 20TH FLOOR</w:t>
      </w:r>
    </w:p>
    <w:p>
      <w:pPr>
        <w:spacing w:after="0" w:line="333"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4" w:lineRule="exact"/>
        <w:rPr>
          <w:sz w:val="24"/>
          <w:szCs w:val="24"/>
          <w:color w:val="auto"/>
        </w:rPr>
      </w:pPr>
    </w:p>
    <w:p>
      <w:pPr>
        <w:ind w:left="100" w:right="62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94105 FRANCISCO</w:t>
      </w:r>
    </w:p>
    <w:p>
      <w:pPr>
        <w:spacing w:after="0" w:line="32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0"/>
        </w:trPr>
        <w:tc>
          <w:tcPr>
            <w:tcW w:w="3820" w:type="dxa"/>
            <w:vAlign w:val="bottom"/>
            <w:gridSpan w:val="4"/>
          </w:tcPr>
          <w:p>
            <w:pPr>
              <w:ind w:left="60"/>
              <w:spacing w:after="0" w:line="130" w:lineRule="exact"/>
              <w:rPr>
                <w:rFonts w:ascii="Arial" w:cs="Arial" w:eastAsia="Arial" w:hAnsi="Arial"/>
                <w:sz w:val="15"/>
                <w:szCs w:val="15"/>
                <w:color w:val="0000EE"/>
              </w:rPr>
            </w:pPr>
            <w:hyperlink r:id="rId13">
              <w:r>
                <w:rPr>
                  <w:rFonts w:ascii="Arial" w:cs="Arial" w:eastAsia="Arial" w:hAnsi="Arial"/>
                  <w:sz w:val="15"/>
                  <w:szCs w:val="15"/>
                  <w:color w:val="0000EE"/>
                </w:rPr>
                <w:t xml:space="preserve">Definitive Healthcare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DH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80"/>
              <w:spacing w:after="0" w:line="153"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5"/>
        </w:trPr>
        <w:tc>
          <w:tcPr>
            <w:tcW w:w="2260" w:type="dxa"/>
            <w:vAlign w:val="bottom"/>
            <w:gridSpan w:val="3"/>
          </w:tcPr>
          <w:p>
            <w:pPr>
              <w:ind w:left="60"/>
              <w:spacing w:after="0"/>
              <w:rPr>
                <w:sz w:val="20"/>
                <w:szCs w:val="20"/>
                <w:color w:val="auto"/>
              </w:rPr>
            </w:pPr>
            <w:r>
              <w:rPr>
                <w:rFonts w:ascii="Arial" w:cs="Arial" w:eastAsia="Arial" w:hAnsi="Arial"/>
                <w:sz w:val="16"/>
                <w:szCs w:val="16"/>
                <w:color w:val="0000FF"/>
              </w:rPr>
              <w:t>08/22/2023</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9" w:lineRule="exact"/>
        <w:rPr>
          <w:sz w:val="24"/>
          <w:szCs w:val="24"/>
          <w:color w:val="auto"/>
        </w:rPr>
      </w:pPr>
    </w:p>
    <w:p>
      <w:pPr>
        <w:ind w:left="300" w:right="420"/>
        <w:spacing w:after="0" w:line="25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580" w:space="26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Transaction</w:t>
            </w:r>
          </w:p>
        </w:tc>
        <w:tc>
          <w:tcPr>
            <w:tcW w:w="2120" w:type="dxa"/>
            <w:vAlign w:val="bottom"/>
            <w:gridSpan w:val="5"/>
          </w:tcPr>
          <w:p>
            <w:pPr>
              <w:ind w:left="1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jc w:val="center"/>
              <w:ind w:left="716"/>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76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vMerge w:val="continue"/>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940" w:type="dxa"/>
            <w:vAlign w:val="bottom"/>
          </w:tcPr>
          <w:p>
            <w:pPr>
              <w:spacing w:after="0"/>
              <w:rPr>
                <w:sz w:val="20"/>
                <w:szCs w:val="20"/>
                <w:color w:val="auto"/>
              </w:rPr>
            </w:pPr>
          </w:p>
        </w:tc>
        <w:tc>
          <w:tcPr>
            <w:tcW w:w="860" w:type="dxa"/>
            <w:vAlign w:val="bottom"/>
            <w:gridSpan w:val="2"/>
            <w:vMerge w:val="restart"/>
          </w:tcPr>
          <w:p>
            <w:pPr>
              <w:jc w:val="center"/>
              <w:ind w:right="86"/>
              <w:spacing w:after="0"/>
              <w:rPr>
                <w:sz w:val="20"/>
                <w:szCs w:val="20"/>
                <w:color w:val="auto"/>
              </w:rPr>
            </w:pPr>
            <w:r>
              <w:rPr>
                <w:rFonts w:ascii="Arial" w:cs="Arial" w:eastAsia="Arial" w:hAnsi="Arial"/>
                <w:sz w:val="16"/>
                <w:szCs w:val="16"/>
                <w:color w:val="0000FF"/>
                <w:w w:val="89"/>
              </w:rPr>
              <w:t>08/22/2023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165"/>
              <w:spacing w:after="0"/>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0"/>
                <w:szCs w:val="10"/>
                <w:color w:val="008000"/>
                <w:w w:val="86"/>
              </w:rPr>
              <w:t>(1)(2)</w:t>
            </w:r>
          </w:p>
        </w:tc>
        <w:tc>
          <w:tcPr>
            <w:tcW w:w="1160" w:type="dxa"/>
            <w:vAlign w:val="bottom"/>
            <w:gridSpan w:val="2"/>
            <w:vMerge w:val="restart"/>
          </w:tcPr>
          <w:p>
            <w:pPr>
              <w:jc w:val="center"/>
              <w:ind w:right="63"/>
              <w:spacing w:after="0"/>
              <w:rPr>
                <w:sz w:val="20"/>
                <w:szCs w:val="20"/>
                <w:color w:val="auto"/>
              </w:rPr>
            </w:pPr>
            <w:r>
              <w:rPr>
                <w:rFonts w:ascii="Arial" w:cs="Arial" w:eastAsia="Arial" w:hAnsi="Arial"/>
                <w:sz w:val="16"/>
                <w:szCs w:val="16"/>
                <w:color w:val="0000FF"/>
                <w:w w:val="89"/>
              </w:rPr>
              <w:t>2,898,179</w:t>
            </w:r>
          </w:p>
        </w:tc>
        <w:tc>
          <w:tcPr>
            <w:tcW w:w="26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center"/>
              <w:ind w:left="18"/>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13,843,158</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Pr>
          <w:p>
            <w:pPr>
              <w:spacing w:after="0"/>
              <w:rPr>
                <w:sz w:val="20"/>
                <w:szCs w:val="20"/>
                <w:color w:val="auto"/>
              </w:rPr>
            </w:pPr>
          </w:p>
        </w:tc>
        <w:tc>
          <w:tcPr>
            <w:tcW w:w="860" w:type="dxa"/>
            <w:vAlign w:val="bottom"/>
            <w:gridSpan w:val="2"/>
            <w:vMerge w:val="restart"/>
          </w:tcPr>
          <w:p>
            <w:pPr>
              <w:jc w:val="center"/>
              <w:ind w:right="86"/>
              <w:spacing w:after="0"/>
              <w:rPr>
                <w:sz w:val="20"/>
                <w:szCs w:val="20"/>
                <w:color w:val="auto"/>
              </w:rPr>
            </w:pPr>
            <w:r>
              <w:rPr>
                <w:rFonts w:ascii="Arial" w:cs="Arial" w:eastAsia="Arial" w:hAnsi="Arial"/>
                <w:sz w:val="16"/>
                <w:szCs w:val="16"/>
                <w:color w:val="0000FF"/>
                <w:w w:val="89"/>
              </w:rPr>
              <w:t>08/22/2023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165"/>
              <w:spacing w:after="0"/>
              <w:rPr>
                <w:sz w:val="20"/>
                <w:szCs w:val="20"/>
                <w:color w:val="auto"/>
              </w:rPr>
            </w:pPr>
            <w:r>
              <w:rPr>
                <w:rFonts w:ascii="Arial" w:cs="Arial" w:eastAsia="Arial" w:hAnsi="Arial"/>
                <w:sz w:val="24"/>
                <w:szCs w:val="24"/>
                <w:color w:val="0000FF"/>
                <w:w w:val="88"/>
                <w:vertAlign w:val="subscript"/>
              </w:rPr>
              <w:t>C</w:t>
            </w:r>
            <w:r>
              <w:rPr>
                <w:rFonts w:ascii="Arial" w:cs="Arial" w:eastAsia="Arial" w:hAnsi="Arial"/>
                <w:sz w:val="10"/>
                <w:szCs w:val="10"/>
                <w:color w:val="008000"/>
                <w:w w:val="88"/>
              </w:rPr>
              <w:t>(1)(2)</w:t>
            </w:r>
          </w:p>
        </w:tc>
        <w:tc>
          <w:tcPr>
            <w:tcW w:w="1160" w:type="dxa"/>
            <w:vAlign w:val="bottom"/>
            <w:gridSpan w:val="2"/>
            <w:vMerge w:val="restart"/>
          </w:tcPr>
          <w:p>
            <w:pPr>
              <w:jc w:val="center"/>
              <w:ind w:right="63"/>
              <w:spacing w:after="0"/>
              <w:rPr>
                <w:sz w:val="20"/>
                <w:szCs w:val="20"/>
                <w:color w:val="auto"/>
              </w:rPr>
            </w:pPr>
            <w:r>
              <w:rPr>
                <w:rFonts w:ascii="Arial" w:cs="Arial" w:eastAsia="Arial" w:hAnsi="Arial"/>
                <w:sz w:val="16"/>
                <w:szCs w:val="16"/>
                <w:color w:val="0000FF"/>
                <w:w w:val="89"/>
              </w:rPr>
              <w:t>2,898,179</w:t>
            </w:r>
          </w:p>
        </w:tc>
        <w:tc>
          <w:tcPr>
            <w:tcW w:w="26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center"/>
              <w:ind w:left="18"/>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4,641,657</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Pr>
          <w:p>
            <w:pPr>
              <w:spacing w:after="0"/>
              <w:rPr>
                <w:sz w:val="20"/>
                <w:szCs w:val="20"/>
                <w:color w:val="auto"/>
              </w:rPr>
            </w:pPr>
          </w:p>
        </w:tc>
        <w:tc>
          <w:tcPr>
            <w:tcW w:w="860" w:type="dxa"/>
            <w:vAlign w:val="bottom"/>
            <w:gridSpan w:val="2"/>
            <w:vMerge w:val="restart"/>
          </w:tcPr>
          <w:p>
            <w:pPr>
              <w:jc w:val="center"/>
              <w:ind w:right="86"/>
              <w:spacing w:after="0"/>
              <w:rPr>
                <w:sz w:val="20"/>
                <w:szCs w:val="20"/>
                <w:color w:val="auto"/>
              </w:rPr>
            </w:pPr>
            <w:r>
              <w:rPr>
                <w:rFonts w:ascii="Arial" w:cs="Arial" w:eastAsia="Arial" w:hAnsi="Arial"/>
                <w:sz w:val="16"/>
                <w:szCs w:val="16"/>
                <w:color w:val="0000FF"/>
                <w:w w:val="89"/>
              </w:rPr>
              <w:t>08/23/2023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165"/>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(4)</w:t>
            </w:r>
          </w:p>
        </w:tc>
        <w:tc>
          <w:tcPr>
            <w:tcW w:w="1160" w:type="dxa"/>
            <w:vAlign w:val="bottom"/>
            <w:gridSpan w:val="2"/>
            <w:vMerge w:val="restart"/>
          </w:tcPr>
          <w:p>
            <w:pPr>
              <w:jc w:val="center"/>
              <w:ind w:right="63"/>
              <w:spacing w:after="0"/>
              <w:rPr>
                <w:sz w:val="20"/>
                <w:szCs w:val="20"/>
                <w:color w:val="auto"/>
              </w:rPr>
            </w:pPr>
            <w:r>
              <w:rPr>
                <w:rFonts w:ascii="Arial" w:cs="Arial" w:eastAsia="Arial" w:hAnsi="Arial"/>
                <w:sz w:val="16"/>
                <w:szCs w:val="16"/>
                <w:color w:val="0000FF"/>
                <w:w w:val="86"/>
              </w:rPr>
              <w:t>3,193,344</w:t>
            </w:r>
            <w:r>
              <w:rPr>
                <w:rFonts w:ascii="Arial" w:cs="Arial" w:eastAsia="Arial" w:hAnsi="Arial"/>
                <w:sz w:val="20"/>
                <w:szCs w:val="20"/>
                <w:color w:val="008000"/>
                <w:w w:val="86"/>
                <w:vertAlign w:val="superscript"/>
              </w:rPr>
              <w:t>(4)</w:t>
            </w:r>
          </w:p>
        </w:tc>
        <w:tc>
          <w:tcPr>
            <w:tcW w:w="26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32"/>
                <w:szCs w:val="32"/>
                <w:color w:val="000000"/>
                <w:w w:val="83"/>
                <w:vertAlign w:val="subscript"/>
              </w:rPr>
              <w:t>$</w:t>
            </w:r>
            <w:r>
              <w:rPr>
                <w:rFonts w:ascii="Arial" w:cs="Arial" w:eastAsia="Arial" w:hAnsi="Arial"/>
                <w:sz w:val="32"/>
                <w:szCs w:val="32"/>
                <w:color w:val="0000FF"/>
                <w:w w:val="83"/>
                <w:vertAlign w:val="subscript"/>
              </w:rPr>
              <w:t>0</w:t>
            </w:r>
            <w:r>
              <w:rPr>
                <w:rFonts w:ascii="Arial" w:cs="Arial" w:eastAsia="Arial" w:hAnsi="Arial"/>
                <w:sz w:val="10"/>
                <w:szCs w:val="10"/>
                <w:color w:val="008000"/>
                <w:w w:val="83"/>
              </w:rPr>
              <w:t>(4)</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1,448,313</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Pr>
          <w:p>
            <w:pPr>
              <w:spacing w:after="0"/>
              <w:rPr>
                <w:sz w:val="20"/>
                <w:szCs w:val="20"/>
                <w:color w:val="auto"/>
              </w:rPr>
            </w:pPr>
          </w:p>
        </w:tc>
        <w:tc>
          <w:tcPr>
            <w:tcW w:w="860" w:type="dxa"/>
            <w:vAlign w:val="bottom"/>
            <w:gridSpan w:val="2"/>
            <w:vMerge w:val="restart"/>
          </w:tcPr>
          <w:p>
            <w:pPr>
              <w:jc w:val="center"/>
              <w:ind w:right="86"/>
              <w:spacing w:after="0"/>
              <w:rPr>
                <w:sz w:val="20"/>
                <w:szCs w:val="20"/>
                <w:color w:val="auto"/>
              </w:rPr>
            </w:pPr>
            <w:r>
              <w:rPr>
                <w:rFonts w:ascii="Arial" w:cs="Arial" w:eastAsia="Arial" w:hAnsi="Arial"/>
                <w:sz w:val="16"/>
                <w:szCs w:val="16"/>
                <w:color w:val="0000FF"/>
                <w:w w:val="89"/>
              </w:rPr>
              <w:t>08/24/2023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165"/>
              <w:spacing w:after="0"/>
              <w:rPr>
                <w:sz w:val="20"/>
                <w:szCs w:val="20"/>
                <w:color w:val="auto"/>
              </w:rPr>
            </w:pPr>
            <w:r>
              <w:rPr>
                <w:rFonts w:ascii="Arial" w:cs="Arial" w:eastAsia="Arial" w:hAnsi="Arial"/>
                <w:sz w:val="12"/>
                <w:szCs w:val="12"/>
                <w:color w:val="0000FF"/>
                <w:w w:val="99"/>
              </w:rPr>
              <w:t>S</w:t>
            </w:r>
          </w:p>
        </w:tc>
        <w:tc>
          <w:tcPr>
            <w:tcW w:w="1160" w:type="dxa"/>
            <w:vAlign w:val="bottom"/>
            <w:gridSpan w:val="2"/>
            <w:vMerge w:val="restart"/>
          </w:tcPr>
          <w:p>
            <w:pPr>
              <w:jc w:val="center"/>
              <w:ind w:right="63"/>
              <w:spacing w:after="0"/>
              <w:rPr>
                <w:sz w:val="20"/>
                <w:szCs w:val="20"/>
                <w:color w:val="auto"/>
              </w:rPr>
            </w:pPr>
            <w:r>
              <w:rPr>
                <w:rFonts w:ascii="Arial" w:cs="Arial" w:eastAsia="Arial" w:hAnsi="Arial"/>
                <w:sz w:val="16"/>
                <w:szCs w:val="16"/>
                <w:color w:val="0000FF"/>
                <w:w w:val="85"/>
              </w:rPr>
              <w:t>2,454</w:t>
            </w:r>
            <w:r>
              <w:rPr>
                <w:rFonts w:ascii="Arial" w:cs="Arial" w:eastAsia="Arial" w:hAnsi="Arial"/>
                <w:sz w:val="20"/>
                <w:szCs w:val="20"/>
                <w:color w:val="008000"/>
                <w:w w:val="85"/>
                <w:vertAlign w:val="superscript"/>
              </w:rPr>
              <w:t>(5)</w:t>
            </w:r>
          </w:p>
        </w:tc>
        <w:tc>
          <w:tcPr>
            <w:tcW w:w="26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9.39</w:t>
            </w:r>
            <w:r>
              <w:rPr>
                <w:rFonts w:ascii="Arial" w:cs="Arial" w:eastAsia="Arial" w:hAnsi="Arial"/>
                <w:sz w:val="20"/>
                <w:szCs w:val="20"/>
                <w:color w:val="008000"/>
                <w:w w:val="88"/>
                <w:vertAlign w:val="superscript"/>
              </w:rPr>
              <w:t>(5)</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1,445,859</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Pr>
          <w:p>
            <w:pPr>
              <w:spacing w:after="0"/>
              <w:rPr>
                <w:sz w:val="20"/>
                <w:szCs w:val="20"/>
                <w:color w:val="auto"/>
              </w:rPr>
            </w:pPr>
          </w:p>
        </w:tc>
        <w:tc>
          <w:tcPr>
            <w:tcW w:w="860" w:type="dxa"/>
            <w:vAlign w:val="bottom"/>
            <w:gridSpan w:val="2"/>
            <w:vMerge w:val="restart"/>
          </w:tcPr>
          <w:p>
            <w:pPr>
              <w:jc w:val="center"/>
              <w:ind w:right="86"/>
              <w:spacing w:after="0"/>
              <w:rPr>
                <w:sz w:val="20"/>
                <w:szCs w:val="20"/>
                <w:color w:val="auto"/>
              </w:rPr>
            </w:pPr>
            <w:r>
              <w:rPr>
                <w:rFonts w:ascii="Arial" w:cs="Arial" w:eastAsia="Arial" w:hAnsi="Arial"/>
                <w:sz w:val="16"/>
                <w:szCs w:val="16"/>
                <w:color w:val="0000FF"/>
                <w:w w:val="89"/>
              </w:rPr>
              <w:t>08/24/2023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165"/>
              <w:spacing w:after="0"/>
              <w:rPr>
                <w:sz w:val="20"/>
                <w:szCs w:val="20"/>
                <w:color w:val="auto"/>
              </w:rPr>
            </w:pPr>
            <w:r>
              <w:rPr>
                <w:rFonts w:ascii="Arial" w:cs="Arial" w:eastAsia="Arial" w:hAnsi="Arial"/>
                <w:sz w:val="12"/>
                <w:szCs w:val="12"/>
                <w:color w:val="0000FF"/>
                <w:w w:val="99"/>
              </w:rPr>
              <w:t>S</w:t>
            </w:r>
          </w:p>
        </w:tc>
        <w:tc>
          <w:tcPr>
            <w:tcW w:w="1160" w:type="dxa"/>
            <w:vAlign w:val="bottom"/>
            <w:gridSpan w:val="2"/>
            <w:vMerge w:val="restart"/>
          </w:tcPr>
          <w:p>
            <w:pPr>
              <w:jc w:val="center"/>
              <w:ind w:right="63"/>
              <w:spacing w:after="0"/>
              <w:rPr>
                <w:sz w:val="20"/>
                <w:szCs w:val="20"/>
                <w:color w:val="auto"/>
              </w:rPr>
            </w:pPr>
            <w:r>
              <w:rPr>
                <w:rFonts w:ascii="Arial" w:cs="Arial" w:eastAsia="Arial" w:hAnsi="Arial"/>
                <w:sz w:val="16"/>
                <w:szCs w:val="16"/>
                <w:color w:val="0000FF"/>
                <w:w w:val="85"/>
              </w:rPr>
              <w:t>4,202</w:t>
            </w:r>
            <w:r>
              <w:rPr>
                <w:rFonts w:ascii="Arial" w:cs="Arial" w:eastAsia="Arial" w:hAnsi="Arial"/>
                <w:sz w:val="20"/>
                <w:szCs w:val="20"/>
                <w:color w:val="008000"/>
                <w:w w:val="85"/>
                <w:vertAlign w:val="superscript"/>
              </w:rPr>
              <w:t>(6)</w:t>
            </w:r>
          </w:p>
        </w:tc>
        <w:tc>
          <w:tcPr>
            <w:tcW w:w="26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9.39</w:t>
            </w:r>
            <w:r>
              <w:rPr>
                <w:rFonts w:ascii="Arial" w:cs="Arial" w:eastAsia="Arial" w:hAnsi="Arial"/>
                <w:sz w:val="20"/>
                <w:szCs w:val="20"/>
                <w:color w:val="008000"/>
                <w:w w:val="88"/>
                <w:vertAlign w:val="superscript"/>
              </w:rPr>
              <w:t>(6)</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4"/>
              <w:spacing w:after="0"/>
              <w:rPr>
                <w:sz w:val="20"/>
                <w:szCs w:val="20"/>
                <w:color w:val="auto"/>
              </w:rPr>
            </w:pPr>
            <w:r>
              <w:rPr>
                <w:rFonts w:ascii="Arial" w:cs="Arial" w:eastAsia="Arial" w:hAnsi="Arial"/>
                <w:sz w:val="16"/>
                <w:szCs w:val="16"/>
                <w:color w:val="0000FF"/>
                <w:w w:val="89"/>
              </w:rPr>
              <w:t>1,441,657</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40" w:type="dxa"/>
            <w:vAlign w:val="bottom"/>
            <w:gridSpan w:val="14"/>
          </w:tcPr>
          <w:p>
            <w:pPr>
              <w:jc w:val="center"/>
              <w:ind w:right="158"/>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gridSpan w:val="13"/>
          </w:tcPr>
          <w:p>
            <w:pPr>
              <w:jc w:val="center"/>
              <w:ind w:left="396"/>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8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Class A</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of AIDH</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80"/>
              <w:spacing w:after="0" w:line="197" w:lineRule="exact"/>
              <w:rPr>
                <w:sz w:val="20"/>
                <w:szCs w:val="20"/>
                <w:color w:val="auto"/>
              </w:rPr>
            </w:pPr>
            <w:r>
              <w:rPr>
                <w:rFonts w:ascii="Arial" w:cs="Arial" w:eastAsia="Arial" w:hAnsi="Arial"/>
                <w:sz w:val="22"/>
                <w:szCs w:val="22"/>
                <w:color w:val="0000FF"/>
                <w:vertAlign w:val="subscript"/>
              </w:rPr>
              <w:t>C</w:t>
            </w:r>
            <w:r>
              <w:rPr>
                <w:rFonts w:ascii="Arial" w:cs="Arial" w:eastAsia="Arial" w:hAnsi="Arial"/>
                <w:sz w:val="10"/>
                <w:szCs w:val="10"/>
                <w:color w:val="008000"/>
              </w:rPr>
              <w:t>(1)(2)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40" w:type="dxa"/>
            <w:vAlign w:val="bottom"/>
            <w:vMerge w:val="continue"/>
          </w:tcPr>
          <w:p>
            <w:pPr>
              <w:spacing w:after="0"/>
              <w:rPr>
                <w:sz w:val="5"/>
                <w:szCs w:val="5"/>
                <w:color w:val="auto"/>
              </w:rPr>
            </w:pPr>
          </w:p>
        </w:tc>
        <w:tc>
          <w:tcPr>
            <w:tcW w:w="940" w:type="dxa"/>
            <w:vAlign w:val="bottom"/>
            <w:gridSpan w:val="2"/>
            <w:vMerge w:val="restart"/>
          </w:tcPr>
          <w:p>
            <w:pPr>
              <w:ind w:left="100"/>
              <w:spacing w:after="0" w:line="197" w:lineRule="exact"/>
              <w:rPr>
                <w:sz w:val="20"/>
                <w:szCs w:val="20"/>
                <w:color w:val="auto"/>
              </w:rPr>
            </w:pPr>
            <w:r>
              <w:rPr>
                <w:rFonts w:ascii="Arial" w:cs="Arial" w:eastAsia="Arial" w:hAnsi="Arial"/>
                <w:sz w:val="16"/>
                <w:szCs w:val="16"/>
                <w:color w:val="0000FF"/>
                <w:w w:val="93"/>
              </w:rPr>
              <w:t>2,893,977</w:t>
            </w:r>
            <w:r>
              <w:rPr>
                <w:rFonts w:ascii="Arial" w:cs="Arial" w:eastAsia="Arial" w:hAnsi="Arial"/>
                <w:sz w:val="20"/>
                <w:szCs w:val="20"/>
                <w:color w:val="008000"/>
                <w:w w:val="93"/>
                <w:vertAlign w:val="superscript"/>
              </w:rPr>
              <w:t>(2)</w:t>
            </w:r>
          </w:p>
        </w:tc>
        <w:tc>
          <w:tcPr>
            <w:tcW w:w="2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color w:val="008000"/>
              </w:rPr>
              <w:t>(1)(2)</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7" w:lineRule="exact"/>
              <w:rPr>
                <w:sz w:val="20"/>
                <w:szCs w:val="20"/>
                <w:color w:val="auto"/>
              </w:rPr>
            </w:pPr>
            <w:r>
              <w:rPr>
                <w:rFonts w:ascii="Arial" w:cs="Arial" w:eastAsia="Arial" w:hAnsi="Arial"/>
                <w:sz w:val="12"/>
                <w:szCs w:val="12"/>
                <w:color w:val="0000FF"/>
                <w:w w:val="96"/>
              </w:rPr>
              <w:t>See note</w:t>
            </w:r>
            <w:r>
              <w:rPr>
                <w:rFonts w:ascii="Arial" w:cs="Arial" w:eastAsia="Arial" w:hAnsi="Arial"/>
                <w:sz w:val="20"/>
                <w:szCs w:val="20"/>
                <w:color w:val="008000"/>
                <w:w w:val="96"/>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08/22/2023</w:t>
            </w: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gridSpan w:val="3"/>
            <w:vMerge w:val="restart"/>
          </w:tcPr>
          <w:p>
            <w:pPr>
              <w:ind w:left="380"/>
              <w:spacing w:after="0" w:line="136" w:lineRule="exact"/>
              <w:rPr>
                <w:sz w:val="20"/>
                <w:szCs w:val="20"/>
                <w:color w:val="auto"/>
              </w:rPr>
            </w:pPr>
            <w:r>
              <w:rPr>
                <w:rFonts w:ascii="Arial" w:cs="Arial" w:eastAsia="Arial" w:hAnsi="Arial"/>
                <w:sz w:val="12"/>
                <w:szCs w:val="12"/>
                <w:color w:val="0000FF"/>
              </w:rPr>
              <w:t>2,898,179</w:t>
            </w: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w w:val="94"/>
              </w:rPr>
              <w:t>Common</w:t>
            </w:r>
          </w:p>
        </w:tc>
        <w:tc>
          <w:tcPr>
            <w:tcW w:w="9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40" w:type="dxa"/>
            <w:vAlign w:val="bottom"/>
            <w:gridSpan w:val="2"/>
            <w:vMerge w:val="restart"/>
          </w:tcPr>
          <w:p>
            <w:pPr>
              <w:ind w:left="120"/>
              <w:spacing w:after="0" w:line="136" w:lineRule="exact"/>
              <w:rPr>
                <w:sz w:val="20"/>
                <w:szCs w:val="20"/>
                <w:color w:val="auto"/>
              </w:rPr>
            </w:pPr>
            <w:r>
              <w:rPr>
                <w:rFonts w:ascii="Arial" w:cs="Arial" w:eastAsia="Arial" w:hAnsi="Arial"/>
                <w:sz w:val="12"/>
                <w:szCs w:val="12"/>
                <w:color w:val="0000FF"/>
              </w:rPr>
              <w:t>13,843,158</w:t>
            </w:r>
          </w:p>
        </w:tc>
        <w:tc>
          <w:tcPr>
            <w:tcW w:w="600" w:type="dxa"/>
            <w:vAlign w:val="bottom"/>
            <w:vMerge w:val="restart"/>
          </w:tcPr>
          <w:p>
            <w:pPr>
              <w:ind w:left="34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Topco,</w:t>
            </w:r>
          </w:p>
        </w:tc>
        <w:tc>
          <w:tcPr>
            <w:tcW w:w="76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5"/>
          </w:tcPr>
          <w:p>
            <w:pPr>
              <w:spacing w:after="0" w:line="204" w:lineRule="exact"/>
              <w:rPr>
                <w:rFonts w:ascii="Arial" w:cs="Arial" w:eastAsia="Arial" w:hAnsi="Arial"/>
                <w:sz w:val="20"/>
                <w:szCs w:val="20"/>
                <w:color w:val="0000EE"/>
                <w:w w:val="98"/>
              </w:rPr>
            </w:pPr>
            <w:hyperlink r:id="rId12">
              <w:r>
                <w:rPr>
                  <w:rFonts w:ascii="Arial" w:cs="Arial" w:eastAsia="Arial" w:hAnsi="Arial"/>
                  <w:sz w:val="20"/>
                  <w:szCs w:val="20"/>
                  <w:color w:val="0000EE"/>
                  <w:w w:val="98"/>
                </w:rPr>
                <w:t>SEA VII Management, LLC</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940" w:type="dxa"/>
            <w:vAlign w:val="bottom"/>
          </w:tcPr>
          <w:p>
            <w:pPr>
              <w:ind w:left="4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80" w:type="dxa"/>
            <w:vAlign w:val="bottom"/>
            <w:gridSpan w:val="8"/>
          </w:tcPr>
          <w:p>
            <w:pPr>
              <w:spacing w:after="0"/>
              <w:rPr>
                <w:sz w:val="20"/>
                <w:szCs w:val="20"/>
                <w:color w:val="auto"/>
              </w:rPr>
            </w:pPr>
            <w:r>
              <w:rPr>
                <w:rFonts w:ascii="Arial" w:cs="Arial" w:eastAsia="Arial" w:hAnsi="Arial"/>
                <w:sz w:val="16"/>
                <w:szCs w:val="16"/>
                <w:color w:val="0000FF"/>
              </w:rPr>
              <w:t>140 NEW MONTGOMERY STREET, 20TH FLOOR</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w w:val="98"/>
              </w:rPr>
              <w:t>SAN FRANCISCO</w:t>
            </w:r>
          </w:p>
        </w:tc>
        <w:tc>
          <w:tcPr>
            <w:tcW w:w="1060" w:type="dxa"/>
            <w:vAlign w:val="bottom"/>
            <w:gridSpan w:val="3"/>
          </w:tcPr>
          <w:p>
            <w:pPr>
              <w:ind w:left="100"/>
              <w:spacing w:after="0"/>
              <w:rPr>
                <w:sz w:val="20"/>
                <w:szCs w:val="20"/>
                <w:color w:val="auto"/>
              </w:rPr>
            </w:pPr>
            <w:r>
              <w:rPr>
                <w:rFonts w:ascii="Arial" w:cs="Arial" w:eastAsia="Arial" w:hAnsi="Arial"/>
                <w:sz w:val="16"/>
                <w:szCs w:val="16"/>
                <w:color w:val="0000FF"/>
              </w:rPr>
              <w:t>CA</w:t>
            </w:r>
          </w:p>
        </w:tc>
        <w:tc>
          <w:tcPr>
            <w:tcW w:w="940" w:type="dxa"/>
            <w:vAlign w:val="bottom"/>
          </w:tcPr>
          <w:p>
            <w:pPr>
              <w:ind w:left="44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940" w:type="dxa"/>
            <w:vAlign w:val="bottom"/>
          </w:tcPr>
          <w:p>
            <w:pPr>
              <w:ind w:left="4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5"/>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SE VII DHC AIV, L.P.</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940" w:type="dxa"/>
            <w:vAlign w:val="bottom"/>
          </w:tcPr>
          <w:p>
            <w:pPr>
              <w:ind w:left="4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20" w:type="dxa"/>
            <w:vAlign w:val="bottom"/>
            <w:gridSpan w:val="6"/>
          </w:tcPr>
          <w:p>
            <w:pPr>
              <w:spacing w:after="0"/>
              <w:rPr>
                <w:sz w:val="20"/>
                <w:szCs w:val="20"/>
                <w:color w:val="auto"/>
              </w:rPr>
            </w:pPr>
            <w:r>
              <w:rPr>
                <w:rFonts w:ascii="Arial" w:cs="Arial" w:eastAsia="Arial" w:hAnsi="Arial"/>
                <w:sz w:val="16"/>
                <w:szCs w:val="16"/>
                <w:color w:val="0000FF"/>
              </w:rPr>
              <w:t>140 NEW MONTGOMERY STREET</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20TH FLOOR</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w w:val="98"/>
              </w:rPr>
              <w:t>SAN FRANCISCO</w:t>
            </w:r>
          </w:p>
        </w:tc>
        <w:tc>
          <w:tcPr>
            <w:tcW w:w="1060" w:type="dxa"/>
            <w:vAlign w:val="bottom"/>
            <w:gridSpan w:val="3"/>
          </w:tcPr>
          <w:p>
            <w:pPr>
              <w:ind w:left="100"/>
              <w:spacing w:after="0"/>
              <w:rPr>
                <w:sz w:val="20"/>
                <w:szCs w:val="20"/>
                <w:color w:val="auto"/>
              </w:rPr>
            </w:pPr>
            <w:r>
              <w:rPr>
                <w:rFonts w:ascii="Arial" w:cs="Arial" w:eastAsia="Arial" w:hAnsi="Arial"/>
                <w:sz w:val="16"/>
                <w:szCs w:val="16"/>
                <w:color w:val="0000FF"/>
              </w:rPr>
              <w:t>CA</w:t>
            </w:r>
          </w:p>
        </w:tc>
        <w:tc>
          <w:tcPr>
            <w:tcW w:w="940" w:type="dxa"/>
            <w:vAlign w:val="bottom"/>
          </w:tcPr>
          <w:p>
            <w:pPr>
              <w:ind w:left="44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940" w:type="dxa"/>
            <w:vAlign w:val="bottom"/>
          </w:tcPr>
          <w:p>
            <w:pPr>
              <w:ind w:left="4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-4819650</wp:posOffset>
            </wp:positionV>
            <wp:extent cx="28575" cy="169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698625"/>
                    </a:xfrm>
                    <a:prstGeom prst="rect">
                      <a:avLst/>
                    </a:prstGeom>
                    <a:noFill/>
                  </pic:spPr>
                </pic:pic>
              </a:graphicData>
            </a:graphic>
          </wp:anchor>
        </w:drawing>
      </w:r>
    </w:p>
    <w:p>
      <w:pPr>
        <w:spacing w:after="0" w:line="105"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0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SE VII DHC AIV Feeder,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5"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00" w:type="dxa"/>
            <w:vAlign w:val="bottom"/>
          </w:tcPr>
          <w:p>
            <w:pPr>
              <w:ind w:left="80"/>
              <w:spacing w:after="0"/>
              <w:rPr>
                <w:sz w:val="20"/>
                <w:szCs w:val="20"/>
                <w:color w:val="auto"/>
              </w:rPr>
            </w:pPr>
            <w:r>
              <w:rPr>
                <w:rFonts w:ascii="Arial" w:cs="Arial" w:eastAsia="Arial" w:hAnsi="Arial"/>
                <w:sz w:val="16"/>
                <w:szCs w:val="16"/>
                <w:color w:val="0000FF"/>
              </w:rPr>
              <w:t>CA</w:t>
            </w:r>
          </w:p>
        </w:tc>
        <w:tc>
          <w:tcPr>
            <w:tcW w:w="1540" w:type="dxa"/>
            <w:vAlign w:val="bottom"/>
          </w:tcPr>
          <w:p>
            <w:pPr>
              <w:ind w:left="18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614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8605" cy="6142355"/>
                    </a:xfrm>
                    <a:prstGeom prst="rect">
                      <a:avLst/>
                    </a:prstGeom>
                    <a:noFill/>
                  </pic:spPr>
                </pic:pic>
              </a:graphicData>
            </a:graphic>
          </wp:anchor>
        </w:drawing>
      </w: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Spectrum VII Investment Managers' Fund, L.P.</w:t>
        </w:r>
      </w:hyperlink>
    </w:p>
    <w:p>
      <w:pPr>
        <w:spacing w:after="0" w:line="282" w:lineRule="exact"/>
        <w:rPr>
          <w:sz w:val="20"/>
          <w:szCs w:val="20"/>
          <w:color w:val="auto"/>
        </w:rPr>
      </w:pPr>
    </w:p>
    <w:tbl>
      <w:tblPr>
        <w:tblLayout w:type="fixed"/>
        <w:tblInd w:w="45"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00" w:type="dxa"/>
            <w:vAlign w:val="bottom"/>
          </w:tcPr>
          <w:p>
            <w:pPr>
              <w:ind w:left="80"/>
              <w:spacing w:after="0"/>
              <w:rPr>
                <w:sz w:val="20"/>
                <w:szCs w:val="20"/>
                <w:color w:val="auto"/>
              </w:rPr>
            </w:pPr>
            <w:r>
              <w:rPr>
                <w:rFonts w:ascii="Arial" w:cs="Arial" w:eastAsia="Arial" w:hAnsi="Arial"/>
                <w:sz w:val="16"/>
                <w:szCs w:val="16"/>
                <w:color w:val="0000FF"/>
              </w:rPr>
              <w:t>CA</w:t>
            </w:r>
          </w:p>
        </w:tc>
        <w:tc>
          <w:tcPr>
            <w:tcW w:w="1540" w:type="dxa"/>
            <w:vAlign w:val="bottom"/>
          </w:tcPr>
          <w:p>
            <w:pPr>
              <w:ind w:left="18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Spectrum VII Co-Investment Fund, L.P.</w:t>
        </w:r>
      </w:hyperlink>
    </w:p>
    <w:p>
      <w:pPr>
        <w:spacing w:after="0" w:line="282" w:lineRule="exact"/>
        <w:rPr>
          <w:sz w:val="20"/>
          <w:szCs w:val="20"/>
          <w:color w:val="auto"/>
        </w:rPr>
      </w:pPr>
    </w:p>
    <w:tbl>
      <w:tblPr>
        <w:tblLayout w:type="fixed"/>
        <w:tblInd w:w="45"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00" w:type="dxa"/>
            <w:vAlign w:val="bottom"/>
          </w:tcPr>
          <w:p>
            <w:pPr>
              <w:ind w:left="80"/>
              <w:spacing w:after="0"/>
              <w:rPr>
                <w:sz w:val="20"/>
                <w:szCs w:val="20"/>
                <w:color w:val="auto"/>
              </w:rPr>
            </w:pPr>
            <w:r>
              <w:rPr>
                <w:rFonts w:ascii="Arial" w:cs="Arial" w:eastAsia="Arial" w:hAnsi="Arial"/>
                <w:sz w:val="16"/>
                <w:szCs w:val="16"/>
                <w:color w:val="0000FF"/>
              </w:rPr>
              <w:t>CA</w:t>
            </w:r>
          </w:p>
        </w:tc>
        <w:tc>
          <w:tcPr>
            <w:tcW w:w="1540" w:type="dxa"/>
            <w:vAlign w:val="bottom"/>
          </w:tcPr>
          <w:p>
            <w:pPr>
              <w:ind w:left="18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Spectrum Equity Associates VII, L.P.</w:t>
        </w:r>
      </w:hyperlink>
    </w:p>
    <w:p>
      <w:pPr>
        <w:spacing w:after="0" w:line="282" w:lineRule="exact"/>
        <w:rPr>
          <w:sz w:val="20"/>
          <w:szCs w:val="20"/>
          <w:color w:val="auto"/>
        </w:rPr>
      </w:pPr>
    </w:p>
    <w:tbl>
      <w:tblPr>
        <w:tblLayout w:type="fixed"/>
        <w:tblInd w:w="45"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8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00" w:type="dxa"/>
            <w:vAlign w:val="bottom"/>
          </w:tcPr>
          <w:p>
            <w:pPr>
              <w:ind w:left="80"/>
              <w:spacing w:after="0"/>
              <w:rPr>
                <w:sz w:val="20"/>
                <w:szCs w:val="20"/>
                <w:color w:val="auto"/>
              </w:rPr>
            </w:pPr>
            <w:r>
              <w:rPr>
                <w:rFonts w:ascii="Arial" w:cs="Arial" w:eastAsia="Arial" w:hAnsi="Arial"/>
                <w:sz w:val="16"/>
                <w:szCs w:val="16"/>
                <w:color w:val="0000FF"/>
              </w:rPr>
              <w:t>CA</w:t>
            </w:r>
          </w:p>
        </w:tc>
        <w:tc>
          <w:tcPr>
            <w:tcW w:w="1540" w:type="dxa"/>
            <w:vAlign w:val="bottom"/>
          </w:tcPr>
          <w:p>
            <w:pPr>
              <w:ind w:left="18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8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(1).</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(2).</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(3).</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(4).</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(5).</w:t>
      </w:r>
    </w:p>
    <w:p>
      <w:pPr>
        <w:spacing w:after="0" w:line="46" w:lineRule="exact"/>
        <w:rPr>
          <w:rFonts w:ascii="Arial" w:cs="Arial" w:eastAsia="Arial" w:hAnsi="Arial"/>
          <w:sz w:val="12"/>
          <w:szCs w:val="12"/>
          <w:color w:val="008000"/>
        </w:rPr>
      </w:pPr>
    </w:p>
    <w:p>
      <w:pPr>
        <w:ind w:left="125" w:hanging="125"/>
        <w:spacing w:after="0"/>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(6).</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5"/>
        <w:spacing w:after="0" w:line="245" w:lineRule="auto"/>
        <w:rPr>
          <w:sz w:val="20"/>
          <w:szCs w:val="20"/>
          <w:color w:val="auto"/>
        </w:rPr>
      </w:pPr>
      <w:r>
        <w:rPr>
          <w:rFonts w:ascii="Arial" w:cs="Arial" w:eastAsia="Arial" w:hAnsi="Arial"/>
          <w:sz w:val="12"/>
          <w:szCs w:val="12"/>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 Signatures:</w:t>
      </w:r>
    </w:p>
    <w:p>
      <w:pPr>
        <w:sectPr>
          <w:pgSz w:w="11900" w:h="16838" w:orient="portrait"/>
          <w:cols w:equalWidth="0" w:num="1">
            <w:col w:w="10885"/>
          </w:cols>
          <w:pgMar w:left="495" w:top="168" w:right="519" w:bottom="0" w:gutter="0" w:footer="0" w:header="0"/>
        </w:sectPr>
      </w:pPr>
    </w:p>
    <w:p>
      <w:pPr>
        <w:spacing w:after="0" w:line="52"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SEA VII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136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3601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LLC, 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322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591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0991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379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4"/>
          <w:szCs w:val="14"/>
          <w:color w:val="0000FF"/>
        </w:rPr>
        <w:t>L.P., its 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0</wp:posOffset>
            </wp:positionV>
            <wp:extent cx="13538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64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8648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general partner By: /s/Carolina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560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 Picazo,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7931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931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SE VII DHC AIV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165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L.P., By: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674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Associates VII,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814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partner, By: SEA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801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700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471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471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0000FF"/>
        </w:rPr>
        <w:t>08/24/2023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0000FF"/>
        </w:rPr>
        <w:t>08/24/2023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000FF"/>
        </w:rPr>
        <w:t>08/24/2023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760" w:lineRule="exact"/>
        <w:rPr>
          <w:sz w:val="20"/>
          <w:szCs w:val="20"/>
          <w:color w:val="auto"/>
        </w:rPr>
      </w:pPr>
    </w:p>
    <w:p>
      <w:pPr>
        <w:sectPr>
          <w:pgSz w:w="11900" w:h="16838" w:orient="portrait"/>
          <w:cols w:equalWidth="0" w:num="2">
            <w:col w:w="8705" w:space="60"/>
            <w:col w:w="2120"/>
          </w:cols>
          <w:pgMar w:left="495" w:top="168" w:right="519" w:bottom="0" w:gutter="0" w:footer="0" w:header="0"/>
          <w:type w:val="continuous"/>
        </w:sectPr>
      </w:pPr>
    </w:p>
    <w:tbl>
      <w:tblPr>
        <w:tblLayout w:type="fixed"/>
        <w:tblInd w:w="6565" w:type="dxa"/>
        <w:tblCellMar>
          <w:top w:w="0" w:type="dxa"/>
          <w:left w:w="0" w:type="dxa"/>
          <w:bottom w:w="0" w:type="dxa"/>
          <w:right w:w="0" w:type="dxa"/>
        </w:tblCellMar>
      </w:tblPr>
      <w:tr>
        <w:trPr>
          <w:trHeight w:val="184"/>
        </w:trPr>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4"/>
              </w:rPr>
              <w:t>SPECTRUM VII</w:t>
            </w:r>
          </w:p>
        </w:tc>
        <w:tc>
          <w:tcPr>
            <w:tcW w:w="1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00FF"/>
                <w:w w:val="89"/>
              </w:rPr>
              <w:t>08/24/2023</w:t>
            </w:r>
          </w:p>
        </w:tc>
      </w:tr>
    </w:tbl>
    <w:p>
      <w:pPr>
        <w:spacing w:after="0" w:line="16"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INVESTMENT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2630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FUND,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004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900430" cy="7620"/>
                    </a:xfrm>
                    <a:prstGeom prst="rect">
                      <a:avLst/>
                    </a:prstGeom>
                    <a:noFill/>
                  </pic:spPr>
                </pic:pic>
              </a:graphicData>
            </a:graphic>
          </wp:anchor>
        </w:drawing>
      </w:r>
    </w:p>
    <w:p>
      <w:pPr>
        <w:sectPr>
          <w:pgSz w:w="11900" w:h="16838" w:orient="portrait"/>
          <w:cols w:equalWidth="0" w:num="1">
            <w:col w:w="10885"/>
          </w:cols>
          <w:pgMar w:left="495" w:top="168" w:right="519" w:bottom="0" w:gutter="0" w:footer="0" w:header="0"/>
          <w:type w:val="continuous"/>
        </w:sectPr>
      </w:pPr>
    </w:p>
    <w:bookmarkStart w:id="2" w:name="page3"/>
    <w:bookmarkEnd w:id="2"/>
    <w:p>
      <w:pPr>
        <w:ind w:left="6565"/>
        <w:spacing w:after="0"/>
        <w:rPr>
          <w:sz w:val="20"/>
          <w:szCs w:val="20"/>
          <w:color w:val="auto"/>
        </w:rPr>
      </w:pPr>
      <w:r>
        <w:rPr>
          <w:rFonts w:ascii="Arial" w:cs="Arial" w:eastAsia="Arial" w:hAnsi="Arial"/>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2446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07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823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8237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9036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90360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INVESTMENT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582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ind w:left="6565"/>
        <w:spacing w:after="0"/>
        <w:tabs>
          <w:tab w:leader="none" w:pos="8744" w:val="left"/>
        </w:tabs>
        <w:rPr>
          <w:sz w:val="20"/>
          <w:szCs w:val="20"/>
          <w:color w:val="auto"/>
        </w:rPr>
      </w:pPr>
      <w:r>
        <w:rPr>
          <w:rFonts w:ascii="Arial" w:cs="Arial" w:eastAsia="Arial" w:hAnsi="Arial"/>
          <w:sz w:val="16"/>
          <w:szCs w:val="16"/>
          <w:color w:val="0000FF"/>
        </w:rPr>
        <w:t>/s/ Carolina A. Picazo, Chief</w:t>
      </w:r>
      <w:r>
        <w:rPr>
          <w:sz w:val="20"/>
          <w:szCs w:val="20"/>
          <w:color w:val="auto"/>
        </w:rPr>
        <w:tab/>
      </w:r>
      <w:r>
        <w:rPr>
          <w:rFonts w:ascii="Arial" w:cs="Arial" w:eastAsia="Arial" w:hAnsi="Arial"/>
          <w:sz w:val="14"/>
          <w:szCs w:val="14"/>
          <w:color w:val="0000FF"/>
        </w:rPr>
        <w:t>08/24/2023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8624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9404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ASSOCIATES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72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3792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37920" cy="7620"/>
                    </a:xfrm>
                    <a:prstGeom prst="rect">
                      <a:avLst/>
                    </a:prstGeom>
                    <a:noFill/>
                  </pic:spPr>
                </pic:pic>
              </a:graphicData>
            </a:graphic>
          </wp:anchor>
        </w:drawing>
      </w:r>
    </w:p>
    <w:p>
      <w:pPr>
        <w:ind w:left="6565"/>
        <w:spacing w:after="0"/>
        <w:tabs>
          <w:tab w:leader="none" w:pos="8744" w:val="left"/>
        </w:tabs>
        <w:rPr>
          <w:sz w:val="20"/>
          <w:szCs w:val="20"/>
          <w:color w:val="auto"/>
        </w:rPr>
      </w:pPr>
      <w:r>
        <w:rPr>
          <w:rFonts w:ascii="Arial" w:cs="Arial" w:eastAsia="Arial" w:hAnsi="Arial"/>
          <w:sz w:val="16"/>
          <w:szCs w:val="16"/>
          <w:color w:val="0000FF"/>
        </w:rPr>
        <w:t>general partner By: /s/ Carolina</w:t>
      </w:r>
      <w:r>
        <w:rPr>
          <w:sz w:val="20"/>
          <w:szCs w:val="20"/>
          <w:color w:val="auto"/>
        </w:rPr>
        <w:tab/>
      </w:r>
      <w:r>
        <w:rPr>
          <w:rFonts w:ascii="Arial" w:cs="Arial" w:eastAsia="Arial" w:hAnsi="Arial"/>
          <w:sz w:val="14"/>
          <w:szCs w:val="14"/>
          <w:color w:val="0000FF"/>
        </w:rPr>
        <w:t>08/24/2023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8624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068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35"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2859" w:hanging="5"/>
        <w:spacing w:after="0" w:line="31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4"/>
          </w:cols>
          <w:pgMar w:left="495" w:top="131" w:right="1440" w:bottom="1440" w:gutter="0" w:footer="0" w:header="0"/>
        </w:sectPr>
      </w:pPr>
    </w:p>
    <w:bookmarkStart w:id="3" w:name="page4"/>
    <w:bookmarkEnd w:id="3"/>
    <w:p>
      <w:pPr>
        <w:jc w:val="right"/>
        <w:ind w:right="499"/>
        <w:spacing w:after="0"/>
        <w:rPr>
          <w:sz w:val="20"/>
          <w:szCs w:val="20"/>
          <w:color w:val="auto"/>
        </w:rPr>
      </w:pPr>
      <w:r>
        <w:rPr>
          <w:rFonts w:ascii="Arial" w:cs="Arial" w:eastAsia="Arial" w:hAnsi="Arial"/>
          <w:sz w:val="16"/>
          <w:szCs w:val="16"/>
          <w:b w:val="1"/>
          <w:bCs w:val="1"/>
          <w:color w:val="auto"/>
        </w:rPr>
        <w:t>Exhibit 99.1</w:t>
      </w:r>
    </w:p>
    <w:p>
      <w:pPr>
        <w:spacing w:after="0" w:line="210" w:lineRule="exact"/>
        <w:rPr>
          <w:sz w:val="20"/>
          <w:szCs w:val="20"/>
          <w:color w:val="auto"/>
        </w:rPr>
      </w:pPr>
    </w:p>
    <w:p>
      <w:pPr>
        <w:ind w:left="3908"/>
        <w:spacing w:after="0"/>
        <w:rPr>
          <w:sz w:val="20"/>
          <w:szCs w:val="20"/>
          <w:color w:val="auto"/>
        </w:rPr>
      </w:pPr>
      <w:r>
        <w:rPr>
          <w:rFonts w:ascii="Arial" w:cs="Arial" w:eastAsia="Arial" w:hAnsi="Arial"/>
          <w:sz w:val="16"/>
          <w:szCs w:val="16"/>
          <w:b w:val="1"/>
          <w:bCs w:val="1"/>
          <w:color w:val="auto"/>
        </w:rPr>
        <w:t>Explanatory Note</w:t>
      </w:r>
    </w:p>
    <w:p>
      <w:pPr>
        <w:spacing w:after="0" w:line="214" w:lineRule="exact"/>
        <w:rPr>
          <w:sz w:val="20"/>
          <w:szCs w:val="20"/>
          <w:color w:val="auto"/>
        </w:rPr>
      </w:pPr>
    </w:p>
    <w:p>
      <w:pPr>
        <w:ind w:left="8" w:right="499" w:hanging="8"/>
        <w:spacing w:after="0" w:line="263" w:lineRule="auto"/>
        <w:tabs>
          <w:tab w:leader="none" w:pos="664" w:val="left"/>
        </w:tabs>
        <w:numPr>
          <w:ilvl w:val="0"/>
          <w:numId w:val="3"/>
        </w:numPr>
        <w:rPr>
          <w:rFonts w:ascii="Arial" w:cs="Arial" w:eastAsia="Arial" w:hAnsi="Arial"/>
          <w:sz w:val="16"/>
          <w:szCs w:val="16"/>
          <w:color w:val="70AD47"/>
        </w:rPr>
      </w:pPr>
      <w:r>
        <w:rPr>
          <w:rFonts w:ascii="Arial" w:cs="Arial" w:eastAsia="Arial" w:hAnsi="Arial"/>
          <w:sz w:val="16"/>
          <w:szCs w:val="16"/>
          <w:color w:val="70AD47"/>
        </w:rPr>
        <w:t>Represents the exchange of limited liability company units (“LLC Units”) of AIDH Topco, LLC (“Definitive OpCo”), a subsidiary of the Issuer, together with the cancellation of an equal number of the Issuer’s Class B Common Stock for shares of the Issuer’s Class A Common Stock on a one-for-one basis. The LLC Units exchanged and an equal number of shares of Class B Common Stock cancelled by each Spectrum Fund (as defined below) are as follows: (i) 2,891,523 by SE VII DHC AIV, L.P. (“SE VII DHC AIV”), (ii) 4,202 by Spectrum VII Investment Managers’ Fund, L.P. (“Spectrum VII Investment Managers’ Fund”) and (iii) 2,454 by Spectrum VII Co-Investment Fund, L.P. (“Spectrum VII Co-Investment Fund”).</w:t>
      </w:r>
    </w:p>
    <w:p>
      <w:pPr>
        <w:spacing w:after="0" w:line="169" w:lineRule="exact"/>
        <w:rPr>
          <w:rFonts w:ascii="Arial" w:cs="Arial" w:eastAsia="Arial" w:hAnsi="Arial"/>
          <w:sz w:val="16"/>
          <w:szCs w:val="16"/>
          <w:color w:val="70AD47"/>
        </w:rPr>
      </w:pPr>
    </w:p>
    <w:p>
      <w:pPr>
        <w:ind w:left="8" w:right="559" w:hanging="8"/>
        <w:spacing w:after="0" w:line="286" w:lineRule="auto"/>
        <w:tabs>
          <w:tab w:leader="none" w:pos="664" w:val="left"/>
        </w:tabs>
        <w:numPr>
          <w:ilvl w:val="0"/>
          <w:numId w:val="3"/>
        </w:numPr>
        <w:rPr>
          <w:rFonts w:ascii="Arial" w:cs="Arial" w:eastAsia="Arial" w:hAnsi="Arial"/>
          <w:sz w:val="15"/>
          <w:szCs w:val="15"/>
          <w:color w:val="70AD47"/>
        </w:rPr>
      </w:pPr>
      <w:r>
        <w:rPr>
          <w:rFonts w:ascii="Arial" w:cs="Arial" w:eastAsia="Arial" w:hAnsi="Arial"/>
          <w:sz w:val="15"/>
          <w:szCs w:val="15"/>
          <w:color w:val="70AD47"/>
        </w:rPr>
        <w:t>The Second Amended and Restated Limited Liability Company Agreement of Definitive OpCo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Persons, which have no economic value and entitle holders thereof to one vote per share on all matters on which stockholders of the Issuer are entitled to vote generally, are cancelled. The LLC Units have no expiration date.</w:t>
      </w:r>
    </w:p>
    <w:p>
      <w:pPr>
        <w:spacing w:after="0" w:line="154" w:lineRule="exact"/>
        <w:rPr>
          <w:rFonts w:ascii="Arial" w:cs="Arial" w:eastAsia="Arial" w:hAnsi="Arial"/>
          <w:sz w:val="15"/>
          <w:szCs w:val="15"/>
          <w:color w:val="70AD47"/>
        </w:rPr>
      </w:pPr>
    </w:p>
    <w:p>
      <w:pPr>
        <w:ind w:left="8" w:right="519" w:hanging="8"/>
        <w:spacing w:after="0" w:line="260" w:lineRule="auto"/>
        <w:tabs>
          <w:tab w:leader="none" w:pos="664" w:val="left"/>
        </w:tabs>
        <w:numPr>
          <w:ilvl w:val="0"/>
          <w:numId w:val="3"/>
        </w:numPr>
        <w:rPr>
          <w:rFonts w:ascii="Arial" w:cs="Arial" w:eastAsia="Arial" w:hAnsi="Arial"/>
          <w:sz w:val="16"/>
          <w:szCs w:val="16"/>
          <w:color w:val="70AD47"/>
        </w:rPr>
      </w:pPr>
      <w:r>
        <w:rPr>
          <w:rFonts w:ascii="Arial" w:cs="Arial" w:eastAsia="Arial" w:hAnsi="Arial"/>
          <w:sz w:val="16"/>
          <w:szCs w:val="16"/>
          <w:color w:val="70AD47"/>
        </w:rPr>
        <w:t>SEA VII Management, LLC (“Spectrum”) manages the Spectrum Funds (as defined below) that collectively own, following the reported transactions, 1,441,657 shares of Class A Common Stock of the Issuer and 13,843,158 shares of Class B common stock of the Issuer, which are represented as follows: (i) 1,441,657 shares of Class A Common Stock held directly by SE VII DHC AIV Feeder, L.P. (“Spectrum Feeder” and together with SE VII DHC AIV, Spectrum VII Investment Managers’ Fund and Spectrum VII Co-Investment Fund, the “Spectrum Funds”), (ii) 13,811,367 shares of Class B Common Stock held directly by SE VII DHC AIV; (iii) 20,068 shares of Class B Common Stock held directly by Spectrum VII Investment Managers’ Fund; and (iv) 11,723 shares of Class B Common Stock held directly by Spectrum VII Co-Investment Fund. Spectrum is the general partner of Spectrum Equity Associates VII, L.P., which in turn is the general partner of each of the Spectrum Funds. 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71" w:lineRule="exact"/>
        <w:rPr>
          <w:rFonts w:ascii="Arial" w:cs="Arial" w:eastAsia="Arial" w:hAnsi="Arial"/>
          <w:sz w:val="16"/>
          <w:szCs w:val="16"/>
          <w:color w:val="70AD47"/>
        </w:rPr>
      </w:pPr>
    </w:p>
    <w:p>
      <w:pPr>
        <w:ind w:left="8" w:right="559" w:hanging="8"/>
        <w:spacing w:after="0" w:line="272" w:lineRule="auto"/>
        <w:tabs>
          <w:tab w:leader="none" w:pos="664" w:val="left"/>
        </w:tabs>
        <w:numPr>
          <w:ilvl w:val="0"/>
          <w:numId w:val="3"/>
        </w:numPr>
        <w:rPr>
          <w:rFonts w:ascii="Arial" w:cs="Arial" w:eastAsia="Arial" w:hAnsi="Arial"/>
          <w:sz w:val="16"/>
          <w:szCs w:val="16"/>
          <w:color w:val="70AD47"/>
        </w:rPr>
      </w:pPr>
      <w:r>
        <w:rPr>
          <w:rFonts w:ascii="Arial" w:cs="Arial" w:eastAsia="Arial" w:hAnsi="Arial"/>
          <w:sz w:val="16"/>
          <w:szCs w:val="16"/>
          <w:color w:val="70AD47"/>
        </w:rPr>
        <w:t>Represents a pro rata distribution in kind of the Issuer’s Class A Common Stock for no consideration to limited partners by the Spectrum Funds in the following amounts: (i) 301,821 shares by Spectrum Feeder and (ii) 2,891,523 shares by SE VII DHC AIV. The other Spectrum Funds did not distribute any shares of Class A Common Stock.</w:t>
      </w:r>
    </w:p>
    <w:p>
      <w:pPr>
        <w:spacing w:after="0" w:line="162" w:lineRule="exact"/>
        <w:rPr>
          <w:rFonts w:ascii="Arial" w:cs="Arial" w:eastAsia="Arial" w:hAnsi="Arial"/>
          <w:sz w:val="16"/>
          <w:szCs w:val="16"/>
          <w:color w:val="70AD47"/>
        </w:rPr>
      </w:pPr>
    </w:p>
    <w:p>
      <w:pPr>
        <w:ind w:left="8" w:right="499" w:hanging="8"/>
        <w:spacing w:after="0" w:line="264" w:lineRule="auto"/>
        <w:tabs>
          <w:tab w:leader="none" w:pos="664" w:val="left"/>
        </w:tabs>
        <w:numPr>
          <w:ilvl w:val="0"/>
          <w:numId w:val="3"/>
        </w:numPr>
        <w:rPr>
          <w:rFonts w:ascii="Arial" w:cs="Arial" w:eastAsia="Arial" w:hAnsi="Arial"/>
          <w:sz w:val="16"/>
          <w:szCs w:val="16"/>
          <w:color w:val="70AD47"/>
        </w:rPr>
      </w:pPr>
      <w:r>
        <w:rPr>
          <w:rFonts w:ascii="Arial" w:cs="Arial" w:eastAsia="Arial" w:hAnsi="Arial"/>
          <w:sz w:val="16"/>
          <w:szCs w:val="16"/>
          <w:color w:val="70AD47"/>
        </w:rPr>
        <w:t>Represents the sale of shares of Class A Common Stock by Spectrum VII Co-Investment Fund. The price reported in Column 4 is a weighted average price. These shares were sold in multiple transactions at prices ranging from $9.36 to $9.54, inclusive. The Reporting Persons undertake to provide to Definitive Healthcare Corp., any security holder, or the staff of the Securities Exchange Commission, upon request, full information regarding the number of shares sold at each separate price within the ranges set for in footnotes (5) and (6) to Form 4.</w:t>
      </w:r>
    </w:p>
    <w:p>
      <w:pPr>
        <w:spacing w:after="0" w:line="170" w:lineRule="exact"/>
        <w:rPr>
          <w:rFonts w:ascii="Arial" w:cs="Arial" w:eastAsia="Arial" w:hAnsi="Arial"/>
          <w:sz w:val="16"/>
          <w:szCs w:val="16"/>
          <w:color w:val="70AD47"/>
        </w:rPr>
      </w:pPr>
    </w:p>
    <w:p>
      <w:pPr>
        <w:jc w:val="center"/>
        <w:ind w:left="8" w:right="679" w:hanging="8"/>
        <w:spacing w:after="0" w:line="364" w:lineRule="auto"/>
        <w:tabs>
          <w:tab w:leader="none" w:pos="336" w:val="left"/>
        </w:tabs>
        <w:numPr>
          <w:ilvl w:val="0"/>
          <w:numId w:val="3"/>
        </w:numPr>
        <w:rPr>
          <w:rFonts w:ascii="Arial" w:cs="Arial" w:eastAsia="Arial" w:hAnsi="Arial"/>
          <w:sz w:val="14"/>
          <w:szCs w:val="14"/>
          <w:color w:val="70AD47"/>
        </w:rPr>
      </w:pPr>
      <w:r>
        <w:rPr>
          <w:rFonts w:ascii="Arial" w:cs="Arial" w:eastAsia="Arial" w:hAnsi="Arial"/>
          <w:sz w:val="14"/>
          <w:szCs w:val="14"/>
          <w:color w:val="70AD47"/>
        </w:rPr>
        <w:t>Represents the sale of shares of Class A Common Stock by Spectrum VII Investment Managers’ Fund. The price reported in Column 4 is a weighted average price. These shares were sold in multiple transactions at prices ranging from $9.36 to $9.54,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271780</wp:posOffset>
            </wp:positionV>
            <wp:extent cx="699960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999605" cy="41275"/>
                    </a:xfrm>
                    <a:prstGeom prst="rect">
                      <a:avLst/>
                    </a:prstGeom>
                    <a:noFill/>
                  </pic:spPr>
                </pic:pic>
              </a:graphicData>
            </a:graphic>
          </wp:anchor>
        </w:drawing>
      </w:r>
    </w:p>
    <w:sectPr>
      <w:pgSz w:w="11900" w:h="16838" w:orient="portrait"/>
      <w:cols w:equalWidth="0" w:num="1">
        <w:col w:w="9547"/>
      </w:cols>
      <w:pgMar w:left="912"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824265"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79386" TargetMode="External"/><Relationship Id="rId16" Type="http://schemas.openxmlformats.org/officeDocument/2006/relationships/hyperlink" Target="http://www.sec.gov/cgi-bin/browse-edgar?action=getcompany&amp;CIK=0001879377" TargetMode="External"/><Relationship Id="rId18" Type="http://schemas.openxmlformats.org/officeDocument/2006/relationships/hyperlink" Target="http://www.sec.gov/cgi-bin/browse-edgar?action=getcompany&amp;CIK=000162699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2023-08-24T18:12:24Z</dcterms:created>
  <dcterms:modified xsi:type="dcterms:W3CDTF">2023-08-24T18:12:24Z</dcterms:modified>
</cp:coreProperties>
</file>