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40" w:after="0"/>
        <w:jc w:val="center"/>
        <w:rPr>
          <w:rFonts w:ascii="Times New Roman" w:hAnsi="Times New Roman"/>
          <w:sz w:val="20"/>
        </w:rPr>
      </w:pPr>
      <w:bookmarkStart w:id="0" w:name="dh-20230331.htm"/>
      <w:bookmarkStart w:id="1" w:name="ksdh20230331"/>
      <w:bookmarkEnd w:id="0"/>
      <w:bookmarkEnd w:id="1"/>
      <w:r>
        <w:rPr>
          <w:rFonts w:ascii="Times New Roman;serif" w:hAnsi="Times New Roman;serif"/>
          <w:b/>
          <w:sz w:val="34"/>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4"/>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2"/>
        </w:rPr>
        <w:t>Washington, D.C. 20549</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34"/>
        </w:rPr>
        <w:t>FORM 10-Q</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18"/>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22"/>
        </w:rPr>
        <w:t>QUARTERLY REPORT PURSUANT TO SECTION 13 OR 15(d) OF THE SECURITIES EXCHANGE ACT OF 1934</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18"/>
        </w:rPr>
        <w:t>For the quarterly period ended March 31, 2023</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18"/>
        </w:rPr>
        <w:t>or</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sz w:val="22"/>
        </w:rPr>
        <w:t>TRANSITION REPORT PURSUANT TO SECTION 13 OR 15(d) OF THE SECURITIES EXCHANGE ACT OF 1934</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sz w:val="18"/>
        </w:rPr>
      </w:pPr>
      <w:r>
        <w:rPr>
          <w:rFonts w:ascii="Times New Roman;serif" w:hAnsi="Times New Roman;serif"/>
          <w:b/>
          <w:sz w:val="18"/>
        </w:rPr>
        <w:t>Commission File Number 001-40815</w:t>
      </w:r>
    </w:p>
    <w:p>
      <w:pPr>
        <w:pStyle w:val="TextBody"/>
        <w:spacing w:before="40" w:after="0"/>
        <w:jc w:val="center"/>
        <w:rPr>
          <w:rFonts w:ascii="Times New Roman" w:hAnsi="Times New Roman"/>
          <w:sz w:val="20"/>
        </w:rPr>
      </w:pPr>
      <w:r>
        <w:rPr>
          <w:rFonts w:ascii="Times New Roman;serif" w:hAnsi="Times New Roman;serif"/>
          <w:b/>
          <w:sz w:val="46"/>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8"/>
        </w:rPr>
        <w:t>(Exact name of registrant as specified in its charter)</w:t>
      </w:r>
      <w:r>
        <w:rPr>
          <w:rFonts w:ascii="Times New Roman" w:hAnsi="Times New Roman"/>
          <w:sz w:val="20"/>
        </w:rPr>
        <w:t xml:space="preserve"> </w:t>
      </w:r>
    </w:p>
    <w:tbl>
      <w:tblPr>
        <w:tblW w:w="4412" w:type="dxa"/>
        <w:jc w:val="left"/>
        <w:tblInd w:w="0" w:type="dxa"/>
        <w:tblCellMar>
          <w:top w:w="28" w:type="dxa"/>
          <w:left w:w="28" w:type="dxa"/>
          <w:bottom w:w="28" w:type="dxa"/>
          <w:right w:w="28" w:type="dxa"/>
        </w:tblCellMar>
      </w:tblPr>
      <w:tblGrid>
        <w:gridCol w:w="2926"/>
        <w:gridCol w:w="1486"/>
      </w:tblGrid>
      <w:tr>
        <w:trPr/>
        <w:tc>
          <w:tcPr>
            <w:tcW w:w="292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86-3988281</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1486" w:type="dxa"/>
            <w:tcBorders/>
            <w:shd w:fill="auto" w:val="clear"/>
            <w:vAlign w:val="center"/>
          </w:tcPr>
          <w:p>
            <w:pPr>
              <w:pStyle w:val="TableContents"/>
              <w:spacing w:before="0" w:after="283"/>
              <w:ind w:left="0" w:right="0" w:hanging="0"/>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492 Old Connecticut Path, Suite 401</w:t>
            </w:r>
          </w:p>
          <w:p>
            <w:pPr>
              <w:pStyle w:val="TableContents"/>
              <w:spacing w:before="0" w:after="20"/>
              <w:ind w:left="0" w:right="0" w:hanging="0"/>
              <w:jc w:val="center"/>
              <w:rPr>
                <w:rFonts w:ascii="Times New Roman;serif" w:hAnsi="Times New Roman;serif"/>
                <w:b/>
                <w:sz w:val="18"/>
              </w:rPr>
            </w:pPr>
            <w:r>
              <w:rPr>
                <w:rFonts w:ascii="Times New Roman;serif" w:hAnsi="Times New Roman;serif"/>
                <w:b/>
                <w:sz w:val="18"/>
              </w:rPr>
              <w:t>Framingham, MA</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01701</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18"/>
        </w:rPr>
        <w:t>(508) 720-4224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8088" w:type="dxa"/>
        <w:jc w:val="left"/>
        <w:tblInd w:w="0" w:type="dxa"/>
        <w:tblCellMar>
          <w:top w:w="28" w:type="dxa"/>
          <w:left w:w="28" w:type="dxa"/>
          <w:bottom w:w="28" w:type="dxa"/>
          <w:right w:w="28" w:type="dxa"/>
        </w:tblCellMar>
      </w:tblPr>
      <w:tblGrid>
        <w:gridCol w:w="3316"/>
        <w:gridCol w:w="1456"/>
        <w:gridCol w:w="3316"/>
      </w:tblGrid>
      <w:tr>
        <w:trPr/>
        <w:tc>
          <w:tcPr>
            <w:tcW w:w="331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31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Class A Common Stock, $0.001 par value</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DH</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The Nasdaq Stock Market LLC</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4489" w:type="dxa"/>
        <w:jc w:val="left"/>
        <w:tblInd w:w="0" w:type="dxa"/>
        <w:tblCellMar>
          <w:top w:w="28" w:type="dxa"/>
          <w:left w:w="28" w:type="dxa"/>
          <w:bottom w:w="28" w:type="dxa"/>
          <w:right w:w="28" w:type="dxa"/>
        </w:tblCellMar>
      </w:tblPr>
      <w:tblGrid>
        <w:gridCol w:w="1771"/>
        <w:gridCol w:w="316"/>
        <w:gridCol w:w="2041"/>
        <w:gridCol w:w="361"/>
      </w:tblGrid>
      <w:tr>
        <w:trPr/>
        <w:tc>
          <w:tcPr>
            <w:tcW w:w="17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77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771"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7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120" w:after="0"/>
        <w:jc w:val="left"/>
        <w:rPr>
          <w:rFonts w:ascii="Times New Roman" w:hAnsi="Times New Roman"/>
          <w:sz w:val="20"/>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by Rule 12b-2 of the Exchange Act). Yes ☐ 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As of May 1, 2023, the number of outstanding shares of the registrant’s Class A Common Stock was 110,214,798</w:t>
      </w:r>
      <w:r>
        <w:rPr>
          <w:rFonts w:ascii="Times New Roman" w:hAnsi="Times New Roman"/>
          <w:sz w:val="20"/>
        </w:rPr>
        <w:t xml:space="preserve"> </w:t>
      </w:r>
      <w:r>
        <w:rPr>
          <w:rFonts w:ascii="Times New Roman;serif" w:hAnsi="Times New Roman;serif"/>
          <w:b w:val="false"/>
          <w:sz w:val="18"/>
        </w:rPr>
        <w:t>shares.</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Definitive Healthcare Corp.</w:t>
      </w:r>
    </w:p>
    <w:p>
      <w:pPr>
        <w:pStyle w:val="TextBody"/>
        <w:spacing w:before="240" w:after="0"/>
        <w:jc w:val="center"/>
        <w:rPr>
          <w:rFonts w:ascii="Times New Roman" w:hAnsi="Times New Roman"/>
          <w:sz w:val="20"/>
        </w:rPr>
      </w:pPr>
      <w:r>
        <w:rPr>
          <w:rFonts w:ascii="Times New Roman;serif" w:hAnsi="Times New Roman;serif"/>
          <w:b/>
          <w:sz w:val="20"/>
        </w:rPr>
        <w:t>Quarterly Report on Form 10-Q</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tbl>
      <w:tblPr>
        <w:tblW w:w="8733" w:type="dxa"/>
        <w:jc w:val="left"/>
        <w:tblInd w:w="0" w:type="dxa"/>
        <w:tblCellMar>
          <w:top w:w="28" w:type="dxa"/>
          <w:left w:w="28" w:type="dxa"/>
          <w:bottom w:w="28" w:type="dxa"/>
          <w:right w:w="28" w:type="dxa"/>
        </w:tblCellMar>
      </w:tblPr>
      <w:tblGrid>
        <w:gridCol w:w="811"/>
        <w:gridCol w:w="7366"/>
        <w:gridCol w:w="556"/>
      </w:tblGrid>
      <w:tr>
        <w:trPr/>
        <w:tc>
          <w:tcPr>
            <w:tcW w:w="81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pBdr>
                <w:bottom w:val="single" w:sz="6" w:space="1" w:color="000000"/>
              </w:pBdr>
              <w:spacing w:before="0" w:after="0"/>
              <w:ind w:left="0" w:right="0" w:hanging="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811"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p>
            <w:pPr>
              <w:pStyle w:val="TableContents"/>
              <w:pBdr/>
              <w:spacing w:before="0" w:after="0"/>
              <w:ind w:left="0" w:right="0" w:hanging="240"/>
              <w:jc w:val="left"/>
              <w:rPr/>
            </w:pPr>
            <w:r>
              <w:rPr/>
              <w:t> </w:t>
            </w:r>
          </w:p>
        </w:tc>
        <w:tc>
          <w:tcPr>
            <w:tcW w:w="556" w:type="dxa"/>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glossary">
              <w:r>
                <w:rPr>
                  <w:rStyle w:val="InternetLink"/>
                  <w:rFonts w:ascii="Times New Roman;serif" w:hAnsi="Times New Roman;serif"/>
                  <w:b w:val="false"/>
                  <w:sz w:val="20"/>
                  <w:u w:val="single"/>
                </w:rPr>
                <w:t>Glossary</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cautionary_note">
              <w:r>
                <w:rPr>
                  <w:rStyle w:val="InternetLink"/>
                  <w:rFonts w:ascii="Times New Roman;serif" w:hAnsi="Times New Roman;serif"/>
                  <w:b w:val="false"/>
                  <w:sz w:val="20"/>
                  <w:u w:val="single"/>
                </w:rPr>
                <w:t>Cautionary Note Regarding Forward-Looking Statements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hyperlink w:anchor="part_i_financial_information">
              <w:r>
                <w:rPr>
                  <w:rStyle w:val="InternetLink"/>
                  <w:rFonts w:ascii="Times New Roman" w:hAnsi="Times New Roman"/>
                  <w:sz w:val="20"/>
                </w:rPr>
                <w:t xml:space="preserve"> </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consolidated_balance_sheets">
              <w:r>
                <w:rPr>
                  <w:rStyle w:val="InternetLink"/>
                  <w:rFonts w:ascii="Times New Roman;serif" w:hAnsi="Times New Roman;serif"/>
                  <w:b w:val="false"/>
                  <w:sz w:val="20"/>
                  <w:u w:val="single"/>
                </w:rPr>
                <w:t>Condensed Consolidated Balance Sheets</w:t>
              </w:r>
            </w:hyperlink>
            <w:hyperlink w:anchor="consolidated_balance_sheets">
              <w:r>
                <w:rPr>
                  <w:rStyle w:val="InternetLink"/>
                  <w:rFonts w:ascii="Times New Roman" w:hAnsi="Times New Roman"/>
                  <w:sz w:val="20"/>
                </w:rPr>
                <w:t xml:space="preserve"> </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6</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hyperlink w:anchor="statements_of_comprehensive_loss">
              <w:r>
                <w:rPr>
                  <w:rStyle w:val="InternetLink"/>
                  <w:rFonts w:ascii="Times New Roman;serif" w:hAnsi="Times New Roman;serif"/>
                  <w:b w:val="false"/>
                  <w:sz w:val="20"/>
                  <w:u w:val="single"/>
                </w:rPr>
                <w:t>Condensed Consolidated Statements of Comprehensive Loss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left"/>
              <w:rPr/>
            </w:pPr>
            <w:r>
              <w:rPr/>
              <w:t> </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hanges_in_members_equity">
              <w:r>
                <w:rPr>
                  <w:rStyle w:val="InternetLink"/>
                  <w:rFonts w:ascii="Times New Roman;serif" w:hAnsi="Times New Roman;serif"/>
                  <w:b w:val="false"/>
                  <w:sz w:val="20"/>
                  <w:u w:val="single"/>
                </w:rPr>
                <w:t>Condensed Consolidated Statements of Changes in Total Equity</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8</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statements_of_cash_flows">
              <w:r>
                <w:rPr>
                  <w:rStyle w:val="InternetLink"/>
                  <w:rFonts w:ascii="Times New Roman;serif" w:hAnsi="Times New Roman;serif"/>
                  <w:b w:val="false"/>
                  <w:sz w:val="20"/>
                  <w:u w:val="single"/>
                </w:rPr>
                <w:t>Condensed Consolidated Statements of Cash Flows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9</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Notes to the Condensed Consolidated Financial Statements</w:t>
            </w:r>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10</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27</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40</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41</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2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2_unregistered_sales_of_equity">
              <w:r>
                <w:rPr>
                  <w:rStyle w:val="InternetLink"/>
                  <w:rFonts w:ascii="Times New Roman;serif" w:hAnsi="Times New Roman;serif"/>
                  <w:b w:val="false"/>
                  <w:sz w:val="20"/>
                  <w:u w:val="single"/>
                </w:rPr>
                <w:t>Unregistered Sales of Equity Securities and Use of Proceeds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2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811"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20"/>
              <w:ind w:left="0" w:right="0" w:hanging="0"/>
              <w:jc w:val="left"/>
              <w:rPr/>
            </w:pPr>
            <w:r>
              <w:rPr/>
              <w:t> </w:t>
            </w:r>
          </w:p>
        </w:tc>
      </w:tr>
      <w:tr>
        <w:trPr/>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43</w:t>
            </w:r>
          </w:p>
        </w:tc>
      </w:tr>
      <w:tr>
        <w:trPr/>
        <w:tc>
          <w:tcPr>
            <w:tcW w:w="81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556" w:type="dxa"/>
            <w:tcBorders/>
            <w:shd w:fill="auto" w:val="clear"/>
            <w:vAlign w:val="center"/>
          </w:tcPr>
          <w:p>
            <w:pPr>
              <w:pStyle w:val="TableContents"/>
              <w:spacing w:before="0" w:after="283"/>
              <w:ind w:left="0" w:right="0" w:hanging="0"/>
              <w:rPr>
                <w:sz w:val="4"/>
                <w:szCs w:val="4"/>
              </w:rPr>
            </w:pPr>
            <w:r>
              <w:rPr>
                <w:sz w:val="4"/>
                <w:szCs w:val="4"/>
              </w:rPr>
            </w:r>
          </w:p>
        </w:tc>
      </w:tr>
      <w:tr>
        <w:trPr/>
        <w:tc>
          <w:tcPr>
            <w:tcW w:w="8177" w:type="dxa"/>
            <w:gridSpan w:val="2"/>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56" w:type="dxa"/>
            <w:tcBorders/>
            <w:shd w:fill="auto" w:val="clear"/>
            <w:vAlign w:val="center"/>
          </w:tcPr>
          <w:p>
            <w:pPr>
              <w:pStyle w:val="TableContents"/>
              <w:spacing w:before="0" w:after="20"/>
              <w:ind w:left="0" w:right="0" w:hanging="0"/>
              <w:jc w:val="center"/>
              <w:rPr>
                <w:rFonts w:ascii="Times New Roman;serif" w:hAnsi="Times New Roman;serif"/>
                <w:b w:val="false"/>
                <w:sz w:val="20"/>
              </w:rPr>
            </w:pPr>
            <w:r>
              <w:rPr>
                <w:rFonts w:ascii="Times New Roman;serif" w:hAnsi="Times New Roman;serif"/>
                <w:b w:val="false"/>
                <w:sz w:val="20"/>
              </w:rPr>
              <w:t>44</w:t>
            </w:r>
          </w:p>
        </w:tc>
      </w:tr>
    </w:tbl>
    <w:p>
      <w:pPr>
        <w:pStyle w:val="TextBody"/>
        <w:spacing w:before="24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glossary"/>
      <w:bookmarkEnd w:id="2"/>
      <w:r>
        <w:rPr>
          <w:rFonts w:ascii="Times New Roman;serif" w:hAnsi="Times New Roman;serif"/>
          <w:b/>
          <w:sz w:val="20"/>
        </w:rPr>
        <w:t>GLOSSARY</w:t>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pStyle w:val="TextBody"/>
        <w:spacing w:before="120" w:after="0"/>
        <w:jc w:val="left"/>
        <w:rPr/>
      </w:pPr>
      <w:r>
        <w:rPr/>
        <w:t> </w:t>
      </w:r>
    </w:p>
    <w:p>
      <w:pPr>
        <w:pStyle w:val="TextBody"/>
        <w:spacing w:before="120" w:after="0"/>
        <w:jc w:val="left"/>
        <w:rPr/>
      </w:pPr>
      <w:r>
        <w:rPr/>
        <w:t>•</w:t>
      </w:r>
    </w:p>
    <w:p>
      <w:pPr>
        <w:pStyle w:val="TextBody"/>
        <w:spacing w:before="120" w:after="0"/>
        <w:jc w:val="left"/>
        <w:rPr/>
      </w:pPr>
      <w:r>
        <w:rPr/>
        <w:t>“</w:t>
      </w:r>
      <w:r>
        <w:rPr>
          <w:rFonts w:ascii="Times New Roman;serif" w:hAnsi="Times New Roman;serif"/>
          <w:b w:val="false"/>
          <w:sz w:val="20"/>
          <w:u w:val="single"/>
        </w:rPr>
        <w:t>AIDH Buyer</w:t>
      </w:r>
      <w:r>
        <w:rPr/>
        <w:t xml:space="preserve">” </w:t>
      </w:r>
      <w:r>
        <w:rPr>
          <w:rFonts w:ascii="Times New Roman;serif" w:hAnsi="Times New Roman;serif"/>
          <w:b w:val="false"/>
          <w:sz w:val="20"/>
        </w:rPr>
        <w:t>refers to AIDH Buyer, LLC, which is a wholly owned subsidiary of Definitive OpCo and the direct parent company of DH Holdings.</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Advent</w:t>
      </w:r>
      <w:r>
        <w:rPr/>
        <w:t xml:space="preserve">” </w:t>
      </w:r>
      <w:r>
        <w:rPr>
          <w:rFonts w:ascii="Times New Roman;serif" w:hAnsi="Times New Roman;serif"/>
          <w:b w:val="false"/>
          <w:sz w:val="20"/>
        </w:rPr>
        <w:t>refers to funds affiliated with Advent International, a global private equity firm.</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AIDH Management Holdings, LLC</w:t>
      </w:r>
      <w:r>
        <w:rPr/>
        <w:t xml:space="preserve">” </w:t>
      </w:r>
      <w:r>
        <w:rPr>
          <w:rFonts w:ascii="Times New Roman;serif" w:hAnsi="Times New Roman;serif"/>
          <w:b w:val="false"/>
          <w:sz w:val="20"/>
        </w:rPr>
        <w:t>is a special purpose investment vehicle through which certain persons, primarily employees and certain legacy investors, indirectly hold interests in Definitive OpCo.</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Amended LLC Agreement</w:t>
      </w:r>
      <w:r>
        <w:rPr/>
        <w:t xml:space="preserve">” </w:t>
      </w:r>
      <w:r>
        <w:rPr>
          <w:rFonts w:ascii="Times New Roman;serif" w:hAnsi="Times New Roman;serif"/>
          <w:b w:val="false"/>
          <w:sz w:val="20"/>
        </w:rPr>
        <w:t xml:space="preserve">refers to the second amended and restated limited liability company agreement entered into by Definitive Opco pursuant to which members have the right to exchange all or a portion of their LLC units for newly issued shares of Class A Common Stock in Definitive Healthcare Corp. </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ARR</w:t>
      </w:r>
      <w:r>
        <w:rPr/>
        <w:t xml:space="preserve">” </w:t>
      </w:r>
      <w:r>
        <w:rPr>
          <w:rFonts w:ascii="Times New Roman;serif" w:hAnsi="Times New Roman;serif"/>
          <w:b w:val="false"/>
          <w:sz w:val="20"/>
        </w:rPr>
        <w:t>refers to annualized recurring revenue as of period end.</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Blocker Company</w:t>
      </w:r>
      <w:r>
        <w:rPr/>
        <w:t xml:space="preserve">” </w:t>
      </w:r>
      <w:r>
        <w:rPr>
          <w:rFonts w:ascii="Times New Roman;serif" w:hAnsi="Times New Roman;serif"/>
          <w:b w:val="false"/>
          <w:sz w:val="20"/>
        </w:rPr>
        <w:t>or “</w:t>
      </w:r>
      <w:r>
        <w:rPr>
          <w:rFonts w:ascii="Times New Roman;serif" w:hAnsi="Times New Roman;serif"/>
          <w:b w:val="false"/>
          <w:sz w:val="20"/>
          <w:u w:val="single"/>
        </w:rPr>
        <w:t>Blocker Companies</w:t>
      </w:r>
      <w:r>
        <w:rPr/>
        <w:t xml:space="preserve">” </w:t>
      </w:r>
      <w:r>
        <w:rPr>
          <w:rFonts w:ascii="Times New Roman;serif" w:hAnsi="Times New Roman;serif"/>
          <w:b w:val="false"/>
          <w:sz w:val="20"/>
        </w:rPr>
        <w:t>refers to certain entities treated as corporations for U.S. federal income tax purposes that held LLC units in Definitive OpCo which, through the Reorganization Transactions, were merged into Definitive Healthcare Corp. and are now holders of Class A Common Stock.</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Continuing Pre-IPO LLC Members</w:t>
      </w:r>
      <w:r>
        <w:rPr/>
        <w:t xml:space="preserve">” </w:t>
      </w:r>
      <w:r>
        <w:rPr>
          <w:rFonts w:ascii="Times New Roman;serif" w:hAnsi="Times New Roman;serif"/>
          <w:b w:val="false"/>
          <w:sz w:val="20"/>
        </w:rPr>
        <w:t>refers to certain Pre-IPO LLC Members who retained their equity ownership in Definitive OpCo in the form of LLC Units immediately following the consummation of the Reorganization Transactions.</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Definitive OpCo</w:t>
      </w:r>
      <w:r>
        <w:rPr/>
        <w:t xml:space="preserve">” </w:t>
      </w:r>
      <w:r>
        <w:rPr>
          <w:rFonts w:ascii="Times New Roman;serif" w:hAnsi="Times New Roman;serif"/>
          <w:b w:val="false"/>
          <w:sz w:val="20"/>
        </w:rPr>
        <w:t>refers to AIDH TopCo, LLC, a Delaware limited liability company, and a subsidiary of Definitive Healthcare Corp., following the Reorganization Transactions.</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DH Holdings</w:t>
      </w:r>
      <w:r>
        <w:rPr/>
        <w:t xml:space="preserve">” </w:t>
      </w:r>
      <w:r>
        <w:rPr>
          <w:rFonts w:ascii="Times New Roman;serif" w:hAnsi="Times New Roman;serif"/>
          <w:b w:val="false"/>
          <w:sz w:val="20"/>
        </w:rPr>
        <w:t>refers to Definitive Healthcare Holdings, LLC, a Delaware limited liability company and wholly-owned subsidiary of AIDH Buyer.</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LLC Units</w:t>
      </w:r>
      <w:r>
        <w:rPr/>
        <w:t xml:space="preserve">” </w:t>
      </w:r>
      <w:r>
        <w:rPr>
          <w:rFonts w:ascii="Times New Roman;serif" w:hAnsi="Times New Roman;serif"/>
          <w:b w:val="false"/>
          <w:sz w:val="20"/>
        </w:rPr>
        <w:t>refers to limited liability company interests in Definitive OpCo.</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IPO</w:t>
      </w:r>
      <w:r>
        <w:rPr/>
        <w:t xml:space="preserve">” </w:t>
      </w:r>
      <w:r>
        <w:rPr>
          <w:rFonts w:ascii="Times New Roman;serif" w:hAnsi="Times New Roman;serif"/>
          <w:b w:val="false"/>
          <w:sz w:val="20"/>
        </w:rPr>
        <w:t>refers to the initial public offering of Class A Common Stock of Definitive Healthcare Corp.</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NDR</w:t>
      </w:r>
      <w:r>
        <w:rPr/>
        <w:t xml:space="preserve">” </w:t>
      </w:r>
      <w:r>
        <w:rPr>
          <w:rFonts w:ascii="Times New Roman;serif" w:hAnsi="Times New Roman;serif"/>
          <w:b w:val="false"/>
          <w:sz w:val="20"/>
        </w:rPr>
        <w:t>or “</w:t>
      </w:r>
      <w:r>
        <w:rPr>
          <w:rFonts w:ascii="Times New Roman;serif" w:hAnsi="Times New Roman;serif"/>
          <w:b w:val="false"/>
          <w:sz w:val="20"/>
          <w:u w:val="single"/>
        </w:rPr>
        <w:t>Net Dollar Retention Rate</w:t>
      </w:r>
      <w:r>
        <w:rPr/>
        <w:t xml:space="preserve">” </w:t>
      </w:r>
      <w:r>
        <w:rPr>
          <w:rFonts w:ascii="Times New Roman;serif" w:hAnsi="Times New Roman;serif"/>
          <w:b w:val="false"/>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Pre-IPO LLC Members</w:t>
      </w:r>
      <w:r>
        <w:rPr/>
        <w:t xml:space="preserve">” </w:t>
      </w:r>
      <w:r>
        <w:rPr>
          <w:rFonts w:ascii="Times New Roman;serif" w:hAnsi="Times New Roman;serif"/>
          <w:b w:val="false"/>
          <w:sz w:val="20"/>
        </w:rPr>
        <w:t>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Reorganization Transactions</w:t>
      </w:r>
      <w:r>
        <w:rPr/>
        <w:t xml:space="preserve">” </w:t>
      </w:r>
      <w:r>
        <w:rPr>
          <w:rFonts w:ascii="Times New Roman;serif" w:hAnsi="Times New Roman;serif"/>
          <w:b w:val="false"/>
          <w:sz w:val="20"/>
        </w:rPr>
        <w:t>refers to transactions completed in connection with the Company’s IPO as defined within Note 1 to our unaudited condensed consolidated financial statements included in Part I, Item 1 of this Form 10-Q.</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Reorganization Parties</w:t>
      </w:r>
      <w:r>
        <w:rPr/>
        <w:t xml:space="preserve">” </w:t>
      </w:r>
      <w:r>
        <w:rPr>
          <w:rFonts w:ascii="Times New Roman;serif" w:hAnsi="Times New Roman;serif"/>
          <w:b w:val="false"/>
          <w:sz w:val="20"/>
        </w:rPr>
        <w:t xml:space="preserve">refers to the shareholders of the Blocker Companies prior to the merger of the Blocker Companies into Definitive Healthcare Corp. </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Spectrum Equity</w:t>
      </w:r>
      <w:r>
        <w:rPr/>
        <w:t xml:space="preserve">” </w:t>
      </w:r>
      <w:r>
        <w:rPr>
          <w:rFonts w:ascii="Times New Roman;serif" w:hAnsi="Times New Roman;serif"/>
          <w:b w:val="false"/>
          <w:sz w:val="20"/>
        </w:rPr>
        <w:t>refers to investment funds associated with Spectrum Equity Management, L.P., a private equity firm.</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Sponsors</w:t>
      </w:r>
      <w:r>
        <w:rPr/>
        <w:t xml:space="preserve">” </w:t>
      </w:r>
      <w:r>
        <w:rPr>
          <w:rFonts w:ascii="Times New Roman;serif" w:hAnsi="Times New Roman;serif"/>
          <w:b w:val="false"/>
          <w:sz w:val="20"/>
        </w:rPr>
        <w:t>refers collectively to Advent, 22C Capital, and Spectrum Equity.</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Tax Receivable Agreement</w:t>
      </w:r>
      <w:r>
        <w:rPr/>
        <w:t xml:space="preserve">” </w:t>
      </w:r>
      <w:r>
        <w:rPr>
          <w:rFonts w:ascii="Times New Roman;serif" w:hAnsi="Times New Roman;serif"/>
          <w:b w:val="false"/>
          <w:sz w:val="20"/>
        </w:rPr>
        <w:t>refers to the Tax Receivable Agreement, dated September 14, 2021, between Definitive Healthcare Corp., Definitive OpCo, and the TRA Parties.</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u w:val="single"/>
        </w:rPr>
        <w:t>TRA Parties</w:t>
      </w:r>
      <w:r>
        <w:rPr/>
        <w:t xml:space="preserve">” </w:t>
      </w:r>
      <w:r>
        <w:rPr>
          <w:rFonts w:ascii="Times New Roman;serif" w:hAnsi="Times New Roman;serif"/>
          <w:b w:val="false"/>
          <w:sz w:val="20"/>
        </w:rPr>
        <w:t>refers to the Continuing Pre-IPO LLC Members, the Reorganization Parties, and any future party to the Tax Receivable Agreement.</w:t>
      </w:r>
    </w:p>
    <w:p>
      <w:pPr>
        <w:pStyle w:val="TextBody"/>
        <w:spacing w:before="0" w:after="0"/>
        <w:jc w:val="left"/>
        <w:rPr/>
      </w:pPr>
      <w:r>
        <w:rPr/>
        <w:t>•</w:t>
      </w:r>
    </w:p>
    <w:p>
      <w:pPr>
        <w:pStyle w:val="TextBody"/>
        <w:jc w:val="left"/>
        <w:rPr/>
      </w:pPr>
      <w:r>
        <w:rPr/>
        <w:t>“</w:t>
      </w:r>
      <w:r>
        <w:rPr>
          <w:rFonts w:ascii="Times New Roman;serif" w:hAnsi="Times New Roman;serif"/>
          <w:b w:val="false"/>
          <w:sz w:val="20"/>
          <w:u w:val="single"/>
        </w:rPr>
        <w:t>22C Capital</w:t>
      </w:r>
      <w:r>
        <w:rPr/>
        <w:t xml:space="preserve">” </w:t>
      </w:r>
      <w:r>
        <w:rPr>
          <w:rFonts w:ascii="Times New Roman;serif" w:hAnsi="Times New Roman;serif"/>
          <w:b w:val="false"/>
          <w:sz w:val="20"/>
        </w:rPr>
        <w:t>refers to investment funds associated with 22C Capital LLC, a private equity firm.</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cautionary_note"/>
      <w:bookmarkEnd w:id="3"/>
      <w:r>
        <w:rPr>
          <w:rFonts w:ascii="Times New Roman;serif" w:hAnsi="Times New Roman;serif"/>
          <w:b/>
          <w:sz w:val="20"/>
        </w:rPr>
        <w:t>CAUTIONARY NOTE REGARDING FORWARD-LOOKING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reasons described above, we caution you against relying on any forward-looking statements, which should also be read in conjunction with Part I, Item 1A, “Risk Factors”, in our Annual Report on Form 10-K for the year ended December 31, 2022, or our “2022 Form 10-K”,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4" w:name="part_i_financial_information"/>
      <w:bookmarkEnd w:id="4"/>
      <w:r>
        <w:rPr>
          <w:rFonts w:ascii="Times New Roman;serif" w:hAnsi="Times New Roman;serif"/>
          <w:b w:val="false"/>
          <w:sz w:val="20"/>
        </w:rPr>
        <w:t>PART I - FINANCIAL INFORMATION</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ITEM 1. FINANCIAL STATEMENTS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bookmarkStart w:id="5" w:name="consolidated_balance_sheets"/>
      <w:bookmarkEnd w:id="5"/>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(in thousands, except number of shares and par value)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556"/>
        <w:gridCol w:w="246"/>
        <w:gridCol w:w="216"/>
        <w:gridCol w:w="954"/>
        <w:gridCol w:w="166"/>
        <w:gridCol w:w="246"/>
        <w:gridCol w:w="227"/>
        <w:gridCol w:w="1002"/>
        <w:gridCol w:w="592"/>
      </w:tblGrid>
      <w:tr>
        <w:trPr/>
        <w:tc>
          <w:tcPr>
            <w:tcW w:w="655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655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shd w:fill="auto" w:val="clear"/>
            <w:vAlign w:val="center"/>
          </w:tcPr>
          <w:p>
            <w:pPr>
              <w:pStyle w:val="TableContents"/>
              <w:spacing w:before="0" w:after="0"/>
              <w:ind w:left="0" w:right="0" w:firstLine="100"/>
              <w:jc w:val="left"/>
              <w:rPr/>
            </w:pPr>
            <w:r>
              <w:rPr/>
              <w:t> </w:t>
            </w:r>
          </w:p>
        </w:tc>
        <w:tc>
          <w:tcPr>
            <w:tcW w:w="1170" w:type="dxa"/>
            <w:gridSpan w:val="2"/>
            <w:tcBorders/>
            <w:shd w:fill="auto" w:val="clear"/>
            <w:vAlign w:val="center"/>
          </w:tcPr>
          <w:p>
            <w:pPr>
              <w:pStyle w:val="TableContents"/>
              <w:spacing w:before="0" w:after="0"/>
              <w:ind w:left="10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29" w:type="dxa"/>
            <w:gridSpan w:val="2"/>
            <w:tcBorders/>
            <w:shd w:fill="auto" w:val="clear"/>
            <w:vAlign w:val="center"/>
          </w:tcPr>
          <w:p>
            <w:pPr>
              <w:pStyle w:val="TableContents"/>
              <w:spacing w:before="0" w:after="0"/>
              <w:ind w:left="100" w:right="0" w:hanging="0"/>
              <w:jc w:val="left"/>
              <w:rPr/>
            </w:pPr>
            <w:r>
              <w:rPr/>
              <w:t> </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shd w:fill="auto" w:val="clear"/>
            <w:vAlign w:val="center"/>
          </w:tcPr>
          <w:p>
            <w:pPr>
              <w:pStyle w:val="TableContents"/>
              <w:spacing w:before="0" w:after="0"/>
              <w:ind w:left="0" w:right="0" w:firstLine="100"/>
              <w:jc w:val="left"/>
              <w:rPr/>
            </w:pPr>
            <w:r>
              <w:rPr/>
              <w:t> </w:t>
            </w:r>
          </w:p>
        </w:tc>
        <w:tc>
          <w:tcPr>
            <w:tcW w:w="1170" w:type="dxa"/>
            <w:gridSpan w:val="2"/>
            <w:tcBorders/>
            <w:shd w:fill="auto" w:val="clear"/>
            <w:vAlign w:val="center"/>
          </w:tcPr>
          <w:p>
            <w:pPr>
              <w:pStyle w:val="TableContents"/>
              <w:spacing w:before="0" w:after="283"/>
              <w:ind w:left="0" w:right="0" w:firstLine="100"/>
              <w:rPr>
                <w:sz w:val="4"/>
                <w:szCs w:val="4"/>
              </w:rPr>
            </w:pPr>
            <w:r>
              <w:rPr>
                <w:sz w:val="4"/>
                <w:szCs w:val="4"/>
              </w:rPr>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29" w:type="dxa"/>
            <w:gridSpan w:val="2"/>
            <w:tcBorders/>
            <w:shd w:fill="auto" w:val="clear"/>
            <w:vAlign w:val="center"/>
          </w:tcPr>
          <w:p>
            <w:pPr>
              <w:pStyle w:val="TableContents"/>
              <w:spacing w:before="0" w:after="283"/>
              <w:ind w:left="0" w:right="0" w:firstLine="100"/>
              <w:rPr>
                <w:sz w:val="4"/>
                <w:szCs w:val="4"/>
              </w:rPr>
            </w:pPr>
            <w:r>
              <w:rPr>
                <w:sz w:val="4"/>
                <w:szCs w:val="4"/>
              </w:rPr>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124,961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146,934</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218,955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51,801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14,711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12,686</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contract costs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current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421,492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413,745</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3,697</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338,295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2,115,236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3,948</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18,748</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105,362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99,692</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term loan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10,313</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current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142,620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132,503</w:t>
            </w:r>
          </w:p>
        </w:tc>
        <w:tc>
          <w:tcPr>
            <w:tcW w:w="592" w:type="dxa"/>
            <w:tcBorders/>
            <w:shd w:fill="auto" w:val="cle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liabilities:</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252,465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9,969</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161,721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156,311</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78,315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645,785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633,772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5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6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w:t>
            </w:r>
          </w:p>
        </w:tc>
        <w:tc>
          <w:tcPr>
            <w:tcW w:w="2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29"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Class A Common Stock, par value $0.001, 600,000,000</w:t>
            </w:r>
            <w:r>
              <w:rPr>
                <w:rFonts w:ascii="Times New Roman" w:hAnsi="Times New Roman"/>
                <w:sz w:val="20"/>
              </w:rPr>
              <w:t> </w:t>
            </w:r>
            <w:r>
              <w:rPr>
                <w:rFonts w:ascii="Times New Roman;serif" w:hAnsi="Times New Roman;serif"/>
                <w:b w:val="false"/>
                <w:sz w:val="20"/>
              </w:rPr>
              <w:t>shares authorized, 110,162,665</w:t>
            </w:r>
            <w:r>
              <w:rPr>
                <w:rFonts w:ascii="Times New Roman" w:hAnsi="Times New Roman"/>
                <w:sz w:val="20"/>
              </w:rPr>
              <w:t> </w:t>
            </w:r>
            <w:r>
              <w:rPr>
                <w:rFonts w:ascii="Times New Roman;serif" w:hAnsi="Times New Roman;serif"/>
                <w:b w:val="false"/>
                <w:sz w:val="20"/>
              </w:rPr>
              <w:t>and 105,138,273</w:t>
            </w:r>
            <w:r>
              <w:rPr>
                <w:rFonts w:ascii="Times New Roman" w:hAnsi="Times New Roman"/>
                <w:sz w:val="20"/>
              </w:rPr>
              <w:t> </w:t>
            </w:r>
            <w:r>
              <w:rPr>
                <w:rFonts w:ascii="Times New Roman;serif" w:hAnsi="Times New Roman;serif"/>
                <w:b w:val="false"/>
                <w:sz w:val="20"/>
              </w:rPr>
              <w:t>shares issued and outstanding at March 31, 2023 and December 31, 2022, respectively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Class B Common Stock, par value $0.00001, 65,000,000</w:t>
            </w:r>
            <w:r>
              <w:rPr>
                <w:rFonts w:ascii="Times New Roman" w:hAnsi="Times New Roman"/>
                <w:sz w:val="20"/>
              </w:rPr>
              <w:t> </w:t>
            </w:r>
            <w:r>
              <w:rPr>
                <w:rFonts w:ascii="Times New Roman;serif" w:hAnsi="Times New Roman;serif"/>
                <w:b w:val="false"/>
                <w:sz w:val="20"/>
              </w:rPr>
              <w:t>shares authorized, 45,626,933</w:t>
            </w:r>
            <w:r>
              <w:rPr>
                <w:rFonts w:ascii="Times New Roman" w:hAnsi="Times New Roman"/>
                <w:sz w:val="20"/>
              </w:rPr>
              <w:t> </w:t>
            </w:r>
            <w:r>
              <w:rPr>
                <w:rFonts w:ascii="Times New Roman;serif" w:hAnsi="Times New Roman;serif"/>
                <w:b w:val="false"/>
                <w:sz w:val="20"/>
              </w:rPr>
              <w:t>and 44,217,344</w:t>
            </w:r>
            <w:r>
              <w:rPr>
                <w:rFonts w:ascii="Times New Roman" w:hAnsi="Times New Roman"/>
                <w:sz w:val="20"/>
              </w:rPr>
              <w:t> </w:t>
            </w:r>
            <w:r>
              <w:rPr>
                <w:rFonts w:ascii="Times New Roman;serif" w:hAnsi="Times New Roman;serif"/>
                <w:b w:val="false"/>
                <w:sz w:val="20"/>
              </w:rPr>
              <w:t>shares issued and outstanding, respectively, at March 31, 2023, and 50,433,101</w:t>
            </w:r>
            <w:r>
              <w:rPr>
                <w:rFonts w:ascii="Times New Roman" w:hAnsi="Times New Roman"/>
                <w:sz w:val="20"/>
              </w:rPr>
              <w:t> </w:t>
            </w:r>
            <w:r>
              <w:rPr>
                <w:rFonts w:ascii="Times New Roman;serif" w:hAnsi="Times New Roman;serif"/>
                <w:b w:val="false"/>
                <w:sz w:val="20"/>
              </w:rPr>
              <w:t>and 48,923,952</w:t>
            </w:r>
            <w:r>
              <w:rPr>
                <w:rFonts w:ascii="Times New Roman" w:hAnsi="Times New Roman"/>
                <w:sz w:val="20"/>
              </w:rPr>
              <w:t> </w:t>
            </w:r>
            <w:r>
              <w:rPr>
                <w:rFonts w:ascii="Times New Roman;serif" w:hAnsi="Times New Roman;serif"/>
                <w:b w:val="false"/>
                <w:sz w:val="20"/>
              </w:rPr>
              <w:t>shares issued and outstanding, respectively at December 31, 2022</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1,020,709</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972,077</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592" w:type="dxa"/>
            <w:tcBorders/>
            <w:shd w:fill="auto" w:val="clear"/>
            <w:vAlign w:val="center"/>
          </w:tcPr>
          <w:p>
            <w:pPr>
              <w:pStyle w:val="TableContents"/>
              <w:spacing w:before="0" w:after="0"/>
              <w:ind w:left="0" w:right="0" w:firstLine="200"/>
              <w:jc w:val="left"/>
              <w:rPr/>
            </w:pPr>
            <w:r>
              <w:rPr/>
              <w:t> </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(23,714</w:t>
            </w:r>
          </w:p>
        </w:tc>
        <w:tc>
          <w:tcPr>
            <w:tcW w:w="59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481,370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535,085</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equity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1,469,451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 and equity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2,115,236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bookmarkStart w:id="6" w:name="consolidated_statements_of_operations"/>
      <w:bookmarkEnd w:id="6"/>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(amounts in thousands, except share amounts and per share data)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9794" w:type="dxa"/>
        <w:jc w:val="left"/>
        <w:tblInd w:w="0" w:type="dxa"/>
        <w:tblCellMar>
          <w:top w:w="28" w:type="dxa"/>
          <w:left w:w="28" w:type="dxa"/>
          <w:bottom w:w="28" w:type="dxa"/>
          <w:right w:w="28" w:type="dxa"/>
        </w:tblCellMar>
      </w:tblPr>
      <w:tblGrid>
        <w:gridCol w:w="5626"/>
        <w:gridCol w:w="246"/>
        <w:gridCol w:w="211"/>
        <w:gridCol w:w="1141"/>
        <w:gridCol w:w="266"/>
        <w:gridCol w:w="246"/>
        <w:gridCol w:w="211"/>
        <w:gridCol w:w="1036"/>
        <w:gridCol w:w="811"/>
      </w:tblGrid>
      <w:tr>
        <w:trPr/>
        <w:tc>
          <w:tcPr>
            <w:tcW w:w="56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31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8,552</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5,378</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47,295</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23,423</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21,293</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9,884</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13,640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59,127</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49,781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(11,832</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income</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expense</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2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(1,985</w:t>
            </w:r>
          </w:p>
        </w:tc>
        <w:tc>
          <w:tcPr>
            <w:tcW w:w="8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Benefit from (provision for) income taxes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Class A Common Stock outstanding:</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108,234,043</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97,158,823</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bookmarkStart w:id="7" w:name="statements_of_comprehensive_loss"/>
      <w:bookmarkEnd w:id="7"/>
      <w:r>
        <w:rPr>
          <w:rFonts w:ascii="Times New Roman;serif" w:hAnsi="Times New Roman;serif"/>
          <w:b/>
          <w:sz w:val="20"/>
        </w:rPr>
        <w:t>CONDENSED CONSOLIDATED STATEMENTS OF COMPREHENSIVE LOSS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(amounts in thousands)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8571" w:type="dxa"/>
        <w:jc w:val="left"/>
        <w:tblInd w:w="0" w:type="dxa"/>
        <w:tblCellMar>
          <w:top w:w="28" w:type="dxa"/>
          <w:left w:w="28" w:type="dxa"/>
          <w:bottom w:w="28" w:type="dxa"/>
          <w:right w:w="28" w:type="dxa"/>
        </w:tblCellMar>
      </w:tblPr>
      <w:tblGrid>
        <w:gridCol w:w="5416"/>
        <w:gridCol w:w="146"/>
        <w:gridCol w:w="229"/>
        <w:gridCol w:w="801"/>
        <w:gridCol w:w="180"/>
        <w:gridCol w:w="158"/>
        <w:gridCol w:w="229"/>
        <w:gridCol w:w="801"/>
        <w:gridCol w:w="61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283"/>
              <w:ind w:left="0" w:right="0" w:hanging="0"/>
              <w:rPr>
                <w:sz w:val="4"/>
                <w:szCs w:val="4"/>
              </w:rPr>
            </w:pPr>
            <w:r>
              <w:rPr>
                <w:sz w:val="4"/>
                <w:szCs w:val="4"/>
              </w:rPr>
            </w:r>
          </w:p>
        </w:tc>
        <w:tc>
          <w:tcPr>
            <w:tcW w:w="611" w:type="dxa"/>
            <w:tcBorders/>
            <w:shd w:fill="auto" w:val="clear"/>
            <w:vAlign w:val="center"/>
          </w:tcPr>
          <w:p>
            <w:pPr>
              <w:pStyle w:val="TableContents"/>
              <w:spacing w:before="0" w:after="0"/>
              <w:ind w:left="0" w:right="0" w:firstLine="200"/>
              <w:jc w:val="right"/>
              <w:rPr/>
            </w:pPr>
            <w:r>
              <w:rPr/>
              <w:t> </w:t>
            </w:r>
          </w:p>
        </w:tc>
      </w:tr>
      <w:tr>
        <w:trPr/>
        <w:tc>
          <w:tcPr>
            <w:tcW w:w="54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611" w:type="dxa"/>
            <w:tcBorders/>
            <w:shd w:fill="auto" w:val="clear"/>
            <w:vAlign w:val="center"/>
          </w:tcPr>
          <w:p>
            <w:pPr>
              <w:pStyle w:val="TableContents"/>
              <w:spacing w:before="0" w:after="0"/>
              <w:ind w:left="0" w:right="0" w:firstLine="200"/>
              <w:jc w:val="left"/>
              <w:rPr/>
            </w:pPr>
            <w:r>
              <w:rPr/>
              <w:t> </w:t>
            </w:r>
          </w:p>
        </w:tc>
      </w:tr>
      <w:tr>
        <w:trPr/>
        <w:tc>
          <w:tcPr>
            <w:tcW w:w="54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4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gain on interest rate hedging instruments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4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(16,847</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4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Comprehensive loss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(4,155</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4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 attributable to Definitive Healthcare Corp.</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(12,692</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(7,768</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DEFINITIVE HEALTHCARE CORP.</w:t>
      </w:r>
    </w:p>
    <w:p>
      <w:pPr>
        <w:pStyle w:val="TextBody"/>
        <w:spacing w:before="0" w:after="0"/>
        <w:jc w:val="center"/>
        <w:rPr>
          <w:rFonts w:ascii="Times New Roman" w:hAnsi="Times New Roman"/>
          <w:sz w:val="20"/>
        </w:rPr>
      </w:pPr>
      <w:bookmarkStart w:id="8" w:name="changes_in_members_equity"/>
      <w:bookmarkEnd w:id="8"/>
      <w:r>
        <w:rPr>
          <w:rFonts w:ascii="Times New Roman;serif" w:hAnsi="Times New Roman;serif"/>
          <w:b/>
          <w:sz w:val="20"/>
        </w:rPr>
        <w:t>CONDENSED CONSOLIDATED STATEMENTS OF CHANGES IN TOTAL EQUITY</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(amounts in thousands, except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(Unaudited)</w:t>
      </w:r>
      <w:r>
        <w:rPr>
          <w:rFonts w:ascii="Times New Roman" w:hAnsi="Times New Roman"/>
          <w:sz w:val="20"/>
        </w:rPr>
        <w:t xml:space="preserve"> </w:t>
      </w:r>
    </w:p>
    <w:tbl>
      <w:tblPr>
        <w:tblW w:w="10999" w:type="dxa"/>
        <w:jc w:val="left"/>
        <w:tblInd w:w="0" w:type="dxa"/>
        <w:tblCellMar>
          <w:top w:w="28" w:type="dxa"/>
          <w:left w:w="28" w:type="dxa"/>
          <w:bottom w:w="28" w:type="dxa"/>
          <w:right w:w="28" w:type="dxa"/>
        </w:tblCellMar>
      </w:tblPr>
      <w:tblGrid>
        <w:gridCol w:w="1186"/>
        <w:gridCol w:w="146"/>
        <w:gridCol w:w="1006"/>
        <w:gridCol w:w="166"/>
        <w:gridCol w:w="196"/>
        <w:gridCol w:w="376"/>
        <w:gridCol w:w="146"/>
        <w:gridCol w:w="146"/>
        <w:gridCol w:w="916"/>
        <w:gridCol w:w="166"/>
        <w:gridCol w:w="206"/>
        <w:gridCol w:w="365"/>
        <w:gridCol w:w="146"/>
        <w:gridCol w:w="196"/>
        <w:gridCol w:w="826"/>
        <w:gridCol w:w="166"/>
        <w:gridCol w:w="199"/>
        <w:gridCol w:w="672"/>
        <w:gridCol w:w="166"/>
        <w:gridCol w:w="282"/>
        <w:gridCol w:w="739"/>
        <w:gridCol w:w="166"/>
        <w:gridCol w:w="225"/>
        <w:gridCol w:w="796"/>
        <w:gridCol w:w="166"/>
        <w:gridCol w:w="196"/>
        <w:gridCol w:w="826"/>
        <w:gridCol w:w="21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left"/>
              <w:rPr/>
            </w:pPr>
            <w:r>
              <w:rPr/>
              <w:t> </w:t>
            </w:r>
          </w:p>
        </w:tc>
        <w:tc>
          <w:tcPr>
            <w:tcW w:w="9602"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Three Months Ended 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66" w:type="dxa"/>
            <w:tcBorders/>
            <w:shd w:fill="auto" w:val="clear"/>
            <w:vAlign w:val="center"/>
          </w:tcPr>
          <w:p>
            <w:pPr>
              <w:pStyle w:val="TableContents"/>
              <w:spacing w:before="0" w:after="0"/>
              <w:ind w:left="0" w:right="0" w:hanging="0"/>
              <w:jc w:val="center"/>
              <w:rPr/>
            </w:pPr>
            <w:r>
              <w:rPr/>
              <w:t> </w:t>
            </w:r>
          </w:p>
        </w:tc>
        <w:tc>
          <w:tcPr>
            <w:tcW w:w="57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4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105,138,273</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50,433,101</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972,077</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(23,714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3,668</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535,085</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1,487,221</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(15,600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(1,247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505</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Class A Common Stock upon vesting of RSUs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380,676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828</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Shares withheld related to net share settlement</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(127,829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4,771,545</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(4,771,545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42,028</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(52,554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(34,623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7,811</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7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3,317</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11,128</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March 31, 2023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110,162,665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1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45,626,933</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0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1,020,709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(35,531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2,793</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481,370</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1,469,451</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tbl>
      <w:tblPr>
        <w:tblW w:w="10733" w:type="dxa"/>
        <w:jc w:val="left"/>
        <w:tblInd w:w="0" w:type="dxa"/>
        <w:tblCellMar>
          <w:top w:w="28" w:type="dxa"/>
          <w:left w:w="28" w:type="dxa"/>
          <w:bottom w:w="28" w:type="dxa"/>
          <w:right w:w="28" w:type="dxa"/>
        </w:tblCellMar>
      </w:tblPr>
      <w:tblGrid>
        <w:gridCol w:w="1186"/>
        <w:gridCol w:w="146"/>
        <w:gridCol w:w="916"/>
        <w:gridCol w:w="146"/>
        <w:gridCol w:w="206"/>
        <w:gridCol w:w="365"/>
        <w:gridCol w:w="146"/>
        <w:gridCol w:w="146"/>
        <w:gridCol w:w="916"/>
        <w:gridCol w:w="166"/>
        <w:gridCol w:w="206"/>
        <w:gridCol w:w="365"/>
        <w:gridCol w:w="146"/>
        <w:gridCol w:w="196"/>
        <w:gridCol w:w="691"/>
        <w:gridCol w:w="166"/>
        <w:gridCol w:w="199"/>
        <w:gridCol w:w="672"/>
        <w:gridCol w:w="166"/>
        <w:gridCol w:w="349"/>
        <w:gridCol w:w="672"/>
        <w:gridCol w:w="146"/>
        <w:gridCol w:w="225"/>
        <w:gridCol w:w="796"/>
        <w:gridCol w:w="166"/>
        <w:gridCol w:w="196"/>
        <w:gridCol w:w="826"/>
        <w:gridCol w:w="21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before="0" w:after="0"/>
              <w:ind w:left="0" w:right="0" w:hanging="0"/>
              <w:jc w:val="left"/>
              <w:rPr/>
            </w:pPr>
            <w:r>
              <w:rPr/>
              <w:t> </w:t>
            </w:r>
          </w:p>
        </w:tc>
        <w:tc>
          <w:tcPr>
            <w:tcW w:w="9336"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Three Months Ended 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6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6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shd w:fill="auto" w:val="clear"/>
            <w:vAlign w:val="center"/>
          </w:tcPr>
          <w:p>
            <w:pPr>
              <w:pStyle w:val="TableContents"/>
              <w:spacing w:before="0" w:after="0"/>
              <w:ind w:left="0" w:right="0" w:hanging="0"/>
              <w:jc w:val="center"/>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97,030,095</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58,244,627</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890,724</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630,056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1,503,262</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(13,057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856</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487</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1,343</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Vested incentive units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Effect of LLC unit exchanges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544,302</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(544,302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5,080</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 unvested incentive units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(33,549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4,377</w:t>
            </w:r>
          </w:p>
        </w:tc>
        <w:tc>
          <w:tcPr>
            <w:tcW w:w="16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7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2,495</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6,872</w:t>
            </w:r>
          </w:p>
        </w:tc>
        <w:tc>
          <w:tcPr>
            <w:tcW w:w="211" w:type="dxa"/>
            <w:tcBorders/>
            <w:shd w:fill="auto" w:val="clear"/>
            <w:vAlign w:val="center"/>
          </w:tcPr>
          <w:p>
            <w:pPr>
              <w:pStyle w:val="TableContents"/>
              <w:spacing w:before="0" w:after="0"/>
              <w:ind w:left="0" w:right="0" w:hanging="0"/>
              <w:jc w:val="left"/>
              <w:rPr/>
            </w:pPr>
            <w:r>
              <w:rPr/>
              <w:t> </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Distributions to noncontrolling 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18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97,574,397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57,666,776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899,485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623,065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1,497,265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bookmarkStart w:id="9" w:name="statements_of_cash_flows"/>
      <w:bookmarkEnd w:id="9"/>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(amounts in thousands)</w:t>
      </w:r>
    </w:p>
    <w:p>
      <w:pPr>
        <w:pStyle w:val="TextBody"/>
        <w:spacing w:before="0" w:after="120"/>
        <w:jc w:val="center"/>
        <w:rPr>
          <w:rFonts w:ascii="Times New Roman;serif" w:hAnsi="Times New Roman;serif"/>
          <w:b w:val="false"/>
          <w:i/>
          <w:sz w:val="20"/>
        </w:rPr>
      </w:pPr>
      <w:r>
        <w:rPr>
          <w:rFonts w:ascii="Times New Roman;serif" w:hAnsi="Times New Roman;serif"/>
          <w:b w:val="false"/>
          <w:i/>
          <w:sz w:val="20"/>
        </w:rPr>
        <w:t>(Unaudited)</w:t>
      </w:r>
    </w:p>
    <w:tbl>
      <w:tblPr>
        <w:tblW w:w="9316" w:type="dxa"/>
        <w:jc w:val="left"/>
        <w:tblInd w:w="0" w:type="dxa"/>
        <w:tblCellMar>
          <w:top w:w="28" w:type="dxa"/>
          <w:left w:w="28" w:type="dxa"/>
          <w:bottom w:w="28" w:type="dxa"/>
          <w:right w:w="28" w:type="dxa"/>
        </w:tblCellMar>
      </w:tblPr>
      <w:tblGrid>
        <w:gridCol w:w="5561"/>
        <w:gridCol w:w="146"/>
        <w:gridCol w:w="209"/>
        <w:gridCol w:w="738"/>
        <w:gridCol w:w="284"/>
        <w:gridCol w:w="156"/>
        <w:gridCol w:w="209"/>
        <w:gridCol w:w="802"/>
        <w:gridCol w:w="1211"/>
      </w:tblGrid>
      <w:tr>
        <w:trPr/>
        <w:tc>
          <w:tcPr>
            <w:tcW w:w="5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r>
      <w:tr>
        <w:trPr/>
        <w:tc>
          <w:tcPr>
            <w:tcW w:w="556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 w:type="dxa"/>
            <w:tcBorders/>
            <w:shd w:fill="auto" w:val="clear"/>
            <w:vAlign w:val="center"/>
          </w:tcPr>
          <w:p>
            <w:pPr>
              <w:pStyle w:val="TableContents"/>
              <w:spacing w:before="0" w:after="0"/>
              <w:ind w:left="0" w:right="0" w:hanging="0"/>
              <w:jc w:val="center"/>
              <w:rPr/>
            </w:pPr>
            <w:r>
              <w:rPr/>
              <w:t> </w:t>
            </w:r>
          </w:p>
        </w:tc>
        <w:tc>
          <w:tcPr>
            <w:tcW w:w="10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provided by (used in) operating activities:</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4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(15,600</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(13,057</w:t>
            </w:r>
          </w:p>
        </w:tc>
        <w:tc>
          <w:tcPr>
            <w:tcW w:w="121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Adjustments to reconcile net loss to net cash provided by operating activities:</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700"/>
              <w:jc w:val="righ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Depreciation and amortization</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513</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525</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intangible assets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12,431</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14,727</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deferred contract costs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2,860</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1,875</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Equity-based compensation</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11,128</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6,872</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debt issuance costs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176</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176</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Provision for doubtful accounts receivable</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Non-cash restructuring charges related to office leases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157</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Tax receivable agreement remeasurement</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3,619</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248</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income taxes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(773</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Changes in operating assets and liabilities:</w:t>
            </w:r>
          </w:p>
        </w:tc>
        <w:tc>
          <w:tcPr>
            <w:tcW w:w="146" w:type="dxa"/>
            <w:tcBorders/>
            <w:shd w:fill="auto" w:val="clear"/>
            <w:vAlign w:val="center"/>
          </w:tcPr>
          <w:p>
            <w:pPr>
              <w:pStyle w:val="TableContents"/>
              <w:spacing w:before="0" w:after="0"/>
              <w:ind w:left="5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700"/>
              <w:jc w:val="righ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receivable</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6,966</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8,526</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Prepaid expenses and other current assets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(3,796</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692</w:t>
            </w:r>
          </w:p>
        </w:tc>
        <w:tc>
          <w:tcPr>
            <w:tcW w:w="1211" w:type="dxa"/>
            <w:tcBorders/>
            <w:shd w:fill="auto" w:val="clear"/>
            <w:vAlign w:val="center"/>
          </w:tcPr>
          <w:p>
            <w:pPr>
              <w:pStyle w:val="TableContents"/>
              <w:spacing w:before="0" w:after="0"/>
              <w:ind w:left="0" w:right="0" w:firstLine="7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contract costs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(4,021</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(3,299</w:t>
            </w:r>
          </w:p>
        </w:tc>
        <w:tc>
          <w:tcPr>
            <w:tcW w:w="1211" w:type="dxa"/>
            <w:tcBorders/>
            <w:shd w:fill="auto" w:val="clear"/>
            <w:vAlign w:val="center"/>
          </w:tcPr>
          <w:p>
            <w:pPr>
              <w:pStyle w:val="TableContents"/>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(6,400</w:t>
            </w:r>
          </w:p>
        </w:tc>
        <w:tc>
          <w:tcPr>
            <w:tcW w:w="1211" w:type="dxa"/>
            <w:tcBorders/>
            <w:shd w:fill="auto" w:val="clear"/>
            <w:vAlign w:val="center"/>
          </w:tcPr>
          <w:p>
            <w:pPr>
              <w:pStyle w:val="TableContents"/>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payable, accrued expenses, and other liabilities</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(4,294</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(3,579</w:t>
            </w:r>
          </w:p>
        </w:tc>
        <w:tc>
          <w:tcPr>
            <w:tcW w:w="1211" w:type="dxa"/>
            <w:tcBorders/>
            <w:shd w:fill="auto" w:val="clear"/>
            <w:vAlign w:val="center"/>
          </w:tcPr>
          <w:p>
            <w:pPr>
              <w:pStyle w:val="TableContents"/>
              <w:spacing w:before="0" w:after="0"/>
              <w:ind w:left="0" w:right="0" w:firstLine="7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revenue</w:t>
            </w:r>
          </w:p>
        </w:tc>
        <w:tc>
          <w:tcPr>
            <w:tcW w:w="146" w:type="dxa"/>
            <w:tcBorders/>
            <w:shd w:fill="auto" w:val="clear"/>
            <w:vAlign w:val="center"/>
          </w:tcPr>
          <w:p>
            <w:pPr>
              <w:pStyle w:val="TableContents"/>
              <w:spacing w:before="0" w:after="0"/>
              <w:ind w:left="8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5,569</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6,249</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cash provided by operating activities</w:t>
            </w:r>
          </w:p>
        </w:tc>
        <w:tc>
          <w:tcPr>
            <w:tcW w:w="14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14,957</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13,633</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(used in) provided by investing activities:</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4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Purchases of property, equipment, and other assets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(1,338</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(794</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Purchases of short-term investments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(90,252</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(109,559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Maturities of short-term investments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58,120</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paid for acquisitions, net of cash acquired</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cash used in investing activities</w:t>
            </w:r>
          </w:p>
        </w:tc>
        <w:tc>
          <w:tcPr>
            <w:tcW w:w="14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(33,470</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(166,852</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used in financing activities:</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4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Repayments of term loans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Taxes paid related to net share settlement of equity awards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(1,530</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 of contingent consideration</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(1,100</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Payments under tax receivable agreement</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(246</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Payments of equity offering issuance costs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(1,299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Member distributions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(258</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used in financing activities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(3,525</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(4,376</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Net decrease in cash and cash equivalents</w:t>
            </w:r>
          </w:p>
        </w:tc>
        <w:tc>
          <w:tcPr>
            <w:tcW w:w="14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(22,038</w:t>
            </w:r>
          </w:p>
        </w:tc>
        <w:tc>
          <w:tcPr>
            <w:tcW w:w="284"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(157,595</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Effect of exchange rate changes on cash and cash equivalents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65</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(108</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beginning of period</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146,934</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387,498</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end of period</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124,961</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229,795</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Supplemental cash flow disclosures:</w:t>
            </w:r>
          </w:p>
        </w:tc>
        <w:tc>
          <w:tcPr>
            <w:tcW w:w="146" w:type="dxa"/>
            <w:tcBorders/>
            <w:shd w:fill="auto" w:val="clear"/>
            <w:vAlign w:val="center"/>
          </w:tcPr>
          <w:p>
            <w:pPr>
              <w:pStyle w:val="TableContents"/>
              <w:spacing w:before="0" w:after="0"/>
              <w:ind w:left="1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4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paid during the period for:</w:t>
            </w:r>
          </w:p>
        </w:tc>
        <w:tc>
          <w:tcPr>
            <w:tcW w:w="146" w:type="dxa"/>
            <w:tcBorders/>
            <w:shd w:fill="auto" w:val="clear"/>
            <w:vAlign w:val="center"/>
          </w:tcPr>
          <w:p>
            <w:pPr>
              <w:pStyle w:val="TableContents"/>
              <w:spacing w:before="0" w:after="0"/>
              <w:ind w:left="5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6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Interest</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3,475</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1,771</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Income taxes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79</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Acquisitions:</w:t>
            </w:r>
          </w:p>
        </w:tc>
        <w:tc>
          <w:tcPr>
            <w:tcW w:w="146" w:type="dxa"/>
            <w:tcBorders/>
            <w:shd w:fill="auto" w:val="clear"/>
            <w:vAlign w:val="center"/>
          </w:tcPr>
          <w:p>
            <w:pPr>
              <w:pStyle w:val="TableContents"/>
              <w:spacing w:before="0" w:after="0"/>
              <w:ind w:left="5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8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assets acquired, net of cash acquired</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shd w:fill="auto" w:val="clear"/>
            <w:vAlign w:val="center"/>
          </w:tcPr>
          <w:p>
            <w:pPr>
              <w:pStyle w:val="TableContents"/>
              <w:spacing w:before="0" w:after="0"/>
              <w:ind w:left="0" w:right="0" w:hanging="0"/>
              <w:jc w:val="right"/>
              <w:rPr/>
            </w:pPr>
            <w:r>
              <w:rPr/>
              <w:t>—</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97,499</w:t>
            </w:r>
          </w:p>
        </w:tc>
        <w:tc>
          <w:tcPr>
            <w:tcW w:w="1211" w:type="dxa"/>
            <w:tcBorders/>
            <w:shd w:fill="auto" w:val="clear"/>
            <w:vAlign w:val="center"/>
          </w:tcPr>
          <w:p>
            <w:pPr>
              <w:pStyle w:val="TableContents"/>
              <w:spacing w:before="0" w:after="0"/>
              <w:ind w:left="0" w:right="0" w:firstLine="8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Initial cash investment in prior year</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284" w:type="dxa"/>
            <w:tcBorders/>
            <w:shd w:fill="auto" w:val="cle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(40,000</w:t>
            </w:r>
          </w:p>
        </w:tc>
        <w:tc>
          <w:tcPr>
            <w:tcW w:w="121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Contingent consideration</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righ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(1,000</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paid for acquisitions</w:t>
            </w:r>
          </w:p>
        </w:tc>
        <w:tc>
          <w:tcPr>
            <w:tcW w:w="146" w:type="dxa"/>
            <w:tcBorders/>
            <w:shd w:fill="auto" w:val="clear"/>
            <w:vAlign w:val="center"/>
          </w:tcPr>
          <w:p>
            <w:pPr>
              <w:pStyle w:val="TableContents"/>
              <w:spacing w:before="0" w:after="0"/>
              <w:ind w:left="50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sz w:val="17"/>
              </w:rPr>
            </w:pPr>
            <w:r>
              <w:rPr>
                <w:rFonts w:ascii="Times New Roman;serif" w:hAnsi="Times New Roman;serif"/>
                <w:b/>
                <w:sz w:val="17"/>
              </w:rPr>
              <w:t>Supplemental disclosure of non-cash investing activities:</w:t>
            </w:r>
          </w:p>
        </w:tc>
        <w:tc>
          <w:tcPr>
            <w:tcW w:w="146" w:type="dxa"/>
            <w:tcBorders/>
            <w:shd w:fill="auto" w:val="clear"/>
            <w:vAlign w:val="center"/>
          </w:tcPr>
          <w:p>
            <w:pPr>
              <w:pStyle w:val="TableContents"/>
              <w:spacing w:before="0" w:after="0"/>
              <w:ind w:left="5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284" w:type="dxa"/>
            <w:tcBorders/>
            <w:shd w:fill="auto" w:val="clear"/>
            <w:vAlign w:val="center"/>
          </w:tcPr>
          <w:p>
            <w:pPr>
              <w:pStyle w:val="TableContents"/>
              <w:spacing w:before="0" w:after="0"/>
              <w:ind w:left="0" w:right="0" w:firstLine="100"/>
              <w:jc w:val="right"/>
              <w:rPr/>
            </w:pPr>
            <w:r>
              <w:rPr/>
              <w:t> </w:t>
            </w:r>
          </w:p>
        </w:tc>
        <w:tc>
          <w:tcPr>
            <w:tcW w:w="156" w:type="dxa"/>
            <w:tcBorders/>
            <w:shd w:fill="auto" w:val="clear"/>
            <w:vAlign w:val="center"/>
          </w:tcPr>
          <w:p>
            <w:pPr>
              <w:pStyle w:val="TableContents"/>
              <w:spacing w:before="0" w:after="0"/>
              <w:ind w:left="100" w:right="0" w:hanging="0"/>
              <w:jc w:val="left"/>
              <w:rPr/>
            </w:pPr>
            <w:r>
              <w:rPr/>
              <w:t> </w:t>
            </w:r>
          </w:p>
        </w:tc>
        <w:tc>
          <w:tcPr>
            <w:tcW w:w="1011"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400"/>
              <w:jc w:val="right"/>
              <w:rPr/>
            </w:pPr>
            <w:r>
              <w:rPr/>
              <w:t> </w:t>
            </w:r>
          </w:p>
        </w:tc>
      </w:tr>
      <w:tr>
        <w:trPr/>
        <w:tc>
          <w:tcPr>
            <w:tcW w:w="5561" w:type="dxa"/>
            <w:tcBorders/>
            <w:shd w:fill="auto" w:val="clear"/>
            <w:vAlign w:val="center"/>
          </w:tcPr>
          <w:p>
            <w:pPr>
              <w:pStyle w:val="TableContents"/>
              <w:spacing w:before="0" w:after="0"/>
              <w:ind w:left="400" w:right="0" w:hanging="0"/>
              <w:jc w:val="left"/>
              <w:rPr>
                <w:rFonts w:ascii="Times New Roman;serif" w:hAnsi="Times New Roman;serif"/>
                <w:b w:val="false"/>
                <w:sz w:val="17"/>
              </w:rPr>
            </w:pPr>
            <w:r>
              <w:rPr>
                <w:rFonts w:ascii="Times New Roman;serif" w:hAnsi="Times New Roman;serif"/>
                <w:b w:val="false"/>
                <w:sz w:val="17"/>
              </w:rPr>
              <w:t>Capital expenditures included in accrued expenses</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333</w:t>
            </w:r>
          </w:p>
        </w:tc>
        <w:tc>
          <w:tcPr>
            <w:tcW w:w="284"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3,500</w:t>
            </w:r>
          </w:p>
        </w:tc>
        <w:tc>
          <w:tcPr>
            <w:tcW w:w="1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 w:hAnsi="Times New Roman"/>
          <w:sz w:val="20"/>
        </w:rPr>
      </w:pPr>
      <w:r>
        <w:rPr>
          <w:rFonts w:ascii="Times New Roman;serif" w:hAnsi="Times New Roman;serif"/>
          <w:b w:val="false"/>
          <w:sz w:val="20"/>
        </w:rPr>
        <w:t>See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spacing w:before="0" w:after="0"/>
        <w:jc w:val="center"/>
        <w:rPr>
          <w:rFonts w:ascii="Times New Roman" w:hAnsi="Times New Roman"/>
          <w:sz w:val="20"/>
        </w:rPr>
      </w:pPr>
      <w:bookmarkStart w:id="10" w:name="notes_to_financial_statements"/>
      <w:bookmarkEnd w:id="10"/>
      <w:r>
        <w:rPr>
          <w:rFonts w:ascii="Times New Roman;serif" w:hAnsi="Times New Roman;serif"/>
          <w:b/>
          <w:sz w:val="20"/>
        </w:rPr>
        <w:t>NOTES TO THE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360" w:after="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Description of Business and Organization</w:t>
      </w:r>
    </w:p>
    <w:p>
      <w:pPr>
        <w:pStyle w:val="TextBody"/>
        <w:spacing w:before="120" w:after="0"/>
        <w:jc w:val="left"/>
        <w:rPr>
          <w:rFonts w:ascii="Times New Roman" w:hAnsi="Times New Roman"/>
          <w:sz w:val="20"/>
        </w:rPr>
      </w:pPr>
      <w:r>
        <w:rPr>
          <w:rFonts w:ascii="Times New Roman;serif" w:hAnsi="Times New Roman;serif"/>
          <w:b w:val="false"/>
          <w:sz w:val="20"/>
        </w:rPr>
        <w:t>Definitive Healthcare Corp. (the “Company”) was formed on May 5, 2021</w:t>
      </w:r>
      <w:r>
        <w:rPr>
          <w:rFonts w:ascii="Times New Roman" w:hAnsi="Times New Roman"/>
          <w:sz w:val="20"/>
        </w:rPr>
        <w:t xml:space="preserve"> </w:t>
      </w:r>
      <w:r>
        <w:rPr>
          <w:rFonts w:ascii="Times New Roman;serif" w:hAnsi="Times New Roman;serif"/>
          <w:b w:val="false"/>
          <w:sz w:val="20"/>
        </w:rPr>
        <w:t>as a Delaware corporation to facilitate an initial public offering (“IPO”) and other related transactions to carry on the business of AIDH TopCo, LLC (“Definitive OpCo”). Following consummation of the Reorganization Transactions as described in the Company’s Annual Report on form 10-K for the fiscal year ended December 31, 2022,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In connection with the Reorganization Transactions and the IPO, Definitive Healthcare Corp entered into a tax receivable agreement. See Note 15. </w:t>
      </w:r>
      <w:r>
        <w:rPr>
          <w:rFonts w:ascii="Times New Roman;serif" w:hAnsi="Times New Roman;serif"/>
          <w:b w:val="false"/>
          <w:i/>
          <w:sz w:val="20"/>
        </w:rPr>
        <w:t>Income Taxes</w:t>
      </w:r>
      <w:r>
        <w:rPr>
          <w:rFonts w:ascii="Times New Roman;serif" w:hAnsi="Times New Roman;serif"/>
          <w:b w:val="false"/>
          <w:sz w:val="20"/>
        </w:rPr>
        <w:t>.</w:t>
      </w:r>
    </w:p>
    <w:p>
      <w:pPr>
        <w:pStyle w:val="TextBody"/>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March 31, 2023 and for the three months ended March 31, 2023 and 2022 are unaudited and should be read in conjunction with the Company’s audited financial statements for the year ended December 31, 2022. All adjustments, consisting of normal recurring adjustments, except as otherwise noted, considered necessary for a fair presentation of the unaudited interim condensed consolidated financial statements for these interim periods have been included.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Refer to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in the notes to the consolidated financial statements in the Annual Report on Form 10-K for the fiscal year ended December 31, 2022 for the Company’s significant accounting policies and estimates.</w:t>
      </w:r>
    </w:p>
    <w:p>
      <w:pPr>
        <w:pStyle w:val="TextBody"/>
        <w:spacing w:before="240" w:after="0"/>
        <w:jc w:val="left"/>
        <w:rPr>
          <w:rFonts w:ascii="Times New Roman;serif" w:hAnsi="Times New Roman;serif"/>
          <w:b/>
          <w:i/>
          <w:sz w:val="20"/>
        </w:rPr>
      </w:pPr>
      <w:r>
        <w:rPr>
          <w:rFonts w:ascii="Times New Roman;serif" w:hAnsi="Times New Roman;serif"/>
          <w:b/>
          <w:i/>
          <w:sz w:val="20"/>
        </w:rPr>
        <w:t>Use of Estimates in the Preparation of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Adoption of Recently Issued Financial Accounting Standards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June 2016, the FASB issued ASU No. 2016-13—</w:t>
      </w:r>
      <w:r>
        <w:rPr>
          <w:rFonts w:ascii="Times New Roman;serif" w:hAnsi="Times New Roman;serif"/>
          <w:b w:val="false"/>
          <w:i/>
          <w:sz w:val="20"/>
        </w:rPr>
        <w:t>Financial Instruments – Credit Losses (Topic 326) – Measurement of Credit Losses on Financial Instruments</w:t>
      </w:r>
      <w:r>
        <w:rPr>
          <w:rFonts w:ascii="Times New Roman;serif" w:hAnsi="Times New Roman;serif"/>
          <w:b w:val="false"/>
          <w:sz w:val="20"/>
        </w:rPr>
        <w:t>. This standard is intended to improve financial reporting by requiring earlier recognition of credit losses on financing receivables and other 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pStyle w:val="TextBody"/>
        <w:spacing w:before="240" w:after="0"/>
        <w:jc w:val="left"/>
        <w:rPr>
          <w:rFonts w:ascii="Times New Roman" w:hAnsi="Times New Roman"/>
          <w:sz w:val="20"/>
        </w:rPr>
      </w:pPr>
      <w:r>
        <w:rPr>
          <w:rFonts w:ascii="Times New Roman;serif" w:hAnsi="Times New Roman;serif"/>
          <w:b/>
          <w:i/>
          <w:sz w:val="20"/>
        </w:rPr>
        <w:t>Recently Issued Accounting Pronouncements Not Yet Adopted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condensed consolidated statements or disclosures.</w:t>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2. Acquisitions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December 22, 2021, Definitive Healthcare, LLC (“DH, LLC”), an indirect wholly owned subsidiary of Definitive Healthcare Corp. made a $40.0</w:t>
      </w:r>
      <w:r>
        <w:rPr>
          <w:rFonts w:ascii="Times New Roman" w:hAnsi="Times New Roman"/>
          <w:sz w:val="20"/>
        </w:rPr>
        <w:t xml:space="preserve"> </w:t>
      </w:r>
      <w:r>
        <w:rPr>
          <w:rFonts w:ascii="Times New Roman;serif" w:hAnsi="Times New Roman;serif"/>
          <w:b w:val="false"/>
          <w:sz w:val="20"/>
        </w:rPr>
        <w:t>million investment in Analytical Wizards Inc. (“AW” or “Analytical Wizards”), a privately held company. Analytical Wizards automates complex analytic models using tools that expedite efficient big data mining through artificial intelligence and machine learning to uncover deep insights. In the transaction the Company purchased Series B Convertible Preferred Stock of AW (“Series B Preferred Stock”), representing 35% ownership of AW, and an option to acquire the remaining 65% ownership (the "Purchase Option") for $65.0</w:t>
      </w:r>
      <w:r>
        <w:rPr>
          <w:rFonts w:ascii="Times New Roman" w:hAnsi="Times New Roman"/>
          <w:sz w:val="20"/>
        </w:rPr>
        <w:t xml:space="preserve"> </w:t>
      </w:r>
      <w:r>
        <w:rPr>
          <w:rFonts w:ascii="Times New Roman;serif" w:hAnsi="Times New Roman;serif"/>
          <w:b w:val="false"/>
          <w:sz w:val="20"/>
        </w:rPr>
        <w:t>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w:t>
      </w:r>
      <w:r>
        <w:rPr>
          <w:rFonts w:ascii="Times New Roman" w:hAnsi="Times New Roman"/>
          <w:sz w:val="20"/>
        </w:rPr>
        <w:t xml:space="preserve"> </w:t>
      </w:r>
      <w:r>
        <w:rPr>
          <w:rFonts w:ascii="Times New Roman;serif" w:hAnsi="Times New Roman;serif"/>
          <w:b w:val="false"/>
          <w:sz w:val="20"/>
        </w:rPr>
        <w:t>million for the Series B Preferred Stock and Purchase Option, which was allocated on a relative fair value basis such that the Series B Preferred Stock and Purchase Option had carrying values of $32.7</w:t>
      </w:r>
      <w:r>
        <w:rPr>
          <w:rFonts w:ascii="Times New Roman" w:hAnsi="Times New Roman"/>
          <w:sz w:val="20"/>
        </w:rPr>
        <w:t xml:space="preserve"> </w:t>
      </w:r>
      <w:r>
        <w:rPr>
          <w:rFonts w:ascii="Times New Roman;serif" w:hAnsi="Times New Roman;serif"/>
          <w:b w:val="false"/>
          <w:sz w:val="20"/>
        </w:rPr>
        <w:t>million and $7.3</w:t>
      </w:r>
      <w:r>
        <w:rPr>
          <w:rFonts w:ascii="Times New Roman" w:hAnsi="Times New Roman"/>
          <w:sz w:val="20"/>
        </w:rPr>
        <w:t xml:space="preserve"> </w:t>
      </w:r>
      <w:r>
        <w:rPr>
          <w:rFonts w:ascii="Times New Roman;serif" w:hAnsi="Times New Roman;serif"/>
          <w:b w:val="false"/>
          <w:sz w:val="20"/>
        </w:rPr>
        <w:t>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pStyle w:val="TextBody"/>
        <w:spacing w:before="120" w:after="0"/>
        <w:jc w:val="left"/>
        <w:rPr>
          <w:rFonts w:ascii="Times New Roman" w:hAnsi="Times New Roman"/>
          <w:sz w:val="20"/>
        </w:rPr>
      </w:pPr>
      <w:r>
        <w:rPr>
          <w:rFonts w:ascii="Times New Roman;serif" w:hAnsi="Times New Roman;serif"/>
          <w:b w:val="false"/>
          <w:sz w:val="20"/>
        </w:rPr>
        <w:t>In February 2022, the Company completed the purchase the remaining 65% of AW’s equity for $65.0</w:t>
      </w:r>
      <w:r>
        <w:rPr>
          <w:rFonts w:ascii="Times New Roman" w:hAnsi="Times New Roman"/>
          <w:sz w:val="20"/>
        </w:rPr>
        <w:t xml:space="preserve"> </w:t>
      </w:r>
      <w:r>
        <w:rPr>
          <w:rFonts w:ascii="Times New Roman;serif" w:hAnsi="Times New Roman;serif"/>
          <w:b w:val="false"/>
          <w:sz w:val="20"/>
        </w:rPr>
        <w:t>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pStyle w:val="TextBody"/>
        <w:spacing w:before="120" w:after="0"/>
        <w:jc w:val="left"/>
        <w:rPr>
          <w:rFonts w:ascii="Times New Roman" w:hAnsi="Times New Roman"/>
          <w:sz w:val="20"/>
        </w:rPr>
      </w:pPr>
      <w:r>
        <w:rPr>
          <w:rFonts w:ascii="Times New Roman;serif" w:hAnsi="Times New Roman;serif"/>
          <w:b w:val="false"/>
          <w:sz w:val="20"/>
        </w:rPr>
        <w:t>Upon the consummation of the acquisition, AW became an indirect wholly owned subsidiary of Definitive Healthcare Corp. The total consideration for the initial investment and subsequent exercise of the Purchase Option was $99.4</w:t>
      </w:r>
      <w:r>
        <w:rPr>
          <w:rFonts w:ascii="Times New Roman" w:hAnsi="Times New Roman"/>
          <w:sz w:val="20"/>
        </w:rPr>
        <w:t xml:space="preserve"> </w:t>
      </w:r>
      <w:r>
        <w:rPr>
          <w:rFonts w:ascii="Times New Roman;serif" w:hAnsi="Times New Roman;serif"/>
          <w:b w:val="false"/>
          <w:sz w:val="20"/>
        </w:rPr>
        <w:t>million, consisting of $40.0</w:t>
      </w:r>
      <w:r>
        <w:rPr>
          <w:rFonts w:ascii="Times New Roman" w:hAnsi="Times New Roman"/>
          <w:sz w:val="20"/>
        </w:rPr>
        <w:t xml:space="preserve"> </w:t>
      </w:r>
      <w:r>
        <w:rPr>
          <w:rFonts w:ascii="Times New Roman;serif" w:hAnsi="Times New Roman;serif"/>
          <w:b w:val="false"/>
          <w:sz w:val="20"/>
        </w:rPr>
        <w:t>million for the initial investment paid in December 2021, approximately $58.6</w:t>
      </w:r>
      <w:r>
        <w:rPr>
          <w:rFonts w:ascii="Times New Roman" w:hAnsi="Times New Roman"/>
          <w:sz w:val="20"/>
        </w:rPr>
        <w:t xml:space="preserve"> </w:t>
      </w:r>
      <w:r>
        <w:rPr>
          <w:rFonts w:ascii="Times New Roman;serif" w:hAnsi="Times New Roman;serif"/>
          <w:b w:val="false"/>
          <w:sz w:val="20"/>
        </w:rPr>
        <w:t>million of cash paid at closing, $0.2</w:t>
      </w:r>
      <w:r>
        <w:rPr>
          <w:rFonts w:ascii="Times New Roman" w:hAnsi="Times New Roman"/>
          <w:sz w:val="20"/>
        </w:rPr>
        <w:t xml:space="preserve"> </w:t>
      </w:r>
      <w:r>
        <w:rPr>
          <w:rFonts w:ascii="Times New Roman;serif" w:hAnsi="Times New Roman;serif"/>
          <w:b w:val="false"/>
          <w:sz w:val="20"/>
        </w:rPr>
        <w:t>million reimbursement from sellers for working capital adjustments, and up to $5.0</w:t>
      </w:r>
      <w:r>
        <w:rPr>
          <w:rFonts w:ascii="Times New Roman" w:hAnsi="Times New Roman"/>
          <w:sz w:val="20"/>
        </w:rPr>
        <w:t xml:space="preserve"> </w:t>
      </w:r>
      <w:r>
        <w:rPr>
          <w:rFonts w:ascii="Times New Roman;serif" w:hAnsi="Times New Roman;serif"/>
          <w:b w:val="false"/>
          <w:sz w:val="20"/>
        </w:rPr>
        <w:t>million of contingent consideration, initially valued at $1.0</w:t>
      </w:r>
      <w:r>
        <w:rPr>
          <w:rFonts w:ascii="Times New Roman" w:hAnsi="Times New Roman"/>
          <w:sz w:val="20"/>
        </w:rPr>
        <w:t xml:space="preserve"> </w:t>
      </w:r>
      <w:r>
        <w:rPr>
          <w:rFonts w:ascii="Times New Roman;serif" w:hAnsi="Times New Roman;serif"/>
          <w:b w:val="false"/>
          <w:sz w:val="20"/>
        </w:rPr>
        <w:t>million. The contingent consideration, which relates to earn-out payments that may be paid out, subject to meeting certain expense control metrics during the two-year period following the closing of the AW acquisition, has an estimated fair value of $1.0</w:t>
      </w:r>
      <w:r>
        <w:rPr>
          <w:rFonts w:ascii="Times New Roman" w:hAnsi="Times New Roman"/>
          <w:sz w:val="20"/>
        </w:rPr>
        <w:t xml:space="preserve"> </w:t>
      </w:r>
      <w:r>
        <w:rPr>
          <w:rFonts w:ascii="Times New Roman;serif" w:hAnsi="Times New Roman;serif"/>
          <w:b w:val="false"/>
          <w:sz w:val="20"/>
        </w:rPr>
        <w:t>million as of the acquisition date. Pursuant to the Stock Purchase Agreement governing the AW acquisition, $10.0</w:t>
      </w:r>
      <w:r>
        <w:rPr>
          <w:rFonts w:ascii="Times New Roman" w:hAnsi="Times New Roman"/>
          <w:sz w:val="20"/>
        </w:rPr>
        <w:t xml:space="preserve"> </w:t>
      </w:r>
      <w:r>
        <w:rPr>
          <w:rFonts w:ascii="Times New Roman;serif" w:hAnsi="Times New Roman;serif"/>
          <w:b w:val="false"/>
          <w:sz w:val="20"/>
        </w:rPr>
        <w:t>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consideration transferred for the transaction is summarized as follows:</w:t>
      </w:r>
    </w:p>
    <w:p>
      <w:pPr>
        <w:pStyle w:val="TextBody"/>
        <w:spacing w:before="0" w:after="0"/>
        <w:jc w:val="left"/>
        <w:rPr/>
      </w:pPr>
      <w:r>
        <w:rPr/>
        <w:t> </w:t>
      </w:r>
    </w:p>
    <w:tbl>
      <w:tblPr>
        <w:tblW w:w="5220" w:type="dxa"/>
        <w:jc w:val="left"/>
        <w:tblInd w:w="0" w:type="dxa"/>
        <w:tblCellMar>
          <w:top w:w="28" w:type="dxa"/>
          <w:left w:w="28" w:type="dxa"/>
          <w:bottom w:w="28" w:type="dxa"/>
          <w:right w:w="28" w:type="dxa"/>
        </w:tblCellMar>
      </w:tblPr>
      <w:tblGrid>
        <w:gridCol w:w="3596"/>
        <w:gridCol w:w="146"/>
        <w:gridCol w:w="211"/>
        <w:gridCol w:w="676"/>
        <w:gridCol w:w="591"/>
      </w:tblGrid>
      <w:tr>
        <w:trPr/>
        <w:tc>
          <w:tcPr>
            <w:tcW w:w="3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59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5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Initial cash investment in December 2021</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591" w:type="dxa"/>
            <w:tcBorders/>
            <w:shd w:fill="auto" w:val="clear"/>
            <w:vAlign w:val="center"/>
          </w:tcPr>
          <w:p>
            <w:pPr>
              <w:pStyle w:val="TableContents"/>
              <w:spacing w:before="0" w:after="0"/>
              <w:ind w:left="0" w:right="0" w:hanging="0"/>
              <w:jc w:val="left"/>
              <w:rPr/>
            </w:pPr>
            <w:r>
              <w:rPr/>
              <w:t> </w:t>
            </w:r>
          </w:p>
        </w:tc>
      </w:tr>
      <w:tr>
        <w:trPr/>
        <w:tc>
          <w:tcPr>
            <w:tcW w:w="35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consideration paid at closing</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58,645</w:t>
            </w:r>
          </w:p>
        </w:tc>
        <w:tc>
          <w:tcPr>
            <w:tcW w:w="591" w:type="dxa"/>
            <w:tcBorders/>
            <w:shd w:fill="auto" w:val="clear"/>
            <w:vAlign w:val="center"/>
          </w:tcPr>
          <w:p>
            <w:pPr>
              <w:pStyle w:val="TableContents"/>
              <w:spacing w:before="0" w:after="0"/>
              <w:ind w:left="0" w:right="0" w:hanging="0"/>
              <w:jc w:val="left"/>
              <w:rPr/>
            </w:pPr>
            <w:r>
              <w:rPr/>
              <w:t> </w:t>
            </w:r>
          </w:p>
        </w:tc>
      </w:tr>
      <w:tr>
        <w:trPr/>
        <w:tc>
          <w:tcPr>
            <w:tcW w:w="35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Working capital adjustment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59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contingent consideration was based on the achievement of certain expense control metrics during the two-year period following the acquisition date, with potential earn-out payouts ranging from $0</w:t>
      </w:r>
      <w:r>
        <w:rPr>
          <w:rFonts w:ascii="Times New Roman" w:hAnsi="Times New Roman"/>
          <w:sz w:val="20"/>
        </w:rPr>
        <w:t xml:space="preserve"> </w:t>
      </w:r>
      <w:r>
        <w:rPr>
          <w:rFonts w:ascii="Times New Roman;serif" w:hAnsi="Times New Roman;serif"/>
          <w:b w:val="false"/>
          <w:sz w:val="20"/>
        </w:rPr>
        <w:t>to $5.0</w:t>
      </w:r>
      <w:r>
        <w:rPr>
          <w:rFonts w:ascii="Times New Roman" w:hAnsi="Times New Roman"/>
          <w:sz w:val="20"/>
        </w:rPr>
        <w:t xml:space="preserve"> </w:t>
      </w:r>
      <w:r>
        <w:rPr>
          <w:rFonts w:ascii="Times New Roman;serif" w:hAnsi="Times New Roman;serif"/>
          <w:b w:val="false"/>
          <w:sz w:val="20"/>
        </w:rPr>
        <w:t>million. The Company estimated the fair value of the contingent consideration to be $1.0</w:t>
      </w:r>
      <w:r>
        <w:rPr>
          <w:rFonts w:ascii="Times New Roman" w:hAnsi="Times New Roman"/>
          <w:sz w:val="20"/>
        </w:rPr>
        <w:t xml:space="preserve"> </w:t>
      </w:r>
      <w:r>
        <w:rPr>
          <w:rFonts w:ascii="Times New Roman;serif" w:hAnsi="Times New Roman;serif"/>
          <w:b w:val="false"/>
          <w:sz w:val="20"/>
        </w:rPr>
        <w:t>million as of February 18, 2022, based on the estimated achievement of the expense control metrics and time to payment. The Company estimated the fair value of the contingent consideration to be $2.3</w:t>
      </w:r>
      <w:r>
        <w:rPr>
          <w:rFonts w:ascii="Times New Roman" w:hAnsi="Times New Roman"/>
          <w:sz w:val="20"/>
        </w:rPr>
        <w:t xml:space="preserve"> </w:t>
      </w:r>
      <w:r>
        <w:rPr>
          <w:rFonts w:ascii="Times New Roman;serif" w:hAnsi="Times New Roman;serif"/>
          <w:b w:val="false"/>
          <w:sz w:val="20"/>
        </w:rPr>
        <w:t xml:space="preserve">million at March 31, 2023. The contingent consideration was recorded in accrued expenses and other current liabilities in the accompanying condensed consolidated balance sheet as of March 31, 2023. Refer to Note 11. </w:t>
      </w:r>
      <w:r>
        <w:rPr>
          <w:rFonts w:ascii="Times New Roman;serif" w:hAnsi="Times New Roman;serif"/>
          <w:b w:val="false"/>
          <w:i/>
          <w:sz w:val="20"/>
        </w:rPr>
        <w:t>Fair Value Measurements</w:t>
      </w:r>
      <w:r>
        <w:rPr>
          <w:rFonts w:ascii="Times New Roman;serif" w:hAnsi="Times New Roman;serif"/>
          <w:b w:val="false"/>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finalized the purchase price allocations of the AW acquisition during the first quarter of 2023. Acquisition-date fair values of assets and liabilities pertaining to this business combination have been allocated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416"/>
        <w:gridCol w:w="146"/>
        <w:gridCol w:w="520"/>
        <w:gridCol w:w="1819"/>
        <w:gridCol w:w="166"/>
        <w:gridCol w:w="146"/>
        <w:gridCol w:w="681"/>
        <w:gridCol w:w="1559"/>
        <w:gridCol w:w="166"/>
        <w:gridCol w:w="146"/>
        <w:gridCol w:w="211"/>
        <w:gridCol w:w="736"/>
        <w:gridCol w:w="493"/>
      </w:tblGrid>
      <w:tr>
        <w:trPr/>
        <w:tc>
          <w:tcPr>
            <w:tcW w:w="3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341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233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4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Purchase price allocation:</w:t>
            </w:r>
          </w:p>
        </w:tc>
        <w:tc>
          <w:tcPr>
            <w:tcW w:w="146" w:type="dxa"/>
            <w:tcBorders/>
            <w:shd w:fill="auto" w:val="clear"/>
            <w:vAlign w:val="center"/>
          </w:tcPr>
          <w:p>
            <w:pPr>
              <w:pStyle w:val="TableContents"/>
              <w:spacing w:before="0" w:after="0"/>
              <w:ind w:left="0" w:right="0" w:hanging="0"/>
              <w:jc w:val="left"/>
              <w:rPr/>
            </w:pPr>
            <w:r>
              <w:rPr/>
              <w:t> </w:t>
            </w:r>
          </w:p>
        </w:tc>
        <w:tc>
          <w:tcPr>
            <w:tcW w:w="23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Preliminary, as originally reported</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Measurement period adjustments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adjusted</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asset, operating leases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(1,028</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liability, operating leases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taxes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(10,278</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 acquired and liabilities assumed</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shd w:fill="auto" w:val="clear"/>
            <w:vAlign w:val="center"/>
          </w:tcPr>
          <w:p>
            <w:pPr>
              <w:pStyle w:val="TableContents"/>
              <w:spacing w:before="0" w:after="0"/>
              <w:ind w:left="0" w:right="0" w:hanging="0"/>
              <w:jc w:val="left"/>
              <w:rPr/>
            </w:pPr>
            <w:r>
              <w:rPr/>
              <w:t> </w:t>
            </w:r>
          </w:p>
        </w:tc>
        <w:tc>
          <w:tcPr>
            <w:tcW w:w="18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15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37,784</w:t>
            </w:r>
          </w:p>
        </w:tc>
        <w:tc>
          <w:tcPr>
            <w:tcW w:w="493" w:type="dxa"/>
            <w:tcBorders/>
            <w:shd w:fill="auto" w:val="clear"/>
            <w:vAlign w:val="center"/>
          </w:tcPr>
          <w:p>
            <w:pPr>
              <w:pStyle w:val="TableContents"/>
              <w:spacing w:before="0" w:after="0"/>
              <w:ind w:left="0" w:right="0" w:hanging="0"/>
              <w:jc w:val="left"/>
              <w:rPr/>
            </w:pPr>
            <w:r>
              <w:rPr/>
              <w:t> </w:t>
            </w:r>
          </w:p>
        </w:tc>
      </w:tr>
      <w:tr>
        <w:trPr/>
        <w:tc>
          <w:tcPr>
            <w:tcW w:w="34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100" w:right="0" w:hanging="0"/>
              <w:jc w:val="left"/>
              <w:rPr/>
            </w:pPr>
            <w:r>
              <w:rPr/>
              <w:t> </w:t>
            </w:r>
          </w:p>
        </w:tc>
        <w:tc>
          <w:tcPr>
            <w:tcW w:w="5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61,659</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341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shd w:fill="auto" w:val="clear"/>
            <w:vAlign w:val="center"/>
          </w:tcPr>
          <w:p>
            <w:pPr>
              <w:pStyle w:val="TableContents"/>
              <w:spacing w:before="0" w:after="0"/>
              <w:ind w:left="800" w:right="0" w:hanging="0"/>
              <w:jc w:val="left"/>
              <w:rPr/>
            </w:pPr>
            <w:r>
              <w:rPr/>
              <w:t> </w:t>
            </w:r>
          </w:p>
        </w:tc>
        <w:tc>
          <w:tcPr>
            <w:tcW w:w="5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As a result of the AW acquisition, the Company recorded goodwill, customer relationships, developed software, and tradename of $61.5</w:t>
      </w:r>
      <w:r>
        <w:rPr>
          <w:rFonts w:ascii="Times New Roman" w:hAnsi="Times New Roman"/>
          <w:sz w:val="20"/>
        </w:rPr>
        <w:t xml:space="preserve"> </w:t>
      </w:r>
      <w:r>
        <w:rPr>
          <w:rFonts w:ascii="Times New Roman;serif" w:hAnsi="Times New Roman;serif"/>
          <w:b w:val="false"/>
          <w:sz w:val="20"/>
        </w:rPr>
        <w:t>million, $39.4</w:t>
      </w:r>
      <w:r>
        <w:rPr>
          <w:rFonts w:ascii="Times New Roman" w:hAnsi="Times New Roman"/>
          <w:sz w:val="20"/>
        </w:rPr>
        <w:t xml:space="preserve"> </w:t>
      </w:r>
      <w:r>
        <w:rPr>
          <w:rFonts w:ascii="Times New Roman;serif" w:hAnsi="Times New Roman;serif"/>
          <w:b w:val="false"/>
          <w:sz w:val="20"/>
        </w:rPr>
        <w:t>million, $6.1</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w:t>
      </w:r>
      <w:r>
        <w:rPr>
          <w:rFonts w:ascii="Times New Roman" w:hAnsi="Times New Roman"/>
          <w:sz w:val="20"/>
        </w:rPr>
        <w:t xml:space="preserve"> </w:t>
      </w:r>
      <w:r>
        <w:rPr>
          <w:rFonts w:ascii="Times New Roman;serif" w:hAnsi="Times New Roman;serif"/>
          <w:b w:val="false"/>
          <w:sz w:val="20"/>
        </w:rPr>
        <w:t>million and is amortized using the annual pattern of cash flows (economic value method) over the estimated 20-year</w:t>
      </w:r>
      <w:r>
        <w:rPr>
          <w:rFonts w:ascii="Times New Roman" w:hAnsi="Times New Roman"/>
          <w:sz w:val="20"/>
        </w:rPr>
        <w:t xml:space="preserve"> </w:t>
      </w:r>
      <w:r>
        <w:rPr>
          <w:rFonts w:ascii="Times New Roman;serif" w:hAnsi="Times New Roman;serif"/>
          <w:b w:val="false"/>
          <w:sz w:val="20"/>
        </w:rPr>
        <w:t>life of this asset.</w:t>
      </w:r>
    </w:p>
    <w:p>
      <w:pPr>
        <w:pStyle w:val="TextBody"/>
        <w:spacing w:before="120" w:after="0"/>
        <w:jc w:val="left"/>
        <w:rPr>
          <w:rFonts w:ascii="Times New Roman" w:hAnsi="Times New Roman"/>
          <w:sz w:val="20"/>
        </w:rPr>
      </w:pPr>
      <w:r>
        <w:rPr>
          <w:rFonts w:ascii="Times New Roman;serif" w:hAnsi="Times New Roman;serif"/>
          <w:b w:val="false"/>
          <w:sz w:val="20"/>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6 years.</w:t>
      </w:r>
    </w:p>
    <w:p>
      <w:pPr>
        <w:pStyle w:val="TextBody"/>
        <w:spacing w:before="120" w:after="0"/>
        <w:jc w:val="left"/>
        <w:rPr>
          <w:rFonts w:ascii="Times New Roman" w:hAnsi="Times New Roman"/>
          <w:sz w:val="20"/>
        </w:rPr>
      </w:pPr>
      <w:r>
        <w:rPr>
          <w:rFonts w:ascii="Times New Roman;serif" w:hAnsi="Times New Roman;serif"/>
          <w:b w:val="false"/>
          <w:sz w:val="20"/>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5 years.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amortization periods for the customer relationships, developed software, and tradenames are 20 years, 6 years, and 5 years, respectively. See Note 7 for the estimated total intangible amortization expense during the next five years.</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acquisition, the Company recognized acquisition related costs of $1.3</w:t>
      </w:r>
      <w:r>
        <w:rPr>
          <w:rFonts w:ascii="Times New Roman" w:hAnsi="Times New Roman"/>
          <w:sz w:val="20"/>
        </w:rPr>
        <w:t xml:space="preserve"> </w:t>
      </w:r>
      <w:r>
        <w:rPr>
          <w:rFonts w:ascii="Times New Roman;serif" w:hAnsi="Times New Roman;serif"/>
          <w:b w:val="false"/>
          <w:sz w:val="20"/>
        </w:rPr>
        <w:t>million which were recorded within transaction expenses in the accompanying condensed consolidated statements of operations for the year ended December 31,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AW’s post-acquisition revenue and net loss on a standalone basis were not material.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Unaudited Pro Forma Supplementary Data:</w:t>
      </w:r>
    </w:p>
    <w:p>
      <w:pPr>
        <w:pStyle w:val="TextBody"/>
        <w:spacing w:before="0" w:after="0"/>
        <w:jc w:val="left"/>
        <w:rPr/>
      </w:pPr>
      <w:r>
        <w:rPr/>
        <w:t> </w:t>
      </w:r>
    </w:p>
    <w:tbl>
      <w:tblPr>
        <w:tblW w:w="4288" w:type="dxa"/>
        <w:jc w:val="left"/>
        <w:tblInd w:w="0" w:type="dxa"/>
        <w:tblCellMar>
          <w:top w:w="28" w:type="dxa"/>
          <w:left w:w="28" w:type="dxa"/>
          <w:bottom w:w="28" w:type="dxa"/>
          <w:right w:w="28" w:type="dxa"/>
        </w:tblCellMar>
      </w:tblPr>
      <w:tblGrid>
        <w:gridCol w:w="1126"/>
        <w:gridCol w:w="146"/>
        <w:gridCol w:w="625"/>
        <w:gridCol w:w="2180"/>
        <w:gridCol w:w="211"/>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28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51,601</w:t>
            </w:r>
          </w:p>
        </w:tc>
        <w:tc>
          <w:tcPr>
            <w:tcW w:w="21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left"/>
              <w:rPr/>
            </w:pPr>
            <w:r>
              <w:rPr/>
              <w:t> </w:t>
            </w:r>
          </w:p>
        </w:tc>
        <w:tc>
          <w:tcPr>
            <w:tcW w:w="21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unaudited pro forma supplementary data presented in the table above shows the effect of the AW acquisitions as if the transaction had occurred on January 1, 2021.</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3.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disaggregates revenue from its arrangements with customers by type of service as it believes these categories best depict how the nature, amount, timing, and uncertainty of revenue and cash flows are affected by economic factors.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represents a disaggregation of revenue from arrangements with customers for the three months ended March 31, 2023 and 2022, respectively:</w:t>
      </w:r>
      <w:r>
        <w:rPr>
          <w:rFonts w:ascii="Times New Roman" w:hAnsi="Times New Roman"/>
          <w:sz w:val="20"/>
        </w:rPr>
        <w:t xml:space="preserve"> </w:t>
      </w:r>
    </w:p>
    <w:tbl>
      <w:tblPr>
        <w:tblW w:w="4680" w:type="dxa"/>
        <w:jc w:val="left"/>
        <w:tblInd w:w="0" w:type="dxa"/>
        <w:tblCellMar>
          <w:top w:w="28" w:type="dxa"/>
          <w:left w:w="28" w:type="dxa"/>
          <w:bottom w:w="28" w:type="dxa"/>
          <w:right w:w="28" w:type="dxa"/>
        </w:tblCellMar>
      </w:tblPr>
      <w:tblGrid>
        <w:gridCol w:w="1946"/>
        <w:gridCol w:w="146"/>
        <w:gridCol w:w="233"/>
        <w:gridCol w:w="749"/>
        <w:gridCol w:w="272"/>
        <w:gridCol w:w="161"/>
        <w:gridCol w:w="233"/>
        <w:gridCol w:w="749"/>
        <w:gridCol w:w="191"/>
      </w:tblGrid>
      <w:tr>
        <w:trPr/>
        <w:tc>
          <w:tcPr>
            <w:tcW w:w="1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9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9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Subscription services</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58,517</w:t>
            </w:r>
          </w:p>
        </w:tc>
        <w:tc>
          <w:tcPr>
            <w:tcW w:w="272" w:type="dxa"/>
            <w:tcBorders/>
            <w:shd w:fill="auto" w:val="clear"/>
            <w:vAlign w:val="center"/>
          </w:tcPr>
          <w:p>
            <w:pPr>
              <w:pStyle w:val="TableContents"/>
              <w:spacing w:before="0" w:after="0"/>
              <w:ind w:left="0" w:right="0" w:firstLine="100"/>
              <w:jc w:val="left"/>
              <w:rPr/>
            </w:pPr>
            <w:r>
              <w:rPr/>
              <w:t> </w:t>
            </w:r>
          </w:p>
        </w:tc>
        <w:tc>
          <w:tcPr>
            <w:tcW w:w="161" w:type="dxa"/>
            <w:tcBorders/>
            <w:shd w:fill="auto" w:val="clear"/>
            <w:vAlign w:val="center"/>
          </w:tcPr>
          <w:p>
            <w:pPr>
              <w:pStyle w:val="TableContents"/>
              <w:spacing w:before="0" w:after="0"/>
              <w:ind w:left="10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49,769</w:t>
            </w:r>
          </w:p>
        </w:tc>
        <w:tc>
          <w:tcPr>
            <w:tcW w:w="191" w:type="dxa"/>
            <w:tcBorders/>
            <w:shd w:fill="auto" w:val="clear"/>
            <w:vAlign w:val="center"/>
          </w:tcPr>
          <w:p>
            <w:pPr>
              <w:pStyle w:val="TableContents"/>
              <w:spacing w:before="0" w:after="0"/>
              <w:ind w:left="0" w:right="0" w:hanging="0"/>
              <w:jc w:val="left"/>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61" w:type="dxa"/>
            <w:tcBorders/>
            <w:shd w:fill="auto" w:val="clear"/>
            <w:vAlign w:val="center"/>
          </w:tcPr>
          <w:p>
            <w:pPr>
              <w:pStyle w:val="TableContents"/>
              <w:spacing w:before="0" w:after="0"/>
              <w:ind w:left="10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61" w:type="dxa"/>
            <w:tcBorders/>
            <w:shd w:fill="auto" w:val="clear"/>
            <w:vAlign w:val="center"/>
          </w:tcPr>
          <w:p>
            <w:pPr>
              <w:pStyle w:val="TableContents"/>
              <w:spacing w:before="0" w:after="0"/>
              <w:ind w:left="10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 w:hAnsi="Times New Roman"/>
          <w:sz w:val="20"/>
        </w:rPr>
      </w:pPr>
      <w:r>
        <w:rPr>
          <w:rFonts w:ascii="Times New Roman;serif" w:hAnsi="Times New Roman;serif"/>
          <w:b w:val="false"/>
          <w:sz w:val="20"/>
        </w:rPr>
        <w:t>The opening and closing balances of the Company’s receivables, deferred contract costs and contract liabilities from contracts with customers are as follows:</w:t>
      </w:r>
      <w:r>
        <w:rPr>
          <w:rFonts w:ascii="Times New Roman" w:hAnsi="Times New Roman"/>
          <w:sz w:val="20"/>
        </w:rPr>
        <w:t xml:space="preserve"> </w:t>
      </w:r>
    </w:p>
    <w:tbl>
      <w:tblPr>
        <w:tblW w:w="6187" w:type="dxa"/>
        <w:jc w:val="left"/>
        <w:tblInd w:w="0" w:type="dxa"/>
        <w:tblCellMar>
          <w:top w:w="28" w:type="dxa"/>
          <w:left w:w="28" w:type="dxa"/>
          <w:bottom w:w="28" w:type="dxa"/>
          <w:right w:w="28" w:type="dxa"/>
        </w:tblCellMar>
      </w:tblPr>
      <w:tblGrid>
        <w:gridCol w:w="3371"/>
        <w:gridCol w:w="146"/>
        <w:gridCol w:w="211"/>
        <w:gridCol w:w="781"/>
        <w:gridCol w:w="246"/>
        <w:gridCol w:w="146"/>
        <w:gridCol w:w="260"/>
        <w:gridCol w:w="835"/>
        <w:gridCol w:w="191"/>
      </w:tblGrid>
      <w:tr>
        <w:trPr/>
        <w:tc>
          <w:tcPr>
            <w:tcW w:w="3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71"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51,801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191" w:type="dxa"/>
            <w:tcBorders/>
            <w:shd w:fill="auto" w:val="clear"/>
            <w:vAlign w:val="center"/>
          </w:tcPr>
          <w:p>
            <w:pPr>
              <w:pStyle w:val="TableContents"/>
              <w:spacing w:before="0" w:after="0"/>
              <w:ind w:left="0" w:right="0" w:hanging="0"/>
              <w:jc w:val="left"/>
              <w:rPr/>
            </w:pPr>
            <w:r>
              <w:rPr/>
              <w:t> </w:t>
            </w:r>
          </w:p>
        </w:tc>
      </w:tr>
      <w:tr>
        <w:trPr/>
        <w:tc>
          <w:tcPr>
            <w:tcW w:w="3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contract costs, current portion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191" w:type="dxa"/>
            <w:tcBorders/>
            <w:shd w:fill="auto" w:val="clear"/>
            <w:vAlign w:val="center"/>
          </w:tcPr>
          <w:p>
            <w:pPr>
              <w:pStyle w:val="TableContents"/>
              <w:spacing w:before="0" w:after="0"/>
              <w:ind w:left="0" w:right="0" w:hanging="0"/>
              <w:jc w:val="left"/>
              <w:rPr/>
            </w:pPr>
            <w:r>
              <w:rPr/>
              <w:t> </w:t>
            </w:r>
          </w:p>
        </w:tc>
      </w:tr>
      <w:tr>
        <w:trPr/>
        <w:tc>
          <w:tcPr>
            <w:tcW w:w="3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contract costs, long-term</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191" w:type="dxa"/>
            <w:tcBorders/>
            <w:shd w:fill="auto" w:val="clear"/>
            <w:vAlign w:val="center"/>
          </w:tcPr>
          <w:p>
            <w:pPr>
              <w:pStyle w:val="TableContents"/>
              <w:spacing w:before="0" w:after="0"/>
              <w:ind w:left="0" w:right="0" w:hanging="0"/>
              <w:jc w:val="left"/>
              <w:rPr/>
            </w:pPr>
            <w:r>
              <w:rPr/>
              <w:t> </w:t>
            </w:r>
          </w:p>
        </w:tc>
      </w:tr>
      <w:tr>
        <w:trPr/>
        <w:tc>
          <w:tcPr>
            <w:tcW w:w="3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105,500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Deferred Contract Costs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A summary of the activity impacting the deferred contract costs for the three months ended March 31, 2023 and the year ended December 31, 2022 is presented below:</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892"/>
        <w:gridCol w:w="146"/>
        <w:gridCol w:w="579"/>
        <w:gridCol w:w="1858"/>
        <w:gridCol w:w="266"/>
        <w:gridCol w:w="146"/>
        <w:gridCol w:w="642"/>
        <w:gridCol w:w="2062"/>
        <w:gridCol w:w="614"/>
      </w:tblGrid>
      <w:tr>
        <w:trPr/>
        <w:tc>
          <w:tcPr>
            <w:tcW w:w="3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892"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24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Twelve Months Ended December 31, 2022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9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100" w:right="0" w:hanging="0"/>
              <w:jc w:val="left"/>
              <w:rPr/>
            </w:pPr>
            <w:r>
              <w:rPr/>
              <w:t> </w:t>
            </w:r>
          </w:p>
        </w:tc>
        <w:tc>
          <w:tcPr>
            <w:tcW w:w="5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18,547</w:t>
            </w:r>
          </w:p>
        </w:tc>
        <w:tc>
          <w:tcPr>
            <w:tcW w:w="614" w:type="dxa"/>
            <w:tcBorders/>
            <w:shd w:fill="auto" w:val="clear"/>
            <w:vAlign w:val="center"/>
          </w:tcPr>
          <w:p>
            <w:pPr>
              <w:pStyle w:val="TableContents"/>
              <w:spacing w:before="0" w:after="0"/>
              <w:ind w:left="0" w:right="0" w:firstLine="400"/>
              <w:jc w:val="left"/>
              <w:rPr/>
            </w:pPr>
            <w:r>
              <w:rPr/>
              <w:t> </w:t>
            </w:r>
          </w:p>
        </w:tc>
      </w:tr>
      <w:tr>
        <w:trPr/>
        <w:tc>
          <w:tcPr>
            <w:tcW w:w="3892"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Costs amortized</w:t>
            </w:r>
          </w:p>
        </w:tc>
        <w:tc>
          <w:tcPr>
            <w:tcW w:w="146" w:type="dxa"/>
            <w:tcBorders/>
            <w:shd w:fill="auto" w:val="clear"/>
            <w:vAlign w:val="center"/>
          </w:tcPr>
          <w:p>
            <w:pPr>
              <w:pStyle w:val="TableContents"/>
              <w:spacing w:before="0" w:after="0"/>
              <w:ind w:left="500" w:right="0" w:hanging="0"/>
              <w:jc w:val="left"/>
              <w:rPr/>
            </w:pPr>
            <w:r>
              <w:rPr/>
              <w:t> </w:t>
            </w:r>
          </w:p>
        </w:tc>
        <w:tc>
          <w:tcPr>
            <w:tcW w:w="579" w:type="dxa"/>
            <w:tcBorders/>
            <w:shd w:fill="auto" w:val="clear"/>
            <w:vAlign w:val="center"/>
          </w:tcPr>
          <w:p>
            <w:pPr>
              <w:pStyle w:val="TableContents"/>
              <w:spacing w:before="0" w:after="0"/>
              <w:ind w:left="0" w:right="0" w:hanging="0"/>
              <w:jc w:val="left"/>
              <w:rPr/>
            </w:pPr>
            <w:r>
              <w:rPr/>
              <w:t> </w:t>
            </w:r>
          </w:p>
        </w:tc>
        <w:tc>
          <w:tcPr>
            <w:tcW w:w="1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shd w:fill="auto" w:val="clear"/>
            <w:vAlign w:val="center"/>
          </w:tcPr>
          <w:p>
            <w:pPr>
              <w:pStyle w:val="TableContents"/>
              <w:spacing w:before="0" w:after="0"/>
              <w:ind w:left="0" w:right="0" w:hanging="0"/>
              <w:jc w:val="left"/>
              <w:rPr/>
            </w:pPr>
            <w:r>
              <w:rPr/>
              <w:t> </w:t>
            </w:r>
          </w:p>
        </w:tc>
        <w:tc>
          <w:tcPr>
            <w:tcW w:w="2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(8,816</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92"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shd w:fill="auto" w:val="clear"/>
            <w:vAlign w:val="center"/>
          </w:tcPr>
          <w:p>
            <w:pPr>
              <w:pStyle w:val="TableContents"/>
              <w:spacing w:before="0" w:after="0"/>
              <w:ind w:left="500" w:right="0" w:hanging="0"/>
              <w:jc w:val="left"/>
              <w:rPr/>
            </w:pPr>
            <w:r>
              <w:rPr/>
              <w:t> </w:t>
            </w:r>
          </w:p>
        </w:tc>
        <w:tc>
          <w:tcPr>
            <w:tcW w:w="5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4,021</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9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100" w:right="0" w:hanging="0"/>
              <w:jc w:val="left"/>
              <w:rPr/>
            </w:pPr>
            <w:r>
              <w:rPr/>
              <w:t> </w:t>
            </w:r>
          </w:p>
        </w:tc>
        <w:tc>
          <w:tcPr>
            <w:tcW w:w="5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26,144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9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Classified as:</w:t>
            </w:r>
          </w:p>
        </w:tc>
        <w:tc>
          <w:tcPr>
            <w:tcW w:w="146" w:type="dxa"/>
            <w:tcBorders/>
            <w:shd w:fill="auto" w:val="clear"/>
            <w:vAlign w:val="center"/>
          </w:tcPr>
          <w:p>
            <w:pPr>
              <w:pStyle w:val="TableContents"/>
              <w:spacing w:before="0" w:after="0"/>
              <w:ind w:left="100" w:right="0" w:hanging="0"/>
              <w:jc w:val="left"/>
              <w:rPr/>
            </w:pPr>
            <w:r>
              <w:rPr/>
              <w:t> </w:t>
            </w:r>
          </w:p>
        </w:tc>
        <w:tc>
          <w:tcPr>
            <w:tcW w:w="2437"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04"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3892"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500" w:right="0" w:hanging="0"/>
              <w:jc w:val="left"/>
              <w:rPr/>
            </w:pPr>
            <w:r>
              <w:rPr/>
              <w:t> </w:t>
            </w:r>
          </w:p>
        </w:tc>
        <w:tc>
          <w:tcPr>
            <w:tcW w:w="579" w:type="dxa"/>
            <w:tcBorders/>
            <w:shd w:fill="auto" w:val="clear"/>
            <w:vAlign w:val="center"/>
          </w:tcPr>
          <w:p>
            <w:pPr>
              <w:pStyle w:val="TableContents"/>
              <w:spacing w:before="0" w:after="0"/>
              <w:ind w:left="0" w:right="0" w:hanging="0"/>
              <w:jc w:val="left"/>
              <w:rPr/>
            </w:pPr>
            <w:r>
              <w:rPr/>
              <w:t> </w:t>
            </w:r>
          </w:p>
        </w:tc>
        <w:tc>
          <w:tcPr>
            <w:tcW w:w="1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shd w:fill="auto" w:val="clear"/>
            <w:vAlign w:val="center"/>
          </w:tcPr>
          <w:p>
            <w:pPr>
              <w:pStyle w:val="TableContents"/>
              <w:spacing w:before="0" w:after="0"/>
              <w:ind w:left="0" w:right="0" w:hanging="0"/>
              <w:jc w:val="left"/>
              <w:rPr/>
            </w:pPr>
            <w:r>
              <w:rPr/>
              <w:t> </w:t>
            </w:r>
          </w:p>
        </w:tc>
        <w:tc>
          <w:tcPr>
            <w:tcW w:w="20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614" w:type="dxa"/>
            <w:tcBorders/>
            <w:shd w:fill="auto" w:val="clear"/>
            <w:vAlign w:val="center"/>
          </w:tcPr>
          <w:p>
            <w:pPr>
              <w:pStyle w:val="TableContents"/>
              <w:spacing w:before="0" w:after="0"/>
              <w:ind w:left="0" w:right="0" w:firstLine="400"/>
              <w:jc w:val="left"/>
              <w:rPr/>
            </w:pPr>
            <w:r>
              <w:rPr/>
              <w:t> </w:t>
            </w:r>
          </w:p>
        </w:tc>
      </w:tr>
      <w:tr>
        <w:trPr/>
        <w:tc>
          <w:tcPr>
            <w:tcW w:w="3892"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shd w:fill="auto" w:val="clear"/>
            <w:vAlign w:val="center"/>
          </w:tcPr>
          <w:p>
            <w:pPr>
              <w:pStyle w:val="TableContents"/>
              <w:spacing w:before="0" w:after="0"/>
              <w:ind w:left="500" w:right="0" w:hanging="0"/>
              <w:jc w:val="left"/>
              <w:rPr/>
            </w:pPr>
            <w:r>
              <w:rPr/>
              <w:t> </w:t>
            </w:r>
          </w:p>
        </w:tc>
        <w:tc>
          <w:tcPr>
            <w:tcW w:w="5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9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deferred contract costs (deferred commissions)</w:t>
            </w:r>
          </w:p>
        </w:tc>
        <w:tc>
          <w:tcPr>
            <w:tcW w:w="146" w:type="dxa"/>
            <w:tcBorders/>
            <w:shd w:fill="auto" w:val="clear"/>
            <w:vAlign w:val="center"/>
          </w:tcPr>
          <w:p>
            <w:pPr>
              <w:pStyle w:val="TableContents"/>
              <w:spacing w:before="0" w:after="0"/>
              <w:ind w:left="100" w:right="0" w:hanging="0"/>
              <w:jc w:val="left"/>
              <w:rPr/>
            </w:pPr>
            <w:r>
              <w:rPr/>
              <w:t> </w:t>
            </w:r>
          </w:p>
        </w:tc>
        <w:tc>
          <w:tcPr>
            <w:tcW w:w="5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26,144</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Contract Liabilities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A summary of the activity impacting deferred revenue balances during the three months ended March 31, 2023 and for the year ended December 31, 2022 is presented below:</w:t>
      </w:r>
      <w:r>
        <w:rPr>
          <w:rFonts w:ascii="Times New Roman" w:hAnsi="Times New Roman"/>
          <w:sz w:val="20"/>
        </w:rPr>
        <w:t xml:space="preserve"> </w:t>
      </w:r>
    </w:p>
    <w:tbl>
      <w:tblPr>
        <w:tblW w:w="9450" w:type="dxa"/>
        <w:jc w:val="left"/>
        <w:tblInd w:w="0" w:type="dxa"/>
        <w:tblCellMar>
          <w:top w:w="28" w:type="dxa"/>
          <w:left w:w="28" w:type="dxa"/>
          <w:bottom w:w="28" w:type="dxa"/>
          <w:right w:w="28" w:type="dxa"/>
        </w:tblCellMar>
      </w:tblPr>
      <w:tblGrid>
        <w:gridCol w:w="2741"/>
        <w:gridCol w:w="146"/>
        <w:gridCol w:w="596"/>
        <w:gridCol w:w="2209"/>
        <w:gridCol w:w="266"/>
        <w:gridCol w:w="146"/>
        <w:gridCol w:w="628"/>
        <w:gridCol w:w="2507"/>
        <w:gridCol w:w="211"/>
      </w:tblGrid>
      <w:tr>
        <w:trPr/>
        <w:tc>
          <w:tcPr>
            <w:tcW w:w="2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41"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28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Twelve Months Ended 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100" w:right="0" w:hanging="0"/>
              <w:jc w:val="left"/>
              <w:rPr/>
            </w:pPr>
            <w:r>
              <w:rPr/>
              <w:t> </w:t>
            </w:r>
          </w:p>
        </w:tc>
        <w:tc>
          <w:tcPr>
            <w:tcW w:w="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84,023</w:t>
            </w:r>
          </w:p>
        </w:tc>
        <w:tc>
          <w:tcPr>
            <w:tcW w:w="211" w:type="dxa"/>
            <w:tcBorders/>
            <w:shd w:fill="auto" w:val="clear"/>
            <w:vAlign w:val="center"/>
          </w:tcPr>
          <w:p>
            <w:pPr>
              <w:pStyle w:val="TableContents"/>
              <w:spacing w:before="0" w:after="0"/>
              <w:ind w:left="0" w:right="0" w:hanging="0"/>
              <w:jc w:val="left"/>
              <w:rPr/>
            </w:pPr>
            <w:r>
              <w:rPr/>
              <w:t> </w:t>
            </w:r>
          </w:p>
        </w:tc>
      </w:tr>
      <w:tr>
        <w:trPr/>
        <w:tc>
          <w:tcPr>
            <w:tcW w:w="2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shd w:fill="auto" w:val="clear"/>
            <w:vAlign w:val="center"/>
          </w:tcPr>
          <w:p>
            <w:pPr>
              <w:pStyle w:val="TableContents"/>
              <w:spacing w:before="0" w:after="0"/>
              <w:ind w:left="100" w:right="0" w:hanging="0"/>
              <w:jc w:val="left"/>
              <w:rPr/>
            </w:pPr>
            <w:r>
              <w:rPr/>
              <w:t> </w:t>
            </w:r>
          </w:p>
        </w:tc>
        <w:tc>
          <w:tcPr>
            <w:tcW w:w="596" w:type="dxa"/>
            <w:tcBorders/>
            <w:shd w:fill="auto" w:val="clear"/>
            <w:vAlign w:val="center"/>
          </w:tcPr>
          <w:p>
            <w:pPr>
              <w:pStyle w:val="TableContents"/>
              <w:spacing w:before="0" w:after="0"/>
              <w:ind w:left="0" w:right="0" w:hanging="0"/>
              <w:jc w:val="left"/>
              <w:rPr/>
            </w:pPr>
            <w:r>
              <w:rPr/>
              <w:t> </w:t>
            </w:r>
          </w:p>
        </w:tc>
        <w:tc>
          <w:tcPr>
            <w:tcW w:w="22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628" w:type="dxa"/>
            <w:tcBorders/>
            <w:shd w:fill="auto" w:val="clear"/>
            <w:vAlign w:val="center"/>
          </w:tcPr>
          <w:p>
            <w:pPr>
              <w:pStyle w:val="TableContents"/>
              <w:spacing w:before="0" w:after="0"/>
              <w:ind w:left="0" w:right="0" w:hanging="0"/>
              <w:jc w:val="left"/>
              <w:rPr/>
            </w:pPr>
            <w:r>
              <w:rPr/>
              <w:t> </w:t>
            </w:r>
          </w:p>
        </w:tc>
        <w:tc>
          <w:tcPr>
            <w:tcW w:w="25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shd w:fill="auto" w:val="clear"/>
            <w:vAlign w:val="center"/>
          </w:tcPr>
          <w:p>
            <w:pPr>
              <w:pStyle w:val="TableContents"/>
              <w:spacing w:before="0" w:after="0"/>
              <w:ind w:left="10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64,773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238,558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100" w:right="0" w:hanging="0"/>
              <w:jc w:val="left"/>
              <w:rPr/>
            </w:pPr>
            <w:r>
              <w:rPr/>
              <w:t> </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105,500</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Remaining Performance 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Transaction price allocated to remaining performance obligations represents contracted revenue that has not yet been recognized, which includes unearned revenue and unbilled amounts that will be invoiced and recognized as revenue in future periods. The Company</w:t>
      </w:r>
      <w:r>
        <w:rPr>
          <w:rFonts w:ascii="Times New Roman" w:hAnsi="Times New Roman"/>
          <w:sz w:val="20"/>
        </w:rPr>
        <w:t xml:space="preserve"> </w:t>
      </w:r>
      <w:r>
        <w:rPr>
          <w:rFonts w:ascii="Times New Roman;serif" w:hAnsi="Times New Roman;serif"/>
          <w:b w:val="false"/>
          <w:sz w:val="20"/>
        </w:rPr>
        <w:t>expects to recognize approximately 68% of the revenue within the next year and the remainder thereafter.</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The remaining performance obligations consisted of the following:</w:t>
      </w:r>
      <w:r>
        <w:rPr>
          <w:rFonts w:ascii="Times New Roman" w:hAnsi="Times New Roman"/>
          <w:sz w:val="20"/>
        </w:rPr>
        <w:t xml:space="preserve"> </w:t>
      </w:r>
    </w:p>
    <w:tbl>
      <w:tblPr>
        <w:tblW w:w="4442" w:type="dxa"/>
        <w:jc w:val="left"/>
        <w:tblInd w:w="0" w:type="dxa"/>
        <w:tblCellMar>
          <w:top w:w="28" w:type="dxa"/>
          <w:left w:w="28" w:type="dxa"/>
          <w:bottom w:w="28" w:type="dxa"/>
          <w:right w:w="28" w:type="dxa"/>
        </w:tblCellMar>
      </w:tblPr>
      <w:tblGrid>
        <w:gridCol w:w="1226"/>
        <w:gridCol w:w="146"/>
        <w:gridCol w:w="211"/>
        <w:gridCol w:w="781"/>
        <w:gridCol w:w="246"/>
        <w:gridCol w:w="146"/>
        <w:gridCol w:w="233"/>
        <w:gridCol w:w="862"/>
        <w:gridCol w:w="591"/>
      </w:tblGrid>
      <w:tr>
        <w:trPr/>
        <w:tc>
          <w:tcPr>
            <w:tcW w:w="1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180,902</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591" w:type="dxa"/>
            <w:tcBorders/>
            <w:shd w:fill="auto" w:val="clear"/>
            <w:vAlign w:val="center"/>
          </w:tcPr>
          <w:p>
            <w:pPr>
              <w:pStyle w:val="TableContents"/>
              <w:spacing w:before="0" w:after="0"/>
              <w:ind w:left="0" w:right="0" w:hanging="0"/>
              <w:jc w:val="left"/>
              <w:rPr/>
            </w:pPr>
            <w:r>
              <w:rPr/>
              <w:t> </w:t>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84,890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2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265,792</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4. Short-term Investments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Short-term investments classified as available-for-sale consisted of the following:</w:t>
      </w:r>
      <w:r>
        <w:rPr>
          <w:rFonts w:ascii="Times New Roman" w:hAnsi="Times New Roman"/>
          <w:sz w:val="20"/>
        </w:rPr>
        <w:t xml:space="preserve"> </w:t>
      </w:r>
    </w:p>
    <w:tbl>
      <w:tblPr>
        <w:tblW w:w="10176" w:type="dxa"/>
        <w:jc w:val="left"/>
        <w:tblInd w:w="0" w:type="dxa"/>
        <w:tblCellMar>
          <w:top w:w="28" w:type="dxa"/>
          <w:left w:w="28" w:type="dxa"/>
          <w:bottom w:w="28" w:type="dxa"/>
          <w:right w:w="28" w:type="dxa"/>
        </w:tblCellMar>
      </w:tblPr>
      <w:tblGrid>
        <w:gridCol w:w="2546"/>
        <w:gridCol w:w="146"/>
        <w:gridCol w:w="265"/>
        <w:gridCol w:w="980"/>
        <w:gridCol w:w="246"/>
        <w:gridCol w:w="146"/>
        <w:gridCol w:w="725"/>
        <w:gridCol w:w="1090"/>
        <w:gridCol w:w="246"/>
        <w:gridCol w:w="146"/>
        <w:gridCol w:w="562"/>
        <w:gridCol w:w="1283"/>
        <w:gridCol w:w="266"/>
        <w:gridCol w:w="146"/>
        <w:gridCol w:w="211"/>
        <w:gridCol w:w="781"/>
        <w:gridCol w:w="391"/>
      </w:tblGrid>
      <w:tr>
        <w:trPr/>
        <w:tc>
          <w:tcPr>
            <w:tcW w:w="2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09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45"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73,491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73,428</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3,291</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105,554</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105,494</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36,755</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36,742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219,090</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218,955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
              <w:jc w:val="left"/>
              <w:rPr/>
            </w:pPr>
            <w:r>
              <w:rPr/>
              <w:t> </w:t>
            </w:r>
          </w:p>
        </w:tc>
      </w:tr>
      <w:tr>
        <w:trPr/>
        <w:tc>
          <w:tcPr>
            <w:tcW w:w="2546" w:type="dxa"/>
            <w:tcBorders/>
            <w:shd w:fill="auto" w:val="clear"/>
            <w:vAlign w:val="center"/>
          </w:tcPr>
          <w:p>
            <w:pPr>
              <w:pStyle w:val="TableContents"/>
              <w:spacing w:before="0" w:after="0"/>
              <w:ind w:left="0" w:right="0" w:firstLine="20"/>
              <w:jc w:val="left"/>
              <w:rPr/>
            </w:pPr>
            <w:r>
              <w:rPr/>
              <w:t> </w:t>
            </w:r>
          </w:p>
        </w:tc>
        <w:tc>
          <w:tcPr>
            <w:tcW w:w="146" w:type="dxa"/>
            <w:tcBorders/>
            <w:shd w:fill="auto" w:val="clear"/>
            <w:vAlign w:val="center"/>
          </w:tcPr>
          <w:p>
            <w:pPr>
              <w:pStyle w:val="TableContents"/>
              <w:spacing w:before="0" w:after="0"/>
              <w:ind w:left="20" w:right="0" w:hanging="0"/>
              <w:jc w:val="left"/>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45" w:type="dxa"/>
            <w:gridSpan w:val="2"/>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5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09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45"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59,849</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95,831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shd w:fill="auto" w:val="clear"/>
            <w:vAlign w:val="center"/>
          </w:tcPr>
          <w:p>
            <w:pPr>
              <w:pStyle w:val="TableContents"/>
              <w:spacing w:before="0" w:after="0"/>
              <w:ind w:left="0" w:right="0" w:hanging="0"/>
              <w:jc w:val="left"/>
              <w:rPr/>
            </w:pPr>
            <w:r>
              <w:rPr/>
              <w:t> </w:t>
            </w:r>
          </w:p>
        </w:tc>
        <w:tc>
          <w:tcPr>
            <w:tcW w:w="10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391" w:type="dxa"/>
            <w:tcBorders/>
            <w:shd w:fill="auto" w:val="clear"/>
            <w:vAlign w:val="center"/>
          </w:tcPr>
          <w:p>
            <w:pPr>
              <w:pStyle w:val="TableContents"/>
              <w:spacing w:before="0" w:after="0"/>
              <w:ind w:left="0" w:right="0" w:firstLine="200"/>
              <w:jc w:val="left"/>
              <w:rPr/>
            </w:pPr>
            <w:r>
              <w:rPr/>
              <w:t> </w:t>
            </w:r>
          </w:p>
        </w:tc>
      </w:tr>
      <w:tr>
        <w:trPr/>
        <w:tc>
          <w:tcPr>
            <w:tcW w:w="254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50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23,034</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4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185,164</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7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5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All short-term investments had stated maturity dates of less than one year.</w:t>
      </w:r>
    </w:p>
    <w:p>
      <w:pPr>
        <w:pStyle w:val="TextBody"/>
        <w:spacing w:before="120" w:after="0"/>
        <w:jc w:val="left"/>
        <w:rPr>
          <w:rFonts w:ascii="Times New Roman" w:hAnsi="Times New Roman"/>
          <w:sz w:val="20"/>
        </w:rPr>
      </w:pPr>
      <w:r>
        <w:rPr>
          <w:rFonts w:ascii="Times New Roman;serif" w:hAnsi="Times New Roman;serif"/>
          <w:b/>
          <w:sz w:val="20"/>
        </w:rPr>
        <w:t>5. Accounts Receivable</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Accounts receivable consisted of the following:</w:t>
      </w:r>
    </w:p>
    <w:tbl>
      <w:tblPr>
        <w:tblW w:w="6827" w:type="dxa"/>
        <w:jc w:val="left"/>
        <w:tblInd w:w="0" w:type="dxa"/>
        <w:tblCellMar>
          <w:top w:w="28" w:type="dxa"/>
          <w:left w:w="28" w:type="dxa"/>
          <w:bottom w:w="28" w:type="dxa"/>
          <w:right w:w="28" w:type="dxa"/>
        </w:tblCellMar>
      </w:tblPr>
      <w:tblGrid>
        <w:gridCol w:w="3696"/>
        <w:gridCol w:w="146"/>
        <w:gridCol w:w="211"/>
        <w:gridCol w:w="676"/>
        <w:gridCol w:w="266"/>
        <w:gridCol w:w="146"/>
        <w:gridCol w:w="260"/>
        <w:gridCol w:w="835"/>
        <w:gridCol w:w="591"/>
      </w:tblGrid>
      <w:tr>
        <w:trPr/>
        <w:tc>
          <w:tcPr>
            <w:tcW w:w="3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69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52,926</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59,780</w:t>
            </w:r>
          </w:p>
        </w:tc>
        <w:tc>
          <w:tcPr>
            <w:tcW w:w="591" w:type="dxa"/>
            <w:tcBorders/>
            <w:shd w:fill="auto" w:val="clear"/>
            <w:vAlign w:val="center"/>
          </w:tcPr>
          <w:p>
            <w:pPr>
              <w:pStyle w:val="TableContents"/>
              <w:spacing w:before="0" w:after="0"/>
              <w:ind w:left="0" w:right="0" w:hanging="0"/>
              <w:jc w:val="left"/>
              <w:rPr/>
            </w:pPr>
            <w:r>
              <w:rPr/>
              <w:t> </w:t>
            </w:r>
          </w:p>
        </w:tc>
      </w:tr>
      <w:tr>
        <w:trPr/>
        <w:tc>
          <w:tcPr>
            <w:tcW w:w="36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Unbilled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6"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53,480</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60,661</w:t>
            </w:r>
          </w:p>
        </w:tc>
        <w:tc>
          <w:tcPr>
            <w:tcW w:w="591" w:type="dxa"/>
            <w:tcBorders/>
            <w:shd w:fill="auto" w:val="clear"/>
            <w:vAlign w:val="center"/>
          </w:tcPr>
          <w:p>
            <w:pPr>
              <w:pStyle w:val="TableContents"/>
              <w:spacing w:before="0" w:after="0"/>
              <w:ind w:left="0" w:right="0" w:firstLine="400"/>
              <w:jc w:val="left"/>
              <w:rPr/>
            </w:pPr>
            <w:r>
              <w:rPr/>
              <w:t> </w:t>
            </w:r>
          </w:p>
        </w:tc>
      </w:tr>
      <w:tr>
        <w:trPr/>
        <w:tc>
          <w:tcPr>
            <w:tcW w:w="369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allowance for doubtful accounts</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(1,679</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51,801</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6. Property and Equipment</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Property and equipment consisted of the following:</w:t>
      </w:r>
      <w:r>
        <w:rPr>
          <w:rFonts w:ascii="Times New Roman" w:hAnsi="Times New Roman"/>
          <w:sz w:val="20"/>
        </w:rPr>
        <w:t xml:space="preserve"> </w:t>
      </w:r>
    </w:p>
    <w:tbl>
      <w:tblPr>
        <w:tblW w:w="7710" w:type="dxa"/>
        <w:jc w:val="left"/>
        <w:tblInd w:w="0" w:type="dxa"/>
        <w:tblCellMar>
          <w:top w:w="28" w:type="dxa"/>
          <w:left w:w="28" w:type="dxa"/>
          <w:bottom w:w="28" w:type="dxa"/>
          <w:right w:w="28" w:type="dxa"/>
        </w:tblCellMar>
      </w:tblPr>
      <w:tblGrid>
        <w:gridCol w:w="4611"/>
        <w:gridCol w:w="146"/>
        <w:gridCol w:w="214"/>
        <w:gridCol w:w="641"/>
        <w:gridCol w:w="266"/>
        <w:gridCol w:w="146"/>
        <w:gridCol w:w="274"/>
        <w:gridCol w:w="821"/>
        <w:gridCol w:w="591"/>
      </w:tblGrid>
      <w:tr>
        <w:trPr/>
        <w:tc>
          <w:tcPr>
            <w:tcW w:w="4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611"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shd w:fill="auto" w:val="clear"/>
            <w:vAlign w:val="center"/>
          </w:tcPr>
          <w:p>
            <w:pPr>
              <w:pStyle w:val="TableContents"/>
              <w:spacing w:before="0" w:after="0"/>
              <w:ind w:left="10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6,396</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5,924</w:t>
            </w:r>
          </w:p>
        </w:tc>
        <w:tc>
          <w:tcPr>
            <w:tcW w:w="591" w:type="dxa"/>
            <w:tcBorders/>
            <w:shd w:fill="auto" w:val="clear"/>
            <w:vAlign w:val="center"/>
          </w:tcPr>
          <w:p>
            <w:pPr>
              <w:pStyle w:val="TableContents"/>
              <w:spacing w:before="0" w:after="0"/>
              <w:ind w:left="0" w:right="0" w:hanging="0"/>
              <w:jc w:val="left"/>
              <w:rPr/>
            </w:pPr>
            <w:r>
              <w:rPr/>
              <w:t> </w:t>
            </w:r>
          </w:p>
        </w:tc>
      </w:tr>
      <w:tr>
        <w:trPr/>
        <w:tc>
          <w:tcPr>
            <w:tcW w:w="4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shd w:fill="auto" w:val="clear"/>
            <w:vAlign w:val="center"/>
          </w:tcPr>
          <w:p>
            <w:pPr>
              <w:pStyle w:val="TableContents"/>
              <w:spacing w:before="0" w:after="0"/>
              <w:ind w:left="10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591" w:type="dxa"/>
            <w:tcBorders/>
            <w:shd w:fill="auto" w:val="clear"/>
            <w:vAlign w:val="center"/>
          </w:tcPr>
          <w:p>
            <w:pPr>
              <w:pStyle w:val="TableContents"/>
              <w:spacing w:before="0" w:after="0"/>
              <w:ind w:left="0" w:right="0" w:hanging="0"/>
              <w:jc w:val="left"/>
              <w:rPr/>
            </w:pPr>
            <w:r>
              <w:rPr/>
              <w:t> </w:t>
            </w:r>
          </w:p>
        </w:tc>
      </w:tr>
      <w:tr>
        <w:trPr/>
        <w:tc>
          <w:tcPr>
            <w:tcW w:w="4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10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2,161</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591" w:type="dxa"/>
            <w:tcBorders/>
            <w:shd w:fill="auto" w:val="clear"/>
            <w:vAlign w:val="center"/>
          </w:tcPr>
          <w:p>
            <w:pPr>
              <w:pStyle w:val="TableContents"/>
              <w:spacing w:before="0" w:after="0"/>
              <w:ind w:left="0" w:right="0" w:hanging="0"/>
              <w:jc w:val="left"/>
              <w:rPr/>
            </w:pPr>
            <w:r>
              <w:rPr/>
              <w:t> </w:t>
            </w:r>
          </w:p>
        </w:tc>
      </w:tr>
      <w:tr>
        <w:trPr/>
        <w:tc>
          <w:tcPr>
            <w:tcW w:w="4611"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100" w:right="0" w:hanging="0"/>
              <w:jc w:val="left"/>
              <w:rPr/>
            </w:pPr>
            <w:r>
              <w:rPr/>
              <w:t> </w:t>
            </w:r>
          </w:p>
        </w:tc>
        <w:tc>
          <w:tcPr>
            <w:tcW w:w="21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4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9,719</w:t>
            </w:r>
          </w:p>
        </w:tc>
        <w:tc>
          <w:tcPr>
            <w:tcW w:w="2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2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9,262</w:t>
            </w:r>
          </w:p>
        </w:tc>
        <w:tc>
          <w:tcPr>
            <w:tcW w:w="5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firstLine="400"/>
              <w:jc w:val="left"/>
              <w:rPr/>
            </w:pPr>
            <w:r>
              <w:rPr/>
              <w:t> </w:t>
            </w:r>
          </w:p>
        </w:tc>
      </w:tr>
      <w:tr>
        <w:trPr/>
        <w:tc>
          <w:tcPr>
            <w:tcW w:w="4611"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50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(5,267</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10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4,452</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Depreciation and amortization expense associated with property and equipment was</w:t>
      </w:r>
      <w:r>
        <w:rPr>
          <w:rFonts w:ascii="Times New Roman" w:hAnsi="Times New Roman"/>
          <w:sz w:val="20"/>
        </w:rPr>
        <w:t xml:space="preserve"> </w:t>
      </w:r>
      <w:r>
        <w:rPr>
          <w:rFonts w:ascii="Times New Roman;serif" w:hAnsi="Times New Roman;serif"/>
          <w:b w:val="false"/>
          <w:sz w:val="20"/>
        </w:rPr>
        <w:t>$0.5</w:t>
      </w:r>
      <w:r>
        <w:rPr>
          <w:rFonts w:ascii="Times New Roman" w:hAnsi="Times New Roman"/>
          <w:sz w:val="20"/>
        </w:rPr>
        <w:t xml:space="preserve"> </w:t>
      </w:r>
      <w:r>
        <w:rPr>
          <w:rFonts w:ascii="Times New Roman;serif" w:hAnsi="Times New Roman;serif"/>
          <w:b w:val="false"/>
          <w:sz w:val="20"/>
        </w:rPr>
        <w:t>million for the three months ended March 31, 2023 and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7. Goodwill and Intangible Assets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carrying amounts of goodwill and intangible assets, as of March 31, 2023 and December 31, 2022, consisted of the following:</w:t>
      </w:r>
      <w:r>
        <w:rPr>
          <w:rFonts w:ascii="Times New Roman" w:hAnsi="Times New Roman"/>
          <w:sz w:val="20"/>
        </w:rPr>
        <w:t xml:space="preserve"> </w:t>
      </w:r>
    </w:p>
    <w:tbl>
      <w:tblPr>
        <w:tblW w:w="8082" w:type="dxa"/>
        <w:jc w:val="left"/>
        <w:tblInd w:w="0" w:type="dxa"/>
        <w:tblCellMar>
          <w:top w:w="28" w:type="dxa"/>
          <w:left w:w="28" w:type="dxa"/>
          <w:bottom w:w="28" w:type="dxa"/>
          <w:right w:w="28" w:type="dxa"/>
        </w:tblCellMar>
      </w:tblPr>
      <w:tblGrid>
        <w:gridCol w:w="3176"/>
        <w:gridCol w:w="146"/>
        <w:gridCol w:w="211"/>
        <w:gridCol w:w="931"/>
        <w:gridCol w:w="246"/>
        <w:gridCol w:w="146"/>
        <w:gridCol w:w="216"/>
        <w:gridCol w:w="865"/>
        <w:gridCol w:w="266"/>
        <w:gridCol w:w="146"/>
        <w:gridCol w:w="211"/>
        <w:gridCol w:w="931"/>
        <w:gridCol w:w="591"/>
      </w:tblGrid>
      <w:tr>
        <w:trPr/>
        <w:tc>
          <w:tcPr>
            <w:tcW w:w="3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17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416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081" w:type="dxa"/>
            <w:gridSpan w:val="2"/>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409,430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(137,290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272,140</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56,975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(27,563</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29,412</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28,234</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50,215</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(41,706</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552,538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(214,243</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338,295</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1,875,640</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(214,243</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1,661,397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382" w:type="dxa"/>
        <w:jc w:val="left"/>
        <w:tblInd w:w="0" w:type="dxa"/>
        <w:tblCellMar>
          <w:top w:w="28" w:type="dxa"/>
          <w:left w:w="28" w:type="dxa"/>
          <w:bottom w:w="28" w:type="dxa"/>
          <w:right w:w="28" w:type="dxa"/>
        </w:tblCellMar>
      </w:tblPr>
      <w:tblGrid>
        <w:gridCol w:w="3176"/>
        <w:gridCol w:w="246"/>
        <w:gridCol w:w="211"/>
        <w:gridCol w:w="931"/>
        <w:gridCol w:w="246"/>
        <w:gridCol w:w="246"/>
        <w:gridCol w:w="216"/>
        <w:gridCol w:w="865"/>
        <w:gridCol w:w="266"/>
        <w:gridCol w:w="246"/>
        <w:gridCol w:w="211"/>
        <w:gridCol w:w="931"/>
        <w:gridCol w:w="591"/>
      </w:tblGrid>
      <w:tr>
        <w:trPr/>
        <w:tc>
          <w:tcPr>
            <w:tcW w:w="31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17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4369"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246" w:type="dxa"/>
            <w:tcBorders/>
            <w:shd w:fill="auto" w:val="clear"/>
            <w:vAlign w:val="center"/>
          </w:tcPr>
          <w:p>
            <w:pPr>
              <w:pStyle w:val="TableContents"/>
              <w:spacing w:before="0" w:after="0"/>
              <w:ind w:left="10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246" w:type="dxa"/>
            <w:tcBorders/>
            <w:shd w:fill="auto" w:val="clear"/>
            <w:vAlign w:val="center"/>
          </w:tcPr>
          <w:p>
            <w:pPr>
              <w:pStyle w:val="TableContents"/>
              <w:spacing w:before="0" w:after="0"/>
              <w:ind w:left="0" w:right="0" w:firstLine="100"/>
              <w:jc w:val="left"/>
              <w:rPr/>
            </w:pPr>
            <w:r>
              <w:rPr/>
              <w:t> </w:t>
            </w:r>
          </w:p>
        </w:tc>
        <w:tc>
          <w:tcPr>
            <w:tcW w:w="1142" w:type="dxa"/>
            <w:gridSpan w:val="2"/>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81"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142" w:type="dxa"/>
            <w:gridSpan w:val="2"/>
            <w:tcBorders/>
            <w:shd w:fill="auto" w:val="clear"/>
            <w:vAlign w:val="center"/>
          </w:tcPr>
          <w:p>
            <w:pPr>
              <w:pStyle w:val="TableContents"/>
              <w:spacing w:before="0" w:after="0"/>
              <w:ind w:left="10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409,430</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(128,745</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280,685</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56,965</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(25,514</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35,914</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28,764</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50,215</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(40,393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552,524</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1" w:type="dxa"/>
            <w:tcBorders/>
            <w:shd w:fill="auto" w:val="clear"/>
            <w:vAlign w:val="center"/>
          </w:tcPr>
          <w:p>
            <w:pPr>
              <w:pStyle w:val="TableContents"/>
              <w:spacing w:before="0" w:after="0"/>
              <w:ind w:left="0" w:right="0" w:firstLine="400"/>
              <w:jc w:val="left"/>
              <w:rPr/>
            </w:pPr>
            <w:r>
              <w:rPr/>
              <w:t> </w:t>
            </w:r>
          </w:p>
        </w:tc>
      </w:tr>
      <w:tr>
        <w:trPr/>
        <w:tc>
          <w:tcPr>
            <w:tcW w:w="317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7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1,875,626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1,673,824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Amortization expense associated with finite-lived intangible assets was $12.4</w:t>
      </w:r>
      <w:r>
        <w:rPr>
          <w:rFonts w:ascii="Times New Roman" w:hAnsi="Times New Roman"/>
          <w:sz w:val="20"/>
        </w:rPr>
        <w:t xml:space="preserve"> </w:t>
      </w:r>
      <w:r>
        <w:rPr>
          <w:rFonts w:ascii="Times New Roman;serif" w:hAnsi="Times New Roman;serif"/>
          <w:b w:val="false"/>
          <w:sz w:val="20"/>
        </w:rPr>
        <w:t>million and $14.7</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of which $3.4</w:t>
      </w:r>
      <w:r>
        <w:rPr>
          <w:rFonts w:ascii="Times New Roman" w:hAnsi="Times New Roman"/>
          <w:sz w:val="20"/>
        </w:rPr>
        <w:t xml:space="preserve"> </w:t>
      </w:r>
      <w:r>
        <w:rPr>
          <w:rFonts w:ascii="Times New Roman;serif" w:hAnsi="Times New Roman;serif"/>
          <w:b w:val="false"/>
          <w:sz w:val="20"/>
        </w:rPr>
        <w:t>million and $5.4</w:t>
      </w:r>
      <w:r>
        <w:rPr>
          <w:rFonts w:ascii="Times New Roman" w:hAnsi="Times New Roman"/>
          <w:sz w:val="20"/>
        </w:rPr>
        <w:t xml:space="preserve"> </w:t>
      </w:r>
      <w:r>
        <w:rPr>
          <w:rFonts w:ascii="Times New Roman;serif" w:hAnsi="Times New Roman;serif"/>
          <w:b w:val="false"/>
          <w:sz w:val="20"/>
        </w:rPr>
        <w:t>million was included in cost of revenue for each respective period.</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Estimated total intangible amortization expense during the next five years and thereafter is as follows:</w:t>
      </w:r>
    </w:p>
    <w:tbl>
      <w:tblPr>
        <w:tblW w:w="6055" w:type="dxa"/>
        <w:jc w:val="left"/>
        <w:tblInd w:w="0" w:type="dxa"/>
        <w:tblCellMar>
          <w:top w:w="28" w:type="dxa"/>
          <w:left w:w="28" w:type="dxa"/>
          <w:bottom w:w="28" w:type="dxa"/>
          <w:right w:w="28" w:type="dxa"/>
        </w:tblCellMar>
      </w:tblPr>
      <w:tblGrid>
        <w:gridCol w:w="4726"/>
        <w:gridCol w:w="146"/>
        <w:gridCol w:w="211"/>
        <w:gridCol w:w="781"/>
        <w:gridCol w:w="191"/>
      </w:tblGrid>
      <w:tr>
        <w:trPr/>
        <w:tc>
          <w:tcPr>
            <w:tcW w:w="4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the 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37,467</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46,925</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42,367</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34,892</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28,559</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148,085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338,295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Company determined it had one</w:t>
      </w:r>
      <w:r>
        <w:rPr>
          <w:rFonts w:ascii="Times New Roman" w:hAnsi="Times New Roman"/>
          <w:sz w:val="20"/>
        </w:rPr>
        <w:t xml:space="preserve"> </w:t>
      </w:r>
      <w:r>
        <w:rPr>
          <w:rFonts w:ascii="Times New Roman;serif" w:hAnsi="Times New Roman;serif"/>
          <w:b w:val="false"/>
          <w:sz w:val="20"/>
        </w:rPr>
        <w:t>reporting unit. There was no</w:t>
      </w:r>
      <w:r>
        <w:rPr>
          <w:rFonts w:ascii="Times New Roman" w:hAnsi="Times New Roman"/>
          <w:sz w:val="20"/>
        </w:rPr>
        <w:t xml:space="preserve"> </w:t>
      </w:r>
      <w:r>
        <w:rPr>
          <w:rFonts w:ascii="Times New Roman;serif" w:hAnsi="Times New Roman;serif"/>
          <w:b w:val="false"/>
          <w:sz w:val="20"/>
        </w:rPr>
        <w:t>impairment of goodwill in the three months ended March 31, 2023 or 2022.</w:t>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8. Accrued Expenses and Other Current Liabilities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Accrued expenses and other current liabilities consisted of the following:</w:t>
      </w:r>
      <w:r>
        <w:rPr>
          <w:rFonts w:ascii="Times New Roman" w:hAnsi="Times New Roman"/>
          <w:sz w:val="20"/>
        </w:rPr>
        <w:t xml:space="preserve"> </w:t>
      </w:r>
    </w:p>
    <w:tbl>
      <w:tblPr>
        <w:tblW w:w="6637" w:type="dxa"/>
        <w:jc w:val="left"/>
        <w:tblInd w:w="0" w:type="dxa"/>
        <w:tblCellMar>
          <w:top w:w="28" w:type="dxa"/>
          <w:left w:w="28" w:type="dxa"/>
          <w:bottom w:w="28" w:type="dxa"/>
          <w:right w:w="28" w:type="dxa"/>
        </w:tblCellMar>
      </w:tblPr>
      <w:tblGrid>
        <w:gridCol w:w="3926"/>
        <w:gridCol w:w="146"/>
        <w:gridCol w:w="211"/>
        <w:gridCol w:w="676"/>
        <w:gridCol w:w="246"/>
        <w:gridCol w:w="146"/>
        <w:gridCol w:w="260"/>
        <w:gridCol w:w="835"/>
        <w:gridCol w:w="191"/>
      </w:tblGrid>
      <w:tr>
        <w:trPr/>
        <w:tc>
          <w:tcPr>
            <w:tcW w:w="3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2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Payroll and payroll-related</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11,961</w:t>
            </w:r>
          </w:p>
        </w:tc>
        <w:tc>
          <w:tcPr>
            <w:tcW w:w="191"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 current portion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 current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franchise, and other taxes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1,982</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3,631</w:t>
            </w:r>
          </w:p>
        </w:tc>
        <w:tc>
          <w:tcPr>
            <w:tcW w:w="191" w:type="dxa"/>
            <w:tcBorders/>
            <w:shd w:fill="auto" w:val="cle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3,748</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20,770</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On January 12, 2023, the Company announced a restructuring plan intended to reduce operating costs, improve operating margins, and continue advancing the Company’s ongoing commitment to profitable growth. During the first quarter of 2023, the Company incurred restructuring and related charges of $2.1</w:t>
      </w:r>
      <w:r>
        <w:rPr>
          <w:rFonts w:ascii="Times New Roman" w:hAnsi="Times New Roman"/>
          <w:sz w:val="20"/>
        </w:rPr>
        <w:t xml:space="preserve"> </w:t>
      </w:r>
      <w:r>
        <w:rPr>
          <w:rFonts w:ascii="Times New Roman;serif" w:hAnsi="Times New Roman;serif"/>
          <w:b w:val="false"/>
          <w:sz w:val="20"/>
        </w:rPr>
        <w:t>million, consisting primarily of severance payments, employee benefits, and related cash expenses. These charges were recognized within Transaction, integration, and restructuring expenses in the Company’s condensed consolidated statements of operations. As of March 31, 2023, $1.8</w:t>
      </w:r>
      <w:r>
        <w:rPr>
          <w:rFonts w:ascii="Times New Roman" w:hAnsi="Times New Roman"/>
          <w:sz w:val="20"/>
        </w:rPr>
        <w:t xml:space="preserve"> </w:t>
      </w:r>
      <w:r>
        <w:rPr>
          <w:rFonts w:ascii="Times New Roman;serif" w:hAnsi="Times New Roman;serif"/>
          <w:b w:val="false"/>
          <w:sz w:val="20"/>
        </w:rPr>
        <w:t>million has been paid and the remaining $0.3</w:t>
      </w:r>
      <w:r>
        <w:rPr>
          <w:rFonts w:ascii="Times New Roman" w:hAnsi="Times New Roman"/>
          <w:sz w:val="20"/>
        </w:rPr>
        <w:t xml:space="preserve"> </w:t>
      </w:r>
      <w:r>
        <w:rPr>
          <w:rFonts w:ascii="Times New Roman;serif" w:hAnsi="Times New Roman;serif"/>
          <w:b w:val="false"/>
          <w:sz w:val="20"/>
        </w:rPr>
        <w:t>million is included in Accrued expenses and other liabilities in the condensed consolidated balance sheets. The Company expects these remaining payments to be made over the next three months. In addition, the Company expects to incur an additional $0.5</w:t>
      </w:r>
      <w:r>
        <w:rPr>
          <w:rFonts w:ascii="Times New Roman" w:hAnsi="Times New Roman"/>
          <w:sz w:val="20"/>
        </w:rPr>
        <w:t xml:space="preserve"> </w:t>
      </w:r>
      <w:r>
        <w:rPr>
          <w:rFonts w:ascii="Times New Roman;serif" w:hAnsi="Times New Roman;serif"/>
          <w:b w:val="false"/>
          <w:sz w:val="20"/>
        </w:rPr>
        <w:t>million in expense through August 2023 associated with the restructuring plan.</w:t>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9. Long-Term Debt</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Long-term debt consisted of the following as of March 31, 2023 and December 31, 2022, respectively:</w:t>
      </w:r>
      <w:r>
        <w:rPr>
          <w:rFonts w:ascii="Times New Roman" w:hAnsi="Times New Roman"/>
          <w:sz w:val="20"/>
        </w:rPr>
        <w:t xml:space="preserve"> </w:t>
      </w:r>
    </w:p>
    <w:tbl>
      <w:tblPr>
        <w:tblW w:w="8091" w:type="dxa"/>
        <w:jc w:val="left"/>
        <w:tblInd w:w="0" w:type="dxa"/>
        <w:tblCellMar>
          <w:top w:w="28" w:type="dxa"/>
          <w:left w:w="28" w:type="dxa"/>
          <w:bottom w:w="28" w:type="dxa"/>
          <w:right w:w="28" w:type="dxa"/>
        </w:tblCellMar>
      </w:tblPr>
      <w:tblGrid>
        <w:gridCol w:w="3356"/>
        <w:gridCol w:w="246"/>
        <w:gridCol w:w="211"/>
        <w:gridCol w:w="781"/>
        <w:gridCol w:w="246"/>
        <w:gridCol w:w="246"/>
        <w:gridCol w:w="353"/>
        <w:gridCol w:w="1057"/>
        <w:gridCol w:w="266"/>
        <w:gridCol w:w="146"/>
        <w:gridCol w:w="211"/>
        <w:gridCol w:w="781"/>
        <w:gridCol w:w="191"/>
      </w:tblGrid>
      <w:tr>
        <w:trPr/>
        <w:tc>
          <w:tcPr>
            <w:tcW w:w="335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5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429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5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5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2021 Term Loan</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264,688</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3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262,778</w:t>
            </w:r>
          </w:p>
        </w:tc>
        <w:tc>
          <w:tcPr>
            <w:tcW w:w="191" w:type="dxa"/>
            <w:tcBorders/>
            <w:shd w:fill="auto" w:val="clear"/>
            <w:vAlign w:val="center"/>
          </w:tcPr>
          <w:p>
            <w:pPr>
              <w:pStyle w:val="TableContents"/>
              <w:spacing w:before="0" w:after="0"/>
              <w:ind w:left="0" w:right="0" w:hanging="0"/>
              <w:jc w:val="left"/>
              <w:rPr/>
            </w:pPr>
            <w:r>
              <w:rPr/>
              <w:t> </w:t>
            </w:r>
          </w:p>
        </w:tc>
      </w:tr>
      <w:tr>
        <w:trPr/>
        <w:tc>
          <w:tcPr>
            <w:tcW w:w="335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246" w:type="dxa"/>
            <w:tcBorders/>
            <w:shd w:fill="auto" w:val="clear"/>
            <w:vAlign w:val="center"/>
          </w:tcPr>
          <w:p>
            <w:pPr>
              <w:pStyle w:val="TableContents"/>
              <w:spacing w:before="0" w:after="0"/>
              <w:ind w:left="0" w:right="0" w:firstLine="100"/>
              <w:jc w:val="left"/>
              <w:rPr/>
            </w:pPr>
            <w:r>
              <w:rPr/>
              <w:t> </w:t>
            </w:r>
          </w:p>
        </w:tc>
        <w:tc>
          <w:tcPr>
            <w:tcW w:w="992" w:type="dxa"/>
            <w:gridSpan w:val="2"/>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10"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5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debt</w:t>
            </w:r>
          </w:p>
        </w:tc>
        <w:tc>
          <w:tcPr>
            <w:tcW w:w="246" w:type="dxa"/>
            <w:tcBorders/>
            <w:shd w:fill="auto" w:val="clear"/>
            <w:vAlign w:val="center"/>
          </w:tcPr>
          <w:p>
            <w:pPr>
              <w:pStyle w:val="TableContents"/>
              <w:spacing w:before="0" w:after="0"/>
              <w:ind w:left="0" w:right="0" w:firstLine="100"/>
              <w:jc w:val="left"/>
              <w:rPr/>
            </w:pPr>
            <w:r>
              <w:rPr/>
              <w:t> </w:t>
            </w:r>
          </w:p>
        </w:tc>
        <w:tc>
          <w:tcPr>
            <w:tcW w:w="992" w:type="dxa"/>
            <w:gridSpan w:val="2"/>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10"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591" w:type="dxa"/>
        <w:jc w:val="left"/>
        <w:tblInd w:w="0" w:type="dxa"/>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9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2021 Term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266,406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264,359</w:t>
            </w:r>
          </w:p>
        </w:tc>
        <w:tc>
          <w:tcPr>
            <w:tcW w:w="191"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repaid $1.7</w:t>
      </w:r>
      <w:r>
        <w:rPr>
          <w:rFonts w:ascii="Times New Roman" w:hAnsi="Times New Roman"/>
          <w:sz w:val="20"/>
        </w:rPr>
        <w:t xml:space="preserve"> </w:t>
      </w:r>
      <w:r>
        <w:rPr>
          <w:rFonts w:ascii="Times New Roman;serif" w:hAnsi="Times New Roman;serif"/>
          <w:b w:val="false"/>
          <w:sz w:val="20"/>
        </w:rPr>
        <w:t>million in outstanding principal of the 2021 Term Loan.</w:t>
      </w:r>
    </w:p>
    <w:p>
      <w:pPr>
        <w:pStyle w:val="TextBody"/>
        <w:spacing w:before="120" w:after="0"/>
        <w:jc w:val="left"/>
        <w:rPr>
          <w:rFonts w:ascii="Times New Roman;serif" w:hAnsi="Times New Roman;serif"/>
          <w:b w:val="false"/>
          <w:sz w:val="20"/>
          <w:u w:val="single"/>
        </w:rPr>
      </w:pPr>
      <w:r>
        <w:rPr>
          <w:rFonts w:ascii="Times New Roman;serif" w:hAnsi="Times New Roman;serif"/>
          <w:b w:val="false"/>
          <w:sz w:val="20"/>
          <w:u w:val="single"/>
        </w:rPr>
        <w:t>2021 Credit Agreement</w:t>
      </w:r>
    </w:p>
    <w:p>
      <w:pPr>
        <w:pStyle w:val="TextBody"/>
        <w:spacing w:before="120" w:after="0"/>
        <w:jc w:val="left"/>
        <w:rPr>
          <w:rFonts w:ascii="Times New Roman" w:hAnsi="Times New Roman"/>
          <w:sz w:val="20"/>
        </w:rPr>
      </w:pPr>
      <w:r>
        <w:rPr>
          <w:rFonts w:ascii="Times New Roman;serif" w:hAnsi="Times New Roman;serif"/>
          <w:b w:val="false"/>
          <w:sz w:val="20"/>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w:t>
      </w:r>
      <w:r>
        <w:rPr>
          <w:rFonts w:ascii="Times New Roman" w:hAnsi="Times New Roman"/>
          <w:sz w:val="20"/>
        </w:rPr>
        <w:t xml:space="preserve"> </w:t>
      </w:r>
      <w:r>
        <w:rPr>
          <w:rFonts w:ascii="Times New Roman;serif" w:hAnsi="Times New Roman;serif"/>
          <w:b w:val="false"/>
          <w:sz w:val="20"/>
        </w:rPr>
        <w:t>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pStyle w:val="TextBody"/>
        <w:spacing w:before="120" w:after="0"/>
        <w:jc w:val="left"/>
        <w:rPr>
          <w:rFonts w:ascii="Times New Roman" w:hAnsi="Times New Roman"/>
          <w:sz w:val="20"/>
        </w:rPr>
      </w:pPr>
      <w:r>
        <w:rPr>
          <w:rFonts w:ascii="Times New Roman;serif" w:hAnsi="Times New Roman;serif"/>
          <w:b w:val="false"/>
          <w:sz w:val="20"/>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w:t>
      </w:r>
      <w:r>
        <w:rPr>
          <w:rFonts w:ascii="Times New Roman" w:hAnsi="Times New Roman"/>
          <w:sz w:val="20"/>
        </w:rPr>
        <w:t xml:space="preserve"> </w:t>
      </w:r>
      <w:r>
        <w:rPr>
          <w:rFonts w:ascii="Times New Roman;serif" w:hAnsi="Times New Roman;serif"/>
          <w:b w:val="false"/>
          <w:sz w:val="20"/>
        </w:rPr>
        <w:t>million will be due at the maturity of the 2021 Term Loan. There was $264.7</w:t>
      </w:r>
      <w:r>
        <w:rPr>
          <w:rFonts w:ascii="Times New Roman" w:hAnsi="Times New Roman"/>
          <w:sz w:val="20"/>
        </w:rPr>
        <w:t xml:space="preserve"> </w:t>
      </w:r>
      <w:r>
        <w:rPr>
          <w:rFonts w:ascii="Times New Roman;serif" w:hAnsi="Times New Roman;serif"/>
          <w:b w:val="false"/>
          <w:sz w:val="20"/>
        </w:rPr>
        <w:t>million outstanding on the 2021 Term Loan at March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March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March 31, 2023, the effective interest rate was 6.66%.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31, 2022, the Company amended the 2021 Credit Agreement to replace the LIBO rate with Term SOFR plus an applicable rate.</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2021 Credit Agreement, the Company capitalized financing costs totaling $3.5</w:t>
      </w:r>
      <w:r>
        <w:rPr>
          <w:rFonts w:ascii="Times New Roman" w:hAnsi="Times New Roman"/>
          <w:sz w:val="20"/>
        </w:rPr>
        <w:t xml:space="preserve"> </w:t>
      </w:r>
      <w:r>
        <w:rPr>
          <w:rFonts w:ascii="Times New Roman;serif" w:hAnsi="Times New Roman;serif"/>
          <w:b w:val="false"/>
          <w:sz w:val="20"/>
        </w:rPr>
        <w:t>million, $2.8</w:t>
      </w:r>
      <w:r>
        <w:rPr>
          <w:rFonts w:ascii="Times New Roman" w:hAnsi="Times New Roman"/>
          <w:sz w:val="20"/>
        </w:rPr>
        <w:t xml:space="preserve"> </w:t>
      </w:r>
      <w:r>
        <w:rPr>
          <w:rFonts w:ascii="Times New Roman;serif" w:hAnsi="Times New Roman;serif"/>
          <w:b w:val="false"/>
          <w:sz w:val="20"/>
        </w:rPr>
        <w:t>million for the 2021 Term Loan facility and $0.8</w:t>
      </w:r>
      <w:r>
        <w:rPr>
          <w:rFonts w:ascii="Times New Roman" w:hAnsi="Times New Roman"/>
          <w:sz w:val="20"/>
        </w:rPr>
        <w:t xml:space="preserve"> </w:t>
      </w:r>
      <w:r>
        <w:rPr>
          <w:rFonts w:ascii="Times New Roman;serif" w:hAnsi="Times New Roman;serif"/>
          <w:b w:val="false"/>
          <w:sz w:val="20"/>
        </w:rPr>
        <w:t>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March 31, 2023, the unamortized financing costs were $0.5</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10. Derivative Instruments and Hedging Activities</w:t>
      </w:r>
    </w:p>
    <w:p>
      <w:pPr>
        <w:pStyle w:val="TextBody"/>
        <w:spacing w:before="240" w:after="0"/>
        <w:jc w:val="both"/>
        <w:rPr>
          <w:rFonts w:ascii="Times New Roman" w:hAnsi="Times New Roman"/>
          <w:sz w:val="20"/>
        </w:rPr>
      </w:pPr>
      <w:r>
        <w:rPr>
          <w:rFonts w:ascii="Times New Roman;serif" w:hAnsi="Times New Roman;serif"/>
          <w:b/>
          <w:i/>
          <w:sz w:val="20"/>
        </w:rPr>
        <w:t>Risk Management Objective of Using Derivatives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 xml:space="preserve">The Company is exposed to risks from changes in interest rates related to the 2021 Term Loan (See Note 9. </w:t>
      </w:r>
      <w:r>
        <w:rPr>
          <w:rFonts w:ascii="Times New Roman;serif" w:hAnsi="Times New Roman;serif"/>
          <w:b w:val="false"/>
          <w:i/>
          <w:sz w:val="20"/>
        </w:rPr>
        <w:t>Long-Term Debt</w:t>
      </w:r>
      <w:r>
        <w:rPr>
          <w:rFonts w:ascii="Times New Roman;serif" w:hAnsi="Times New Roman;serif"/>
          <w:b w:val="false"/>
          <w:sz w:val="20"/>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r>
        <w:rPr>
          <w:rFonts w:ascii="Times New Roman" w:hAnsi="Times New Roman"/>
          <w:sz w:val="20"/>
        </w:rPr>
        <w:t xml:space="preserve"> </w:t>
      </w:r>
    </w:p>
    <w:p>
      <w:pPr>
        <w:pStyle w:val="TextBody"/>
        <w:spacing w:before="240" w:after="0"/>
        <w:jc w:val="both"/>
        <w:rPr>
          <w:rFonts w:ascii="Times New Roman;serif" w:hAnsi="Times New Roman;serif"/>
          <w:b/>
          <w:i/>
          <w:sz w:val="20"/>
        </w:rPr>
      </w:pPr>
      <w:r>
        <w:rPr>
          <w:rFonts w:ascii="Times New Roman;serif" w:hAnsi="Times New Roman;serif"/>
          <w:b/>
          <w:i/>
          <w:sz w:val="20"/>
        </w:rPr>
        <w:t>Cash Flow Hedges of Interest Rate Risk</w:t>
      </w:r>
    </w:p>
    <w:p>
      <w:pPr>
        <w:pStyle w:val="TextBody"/>
        <w:spacing w:before="120" w:after="0"/>
        <w:jc w:val="both"/>
        <w:rPr>
          <w:rFonts w:ascii="Times New Roman" w:hAnsi="Times New Roman"/>
          <w:sz w:val="20"/>
        </w:rPr>
      </w:pPr>
      <w:r>
        <w:rPr>
          <w:rFonts w:ascii="Times New Roman;serif" w:hAnsi="Times New Roman;serif"/>
          <w:b w:val="false"/>
          <w:sz w:val="20"/>
        </w:rPr>
        <w:t>The Company entered into two</w:t>
      </w:r>
      <w:r>
        <w:rPr>
          <w:rFonts w:ascii="Times New Roman" w:hAnsi="Times New Roman"/>
          <w:sz w:val="20"/>
        </w:rPr>
        <w:t xml:space="preserve"> </w:t>
      </w:r>
      <w:r>
        <w:rPr>
          <w:rFonts w:ascii="Times New Roman;serif" w:hAnsi="Times New Roman;serif"/>
          <w:b w:val="false"/>
          <w:sz w:val="20"/>
        </w:rPr>
        <w:t xml:space="preserve">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9. </w:t>
      </w:r>
      <w:r>
        <w:rPr>
          <w:rFonts w:ascii="Times New Roman;serif" w:hAnsi="Times New Roman;serif"/>
          <w:b w:val="false"/>
          <w:i/>
          <w:sz w:val="20"/>
        </w:rPr>
        <w:t>Long-Term Debt</w:t>
      </w:r>
      <w:r>
        <w:rPr>
          <w:rFonts w:ascii="Times New Roman;serif" w:hAnsi="Times New Roman;serif"/>
          <w:b w:val="false"/>
          <w:sz w:val="20"/>
        </w:rPr>
        <w:t>), the Company amended the two interest rate swap agreements to replace the LIBO rate with Term SOFR. As a result, subsequent to October 31, 2022, the counterparties paid and will continue to pay interest at a floating rate based on Term SOFR.</w:t>
      </w:r>
    </w:p>
    <w:p>
      <w:pPr>
        <w:pStyle w:val="TextBody"/>
        <w:spacing w:before="120" w:after="0"/>
        <w:jc w:val="both"/>
        <w:rPr>
          <w:rFonts w:ascii="Times New Roman" w:hAnsi="Times New Roman"/>
          <w:sz w:val="20"/>
        </w:rPr>
      </w:pPr>
      <w:r>
        <w:rPr>
          <w:rFonts w:ascii="Times New Roman;serif" w:hAnsi="Times New Roman;serif"/>
          <w:b w:val="false"/>
          <w:sz w:val="20"/>
        </w:rPr>
        <w:t>As of March 31, 2023, the two</w:t>
      </w:r>
      <w:r>
        <w:rPr>
          <w:rFonts w:ascii="Times New Roman" w:hAnsi="Times New Roman"/>
          <w:sz w:val="20"/>
        </w:rPr>
        <w:t xml:space="preserve"> </w:t>
      </w:r>
      <w:r>
        <w:rPr>
          <w:rFonts w:ascii="Times New Roman;serif" w:hAnsi="Times New Roman;serif"/>
          <w:b w:val="false"/>
          <w:sz w:val="20"/>
        </w:rPr>
        <w:t>outstanding interest rate swap agreements each had a notional value of $66.2</w:t>
      </w:r>
      <w:r>
        <w:rPr>
          <w:rFonts w:ascii="Times New Roman" w:hAnsi="Times New Roman"/>
          <w:sz w:val="20"/>
        </w:rPr>
        <w:t xml:space="preserve"> </w:t>
      </w:r>
      <w:r>
        <w:rPr>
          <w:rFonts w:ascii="Times New Roman;serif" w:hAnsi="Times New Roman;serif"/>
          <w:b w:val="false"/>
          <w:sz w:val="20"/>
        </w:rPr>
        <w:t>million with fixed interest rates of 1.909% and 1.9065%. Interest payments under the swaps are made monthly on a net settlement basis. The Company has not recorded any amounts due to ineffectiveness for the period ended March 31, 2023. The notional value of each interest rate swap agreement is expected to match the corresponding principal amount of a portion of our borrowings under the 2021 Term Loan. The swap agreements mature on March 31, 2025.</w:t>
      </w:r>
    </w:p>
    <w:p>
      <w:pPr>
        <w:pStyle w:val="TextBody"/>
        <w:spacing w:before="120" w:after="0"/>
        <w:jc w:val="both"/>
        <w:rPr>
          <w:rFonts w:ascii="Times New Roman" w:hAnsi="Times New Roman"/>
          <w:sz w:val="20"/>
        </w:rPr>
      </w:pPr>
      <w:r>
        <w:rPr>
          <w:rFonts w:ascii="Times New Roman;serif" w:hAnsi="Times New Roman;serif"/>
          <w:b w:val="false"/>
          <w:sz w:val="20"/>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$3.5</w:t>
      </w:r>
      <w:r>
        <w:rPr>
          <w:rFonts w:ascii="Times New Roman" w:hAnsi="Times New Roman"/>
          <w:sz w:val="20"/>
        </w:rPr>
        <w:t xml:space="preserve"> </w:t>
      </w:r>
      <w:r>
        <w:rPr>
          <w:rFonts w:ascii="Times New Roman;serif" w:hAnsi="Times New Roman;serif"/>
          <w:b w:val="false"/>
          <w:sz w:val="20"/>
        </w:rPr>
        <w:t>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fair values of the interest rate swaps and their respective locations in our condensed consolidated balance sheets at March 31, 2023 and December 31, 2022 were as follows:</w:t>
      </w:r>
    </w:p>
    <w:tbl>
      <w:tblPr>
        <w:tblW w:w="9552" w:type="dxa"/>
        <w:jc w:val="left"/>
        <w:tblInd w:w="0" w:type="dxa"/>
        <w:tblCellMar>
          <w:top w:w="28" w:type="dxa"/>
          <w:left w:w="28" w:type="dxa"/>
          <w:bottom w:w="28" w:type="dxa"/>
          <w:right w:w="28" w:type="dxa"/>
        </w:tblCellMar>
      </w:tblPr>
      <w:tblGrid>
        <w:gridCol w:w="2381"/>
        <w:gridCol w:w="146"/>
        <w:gridCol w:w="3536"/>
        <w:gridCol w:w="146"/>
        <w:gridCol w:w="340"/>
        <w:gridCol w:w="920"/>
        <w:gridCol w:w="246"/>
        <w:gridCol w:w="146"/>
        <w:gridCol w:w="403"/>
        <w:gridCol w:w="1097"/>
        <w:gridCol w:w="191"/>
      </w:tblGrid>
      <w:tr>
        <w:trPr/>
        <w:tc>
          <w:tcPr>
            <w:tcW w:w="2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81"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35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1"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Short-term</w:t>
            </w:r>
            <w:r>
              <w:rPr>
                <w:rFonts w:ascii="Times New Roman" w:hAnsi="Times New Roman"/>
                <w:sz w:val="20"/>
              </w:rPr>
              <w:t> </w:t>
            </w:r>
            <w:r>
              <w:rPr>
                <w:rFonts w:ascii="Times New Roman;serif" w:hAnsi="Times New Roman;serif"/>
                <w:b w:val="false"/>
                <w:sz w:val="20"/>
              </w:rPr>
              <w:t>derivative asset</w:t>
            </w:r>
          </w:p>
        </w:tc>
        <w:tc>
          <w:tcPr>
            <w:tcW w:w="146" w:type="dxa"/>
            <w:tcBorders/>
            <w:shd w:fill="auto" w:val="clear"/>
            <w:vAlign w:val="center"/>
          </w:tcPr>
          <w:p>
            <w:pPr>
              <w:pStyle w:val="TableContents"/>
              <w:spacing w:before="0" w:after="0"/>
              <w:ind w:left="100" w:right="0" w:hanging="0"/>
              <w:jc w:val="left"/>
              <w:rPr/>
            </w:pPr>
            <w:r>
              <w:rPr/>
              <w:t> </w:t>
            </w:r>
          </w:p>
        </w:tc>
        <w:tc>
          <w:tcPr>
            <w:tcW w:w="35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10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91" w:type="dxa"/>
            <w:tcBorders/>
            <w:shd w:fill="auto" w:val="clear"/>
            <w:vAlign w:val="center"/>
          </w:tcPr>
          <w:p>
            <w:pPr>
              <w:pStyle w:val="TableContents"/>
              <w:spacing w:before="0" w:after="0"/>
              <w:ind w:left="0" w:right="0" w:hanging="0"/>
              <w:jc w:val="left"/>
              <w:rPr/>
            </w:pPr>
            <w:r>
              <w:rPr/>
              <w:t> </w:t>
            </w:r>
          </w:p>
        </w:tc>
      </w:tr>
      <w:tr>
        <w:trPr/>
        <w:tc>
          <w:tcPr>
            <w:tcW w:w="2381"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Long-term</w:t>
            </w:r>
            <w:r>
              <w:rPr>
                <w:rFonts w:ascii="Times New Roman" w:hAnsi="Times New Roman"/>
                <w:sz w:val="20"/>
              </w:rPr>
              <w:t> </w:t>
            </w:r>
            <w:r>
              <w:rPr>
                <w:rFonts w:ascii="Times New Roman;serif" w:hAnsi="Times New Roman;serif"/>
                <w:b w:val="false"/>
                <w:sz w:val="20"/>
              </w:rPr>
              <w:t>derivative asset</w:t>
            </w:r>
          </w:p>
        </w:tc>
        <w:tc>
          <w:tcPr>
            <w:tcW w:w="146" w:type="dxa"/>
            <w:tcBorders/>
            <w:shd w:fill="auto" w:val="clear"/>
            <w:vAlign w:val="center"/>
          </w:tcPr>
          <w:p>
            <w:pPr>
              <w:pStyle w:val="TableContents"/>
              <w:spacing w:before="0" w:after="0"/>
              <w:ind w:left="100" w:right="0" w:hanging="0"/>
              <w:jc w:val="left"/>
              <w:rPr/>
            </w:pPr>
            <w:r>
              <w:rPr/>
              <w:t> </w:t>
            </w:r>
          </w:p>
        </w:tc>
        <w:tc>
          <w:tcPr>
            <w:tcW w:w="35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10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11. Fair Value Measurements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ASC 820,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Level 1 - Observable inputs that reflect unadjusted quoted prices in active markets for identical assets or liabilities.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Level 2 - Other inputs that are directly or indirectly observable in the marketplace.</w:t>
      </w:r>
    </w:p>
    <w:p>
      <w:pPr>
        <w:pStyle w:val="TextBody"/>
        <w:spacing w:before="0" w:after="0"/>
        <w:jc w:val="left"/>
        <w:rPr>
          <w:rFonts w:ascii="Times New Roman" w:hAnsi="Times New Roman"/>
          <w:sz w:val="20"/>
        </w:rPr>
      </w:pPr>
      <w:r>
        <w:rPr>
          <w:rFonts w:ascii="Times New Roman;serif" w:hAnsi="Times New Roman;serif"/>
          <w:b w:val="false"/>
          <w:sz w:val="20"/>
        </w:rPr>
        <w:t>Level 3 - Unobservable inputs that are supported by little or no market activity, including the Company’s own assumptions in determining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Debt</w:t>
      </w:r>
    </w:p>
    <w:p>
      <w:pPr>
        <w:pStyle w:val="TextBody"/>
        <w:spacing w:before="120" w:after="0"/>
        <w:jc w:val="left"/>
        <w:rPr>
          <w:rFonts w:ascii="Times New Roman" w:hAnsi="Times New Roman"/>
          <w:sz w:val="20"/>
        </w:rPr>
      </w:pPr>
      <w:r>
        <w:rPr>
          <w:rFonts w:ascii="Times New Roman;serif" w:hAnsi="Times New Roman;serif"/>
          <w:b w:val="false"/>
          <w:sz w:val="20"/>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March 31, 2023 and December 31, 2022, based on interest rates currently available to the Company for similar borrowings.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Money market funds (included in 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Money market funds are recorded at fair value using quoted market prices in active markets and are classified as Level 1 in the fair value hierarchy.</w:t>
      </w:r>
    </w:p>
    <w:p>
      <w:pPr>
        <w:pStyle w:val="TextBody"/>
        <w:spacing w:before="240" w:after="0"/>
        <w:jc w:val="left"/>
        <w:rPr>
          <w:rFonts w:ascii="Times New Roman;serif" w:hAnsi="Times New Roman;serif"/>
          <w:b/>
          <w:i/>
          <w:sz w:val="20"/>
        </w:rPr>
      </w:pPr>
      <w:r>
        <w:rPr>
          <w:rFonts w:ascii="Times New Roman;serif" w:hAnsi="Times New Roman;serif"/>
          <w:b/>
          <w:i/>
          <w:sz w:val="20"/>
        </w:rPr>
        <w:t>Short-term investments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spacing w:before="240" w:after="0"/>
        <w:jc w:val="left"/>
        <w:rPr>
          <w:rFonts w:ascii="Times New Roman;serif" w:hAnsi="Times New Roman;serif"/>
          <w:b/>
          <w:i/>
          <w:sz w:val="20"/>
        </w:rPr>
      </w:pPr>
      <w:r>
        <w:rPr>
          <w:rFonts w:ascii="Times New Roman;serif" w:hAnsi="Times New Roman;serif"/>
          <w:b/>
          <w:i/>
          <w:sz w:val="20"/>
        </w:rPr>
        <w:t>Derivative financial instruments</w:t>
      </w:r>
    </w:p>
    <w:p>
      <w:pPr>
        <w:pStyle w:val="TextBody"/>
        <w:spacing w:before="120" w:after="0"/>
        <w:jc w:val="left"/>
        <w:rPr>
          <w:rFonts w:ascii="Times New Roman" w:hAnsi="Times New Roman"/>
          <w:sz w:val="20"/>
        </w:rPr>
      </w:pPr>
      <w:r>
        <w:rPr>
          <w:rFonts w:ascii="Times New Roman;serif" w:hAnsi="Times New Roman;serif"/>
          <w:b w:val="false"/>
          <w:sz w:val="20"/>
        </w:rPr>
        <w:t>Currently, the Company uses interest rate swaps to manage interest rate</w:t>
      </w:r>
      <w:r>
        <w:rPr>
          <w:rFonts w:ascii="Times New Roman" w:hAnsi="Times New Roman"/>
          <w:sz w:val="20"/>
        </w:rPr>
        <w:t xml:space="preserve"> </w:t>
      </w:r>
      <w:r>
        <w:rPr>
          <w:rFonts w:ascii="Times New Roman;serif" w:hAnsi="Times New Roman;serif"/>
          <w:b w:val="false"/>
          <w:sz w:val="20"/>
        </w:rPr>
        <w:t>risk.</w:t>
      </w:r>
      <w:r>
        <w:rPr>
          <w:rFonts w:ascii="Times New Roman" w:hAnsi="Times New Roman"/>
          <w:sz w:val="20"/>
        </w:rPr>
        <w:t xml:space="preserve"> </w:t>
      </w:r>
      <w:r>
        <w:rPr>
          <w:rFonts w:ascii="Times New Roman;serif" w:hAnsi="Times New Roman;serif"/>
          <w:b w:val="false"/>
          <w:sz w:val="20"/>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comply with the provisions of ASC 820, the Company incorporates credit valuation adjustments to appropriately reflect both its own nonperformance risk and the respective counterparty’s nonperformance risk in the fair value measurements.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2023 and December 31, 2022 were classified as Level 2 in the fair value hierarchy.</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Contingent consideration</w:t>
      </w:r>
    </w:p>
    <w:p>
      <w:pPr>
        <w:pStyle w:val="TextBody"/>
        <w:spacing w:before="120" w:after="0"/>
        <w:jc w:val="left"/>
        <w:rPr>
          <w:rFonts w:ascii="Times New Roman" w:hAnsi="Times New Roman"/>
          <w:sz w:val="20"/>
        </w:rPr>
      </w:pPr>
      <w:r>
        <w:rPr>
          <w:rFonts w:ascii="Times New Roman;serif" w:hAnsi="Times New Roman;serif"/>
          <w:b w:val="false"/>
          <w:sz w:val="20"/>
        </w:rPr>
        <w:t>The deferred consideration that resulted from the acquisition of Analytical Wizards in the first quarter of 2022, which is subject to the meeting of certain expense control metrics during the two-year period following the acquisition, is measured at fair value on a recurring basis. The fair value was estimated based on the present value of the amount expected to be paid at the end of the measurement period. At March 31, 2023, the fair value of the contingent consideration was estimated to be $2.3</w:t>
      </w:r>
      <w:r>
        <w:rPr>
          <w:rFonts w:ascii="Times New Roman" w:hAnsi="Times New Roman"/>
          <w:sz w:val="20"/>
        </w:rPr>
        <w:t xml:space="preserve"> </w:t>
      </w:r>
      <w:r>
        <w:rPr>
          <w:rFonts w:ascii="Times New Roman;serif" w:hAnsi="Times New Roman;serif"/>
          <w:b w:val="false"/>
          <w:sz w:val="20"/>
        </w:rPr>
        <w:t>million and is included in accrued expenses and other current liabilities on the condensed consolidated balance sheet.</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7265" w:type="dxa"/>
        <w:jc w:val="left"/>
        <w:tblInd w:w="0" w:type="dxa"/>
        <w:tblCellMar>
          <w:top w:w="28" w:type="dxa"/>
          <w:left w:w="28" w:type="dxa"/>
          <w:bottom w:w="28" w:type="dxa"/>
          <w:right w:w="28" w:type="dxa"/>
        </w:tblCellMar>
      </w:tblPr>
      <w:tblGrid>
        <w:gridCol w:w="4386"/>
        <w:gridCol w:w="146"/>
        <w:gridCol w:w="230"/>
        <w:gridCol w:w="625"/>
        <w:gridCol w:w="246"/>
        <w:gridCol w:w="146"/>
        <w:gridCol w:w="274"/>
        <w:gridCol w:w="821"/>
        <w:gridCol w:w="391"/>
      </w:tblGrid>
      <w:tr>
        <w:trPr/>
        <w:tc>
          <w:tcPr>
            <w:tcW w:w="4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8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10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391" w:type="dxa"/>
            <w:tcBorders/>
            <w:shd w:fill="auto" w:val="clear"/>
            <w:vAlign w:val="center"/>
          </w:tcPr>
          <w:p>
            <w:pPr>
              <w:pStyle w:val="TableContents"/>
              <w:spacing w:before="0" w:after="0"/>
              <w:ind w:left="0" w:right="0" w:firstLine="200"/>
              <w:jc w:val="left"/>
              <w:rPr/>
            </w:pPr>
            <w:r>
              <w:rPr/>
              <w:t> </w:t>
            </w:r>
          </w:p>
        </w:tc>
      </w:tr>
      <w:tr>
        <w:trPr/>
        <w:tc>
          <w:tcPr>
            <w:tcW w:w="438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50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shd w:fill="auto" w:val="clear"/>
            <w:vAlign w:val="center"/>
          </w:tcPr>
          <w:p>
            <w:pPr>
              <w:pStyle w:val="TableContents"/>
              <w:spacing w:before="0" w:after="0"/>
              <w:ind w:left="0" w:right="0" w:firstLine="200"/>
              <w:jc w:val="left"/>
              <w:rPr/>
            </w:pPr>
            <w:r>
              <w:rPr/>
              <w:t> </w:t>
            </w:r>
          </w:p>
        </w:tc>
      </w:tr>
      <w:tr>
        <w:trPr/>
        <w:tc>
          <w:tcPr>
            <w:tcW w:w="438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change in fair value and other adjustments</w:t>
            </w:r>
          </w:p>
        </w:tc>
        <w:tc>
          <w:tcPr>
            <w:tcW w:w="146" w:type="dxa"/>
            <w:tcBorders/>
            <w:shd w:fill="auto" w:val="clear"/>
            <w:vAlign w:val="center"/>
          </w:tcPr>
          <w:p>
            <w:pPr>
              <w:pStyle w:val="TableContents"/>
              <w:spacing w:before="0" w:after="0"/>
              <w:ind w:left="50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391" w:type="dxa"/>
            <w:tcBorders/>
            <w:shd w:fill="auto" w:val="clear"/>
            <w:vAlign w:val="center"/>
          </w:tcPr>
          <w:p>
            <w:pPr>
              <w:pStyle w:val="TableContents"/>
              <w:spacing w:before="0" w:after="0"/>
              <w:ind w:left="0" w:right="0" w:firstLine="200"/>
              <w:jc w:val="left"/>
              <w:rPr/>
            </w:pPr>
            <w:r>
              <w:rPr/>
              <w:t> </w:t>
            </w:r>
          </w:p>
        </w:tc>
      </w:tr>
      <w:tr>
        <w:trPr/>
        <w:tc>
          <w:tcPr>
            <w:tcW w:w="438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shd w:fill="auto" w:val="clear"/>
            <w:vAlign w:val="center"/>
          </w:tcPr>
          <w:p>
            <w:pPr>
              <w:pStyle w:val="TableContents"/>
              <w:spacing w:before="0" w:after="0"/>
              <w:ind w:left="50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10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Non-recurring fair value measurements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of the notes to the consolidated financial statements in the Company’s 2022 Form 10-K.</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At March 31, 2023 and December 31, 2022, assets and liabilities measured at fair value on a recurring basis were as follows:</w:t>
      </w:r>
    </w:p>
    <w:tbl>
      <w:tblPr>
        <w:tblW w:w="9872" w:type="dxa"/>
        <w:jc w:val="left"/>
        <w:tblInd w:w="0" w:type="dxa"/>
        <w:tblCellMar>
          <w:top w:w="28" w:type="dxa"/>
          <w:left w:w="28" w:type="dxa"/>
          <w:bottom w:w="28" w:type="dxa"/>
          <w:right w:w="28" w:type="dxa"/>
        </w:tblCellMar>
      </w:tblPr>
      <w:tblGrid>
        <w:gridCol w:w="4406"/>
        <w:gridCol w:w="146"/>
        <w:gridCol w:w="211"/>
        <w:gridCol w:w="781"/>
        <w:gridCol w:w="246"/>
        <w:gridCol w:w="146"/>
        <w:gridCol w:w="211"/>
        <w:gridCol w:w="676"/>
        <w:gridCol w:w="246"/>
        <w:gridCol w:w="146"/>
        <w:gridCol w:w="211"/>
        <w:gridCol w:w="781"/>
        <w:gridCol w:w="146"/>
        <w:gridCol w:w="146"/>
        <w:gridCol w:w="211"/>
        <w:gridCol w:w="571"/>
        <w:gridCol w:w="591"/>
      </w:tblGrid>
      <w:tr>
        <w:trPr/>
        <w:tc>
          <w:tcPr>
            <w:tcW w:w="4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2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17,727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17,727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 (maturities less than 90 days)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105,494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36,742</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591" w:type="dxa"/>
            <w:tcBorders/>
            <w:shd w:fill="auto" w:val="cle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2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 (maturities less than 90 days)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 (maturities less than 90 days)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 (maturities less than 90 days)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righ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At March 31, 2023 and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12. Noncontrolling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Condensed Consolidated Balance Sheets.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4,771,545</w:t>
      </w:r>
      <w:r>
        <w:rPr>
          <w:rFonts w:ascii="Times New Roman" w:hAnsi="Times New Roman"/>
          <w:sz w:val="20"/>
        </w:rPr>
        <w:t xml:space="preserve"> </w:t>
      </w:r>
      <w:r>
        <w:rPr>
          <w:rFonts w:ascii="Times New Roman;serif" w:hAnsi="Times New Roman;serif"/>
          <w:b w:val="false"/>
          <w:sz w:val="20"/>
        </w:rPr>
        <w:t>LLC Units held by Continuing Pre-IPO LLC Members were exchanged for shares of Class A Common Stock of Definitive Healthcare Corp. pursuant to the terms of the Amended LLC Agreement. In addition, 380,676</w:t>
      </w:r>
      <w:r>
        <w:rPr>
          <w:rFonts w:ascii="Times New Roman" w:hAnsi="Times New Roman"/>
          <w:sz w:val="20"/>
        </w:rPr>
        <w:t xml:space="preserve"> </w:t>
      </w:r>
      <w:r>
        <w:rPr>
          <w:rFonts w:ascii="Times New Roman;serif" w:hAnsi="Times New Roman;serif"/>
          <w:b w:val="false"/>
          <w:sz w:val="20"/>
        </w:rPr>
        <w:t>restricted stock units vested and 127,829</w:t>
      </w:r>
      <w:r>
        <w:rPr>
          <w:rFonts w:ascii="Times New Roman" w:hAnsi="Times New Roman"/>
          <w:sz w:val="20"/>
        </w:rPr>
        <w:t xml:space="preserve"> </w:t>
      </w:r>
      <w:r>
        <w:rPr>
          <w:rFonts w:ascii="Times New Roman;serif" w:hAnsi="Times New Roman;serif"/>
          <w:b w:val="false"/>
          <w:sz w:val="20"/>
        </w:rPr>
        <w:t>shares were withheld to cover withholding tax obligations, resulting in the net issuance of 252,847</w:t>
      </w:r>
      <w:r>
        <w:rPr>
          <w:rFonts w:ascii="Times New Roman" w:hAnsi="Times New Roman"/>
          <w:sz w:val="20"/>
        </w:rPr>
        <w:t xml:space="preserve"> </w:t>
      </w:r>
      <w:r>
        <w:rPr>
          <w:rFonts w:ascii="Times New Roman;serif" w:hAnsi="Times New Roman;serif"/>
          <w:b w:val="false"/>
          <w:sz w:val="20"/>
        </w:rPr>
        <w:t>shares of Class A Common Stock of Definitive Healthcare Corp., for which LLC Units were issued on a one-for-one basis pursuant to the Definitive OpCo second amended and restated limited liability company agreement entered into in connection with the IPO.</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Definitive Healthcare Corp. held ownership interests in Definitive OpCo of 71.4% and 68.2%, respectively, and noncontrolling interests of 28.6% and 31.8%, respectively</w:t>
      </w:r>
      <w:r>
        <w:rPr>
          <w:rFonts w:ascii="Times New Roman;serif" w:hAnsi="Times New Roman;serif"/>
          <w:b w:val="false"/>
          <w:sz w:val="24"/>
        </w:rPr>
        <w:t>.</w:t>
      </w:r>
    </w:p>
    <w:p>
      <w:pPr>
        <w:pStyle w:val="TextBody"/>
        <w:spacing w:before="360" w:after="0"/>
        <w:jc w:val="left"/>
        <w:rPr>
          <w:rFonts w:ascii="Times New Roman;serif" w:hAnsi="Times New Roman;serif"/>
          <w:b/>
          <w:sz w:val="20"/>
        </w:rPr>
      </w:pPr>
      <w:r>
        <w:rPr>
          <w:rFonts w:ascii="Times New Roman;serif" w:hAnsi="Times New Roman;serif"/>
          <w:b/>
          <w:sz w:val="20"/>
        </w:rPr>
        <w:t>13. Accumulated Other Comprehensive Income</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summarize the changes in accumulated balances of other comprehensive income for the three months ended March 31, 2023 and 2022, respectively.</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737"/>
        <w:gridCol w:w="555"/>
        <w:gridCol w:w="1449"/>
        <w:gridCol w:w="166"/>
        <w:gridCol w:w="553"/>
        <w:gridCol w:w="1235"/>
        <w:gridCol w:w="166"/>
        <w:gridCol w:w="699"/>
        <w:gridCol w:w="1558"/>
        <w:gridCol w:w="166"/>
        <w:gridCol w:w="196"/>
        <w:gridCol w:w="511"/>
        <w:gridCol w:w="214"/>
      </w:tblGrid>
      <w:tr>
        <w:trPr/>
        <w:tc>
          <w:tcPr>
            <w:tcW w:w="273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737" w:type="dxa"/>
            <w:tcBorders/>
            <w:shd w:fill="auto" w:val="clear"/>
            <w:vAlign w:val="center"/>
          </w:tcPr>
          <w:p>
            <w:pPr>
              <w:pStyle w:val="TableContents"/>
              <w:spacing w:before="0" w:after="0"/>
              <w:ind w:left="0" w:right="0" w:hanging="0"/>
              <w:jc w:val="left"/>
              <w:rPr/>
            </w:pPr>
            <w:r>
              <w:rPr/>
              <w:t> </w:t>
            </w:r>
          </w:p>
        </w:tc>
        <w:tc>
          <w:tcPr>
            <w:tcW w:w="7254"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 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(in thousands)</w:t>
            </w:r>
          </w:p>
        </w:tc>
        <w:tc>
          <w:tcPr>
            <w:tcW w:w="20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Unrealized Gains on Cash Flow Hedges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Unrealized Loss on 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Foreign Currency Translation Adjustments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Beginning balance</w:t>
            </w:r>
          </w:p>
        </w:tc>
        <w:tc>
          <w:tcPr>
            <w:tcW w:w="55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4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4,307</w:t>
            </w:r>
          </w:p>
        </w:tc>
        <w:tc>
          <w:tcPr>
            <w:tcW w:w="166" w:type="dxa"/>
            <w:tcBorders/>
            <w:shd w:fill="auto" w:val="clear"/>
            <w:vAlign w:val="center"/>
          </w:tcPr>
          <w:p>
            <w:pPr>
              <w:pStyle w:val="TableContents"/>
              <w:spacing w:before="0" w:after="0"/>
              <w:ind w:left="0" w:right="0" w:hanging="0"/>
              <w:jc w:val="left"/>
              <w:rPr/>
            </w:pPr>
            <w:r>
              <w:rPr/>
              <w:t> </w:t>
            </w:r>
          </w:p>
        </w:tc>
        <w:tc>
          <w:tcPr>
            <w:tcW w:w="55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3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5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3,668</w:t>
            </w:r>
          </w:p>
        </w:tc>
        <w:tc>
          <w:tcPr>
            <w:tcW w:w="214" w:type="dxa"/>
            <w:tcBorders/>
            <w:shd w:fill="auto" w:val="clear"/>
            <w:vAlign w:val="center"/>
          </w:tcPr>
          <w:p>
            <w:pPr>
              <w:pStyle w:val="TableContents"/>
              <w:spacing w:before="0" w:after="0"/>
              <w:ind w:left="0" w:right="0" w:hanging="0"/>
              <w:jc w:val="left"/>
              <w:rPr/>
            </w:pPr>
            <w:r>
              <w:rPr/>
              <w:t> </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 income before reclassifications</w:t>
            </w:r>
          </w:p>
        </w:tc>
        <w:tc>
          <w:tcPr>
            <w:tcW w:w="555" w:type="dxa"/>
            <w:tcBorders/>
            <w:shd w:fill="auto" w:val="clear"/>
            <w:vAlign w:val="center"/>
          </w:tcPr>
          <w:p>
            <w:pPr>
              <w:pStyle w:val="TableContents"/>
              <w:spacing w:before="0" w:after="0"/>
              <w:ind w:left="0" w:right="0" w:hanging="0"/>
              <w:jc w:val="left"/>
              <w:rPr/>
            </w:pPr>
            <w:r>
              <w:rPr/>
              <w:t> </w:t>
            </w:r>
          </w:p>
        </w:tc>
        <w:tc>
          <w:tcPr>
            <w:tcW w:w="144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53"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66"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left"/>
              <w:rPr/>
            </w:pPr>
            <w:r>
              <w:rPr/>
              <w:t> </w:t>
            </w:r>
          </w:p>
        </w:tc>
        <w:tc>
          <w:tcPr>
            <w:tcW w:w="155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(268</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Amounts reclassified from AOCI</w:t>
            </w:r>
          </w:p>
        </w:tc>
        <w:tc>
          <w:tcPr>
            <w:tcW w:w="5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(607</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3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w:t>
            </w:r>
          </w:p>
        </w:tc>
        <w:tc>
          <w:tcPr>
            <w:tcW w:w="5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2,793</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98"/>
        <w:gridCol w:w="567"/>
        <w:gridCol w:w="1481"/>
        <w:gridCol w:w="147"/>
        <w:gridCol w:w="562"/>
        <w:gridCol w:w="1256"/>
        <w:gridCol w:w="168"/>
        <w:gridCol w:w="935"/>
        <w:gridCol w:w="1369"/>
        <w:gridCol w:w="147"/>
        <w:gridCol w:w="198"/>
        <w:gridCol w:w="380"/>
        <w:gridCol w:w="197"/>
      </w:tblGrid>
      <w:tr>
        <w:trPr/>
        <w:tc>
          <w:tcPr>
            <w:tcW w:w="2798"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798" w:type="dxa"/>
            <w:tcBorders/>
            <w:shd w:fill="auto" w:val="clear"/>
            <w:vAlign w:val="center"/>
          </w:tcPr>
          <w:p>
            <w:pPr>
              <w:pStyle w:val="TableContents"/>
              <w:spacing w:before="0" w:after="0"/>
              <w:ind w:left="0" w:right="0" w:hanging="0"/>
              <w:jc w:val="left"/>
              <w:rPr/>
            </w:pPr>
            <w:r>
              <w:rPr/>
              <w:t> </w:t>
            </w:r>
          </w:p>
        </w:tc>
        <w:tc>
          <w:tcPr>
            <w:tcW w:w="7210"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 2022</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8" w:type="dxa"/>
            <w:tcBorders/>
            <w:shd w:fill="auto" w:val="clear"/>
            <w:vAlign w:val="center"/>
          </w:tcPr>
          <w:p>
            <w:pPr>
              <w:pStyle w:val="TableContents"/>
              <w:spacing w:before="0" w:after="0"/>
              <w:ind w:left="0" w:right="0" w:hanging="0"/>
              <w:jc w:val="left"/>
              <w:rPr>
                <w:rFonts w:ascii="Times New Roman;serif" w:hAnsi="Times New Roman;serif"/>
                <w:b/>
                <w:i/>
                <w:sz w:val="18"/>
              </w:rPr>
            </w:pPr>
            <w:r>
              <w:rPr>
                <w:rFonts w:ascii="Times New Roman;serif" w:hAnsi="Times New Roman;serif"/>
                <w:b/>
                <w:i/>
                <w:sz w:val="18"/>
              </w:rPr>
              <w:t>(in thousands)</w:t>
            </w:r>
          </w:p>
        </w:tc>
        <w:tc>
          <w:tcPr>
            <w:tcW w:w="20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Unrealized Gains on Cash Flow Hedges</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Unrealized Loss on Investments</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Foreign Currency Translation Adjustments</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Beginning balance</w:t>
            </w:r>
          </w:p>
        </w:tc>
        <w:tc>
          <w:tcPr>
            <w:tcW w:w="567"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81"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56" w:type="dxa"/>
            <w:tcBorders/>
            <w:shd w:fill="auto" w:val="clear"/>
            <w:vAlign w:val="center"/>
          </w:tcPr>
          <w:p>
            <w:pPr>
              <w:pStyle w:val="TableContents"/>
              <w:spacing w:before="0" w:after="0"/>
              <w:ind w:left="0" w:right="0" w:hanging="0"/>
              <w:jc w:val="right"/>
              <w:rPr/>
            </w:pPr>
            <w:r>
              <w:rPr/>
              <w:t>—</w:t>
            </w:r>
          </w:p>
        </w:tc>
        <w:tc>
          <w:tcPr>
            <w:tcW w:w="168" w:type="dxa"/>
            <w:tcBorders/>
            <w:shd w:fill="auto" w:val="clear"/>
            <w:vAlign w:val="center"/>
          </w:tcPr>
          <w:p>
            <w:pPr>
              <w:pStyle w:val="TableContents"/>
              <w:spacing w:before="0" w:after="0"/>
              <w:ind w:left="0" w:right="0" w:hanging="0"/>
              <w:jc w:val="left"/>
              <w:rPr/>
            </w:pPr>
            <w:r>
              <w:rPr/>
              <w:t> </w:t>
            </w:r>
          </w:p>
        </w:tc>
        <w:tc>
          <w:tcPr>
            <w:tcW w:w="93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7"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97" w:type="dxa"/>
            <w:tcBorders/>
            <w:shd w:fill="auto" w:val="clear"/>
            <w:vAlign w:val="center"/>
          </w:tcPr>
          <w:p>
            <w:pPr>
              <w:pStyle w:val="TableContents"/>
              <w:spacing w:before="0" w:after="0"/>
              <w:ind w:left="0" w:right="0" w:hanging="0"/>
              <w:jc w:val="left"/>
              <w:rPr/>
            </w:pPr>
            <w:r>
              <w:rPr/>
              <w:t> </w:t>
            </w:r>
          </w:p>
        </w:tc>
      </w:tr>
      <w:tr>
        <w:trPr/>
        <w:tc>
          <w:tcPr>
            <w:tcW w:w="27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(loss) before reclassifications</w:t>
            </w:r>
          </w:p>
        </w:tc>
        <w:tc>
          <w:tcPr>
            <w:tcW w:w="567" w:type="dxa"/>
            <w:tcBorders/>
            <w:shd w:fill="auto" w:val="clear"/>
            <w:vAlign w:val="center"/>
          </w:tcPr>
          <w:p>
            <w:pPr>
              <w:pStyle w:val="TableContents"/>
              <w:spacing w:before="0" w:after="0"/>
              <w:ind w:left="0" w:right="0" w:hanging="0"/>
              <w:jc w:val="left"/>
              <w:rPr/>
            </w:pPr>
            <w:r>
              <w:rPr/>
              <w:t> </w:t>
            </w:r>
          </w:p>
        </w:tc>
        <w:tc>
          <w:tcPr>
            <w:tcW w:w="14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1,049</w:t>
            </w:r>
          </w:p>
        </w:tc>
        <w:tc>
          <w:tcPr>
            <w:tcW w:w="147"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125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(197</w:t>
            </w:r>
          </w:p>
        </w:tc>
        <w:tc>
          <w:tcPr>
            <w:tcW w:w="16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5" w:type="dxa"/>
            <w:tcBorders/>
            <w:shd w:fill="auto" w:val="clear"/>
            <w:vAlign w:val="center"/>
          </w:tcPr>
          <w:p>
            <w:pPr>
              <w:pStyle w:val="TableContents"/>
              <w:spacing w:before="0" w:after="0"/>
              <w:ind w:left="0" w:right="0" w:hanging="0"/>
              <w:jc w:val="left"/>
              <w:rPr/>
            </w:pPr>
            <w:r>
              <w:rPr/>
              <w:t> </w:t>
            </w:r>
          </w:p>
        </w:tc>
        <w:tc>
          <w:tcPr>
            <w:tcW w:w="13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7"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856</w:t>
            </w:r>
          </w:p>
        </w:tc>
        <w:tc>
          <w:tcPr>
            <w:tcW w:w="197" w:type="dxa"/>
            <w:tcBorders/>
            <w:shd w:fill="auto" w:val="clear"/>
            <w:vAlign w:val="center"/>
          </w:tcPr>
          <w:p>
            <w:pPr>
              <w:pStyle w:val="TableContents"/>
              <w:spacing w:before="0" w:after="0"/>
              <w:ind w:left="0" w:right="0" w:hanging="0"/>
              <w:jc w:val="left"/>
              <w:rPr/>
            </w:pPr>
            <w:r>
              <w:rPr/>
              <w:t> </w:t>
            </w:r>
          </w:p>
        </w:tc>
      </w:tr>
      <w:tr>
        <w:trPr/>
        <w:tc>
          <w:tcPr>
            <w:tcW w:w="279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w:t>
            </w:r>
          </w:p>
        </w:tc>
        <w:tc>
          <w:tcPr>
            <w:tcW w:w="56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1,049</w:t>
            </w:r>
          </w:p>
        </w:tc>
        <w:tc>
          <w:tcPr>
            <w:tcW w:w="1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6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5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(197</w:t>
            </w:r>
          </w:p>
        </w:tc>
        <w:tc>
          <w:tcPr>
            <w:tcW w:w="1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1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8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918</w:t>
            </w:r>
          </w:p>
        </w:tc>
        <w:tc>
          <w:tcPr>
            <w:tcW w:w="19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14. Equity-Based Compensation</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condensed consolidated statements of operations for the three months ended March 31, 2023 and 2022, respectively, is provided in the following table.</w:t>
      </w:r>
    </w:p>
    <w:tbl>
      <w:tblPr>
        <w:tblW w:w="5181" w:type="dxa"/>
        <w:jc w:val="left"/>
        <w:tblInd w:w="0" w:type="dxa"/>
        <w:tblCellMar>
          <w:top w:w="28" w:type="dxa"/>
          <w:left w:w="28" w:type="dxa"/>
          <w:bottom w:w="28" w:type="dxa"/>
          <w:right w:w="28" w:type="dxa"/>
        </w:tblCellMar>
      </w:tblPr>
      <w:tblGrid>
        <w:gridCol w:w="2446"/>
        <w:gridCol w:w="146"/>
        <w:gridCol w:w="258"/>
        <w:gridCol w:w="827"/>
        <w:gridCol w:w="178"/>
        <w:gridCol w:w="178"/>
        <w:gridCol w:w="258"/>
        <w:gridCol w:w="699"/>
        <w:gridCol w:w="1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3,746</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3,011</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5,210</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11,128</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15. Income Taxes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has recorded a net deferred tax liability of $78.2</w:t>
      </w:r>
      <w:r>
        <w:rPr>
          <w:rFonts w:ascii="Times New Roman" w:hAnsi="Times New Roman"/>
          <w:sz w:val="20"/>
        </w:rPr>
        <w:t xml:space="preserve"> </w:t>
      </w:r>
      <w:r>
        <w:rPr>
          <w:rFonts w:ascii="Times New Roman;serif" w:hAnsi="Times New Roman;serif"/>
          <w:b w:val="false"/>
          <w:sz w:val="20"/>
        </w:rPr>
        <w:t>million.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recognizes uncertain income tax positions when it is more-likely-than-not the position will be sustained upon examination. As of March 31, 2023 and December 31, 2022, the Company has not identified any uncertain tax positions and has not recognized any related reserves.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effective tax rate was 4.4% and (0.7%) for the three months ended March 31, 2023 and 2022, respectively. The Company’s effective tax rate differs from the statutory tax rate of 21% due to the valuation allowance recorded, foreign tax rates that differ from the U.S. statutory tax rate, and partnership income that is not taxed.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described above, the Company has a valuation allowance as it has not yet attained a sustained level of profitability and the objectively verifiable negative evidence outweighed the positive evidence. 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pStyle w:val="TextBody"/>
        <w:spacing w:before="240" w:after="0"/>
        <w:jc w:val="left"/>
        <w:rPr>
          <w:rFonts w:ascii="Times New Roman;serif" w:hAnsi="Times New Roman;serif"/>
          <w:b/>
          <w:i/>
          <w:sz w:val="20"/>
        </w:rPr>
      </w:pPr>
      <w:r>
        <w:rPr>
          <w:rFonts w:ascii="Times New Roman;serif" w:hAnsi="Times New Roman;serif"/>
          <w:b/>
          <w:i/>
          <w:sz w:val="20"/>
        </w:rPr>
        <w:t>Tax Receivable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Company's election under Section 754 of the Internal Revenue Code (the "Code"), the Company expects to obtain an increase in its share of the tax basis in the net assets of AIDH Topco, LLC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IPO, the Company entered into a Tax Receivable Agreement ("TRA") among Definitive Healthcare Corp., Definitive OpCo, and the TRA Parties and has recorded a liability under the TRA of $166.9</w:t>
      </w:r>
      <w:r>
        <w:rPr>
          <w:rFonts w:ascii="Times New Roman" w:hAnsi="Times New Roman"/>
          <w:sz w:val="20"/>
        </w:rPr>
        <w:t xml:space="preserve"> </w:t>
      </w:r>
      <w:r>
        <w:rPr>
          <w:rFonts w:ascii="Times New Roman;serif" w:hAnsi="Times New Roman;serif"/>
          <w:b w:val="false"/>
          <w:sz w:val="20"/>
        </w:rPr>
        <w:t>million and $156.3</w:t>
      </w:r>
      <w:r>
        <w:rPr>
          <w:rFonts w:ascii="Times New Roman" w:hAnsi="Times New Roman"/>
          <w:sz w:val="20"/>
        </w:rPr>
        <w:t xml:space="preserve"> </w:t>
      </w:r>
      <w:r>
        <w:rPr>
          <w:rFonts w:ascii="Times New Roman;serif" w:hAnsi="Times New Roman;serif"/>
          <w:b w:val="false"/>
          <w:sz w:val="20"/>
        </w:rPr>
        <w:t>million as of March 31, 2023 and December 31, 2022, respectively. During the three months ended March 31, 2023</w:t>
      </w:r>
      <w:r>
        <w:rPr>
          <w:rFonts w:ascii="Times New Roman" w:hAnsi="Times New Roman"/>
          <w:sz w:val="20"/>
        </w:rPr>
        <w:t xml:space="preserve"> </w:t>
      </w:r>
      <w:r>
        <w:rPr>
          <w:rFonts w:ascii="Times New Roman;serif" w:hAnsi="Times New Roman;serif"/>
          <w:b w:val="false"/>
          <w:sz w:val="20"/>
        </w:rPr>
        <w:t>and 2022, the Company recognized a TRA remeasurement loss of $3.6</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within Other expense, net in the Company’s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w:t>
      </w:r>
      <w:r>
        <w:rPr>
          <w:rFonts w:ascii="Times New Roman" w:hAnsi="Times New Roman"/>
          <w:sz w:val="20"/>
        </w:rPr>
        <w:t xml:space="preserve"> </w:t>
      </w:r>
      <w:r>
        <w:rPr>
          <w:rFonts w:ascii="Times New Roman;serif" w:hAnsi="Times New Roman;serif"/>
          <w:b w:val="false"/>
          <w:sz w:val="20"/>
        </w:rPr>
        <w:t>The Company expects to benefit from the remaining 15% of any tax benefits that it may actually realize. To the extent that the Company is unable to timely make payments under the TRA for any reason, such payments generally will be deferred and will accrue interest until paid.</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16.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sets forth reconciliations of the numerators and denominators used to compute basic and diluted net loss per share of Class A Common Stock for the three months ended March 31, 2023 and 2022.</w:t>
      </w:r>
      <w:r>
        <w:rPr>
          <w:rFonts w:ascii="Times New Roman" w:hAnsi="Times New Roman"/>
          <w:sz w:val="20"/>
        </w:rPr>
        <w:t xml:space="preserve"> </w:t>
      </w:r>
    </w:p>
    <w:tbl>
      <w:tblPr>
        <w:tblW w:w="7035" w:type="dxa"/>
        <w:jc w:val="left"/>
        <w:tblInd w:w="0" w:type="dxa"/>
        <w:tblCellMar>
          <w:top w:w="28" w:type="dxa"/>
          <w:left w:w="28" w:type="dxa"/>
          <w:bottom w:w="28" w:type="dxa"/>
          <w:right w:w="28" w:type="dxa"/>
        </w:tblCellMar>
      </w:tblPr>
      <w:tblGrid>
        <w:gridCol w:w="4426"/>
        <w:gridCol w:w="212"/>
        <w:gridCol w:w="740"/>
        <w:gridCol w:w="247"/>
        <w:gridCol w:w="247"/>
        <w:gridCol w:w="212"/>
        <w:gridCol w:w="740"/>
        <w:gridCol w:w="211"/>
      </w:tblGrid>
      <w:tr>
        <w:trPr/>
        <w:tc>
          <w:tcPr>
            <w:tcW w:w="44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center"/>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Numerator:</w:t>
            </w:r>
          </w:p>
        </w:tc>
        <w:tc>
          <w:tcPr>
            <w:tcW w:w="952" w:type="dxa"/>
            <w:gridSpan w:val="2"/>
            <w:tcBorders/>
            <w:shd w:fill="auto" w:val="clear"/>
            <w:vAlign w:val="center"/>
          </w:tcPr>
          <w:p>
            <w:pPr>
              <w:pStyle w:val="TableContents"/>
              <w:spacing w:before="0" w:after="0"/>
              <w:ind w:left="100" w:right="0" w:hanging="0"/>
              <w:jc w:val="right"/>
              <w:rPr/>
            </w:pPr>
            <w:r>
              <w:rPr/>
              <w:t> </w:t>
            </w:r>
          </w:p>
        </w:tc>
        <w:tc>
          <w:tcPr>
            <w:tcW w:w="247" w:type="dxa"/>
            <w:tcBorders/>
            <w:shd w:fill="auto" w:val="clear"/>
            <w:vAlign w:val="center"/>
          </w:tcPr>
          <w:p>
            <w:pPr>
              <w:pStyle w:val="TableContents"/>
              <w:spacing w:before="0" w:after="0"/>
              <w:ind w:left="0" w:right="0" w:firstLine="100"/>
              <w:jc w:val="right"/>
              <w:rPr/>
            </w:pPr>
            <w:r>
              <w:rPr/>
              <w:t> </w:t>
            </w:r>
          </w:p>
        </w:tc>
        <w:tc>
          <w:tcPr>
            <w:tcW w:w="247" w:type="dxa"/>
            <w:tcBorders/>
            <w:shd w:fill="auto" w:val="clear"/>
            <w:vAlign w:val="center"/>
          </w:tcPr>
          <w:p>
            <w:pPr>
              <w:pStyle w:val="TableContents"/>
              <w:spacing w:before="0" w:after="0"/>
              <w:ind w:left="0" w:right="0" w:firstLine="100"/>
              <w:jc w:val="right"/>
              <w:rPr/>
            </w:pPr>
            <w:r>
              <w:rPr/>
              <w:t> </w:t>
            </w:r>
          </w:p>
        </w:tc>
        <w:tc>
          <w:tcPr>
            <w:tcW w:w="952" w:type="dxa"/>
            <w:gridSpan w:val="2"/>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7"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7" w:type="dxa"/>
            <w:tcBorders/>
            <w:shd w:fill="auto" w:val="cle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of Class A Common Stock for the three months ended March 31, 2023 and 2022 (per share amounts unaudited).</w:t>
      </w:r>
    </w:p>
    <w:tbl>
      <w:tblPr>
        <w:tblW w:w="9664" w:type="dxa"/>
        <w:jc w:val="left"/>
        <w:tblInd w:w="0" w:type="dxa"/>
        <w:tblCellMar>
          <w:top w:w="28" w:type="dxa"/>
          <w:left w:w="28" w:type="dxa"/>
          <w:bottom w:w="28" w:type="dxa"/>
          <w:right w:w="28" w:type="dxa"/>
        </w:tblCellMar>
      </w:tblPr>
      <w:tblGrid>
        <w:gridCol w:w="6196"/>
        <w:gridCol w:w="211"/>
        <w:gridCol w:w="1141"/>
        <w:gridCol w:w="166"/>
        <w:gridCol w:w="146"/>
        <w:gridCol w:w="211"/>
        <w:gridCol w:w="1036"/>
        <w:gridCol w:w="166"/>
        <w:gridCol w:w="391"/>
      </w:tblGrid>
      <w:tr>
        <w:trPr/>
        <w:tc>
          <w:tcPr>
            <w:tcW w:w="61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196" w:type="dxa"/>
            <w:tcBorders/>
            <w:shd w:fill="auto" w:val="clear"/>
            <w:vAlign w:val="center"/>
          </w:tcPr>
          <w:p>
            <w:pPr>
              <w:pStyle w:val="TableContents"/>
              <w:spacing w:before="0" w:after="0"/>
              <w:ind w:left="0" w:right="0" w:hanging="0"/>
              <w:jc w:val="left"/>
              <w:rPr/>
            </w:pPr>
            <w:r>
              <w:rPr/>
              <w:t> </w:t>
            </w:r>
          </w:p>
        </w:tc>
        <w:tc>
          <w:tcPr>
            <w:tcW w:w="29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 except number of shares and per share amounts)</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loss per share attributable to common stockholders</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61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Allocation of net loss attributable to Definitive Healthcare Corp.</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3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61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number of shares of Class A Common Stock outstanding</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108,234,043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97,158,823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6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presents potentially dilutive securities excluded from the computation of diluted net loss per share for the period presented because their effect would have been anti-dilutive:</w:t>
      </w:r>
    </w:p>
    <w:tbl>
      <w:tblPr>
        <w:tblW w:w="7033" w:type="dxa"/>
        <w:jc w:val="left"/>
        <w:tblInd w:w="0" w:type="dxa"/>
        <w:tblCellMar>
          <w:top w:w="28" w:type="dxa"/>
          <w:left w:w="28" w:type="dxa"/>
          <w:bottom w:w="28" w:type="dxa"/>
          <w:right w:w="28" w:type="dxa"/>
        </w:tblCellMar>
      </w:tblPr>
      <w:tblGrid>
        <w:gridCol w:w="4186"/>
        <w:gridCol w:w="146"/>
        <w:gridCol w:w="1036"/>
        <w:gridCol w:w="146"/>
        <w:gridCol w:w="146"/>
        <w:gridCol w:w="146"/>
        <w:gridCol w:w="1036"/>
        <w:gridCol w:w="191"/>
      </w:tblGrid>
      <w:tr>
        <w:trPr/>
        <w:tc>
          <w:tcPr>
            <w:tcW w:w="4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jc w:val="lef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OpCo LLC Units (vested and unvested)</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45,626,933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57,666,776</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6,211,625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3,098,264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17. Related Parties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Company has engaged in revenue transactions within the ordinary course of business with entities affiliated with its private equity sponsors and with members of the Company’s board of directors. During each of the three months ended March 31, 2023 and 2022 the Company recorded revenue from related parties of $0.4</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Receivables for related party revenue transactions amounted to $0.2</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at March 31, 2023 and December 31, 2022, respectively.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1" w:name="item_2_managements_discussion"/>
      <w:bookmarkEnd w:id="11"/>
      <w:r>
        <w:rPr>
          <w:rFonts w:ascii="Times New Roman;serif" w:hAnsi="Times New Roman;serif"/>
          <w:b/>
          <w:sz w:val="20"/>
        </w:rPr>
        <w:t>ITEM 2 - 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2022 Form 10-K filed with the Securities and Exchange Commission (“SEC”) on February 27, 2023.</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2022 Form 10-K.</w:t>
      </w:r>
    </w:p>
    <w:p>
      <w:pPr>
        <w:pStyle w:val="TextBody"/>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3,000 customers as of March 31, 2023. We generally define a customer as a company that maintains one or more active paid subscriptions to our platform.</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Recent Developments</w:t>
      </w:r>
    </w:p>
    <w:p>
      <w:pPr>
        <w:pStyle w:val="TextBody"/>
        <w:spacing w:before="120" w:after="0"/>
        <w:jc w:val="left"/>
        <w:rPr>
          <w:rFonts w:ascii="Times New Roman;serif" w:hAnsi="Times New Roman;serif"/>
          <w:b/>
          <w:i/>
          <w:sz w:val="20"/>
        </w:rPr>
      </w:pPr>
      <w:r>
        <w:rPr>
          <w:rFonts w:ascii="Times New Roman;serif" w:hAnsi="Times New Roman;serif"/>
          <w:b/>
          <w:i/>
          <w:sz w:val="20"/>
        </w:rPr>
        <w:t>Restructuring event</w:t>
      </w:r>
    </w:p>
    <w:p>
      <w:pPr>
        <w:pStyle w:val="TextBody"/>
        <w:spacing w:before="120" w:after="0"/>
        <w:jc w:val="left"/>
        <w:rPr>
          <w:rFonts w:ascii="Times New Roman" w:hAnsi="Times New Roman"/>
          <w:sz w:val="20"/>
        </w:rPr>
      </w:pPr>
      <w:r>
        <w:rPr>
          <w:rFonts w:ascii="Times New Roman;serif" w:hAnsi="Times New Roman;serif"/>
          <w:b w:val="false"/>
          <w:sz w:val="20"/>
        </w:rPr>
        <w:t>On January 12, 2023, we announced a restructuring plan intended to reduce operating costs, improve operating margins, and continue advancing our ongoing commitment to profitable growth. During the first quarter of 2023, we incurred restructuring and related charges of $2.1 million, consisting primarily of severance payments, employee benefits, and related cash expenses. These charges were recognized within Transaction, integration, and restructuring expenses in our condensed consolidated statements of operations during the first quarter of 2023. We expect to incur an additional $0.5 million of expense through August 2023 associated with the restructuring plan.</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Macroeconomic Conditions</w:t>
      </w:r>
    </w:p>
    <w:p>
      <w:pPr>
        <w:pStyle w:val="TextBody"/>
        <w:spacing w:before="120" w:after="0"/>
        <w:jc w:val="left"/>
        <w:rPr>
          <w:rFonts w:ascii="Times New Roman" w:hAnsi="Times New Roman"/>
          <w:sz w:val="20"/>
        </w:rPr>
      </w:pPr>
      <w:r>
        <w:rPr>
          <w:rFonts w:ascii="Times New Roman;serif" w:hAnsi="Times New Roman;serif"/>
          <w:b w:val="false"/>
          <w:sz w:val="20"/>
        </w:rPr>
        <w:t>As a corporation with a global footprint, we are subject to risks and exposures caused by significant events and their macroeconomic impacts, including, but not limited to, the COVID-19 pandemic, the Russia-Ukraine war, global geopolitical tension, and more recently, rising inflation and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in the life science and provider markets. We expect this will impact our growth unless macroeconomic conditions improve. We are continuing to evaluate these and other past and potential future direct and indirect impacts on our business and results of operations.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Key Factors Affecting Our Performance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that the growth and future success of our business depend on many factors, including the following: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Acquiring New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Enterprise Customers represent the majority of our ARR and are a key focus of our go-to-market programs. As of March 31, 2023 and December 31, 2022, we had over 3,000 customers. Our total customer and Enterprise Customer counts decreased slightly over the course of the quarter, reflecting the impact of macroeconomic conditions on our prospective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Expanding Relationships with Existing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there is a significant opportunity to generate additional revenue from our existing customer base of over 3,000 customers as of March 31,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spacing w:before="120" w:after="0"/>
        <w:jc w:val="left"/>
        <w:rPr>
          <w:rFonts w:ascii="Times New Roman" w:hAnsi="Times New Roman"/>
          <w:sz w:val="20"/>
        </w:rPr>
      </w:pPr>
      <w:r>
        <w:rPr>
          <w:rFonts w:ascii="Times New Roman;serif" w:hAnsi="Times New Roman;serif"/>
          <w:b w:val="false"/>
          <w:sz w:val="20"/>
        </w:rPr>
        <w:t>Our success in expanding usage of our platform with our existing customers is demonstrated by our NDR, which is further described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Continuing to Innovate and Expand Our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and the most directly comparable GAAP financial measure to Adjusted EBITDA and Adjusted EBITDA Margin is GAAP net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spacing w:before="360" w:after="0"/>
        <w:jc w:val="left"/>
        <w:rPr>
          <w:rFonts w:ascii="Times New Roman" w:hAnsi="Times New Roman"/>
          <w:sz w:val="20"/>
        </w:rPr>
      </w:pPr>
      <w:r>
        <w:rPr>
          <w:rFonts w:ascii="Times New Roman;serif" w:hAnsi="Times New Roman;serif"/>
          <w:b/>
          <w:i/>
          <w:sz w:val="20"/>
        </w:rPr>
        <w:t>Adjusted Gross Profit and Adjusted Gross Margin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define Adjusted Gross Profit as revenue less cost of revenue,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Gross Margin is defined as Gross Profit as a percentage of revenue and Adjusted Gross Margin is defined as Adjusted Gross Profit as a percentage of revenue. These are key metrics used by management and our board of directors to assess our operations.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presents a reconciliation of Gross Profit and Gross Margin to Adjusted Gross Profit and Adjusted Gross Margin for the periods presented: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4766"/>
        <w:gridCol w:w="146"/>
        <w:gridCol w:w="211"/>
        <w:gridCol w:w="676"/>
        <w:gridCol w:w="146"/>
        <w:gridCol w:w="146"/>
        <w:gridCol w:w="324"/>
        <w:gridCol w:w="776"/>
        <w:gridCol w:w="271"/>
        <w:gridCol w:w="146"/>
        <w:gridCol w:w="211"/>
        <w:gridCol w:w="676"/>
        <w:gridCol w:w="146"/>
        <w:gridCol w:w="146"/>
        <w:gridCol w:w="324"/>
        <w:gridCol w:w="776"/>
        <w:gridCol w:w="318"/>
      </w:tblGrid>
      <w:tr>
        <w:trPr/>
        <w:tc>
          <w:tcPr>
            <w:tcW w:w="4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4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Reported gross profit</w:t>
            </w:r>
            <w:r>
              <w:rPr>
                <w:rFonts w:ascii="Times New Roman" w:hAnsi="Times New Roman"/>
                <w:sz w:val="20"/>
              </w:rPr>
              <w:t xml:space="preserve"> </w:t>
            </w:r>
            <w:r>
              <w:rPr>
                <w:rFonts w:ascii="Times New Roman;serif" w:hAnsi="Times New Roman;serif"/>
                <w:b/>
                <w:sz w:val="20"/>
              </w:rPr>
              <w:t>and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 acquired through business</w:t>
              <w:br/>
              <w:t>   combinations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gross profit and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Adjusted EBITDA and Adjusted EBITDA Margin</w:t>
      </w:r>
    </w:p>
    <w:p>
      <w:pPr>
        <w:pStyle w:val="TextBody"/>
        <w:spacing w:before="120" w:after="0"/>
        <w:jc w:val="left"/>
        <w:rPr>
          <w:rFonts w:ascii="Times New Roman" w:hAnsi="Times New Roman"/>
          <w:sz w:val="20"/>
        </w:rPr>
      </w:pPr>
      <w:r>
        <w:rPr>
          <w:rFonts w:ascii="Times New Roman;serif" w:hAnsi="Times New Roman;serif"/>
          <w:b w:val="false"/>
          <w:sz w:val="20"/>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presents a reconciliation of Net loss to Adjusted EBITDA for the periods presented:</w:t>
      </w:r>
      <w:r>
        <w:rPr>
          <w:rFonts w:ascii="Times New Roman" w:hAnsi="Times New Roman"/>
          <w:sz w:val="20"/>
        </w:rPr>
        <w:t xml:space="preserve"> </w:t>
      </w:r>
    </w:p>
    <w:tbl>
      <w:tblPr>
        <w:tblW w:w="7489" w:type="dxa"/>
        <w:jc w:val="left"/>
        <w:tblInd w:w="0" w:type="dxa"/>
        <w:tblCellMar>
          <w:top w:w="28" w:type="dxa"/>
          <w:left w:w="28" w:type="dxa"/>
          <w:bottom w:w="28" w:type="dxa"/>
          <w:right w:w="28" w:type="dxa"/>
        </w:tblCellMar>
      </w:tblPr>
      <w:tblGrid>
        <w:gridCol w:w="4616"/>
        <w:gridCol w:w="146"/>
        <w:gridCol w:w="211"/>
        <w:gridCol w:w="736"/>
        <w:gridCol w:w="371"/>
        <w:gridCol w:w="146"/>
        <w:gridCol w:w="211"/>
        <w:gridCol w:w="736"/>
        <w:gridCol w:w="316"/>
      </w:tblGrid>
      <w:tr>
        <w:trPr/>
        <w:tc>
          <w:tcPr>
            <w:tcW w:w="4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1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(provision for) income taxes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&amp; amortization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12,944</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EBITDA</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(2,586</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Other expense, net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Equity-based compensation </w:t>
            </w:r>
            <w:r>
              <w:rPr>
                <w:rFonts w:ascii="Times New Roman;serif" w:hAnsi="Times New Roman;serif"/>
                <w:b w:val="false"/>
                <w:sz w:val="13"/>
              </w:rPr>
              <w:t>(b)</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11,128</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integration, and restructuring expenses </w:t>
            </w:r>
            <w:r>
              <w:rPr>
                <w:rFonts w:ascii="Times New Roman;serif" w:hAnsi="Times New Roman;serif"/>
                <w:b w:val="false"/>
                <w:sz w:val="13"/>
              </w:rPr>
              <w:t>(c)</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(d)</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Adjusted EBITDA</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15,667</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14,045</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37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316" w:type="dxa"/>
            <w:tcBorders/>
            <w:shd w:fill="auto" w:val="clear"/>
            <w:vAlign w:val="center"/>
          </w:tcPr>
          <w:p>
            <w:pPr>
              <w:pStyle w:val="TableContents"/>
              <w:spacing w:before="0" w:after="0"/>
              <w:ind w:left="0" w:right="0" w:hanging="0"/>
              <w:jc w:val="left"/>
              <w:rPr/>
            </w:pPr>
            <w:r>
              <w:rPr/>
              <w:t> </w:t>
            </w:r>
          </w:p>
        </w:tc>
      </w:tr>
      <w:tr>
        <w:trPr/>
        <w:tc>
          <w:tcPr>
            <w:tcW w:w="4616"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Adjusted EBITDA Margin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Primarily represents foreign exchange and Tax Receivable Agreement (“TRA”) liability remeasurement gains and losses.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Equity-based compensation represents non-cash compensation expense recognized in association with equity awards made to employees and directors.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Transaction and integration expenses primarily represent legal, accounting, and consulting expenses and fair value adjustments for contingent consideration related to our acquisitions. Restructuring expenses relate to our restructuring plan announced in the first quarter of 2023 and impairment and restructuring charges related to office relocations.</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Non-recurring items represent expenses that are typically by nature one-time, non-operational, and unrelated to our core operations. These expenses are comprised primarily of professional fees related to financing, capital structure changes, and other non-recurring set-up costs related to public company operations.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Key Metrics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monitor the following key metrics to help us evaluate our business performance, identify financial trends, formulate business plans, and make strategic operational decisions.</w:t>
      </w:r>
    </w:p>
    <w:p>
      <w:pPr>
        <w:pStyle w:val="TextBody"/>
        <w:spacing w:before="240" w:after="0"/>
        <w:jc w:val="left"/>
        <w:rPr>
          <w:rFonts w:ascii="Times New Roman" w:hAnsi="Times New Roman"/>
          <w:sz w:val="20"/>
        </w:rPr>
      </w:pPr>
      <w:r>
        <w:rPr>
          <w:rFonts w:ascii="Times New Roman;serif" w:hAnsi="Times New Roman;serif"/>
          <w:b/>
          <w:i/>
          <w:sz w:val="20"/>
        </w:rPr>
        <w:t>Net Dollar Retention Rate ("NDR")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Unfavorable macroeconomic challenges are elongating deal cycles as customers implement more stringent approval processes or delay spending decisions, which impacts revenue from our existing customers, including upsells. We have also experienced a significant number of deferred purchasing decisions and heightened customer churn, particularly in the life science and provider markets. As a result, we expect our NDR rates for 2023 to be reduced slightly relative to year end 2022 unless macroeconomic conditions improve.</w:t>
      </w:r>
    </w:p>
    <w:p>
      <w:pPr>
        <w:pStyle w:val="TextBody"/>
        <w:spacing w:before="240" w:after="0"/>
        <w:jc w:val="left"/>
        <w:rPr>
          <w:rFonts w:ascii="Times New Roman;serif" w:hAnsi="Times New Roman;serif"/>
          <w:b/>
          <w:i/>
          <w:sz w:val="20"/>
        </w:rPr>
      </w:pPr>
      <w:r>
        <w:rPr>
          <w:rFonts w:ascii="Times New Roman;serif" w:hAnsi="Times New Roman;serif"/>
          <w:b/>
          <w:i/>
          <w:sz w:val="20"/>
        </w:rPr>
        <w:t>Current Remaining Performance Obligations ("cRPO")</w:t>
      </w:r>
    </w:p>
    <w:p>
      <w:pPr>
        <w:pStyle w:val="TextBody"/>
        <w:spacing w:before="120" w:after="0"/>
        <w:jc w:val="left"/>
        <w:rPr>
          <w:rFonts w:ascii="Times New Roman" w:hAnsi="Times New Roman"/>
          <w:sz w:val="20"/>
        </w:rPr>
      </w:pPr>
      <w:r>
        <w:rPr>
          <w:rFonts w:ascii="Times New Roman;serif" w:hAnsi="Times New Roman;serif"/>
          <w:b w:val="false"/>
          <w:sz w:val="20"/>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cRPO will continue to be impacted by macroenvironment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2023 relative to 2022.</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presents cRPO as of March 31, 2023 and December 31, 2022:</w:t>
      </w:r>
      <w:r>
        <w:rPr>
          <w:rFonts w:ascii="Times New Roman" w:hAnsi="Times New Roman"/>
          <w:sz w:val="20"/>
        </w:rPr>
        <w:t xml:space="preserve"> </w:t>
      </w:r>
    </w:p>
    <w:tbl>
      <w:tblPr>
        <w:tblW w:w="4442" w:type="dxa"/>
        <w:jc w:val="left"/>
        <w:tblInd w:w="0" w:type="dxa"/>
        <w:tblCellMar>
          <w:top w:w="28" w:type="dxa"/>
          <w:left w:w="28" w:type="dxa"/>
          <w:bottom w:w="28" w:type="dxa"/>
          <w:right w:w="28" w:type="dxa"/>
        </w:tblCellMar>
      </w:tblPr>
      <w:tblGrid>
        <w:gridCol w:w="1226"/>
        <w:gridCol w:w="146"/>
        <w:gridCol w:w="211"/>
        <w:gridCol w:w="781"/>
        <w:gridCol w:w="246"/>
        <w:gridCol w:w="146"/>
        <w:gridCol w:w="233"/>
        <w:gridCol w:w="862"/>
        <w:gridCol w:w="591"/>
      </w:tblGrid>
      <w:tr>
        <w:trPr/>
        <w:tc>
          <w:tcPr>
            <w:tcW w:w="1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10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180,902</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591" w:type="dxa"/>
            <w:tcBorders/>
            <w:shd w:fill="auto" w:val="clear"/>
            <w:vAlign w:val="center"/>
          </w:tcPr>
          <w:p>
            <w:pPr>
              <w:pStyle w:val="TableContents"/>
              <w:spacing w:before="0" w:after="0"/>
              <w:ind w:left="0" w:right="0" w:hanging="0"/>
              <w:jc w:val="left"/>
              <w:rPr/>
            </w:pPr>
            <w:r>
              <w:rPr/>
              <w:t> </w:t>
            </w:r>
          </w:p>
        </w:tc>
      </w:tr>
      <w:tr>
        <w:trPr/>
        <w:tc>
          <w:tcPr>
            <w:tcW w:w="12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84,890</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12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265,792</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sz w:val="20"/>
        </w:rPr>
        <w:t>Impact of Acquisitions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We seek to enhance our platform, data and business through internal development and through acquisitions of and investments in businesses that broaden and strengthen our platform. In February 2022, we completed our acquisition of Analytical Wizards. This acquisition further strengthens our data platform and our business.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serif" w:hAnsi="Times New Roman;serif"/>
          <w:b w:val="false"/>
          <w:i/>
          <w:sz w:val="20"/>
        </w:rPr>
        <w:t>Acquisitions</w:t>
      </w:r>
      <w:r>
        <w:rPr>
          <w:rFonts w:ascii="Times New Roman" w:hAnsi="Times New Roman"/>
          <w:sz w:val="20"/>
        </w:rPr>
        <w:t xml:space="preserve"> </w:t>
      </w:r>
      <w:r>
        <w:rPr>
          <w:rFonts w:ascii="Times New Roman;serif" w:hAnsi="Times New Roman;serif"/>
          <w:b w:val="false"/>
          <w:sz w:val="20"/>
        </w:rPr>
        <w:t>in the notes to our condensed consolidated financial statements included elsewhere in this Form 10-Q for further details.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we derived approximately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the macroenvironment challenges described above, we expect a reduction in our revenue growth rate for 2023 relative to 2022.</w:t>
      </w:r>
    </w:p>
    <w:p>
      <w:pPr>
        <w:pStyle w:val="TextBody"/>
        <w:spacing w:before="24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Cost of Revenue</w:t>
      </w:r>
      <w:r>
        <w:rPr>
          <w:rFonts w:ascii="Times New Roman;serif" w:hAnsi="Times New Roman;serif"/>
          <w:b w:val="false"/>
          <w:sz w:val="20"/>
        </w:rPr>
        <w:t>.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Amortization</w:t>
      </w:r>
      <w:r>
        <w:rPr>
          <w:rFonts w:ascii="Times New Roman;serif" w:hAnsi="Times New Roman;serif"/>
          <w:b w:val="false"/>
          <w:sz w:val="20"/>
        </w:rPr>
        <w:t>. Includes amortization expense for technology and data acquired in business combinations and asset purchase agreements. We anticipate that amortization will only increase if we make additional acquisitions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beginning of 2023, additional third-party data sources were rolled out to our customers, which resulted in an increase of cost of revenue.</w:t>
      </w:r>
    </w:p>
    <w:p>
      <w:pPr>
        <w:pStyle w:val="TextBody"/>
        <w:spacing w:before="240" w:after="0"/>
        <w:jc w:val="left"/>
        <w:rPr>
          <w:rFonts w:ascii="Times New Roman" w:hAnsi="Times New Roman"/>
          <w:sz w:val="20"/>
        </w:rPr>
      </w:pPr>
      <w:r>
        <w:rPr>
          <w:rFonts w:ascii="Times New Roman;serif" w:hAnsi="Times New Roman;serif"/>
          <w:b/>
          <w:i/>
          <w:sz w:val="20"/>
        </w:rPr>
        <w:t>Gross Profit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we expect our overall gross profit to increase for 2023 due to anticipated revenue growth, our gross margin is expected to modestly decrease due to the expansion of data sources as described above.</w:t>
      </w:r>
    </w:p>
    <w:p>
      <w:pPr>
        <w:pStyle w:val="TextBody"/>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a restructuring plan in the first quarter of 2023. Rising inflation, and in particular increases to the cost of labor due to cost-of-living increases, have negatively impacted our operating expenses, and we expect this to continue. However, inflation has not materially affected our business to date.</w:t>
      </w:r>
    </w:p>
    <w:p>
      <w:pPr>
        <w:pStyle w:val="TextBody"/>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serif" w:hAnsi="Times New Roman;serif"/>
          <w:b w:val="false"/>
          <w:sz w:val="20"/>
        </w:rPr>
        <w:t>. Sales and marketing expenses primarily consist of personnel costs such as salaries, bonuses, sales commissions, stock-based compensation, and other employee-related benefits for our sales and marketing teams, as well as non-personnel costs including overhead costs, technology, and marketing costs. While we have slowed hiring in response to macroeconomic conditions, and expect to maintain slower levels until macroeconomic conditions improve, we continue to hire additional sales and marketing personnel, enhance our digital marketing infrastructure, and invest in marketing programs targeting our major vertical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Product development</w:t>
      </w:r>
      <w:r>
        <w:rPr>
          <w:rFonts w:ascii="Times New Roman;serif" w:hAnsi="Times New Roman;serif"/>
          <w:b w:val="false"/>
          <w:sz w:val="20"/>
        </w:rPr>
        <w:t>.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artificial intelligence to drive higher quality data and deeper insights.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i/>
          <w:sz w:val="20"/>
        </w:rPr>
        <w:t>General and administrative</w:t>
      </w:r>
      <w:r>
        <w:rPr>
          <w:rFonts w:ascii="Times New Roman;serif" w:hAnsi="Times New Roman;serif"/>
          <w:b w:val="false"/>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We have slowed hiring in response to macroeconomic conditions and do not expect to increase it until macroeconomic conditions improve.</w:t>
      </w:r>
    </w:p>
    <w:p>
      <w:pPr>
        <w:pStyle w:val="TextBody"/>
        <w:spacing w:before="120" w:after="0"/>
        <w:jc w:val="left"/>
        <w:rPr>
          <w:rFonts w:ascii="Times New Roman" w:hAnsi="Times New Roman"/>
          <w:sz w:val="20"/>
        </w:rPr>
      </w:pPr>
      <w:r>
        <w:rPr>
          <w:rFonts w:ascii="Times New Roman;serif" w:hAnsi="Times New Roman;serif"/>
          <w:b w:val="false"/>
          <w:i/>
          <w:sz w:val="20"/>
        </w:rPr>
        <w:t>Depreciation and Amortization</w:t>
      </w:r>
      <w:r>
        <w:rPr>
          <w:rFonts w:ascii="Times New Roman;serif" w:hAnsi="Times New Roman;serif"/>
          <w:b w:val="false"/>
          <w:sz w:val="20"/>
        </w:rPr>
        <w:t>.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Transaction, integration, and restructuring expenses</w:t>
      </w:r>
      <w:r>
        <w:rPr>
          <w:rFonts w:ascii="Times New Roman;serif" w:hAnsi="Times New Roman;serif"/>
          <w:b w:val="false"/>
          <w:sz w:val="20"/>
        </w:rPr>
        <w:t>. Transaction, integration, and restructuring expenses are costs directly associated with various acquisition and integration activities we have undertaken, primarily accounting and legal due diligence, and consulting and advisory fees, as well as expenses related to our restructuring plan announced in the first quarter of 2023 and our office relocations.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Other Expense, Net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expense, net consists primarily of interest expense, interest income, and other expense, net.</w:t>
      </w:r>
    </w:p>
    <w:p>
      <w:pPr>
        <w:pStyle w:val="TextBody"/>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consists of interest expense on our debt obligations and the amortization of debt discounts and debt issuance costs. We expect, as a result of recently rising interest rates, that interest expense will increase for 2023 over prior periods for the unhedged portion of our outstanding debt while interest rate swap agreements will keep the hedged portion of outstanding debt fixed.</w:t>
      </w:r>
    </w:p>
    <w:p>
      <w:pPr>
        <w:pStyle w:val="TextBody"/>
        <w:spacing w:before="12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r>
        <w:rPr>
          <w:rFonts w:ascii="Times New Roman;serif" w:hAnsi="Times New Roman;serif"/>
          <w:b w:val="false"/>
          <w:sz w:val="20"/>
        </w:rPr>
        <w:t>consists of earnings resulting from our short-term investments.</w:t>
      </w:r>
    </w:p>
    <w:p>
      <w:pPr>
        <w:pStyle w:val="TextBody"/>
        <w:spacing w:before="12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r>
        <w:rPr>
          <w:rFonts w:ascii="Times New Roman;serif" w:hAnsi="Times New Roman;serif"/>
          <w:b w:val="false"/>
          <w:sz w:val="20"/>
        </w:rPr>
        <w:t>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sets forth a summary of our condensed consolidated statements of operations for the periods presented:</w:t>
      </w:r>
      <w:r>
        <w:rPr>
          <w:rFonts w:ascii="Times New Roman" w:hAnsi="Times New Roman"/>
          <w:sz w:val="20"/>
        </w:rPr>
        <w:t xml:space="preserve"> </w:t>
      </w:r>
    </w:p>
    <w:tbl>
      <w:tblPr>
        <w:tblW w:w="9089" w:type="dxa"/>
        <w:jc w:val="left"/>
        <w:tblInd w:w="0" w:type="dxa"/>
        <w:tblCellMar>
          <w:top w:w="28" w:type="dxa"/>
          <w:left w:w="28" w:type="dxa"/>
          <w:bottom w:w="28" w:type="dxa"/>
          <w:right w:w="28" w:type="dxa"/>
        </w:tblCellMar>
      </w:tblPr>
      <w:tblGrid>
        <w:gridCol w:w="5626"/>
        <w:gridCol w:w="246"/>
        <w:gridCol w:w="211"/>
        <w:gridCol w:w="736"/>
        <w:gridCol w:w="266"/>
        <w:gridCol w:w="246"/>
        <w:gridCol w:w="211"/>
        <w:gridCol w:w="736"/>
        <w:gridCol w:w="811"/>
      </w:tblGrid>
      <w:tr>
        <w:trPr/>
        <w:tc>
          <w:tcPr>
            <w:tcW w:w="56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24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shd w:fill="auto" w:val="clear"/>
            <w:vAlign w:val="center"/>
          </w:tcPr>
          <w:p>
            <w:pPr>
              <w:pStyle w:val="TableContents"/>
              <w:spacing w:before="0" w:after="0"/>
              <w:ind w:left="0" w:right="0" w:firstLine="100"/>
              <w:jc w:val="left"/>
              <w:rPr/>
            </w:pPr>
            <w:r>
              <w:rPr/>
              <w:t> </w:t>
            </w:r>
          </w:p>
        </w:tc>
        <w:tc>
          <w:tcPr>
            <w:tcW w:w="947" w:type="dxa"/>
            <w:gridSpan w:val="2"/>
            <w:tcBorders/>
            <w:shd w:fill="auto" w:val="clear"/>
            <w:vAlign w:val="center"/>
          </w:tcPr>
          <w:p>
            <w:pPr>
              <w:pStyle w:val="TableContents"/>
              <w:spacing w:before="0" w:after="0"/>
              <w:ind w:left="10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947" w:type="dxa"/>
            <w:gridSpan w:val="2"/>
            <w:tcBorders/>
            <w:shd w:fill="auto" w:val="clear"/>
            <w:vAlign w:val="center"/>
          </w:tcPr>
          <w:p>
            <w:pPr>
              <w:pStyle w:val="TableContents"/>
              <w:spacing w:before="0" w:after="0"/>
              <w:ind w:left="10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8,552</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5,378</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cost of revenue</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11,906</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11,328</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7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shd w:fill="auto" w:val="clear"/>
            <w:vAlign w:val="center"/>
          </w:tcPr>
          <w:p>
            <w:pPr>
              <w:pStyle w:val="TableContents"/>
              <w:spacing w:before="0" w:after="0"/>
              <w:ind w:left="7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47,295</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shd w:fill="auto" w:val="clear"/>
            <w:vAlign w:val="center"/>
          </w:tcPr>
          <w:p>
            <w:pPr>
              <w:pStyle w:val="TableContents"/>
              <w:spacing w:before="0" w:after="0"/>
              <w:ind w:left="0" w:right="0" w:firstLine="100"/>
              <w:jc w:val="left"/>
              <w:rPr/>
            </w:pPr>
            <w:r>
              <w:rPr/>
              <w:t> </w:t>
            </w:r>
          </w:p>
        </w:tc>
        <w:tc>
          <w:tcPr>
            <w:tcW w:w="947" w:type="dxa"/>
            <w:gridSpan w:val="2"/>
            <w:tcBorders/>
            <w:shd w:fill="auto" w:val="clear"/>
            <w:vAlign w:val="center"/>
          </w:tcPr>
          <w:p>
            <w:pPr>
              <w:pStyle w:val="TableContents"/>
              <w:spacing w:before="0" w:after="0"/>
              <w:ind w:left="10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947" w:type="dxa"/>
            <w:gridSpan w:val="2"/>
            <w:tcBorders/>
            <w:shd w:fill="auto" w:val="clear"/>
            <w:vAlign w:val="center"/>
          </w:tcPr>
          <w:p>
            <w:pPr>
              <w:pStyle w:val="TableContents"/>
              <w:spacing w:before="0" w:after="0"/>
              <w:ind w:left="10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23,423</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21,293</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9,884</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13,640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7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shd w:fill="auto" w:val="clear"/>
            <w:vAlign w:val="center"/>
          </w:tcPr>
          <w:p>
            <w:pPr>
              <w:pStyle w:val="TableContents"/>
              <w:spacing w:before="0" w:after="0"/>
              <w:ind w:left="7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59,127</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49,781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1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shd w:fill="auto" w:val="clear"/>
            <w:vAlign w:val="center"/>
          </w:tcPr>
          <w:p>
            <w:pPr>
              <w:pStyle w:val="TableContents"/>
              <w:spacing w:before="0" w:after="0"/>
              <w:ind w:left="1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(11,832</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1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shd w:fill="auto" w:val="clear"/>
            <w:vAlign w:val="center"/>
          </w:tcPr>
          <w:p>
            <w:pPr>
              <w:pStyle w:val="TableContents"/>
              <w:spacing w:before="0" w:after="0"/>
              <w:ind w:left="1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100"/>
              <w:jc w:val="left"/>
              <w:rPr>
                <w:rFonts w:ascii="Times New Roman;serif" w:hAnsi="Times New Roman;serif"/>
                <w:b w:val="false"/>
                <w:sz w:val="20"/>
              </w:rPr>
            </w:pPr>
            <w:r>
              <w:rPr>
                <w:rFonts w:ascii="Times New Roman;serif" w:hAnsi="Times New Roman;serif"/>
                <w:b w:val="false"/>
                <w:sz w:val="20"/>
              </w:rPr>
              <w:t>Benefit from (provision for) income taxes</w:t>
            </w:r>
          </w:p>
        </w:tc>
        <w:tc>
          <w:tcPr>
            <w:tcW w:w="246" w:type="dxa"/>
            <w:tcBorders/>
            <w:shd w:fill="auto" w:val="clear"/>
            <w:vAlign w:val="center"/>
          </w:tcPr>
          <w:p>
            <w:pPr>
              <w:pStyle w:val="TableContents"/>
              <w:spacing w:before="0" w:after="0"/>
              <w:ind w:left="1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shd w:fill="auto" w:val="clear"/>
            <w:vAlign w:val="center"/>
          </w:tcPr>
          <w:p>
            <w:pPr>
              <w:pStyle w:val="TableContents"/>
              <w:spacing w:before="0" w:after="0"/>
              <w:ind w:left="1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i/>
          <w:sz w:val="20"/>
        </w:rPr>
        <w:br/>
      </w:r>
      <w:r>
        <w:rPr>
          <w:rFonts w:ascii="Times New Roman" w:hAnsi="Times New Roman"/>
          <w:sz w:val="20"/>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Three Months Ended March 31, 2023 compared to Three Months Ended March 31, 2022</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Revenue increased $9.1 million, or 18%, in the three months ended March 31, 2023 compared with the same period in the prior year, driven primarily by higher subscription revenue of $8.8 million and higher professional service revenue of $0.3 million. Increases from the organic addition of new customers in the amount of $8.2 million and the acquisition of Analytical Wizards in February 2022 in the amount of $1.3 million were partially offset by a $0.4 million reduction in revenue from customers that existed as of the end of the prior year.</w:t>
      </w:r>
    </w:p>
    <w:p>
      <w:pPr>
        <w:pStyle w:val="TextBody"/>
        <w:spacing w:before="240" w:after="0"/>
        <w:jc w:val="left"/>
        <w:rPr>
          <w:rFonts w:ascii="Times New Roman;serif" w:hAnsi="Times New Roman;serif"/>
          <w:b/>
          <w:sz w:val="20"/>
        </w:rPr>
      </w:pPr>
      <w:r>
        <w:rPr>
          <w:rFonts w:ascii="Times New Roman;serif" w:hAnsi="Times New Roman;serif"/>
          <w:b/>
          <w:sz w:val="20"/>
        </w:rPr>
        <w:t>Cost of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revenue increased $0.6 million, or 5%, in the three months ended March 31, 2023 compared with the same period in the prior year. Expanded customer usage of our platform and the rollout of additional third-party data sources to our customers at the beginning of 2023 increased hosting fees and data subscription costs by $2.0 million. In addition, employee costs increased by $0.6 million due to expansion of customer support and professional service roles, primarily resulting from the acquisition of Analytical Wizards in February 2022. These increases were partially offset by a $2.0 million reduction in amortization, primarily due to a substantial acquired data asset reaching the end of its economic life in July 2022.</w:t>
      </w:r>
    </w:p>
    <w:p>
      <w:pPr>
        <w:pStyle w:val="TextBody"/>
        <w:spacing w:before="240" w:after="0"/>
        <w:jc w:val="left"/>
        <w:rPr>
          <w:rFonts w:ascii="Times New Roman;serif" w:hAnsi="Times New Roman;serif"/>
          <w:b/>
          <w:sz w:val="20"/>
        </w:rPr>
      </w:pPr>
      <w:r>
        <w:rPr>
          <w:rFonts w:ascii="Times New Roman;serif" w:hAnsi="Times New Roman;serif"/>
          <w:b/>
          <w:sz w:val="20"/>
        </w:rPr>
        <w:t>Operating Expenses</w:t>
      </w:r>
    </w:p>
    <w:p>
      <w:pPr>
        <w:pStyle w:val="TextBody"/>
        <w:spacing w:before="120" w:after="0"/>
        <w:jc w:val="left"/>
        <w:rPr>
          <w:rFonts w:ascii="Times New Roman" w:hAnsi="Times New Roman"/>
          <w:sz w:val="20"/>
        </w:rPr>
      </w:pPr>
      <w:r>
        <w:rPr>
          <w:rFonts w:ascii="Times New Roman;serif" w:hAnsi="Times New Roman;serif"/>
          <w:b w:val="false"/>
          <w:sz w:val="20"/>
        </w:rPr>
        <w:t>Operating expenses increased $9.3 million, or 19%, during the three months ended March 31, 2023 compared with the same period in the prior year. While inflation has generally contributed to rising vendor and labor costs, we believe the increase to operating expenses was primarily due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increase in sales and marketing expense of $2.1 million for the three months ended March 31, 2023, due primarily to increased personnel costs resulting from additional hiring, partially offset by decreases in stock-based compensation expense due to key role transitions;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product development expense of $3.0 million for the three months ended March 31, 2023, due primarily to increases in stock-based compensation expense and increased personnel costs resulting from additional hiring;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increase in general and administrative expense of $3.2 million for the three months ended March 31, 2023, due primarily to increases in stock-based compensation expense from new equity grants and key role transitions over the past year, partially offset by savings from franchise taxes, rent and facility costs due to prior year office closures, and reduced professional fees;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 increase in transaction, integration and restructuring expenses of $1.3 million for the three months ended March 31, 2023, due primarily to our restructuring plan announced on January 12, 2023 partially offset by reduced transaction and integration costs from the February 2022 acquisition of Analytical Wizards.</w:t>
      </w:r>
    </w:p>
    <w:p>
      <w:pPr>
        <w:pStyle w:val="TextBody"/>
        <w:spacing w:before="120" w:after="0"/>
        <w:jc w:val="left"/>
        <w:rPr>
          <w:rFonts w:ascii="Times New Roman;serif" w:hAnsi="Times New Roman;serif"/>
          <w:b/>
          <w:sz w:val="20"/>
        </w:rPr>
      </w:pPr>
      <w:r>
        <w:rPr>
          <w:rFonts w:ascii="Times New Roman;serif" w:hAnsi="Times New Roman;serif"/>
          <w:b/>
          <w:sz w:val="20"/>
        </w:rPr>
        <w:t>Other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other expense, net was $4.5 million for the three months ended March 31, 2023 compared to total other expense, net of $2.0 million in the same period in the prior year. The overall increase was primarily attributed to a $3.6 million increase in other expense, net, primarily due to a TRA liability remeasurement loss driven by future realizability of tax attributes payable under the TRA, and a $1.7 million increase in interest expense due to rising interest rates from our debt obligations, partially offset by a $2.8 million increase in interest income earned from our short-term investments.</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had $125.0 million of cash and cash equivalents, $219.0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primarily for investment in long-term growth of the business through capital expenditures and acquisitions, as well as debt services and distributions to members of Definitive OpCo.</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2022 Form 10-K and the factors described elsewhere in this “Management’s Discussion and Analysis of Financial Condition and Results of Operations.” Macroeconomic conditions, including rising inflation and a potential recession, could increase our anticipated funding requirements. In the event we need to seek additional funding, rising interest rates, stock market volatility, or other unfavorable macroeconomic conditions may also prevent us from obtaining additional financing on favorable terms or at all. Moreover, the recent closures of Silicon Valley Bank and Signature Bank have resulted in broader financial institution liquidity risk and concerns.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summarizes our cash flows for the periods presented:</w:t>
      </w:r>
      <w:r>
        <w:rPr>
          <w:rFonts w:ascii="Times New Roman" w:hAnsi="Times New Roman"/>
          <w:sz w:val="20"/>
        </w:rPr>
        <w:t xml:space="preserve"> </w:t>
      </w:r>
    </w:p>
    <w:tbl>
      <w:tblPr>
        <w:tblW w:w="10044" w:type="dxa"/>
        <w:jc w:val="left"/>
        <w:tblInd w:w="0" w:type="dxa"/>
        <w:tblCellMar>
          <w:top w:w="28" w:type="dxa"/>
          <w:left w:w="28" w:type="dxa"/>
          <w:bottom w:w="28" w:type="dxa"/>
          <w:right w:w="28" w:type="dxa"/>
        </w:tblCellMar>
      </w:tblPr>
      <w:tblGrid>
        <w:gridCol w:w="6676"/>
        <w:gridCol w:w="246"/>
        <w:gridCol w:w="211"/>
        <w:gridCol w:w="736"/>
        <w:gridCol w:w="266"/>
        <w:gridCol w:w="246"/>
        <w:gridCol w:w="211"/>
        <w:gridCol w:w="841"/>
        <w:gridCol w:w="611"/>
      </w:tblGrid>
      <w:tr>
        <w:trPr/>
        <w:tc>
          <w:tcPr>
            <w:tcW w:w="667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676"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25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(used in):</w:t>
            </w:r>
          </w:p>
        </w:tc>
        <w:tc>
          <w:tcPr>
            <w:tcW w:w="246" w:type="dxa"/>
            <w:tcBorders/>
            <w:shd w:fill="auto" w:val="clear"/>
            <w:vAlign w:val="center"/>
          </w:tcPr>
          <w:p>
            <w:pPr>
              <w:pStyle w:val="TableContents"/>
              <w:spacing w:before="0" w:after="0"/>
              <w:ind w:left="0" w:right="0" w:firstLine="100"/>
              <w:jc w:val="left"/>
              <w:rPr/>
            </w:pPr>
            <w:r>
              <w:rPr/>
              <w:t> </w:t>
            </w:r>
          </w:p>
        </w:tc>
        <w:tc>
          <w:tcPr>
            <w:tcW w:w="947" w:type="dxa"/>
            <w:gridSpan w:val="2"/>
            <w:tcBorders/>
            <w:shd w:fill="auto" w:val="clear"/>
            <w:vAlign w:val="center"/>
          </w:tcPr>
          <w:p>
            <w:pPr>
              <w:pStyle w:val="TableContents"/>
              <w:spacing w:before="0" w:after="0"/>
              <w:ind w:left="100" w:right="0" w:hanging="0"/>
              <w:jc w:val="right"/>
              <w:rPr/>
            </w:pPr>
            <w:r>
              <w:rPr/>
              <w:t> </w:t>
            </w:r>
          </w:p>
        </w:tc>
        <w:tc>
          <w:tcPr>
            <w:tcW w:w="266" w:type="dxa"/>
            <w:tcBorders/>
            <w:shd w:fill="auto" w:val="clear"/>
            <w:vAlign w:val="center"/>
          </w:tcPr>
          <w:p>
            <w:pPr>
              <w:pStyle w:val="TableContents"/>
              <w:spacing w:before="0" w:after="0"/>
              <w:ind w:left="0" w:right="0" w:firstLine="10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52" w:type="dxa"/>
            <w:gridSpan w:val="2"/>
            <w:tcBorders/>
            <w:shd w:fill="auto" w:val="clear"/>
            <w:vAlign w:val="center"/>
          </w:tcPr>
          <w:p>
            <w:pPr>
              <w:pStyle w:val="TableContents"/>
              <w:spacing w:before="0" w:after="0"/>
              <w:ind w:left="10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667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Operating activities</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14,957</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13,633</w:t>
            </w:r>
          </w:p>
        </w:tc>
        <w:tc>
          <w:tcPr>
            <w:tcW w:w="611" w:type="dxa"/>
            <w:tcBorders/>
            <w:shd w:fill="auto" w:val="clear"/>
            <w:vAlign w:val="center"/>
          </w:tcPr>
          <w:p>
            <w:pPr>
              <w:pStyle w:val="TableContents"/>
              <w:spacing w:before="0" w:after="0"/>
              <w:ind w:left="0" w:right="0" w:firstLine="400"/>
              <w:jc w:val="left"/>
              <w:rPr/>
            </w:pPr>
            <w:r>
              <w:rPr/>
              <w:t> </w:t>
            </w:r>
          </w:p>
        </w:tc>
      </w:tr>
      <w:tr>
        <w:trPr/>
        <w:tc>
          <w:tcPr>
            <w:tcW w:w="667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Investing activities</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(33,470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(166,852</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Financing activities</w:t>
            </w:r>
          </w:p>
        </w:tc>
        <w:tc>
          <w:tcPr>
            <w:tcW w:w="246" w:type="dxa"/>
            <w:tcBorders/>
            <w:shd w:fill="auto" w:val="clear"/>
            <w:vAlign w:val="center"/>
          </w:tcPr>
          <w:p>
            <w:pPr>
              <w:pStyle w:val="TableContents"/>
              <w:spacing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and cash equivalents (excluding effect of exchange rate changes)</w:t>
            </w:r>
          </w:p>
        </w:tc>
        <w:tc>
          <w:tcPr>
            <w:tcW w:w="2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(22,038</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(157,595</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i/>
          <w:sz w:val="20"/>
        </w:rPr>
        <w:t>Cash Flows provided by Operating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was $15.0 million during the three months ended March 31, 2023, primarily as a result of a net loss of $15.6 million, offset by non-cash charges of $30.1 million. The non-cash charges were primarily comprised of amortization of intangible assets of $12.4 million, equity compensation costs of $11.1 million, a loss on remeasurement of the TRA of $3.6 million, and amortization of deferred contract costs of $2.9 million. The net increase in operating assets and liabilities of $0.4 million was primarily the result of a decrease in accounts receivable of $7.0 million and an increase in deferred revenue of $5.6 million due to the time of billings and cash received in advance of revenue recognition for subscription services. These factors were almost entirely offset by lower accounts payable, accrued expenses, and other current liabilities, collectively, of $4.3 million, the result of cash outflows resulting from an increase in deferred contract costs of $4.0 million, and an increase in prepaid expense and other assets of $3.8 million.</w:t>
      </w:r>
    </w:p>
    <w:p>
      <w:pPr>
        <w:pStyle w:val="TextBody"/>
        <w:spacing w:before="240" w:after="0"/>
        <w:jc w:val="left"/>
        <w:rPr>
          <w:rFonts w:ascii="Times New Roman" w:hAnsi="Times New Roman"/>
          <w:sz w:val="20"/>
        </w:rPr>
      </w:pPr>
      <w:r>
        <w:rPr>
          <w:rFonts w:ascii="Times New Roman;serif" w:hAnsi="Times New Roman;serif"/>
          <w:b w:val="false"/>
          <w:i/>
          <w:sz w:val="20"/>
        </w:rPr>
        <w:t>Cash Flows used in Investing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investing activities during the three months ended March 31, 2023 was $33.5 million, driven primarily by $90.3 million in purchases of short-term investments, partially offset by $58.1 million in maturities of short-term investments.</w:t>
      </w:r>
    </w:p>
    <w:p>
      <w:pPr>
        <w:pStyle w:val="TextBody"/>
        <w:spacing w:before="240" w:after="0"/>
        <w:jc w:val="left"/>
        <w:rPr>
          <w:rFonts w:ascii="Times New Roman" w:hAnsi="Times New Roman"/>
          <w:sz w:val="20"/>
        </w:rPr>
      </w:pPr>
      <w:r>
        <w:rPr>
          <w:rFonts w:ascii="Times New Roman;serif" w:hAnsi="Times New Roman;serif"/>
          <w:b w:val="false"/>
          <w:i/>
          <w:sz w:val="20"/>
        </w:rPr>
        <w:t>Cash Flows used in Financing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used in financing activities during the three months ended March 31, 2023 was $3.5 million, primarily driven repayments of the 2021 Term Loan (as defined below) of $1.7 million and taxes paid related to the net share settlement of equity awards of $1.5 million.</w:t>
      </w:r>
    </w:p>
    <w:p>
      <w:pPr>
        <w:pStyle w:val="TextBody"/>
        <w:spacing w:before="120" w:after="0"/>
        <w:jc w:val="left"/>
        <w:rPr>
          <w:rFonts w:ascii="Times New Roman" w:hAnsi="Times New Roman"/>
          <w:sz w:val="20"/>
        </w:rPr>
      </w:pPr>
      <w:r>
        <w:rPr>
          <w:rFonts w:ascii="Times New Roman;serif" w:hAnsi="Times New Roman;serif"/>
          <w:b w:val="false"/>
          <w:sz w:val="20"/>
        </w:rPr>
        <w:t xml:space="preserve">Refer to </w:t>
      </w:r>
      <w:r>
        <w:rPr>
          <w:rFonts w:ascii="Times New Roman;serif" w:hAnsi="Times New Roman;serif"/>
          <w:b w:val="false"/>
          <w:i/>
          <w:sz w:val="20"/>
        </w:rPr>
        <w:t>Debt Obligations</w:t>
      </w:r>
      <w:r>
        <w:rPr>
          <w:rFonts w:ascii="Times New Roman" w:hAnsi="Times New Roman"/>
          <w:sz w:val="20"/>
        </w:rPr>
        <w:t xml:space="preserve"> </w:t>
      </w:r>
      <w:r>
        <w:rPr>
          <w:rFonts w:ascii="Times New Roman;serif" w:hAnsi="Times New Roman;serif"/>
          <w:b w:val="false"/>
          <w:sz w:val="20"/>
        </w:rPr>
        <w:t>for additional information related to our debt obligations.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Debt Obligations</w:t>
      </w:r>
    </w:p>
    <w:p>
      <w:pPr>
        <w:pStyle w:val="TextBody"/>
        <w:spacing w:before="120" w:after="0"/>
        <w:jc w:val="left"/>
        <w:rPr>
          <w:rFonts w:ascii="Times New Roman" w:hAnsi="Times New Roman"/>
          <w:sz w:val="20"/>
        </w:rPr>
      </w:pPr>
      <w:r>
        <w:rPr>
          <w:rFonts w:ascii="Times New Roman;serif" w:hAnsi="Times New Roman;serif"/>
          <w:b w:val="false"/>
          <w:sz w:val="20"/>
        </w:rPr>
        <w:t>On September 17, 2021, DH Holdings entered into the 2021 Credit Agreement, providing for (i) a $275.0 million term loan A facility (the “2021 Term Loan”) and (ii) a $75.0 million revolving credit facility (the “2021 Revolving Line of Credit”). The 2021 Term Loan of $275.0 million has a maturity date of September 17, 2026. The 2021 Term Loan was recorded net of $3.5 million in issuance costs, which are amortized to interest expense over the term of the loan using the effective interest method.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$264.7 million outstanding on the 2021 Term Loan at March 31,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2021 Revolving Line of Credit is committed for $75.0 million and has a maturity date of September 17, 2026. There was no outstanding balance as of March 31, 2023. On October 31, 2022, the Company amended the 2021 Credit Agreement to replace the LIBO rate with Term SOFR plus an applicable 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2021 Credit Agreement includes certain financial covenants, and the Company was compliant with its financial covenants under the 2021 Credit Agreement as of March 31, 2023 and December 31, 2022.</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Tax Receivable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spacing w:before="120" w:after="0"/>
        <w:jc w:val="left"/>
        <w:rPr>
          <w:rFonts w:ascii="Times New Roman" w:hAnsi="Times New Roman"/>
          <w:sz w:val="20"/>
        </w:rPr>
      </w:pPr>
      <w:r>
        <w:rPr>
          <w:rFonts w:ascii="Times New Roman;serif" w:hAnsi="Times New Roman;serif"/>
          <w:b w:val="false"/>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our unaudited condensed consolidated financial statements.</w:t>
      </w:r>
    </w:p>
    <w:p>
      <w:pPr>
        <w:pStyle w:val="TextBody"/>
        <w:spacing w:before="240" w:after="0"/>
        <w:jc w:val="left"/>
        <w:rPr>
          <w:rFonts w:ascii="Times New Roman" w:hAnsi="Times New Roman"/>
          <w:sz w:val="20"/>
        </w:rPr>
      </w:pPr>
      <w:r>
        <w:rPr>
          <w:rFonts w:ascii="Times New Roman;serif" w:hAnsi="Times New Roman;serif"/>
          <w:b/>
          <w:sz w:val="20"/>
        </w:rPr>
        <w:t>Capital Expenditures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Capital expenditures increased by $0.5 million to $1.3 million for the three months ended March 31, 2023 compared to $0.8 million for the same period in the prior year, primarily due to the acquisition of new data sources.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2022 included in our 2022 Form 10-K. There have been no material changes to these policies or estimates as of March 31,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New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See new accounting pronouncements described under “—Adoption of Recently Issued Financial Accounting Standards” and “—Recently Issued Accounting Pronouncements Not Yet Adopted” within Note 1. </w:t>
      </w:r>
      <w:r>
        <w:rPr>
          <w:rFonts w:ascii="Times New Roman;serif" w:hAnsi="Times New Roman;serif"/>
          <w:b w:val="false"/>
          <w:i/>
          <w:sz w:val="20"/>
        </w:rPr>
        <w:t>Organization and Basis of Presentation</w:t>
      </w:r>
      <w:r>
        <w:rPr>
          <w:rFonts w:ascii="Times New Roman" w:hAnsi="Times New Roman"/>
          <w:sz w:val="20"/>
        </w:rPr>
        <w:t xml:space="preserve"> </w:t>
      </w:r>
      <w:r>
        <w:rPr>
          <w:rFonts w:ascii="Times New Roman;serif" w:hAnsi="Times New Roman;serif"/>
          <w:b w:val="false"/>
          <w:sz w:val="20"/>
        </w:rPr>
        <w:t>in the Notes to the unaudited interim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bookmarkStart w:id="12" w:name="item_3_quantitative_and_qualitative"/>
      <w:bookmarkEnd w:id="12"/>
      <w:r>
        <w:rPr>
          <w:rFonts w:ascii="Times New Roman;serif" w:hAnsi="Times New Roman;serif"/>
          <w:b/>
          <w:sz w:val="20"/>
        </w:rPr>
        <w:t>ITEM 3. QUANTITATIVE AND QUALITATIVE</w:t>
      </w:r>
      <w:r>
        <w:rPr>
          <w:rFonts w:ascii="Times New Roman" w:hAnsi="Times New Roman"/>
          <w:sz w:val="20"/>
        </w:rPr>
        <w:t xml:space="preserve"> </w:t>
      </w:r>
      <w:r>
        <w:rPr>
          <w:rFonts w:ascii="Times New Roman;serif" w:hAnsi="Times New Roman;serif"/>
          <w:b/>
          <w:sz w:val="20"/>
        </w:rPr>
        <w:t>DISCLOSURES ABOUT MARKET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cash, cash equivalents, and short-term investments primarily consist of cash on hand and highly liquid investments in money market funds, U.S. government securities, and commercial paper. As of March 31, 2023, we had cash and cash equivalents of $125.0 million and short-term investments of $219.0 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March 31, 2023, the total principal balance outstanding was $264.7 million. Excluding the effect of the interest rate swap agreement, a hypothetical 1.0% increase or decrease in the interest rate associated with borrowings under the 2021 Credit Agreement would have resulted in an impact to interest expense of approximately $0.7 million for the three months ended March 31,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Impact of Inflation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Credit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bookmarkStart w:id="13" w:name="item_4_controls_and_procedures"/>
      <w:bookmarkEnd w:id="13"/>
      <w:r>
        <w:rPr>
          <w:rFonts w:ascii="Times New Roman;serif" w:hAnsi="Times New Roman;serif"/>
          <w:b/>
          <w:sz w:val="20"/>
        </w:rPr>
        <w:t>ITEM 4. CONTROLS AND PROCEDURES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2023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quarter ended March 31, 2023, no change in our internal control over financial reporting (as defined in Rules 13a-15(f) and 15d-15(f) under the Exchange Act) occurred that has materially affected, or is reasonably likely to materially affect, our internal control over financial reporting.</w:t>
      </w:r>
    </w:p>
    <w:p>
      <w:pPr>
        <w:pStyle w:val="TextBody"/>
        <w:spacing w:before="240" w:after="0"/>
        <w:jc w:val="left"/>
        <w:rPr>
          <w:rFonts w:ascii="Times New Roman;serif" w:hAnsi="Times New Roman;serif"/>
          <w:b/>
          <w:i/>
          <w:sz w:val="20"/>
        </w:rPr>
      </w:pPr>
      <w:r>
        <w:rPr>
          <w:rFonts w:ascii="Times New Roman;serif" w:hAnsi="Times New Roman;serif"/>
          <w:b/>
          <w:i/>
          <w:sz w:val="20"/>
        </w:rPr>
        <w:t>Inherent Limitations on Effectiveness of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4" w:name="part_ii_other_information"/>
      <w:bookmarkEnd w:id="14"/>
      <w:r>
        <w:rPr>
          <w:rFonts w:ascii="Times New Roman;serif" w:hAnsi="Times New Roman;serif"/>
          <w:b/>
          <w:sz w:val="20"/>
        </w:rPr>
        <w:t>PART II - OTHER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15" w:name="item_1_legal_proceedings"/>
      <w:bookmarkEnd w:id="15"/>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r>
        <w:rPr>
          <w:rFonts w:ascii="Times New Roman" w:hAnsi="Times New Roman"/>
          <w:sz w:val="20"/>
        </w:rPr>
        <w:t xml:space="preserve"> </w:t>
      </w:r>
    </w:p>
    <w:p>
      <w:pPr>
        <w:pStyle w:val="TextBody"/>
        <w:spacing w:before="360" w:after="0"/>
        <w:jc w:val="left"/>
        <w:rPr>
          <w:rFonts w:ascii="Times New Roman" w:hAnsi="Times New Roman"/>
          <w:sz w:val="20"/>
        </w:rPr>
      </w:pPr>
      <w:bookmarkStart w:id="16" w:name="item_1a_risk_factors"/>
      <w:bookmarkEnd w:id="16"/>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 more detailed discussion of our risks and uncertainties, see also Item 1A – Risk Factors in our 2022 Form 10-K. There have been no material changes in our risk factors since the filing of our 2022 Form 10-K.</w:t>
      </w:r>
    </w:p>
    <w:p>
      <w:pPr>
        <w:pStyle w:val="TextBody"/>
        <w:spacing w:before="240" w:after="0"/>
        <w:jc w:val="left"/>
        <w:rPr>
          <w:rFonts w:ascii="Times New Roman" w:hAnsi="Times New Roman"/>
          <w:sz w:val="20"/>
        </w:rPr>
      </w:pPr>
      <w:bookmarkStart w:id="17" w:name="item2_unregistered_sales_of_equity"/>
      <w:bookmarkEnd w:id="17"/>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240"/>
        <w:jc w:val="left"/>
        <w:rPr>
          <w:rFonts w:ascii="Times New Roman;serif" w:hAnsi="Times New Roman;serif"/>
          <w:b w:val="false"/>
          <w:sz w:val="20"/>
        </w:rPr>
      </w:pPr>
      <w:r>
        <w:rPr>
          <w:rFonts w:ascii="Times New Roman;serif" w:hAnsi="Times New Roman;serif"/>
          <w:b w:val="false"/>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first quarter of 2023 are as follows:</w:t>
      </w:r>
    </w:p>
    <w:tbl>
      <w:tblPr>
        <w:tblW w:w="4553" w:type="dxa"/>
        <w:jc w:val="left"/>
        <w:tblInd w:w="0" w:type="dxa"/>
        <w:tblCellMar>
          <w:top w:w="28" w:type="dxa"/>
          <w:left w:w="28" w:type="dxa"/>
          <w:bottom w:w="28" w:type="dxa"/>
          <w:right w:w="28" w:type="dxa"/>
        </w:tblCellMar>
      </w:tblPr>
      <w:tblGrid>
        <w:gridCol w:w="1606"/>
        <w:gridCol w:w="146"/>
        <w:gridCol w:w="353"/>
        <w:gridCol w:w="2257"/>
        <w:gridCol w:w="19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25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Date of Exchange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 Exchanged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6,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2,196,783</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13,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23,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2,578</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21,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3,332</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27,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28, 2023</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left"/>
              <w:rPr/>
            </w:pPr>
            <w:r>
              <w:rPr/>
              <w:t> </w:t>
            </w:r>
          </w:p>
        </w:tc>
        <w:tc>
          <w:tcPr>
            <w:tcW w:w="22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2,517,464</w:t>
            </w:r>
          </w:p>
        </w:tc>
        <w:tc>
          <w:tcPr>
            <w:tcW w:w="191" w:type="dxa"/>
            <w:tcBorders/>
            <w:shd w:fill="auto" w:val="clear"/>
            <w:vAlign w:val="center"/>
          </w:tcPr>
          <w:p>
            <w:pPr>
              <w:pStyle w:val="TableContents"/>
              <w:spacing w:before="0" w:after="0"/>
              <w:ind w:left="0" w:right="0" w:hanging="0"/>
              <w:jc w:val="left"/>
              <w:rPr/>
            </w:pPr>
            <w:r>
              <w:rPr/>
              <w:t> </w:t>
            </w:r>
          </w:p>
        </w:tc>
      </w:tr>
      <w:tr>
        <w:trPr/>
        <w:tc>
          <w:tcPr>
            <w:tcW w:w="1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5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4,771,545</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240" w:after="0"/>
        <w:jc w:val="left"/>
        <w:rPr>
          <w:rFonts w:ascii="Times New Roman" w:hAnsi="Times New Roman"/>
          <w:sz w:val="20"/>
        </w:rPr>
      </w:pPr>
      <w:bookmarkStart w:id="18" w:name="item_3_defaults_upon_senior_securities"/>
      <w:bookmarkEnd w:id="18"/>
      <w:r>
        <w:rPr>
          <w:rFonts w:ascii="Times New Roman;serif" w:hAnsi="Times New Roman;serif"/>
          <w:b/>
          <w:sz w:val="20"/>
        </w:rPr>
        <w:t>ITEM 3. DEFAULTS UPON 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240" w:after="0"/>
        <w:jc w:val="left"/>
        <w:rPr>
          <w:rFonts w:ascii="Times New Roman" w:hAnsi="Times New Roman"/>
          <w:sz w:val="20"/>
        </w:rPr>
      </w:pPr>
      <w:bookmarkStart w:id="19" w:name="item_4_mine_safety_disclosures"/>
      <w:bookmarkEnd w:id="19"/>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left"/>
        <w:rPr>
          <w:rFonts w:ascii="Times New Roman" w:hAnsi="Times New Roman"/>
          <w:sz w:val="20"/>
        </w:rPr>
      </w:pPr>
      <w:bookmarkStart w:id="20" w:name="item_5_other_information"/>
      <w:bookmarkEnd w:id="20"/>
      <w:r>
        <w:rPr>
          <w:rFonts w:ascii="Times New Roman;serif" w:hAnsi="Times New Roman;serif"/>
          <w:b/>
          <w:sz w:val="20"/>
        </w:rPr>
        <w:t>ITEM 5. OTHER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21" w:name="item_6_exhibits"/>
      <w:bookmarkEnd w:id="21"/>
      <w:r>
        <w:rPr>
          <w:rFonts w:ascii="Times New Roman;serif" w:hAnsi="Times New Roman;serif"/>
          <w:b/>
          <w:sz w:val="20"/>
        </w:rPr>
        <w:t>ITEM 6. EXHIBITS</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tbl>
      <w:tblPr>
        <w:tblW w:w="10205" w:type="dxa"/>
        <w:jc w:val="left"/>
        <w:tblInd w:w="0" w:type="dxa"/>
        <w:tblCellMar>
          <w:top w:w="28" w:type="dxa"/>
          <w:left w:w="28" w:type="dxa"/>
          <w:bottom w:w="28" w:type="dxa"/>
          <w:right w:w="28" w:type="dxa"/>
        </w:tblCellMar>
      </w:tblPr>
      <w:tblGrid>
        <w:gridCol w:w="794"/>
        <w:gridCol w:w="146"/>
        <w:gridCol w:w="9265"/>
      </w:tblGrid>
      <w:tr>
        <w:trPr/>
        <w:tc>
          <w:tcPr>
            <w:tcW w:w="7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65" w:type="dxa"/>
            <w:tcBorders/>
            <w:shd w:fill="auto" w:val="clear"/>
            <w:vAlign w:val="center"/>
          </w:tcPr>
          <w:p>
            <w:pPr>
              <w:pStyle w:val="TableContents"/>
              <w:spacing w:before="0" w:after="283"/>
              <w:rPr>
                <w:sz w:val="4"/>
                <w:szCs w:val="4"/>
              </w:rPr>
            </w:pPr>
            <w:r>
              <w:rPr>
                <w:sz w:val="4"/>
                <w:szCs w:val="4"/>
              </w:rPr>
            </w:r>
          </w:p>
        </w:tc>
      </w:tr>
      <w:tr>
        <w:trPr/>
        <w:tc>
          <w:tcPr>
            <w:tcW w:w="79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Definitive Healthcare Corp. Cash Incentive Plan (incorporated by reference to Exhibit 10.2 to the Company’s Current Report on Form 8-K (File No. 001-40815) filed with the SEC on February 23, 2023).</w:t>
              </w:r>
            </w:hyperlink>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Amendment to Executive Chairman Agreement and Employment Agreement of Jason Krantz, dated as of February 16, 2023 (incorporated by reference to Exhibit 10.1 to the Company’s Current Report on Form 8-K (File No. 001-40815) filed with the SEC on February 23, 2023).</w:t>
              </w:r>
            </w:hyperlink>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31.1</w:t>
            </w:r>
            <w:r>
              <w:rPr>
                <w:rFonts w:ascii="Times New Roman;serif" w:hAnsi="Times New Roman;serif"/>
                <w:b w:val="false"/>
                <w:sz w:val="13"/>
              </w:rPr>
              <w:t>+</w:t>
            </w: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h-ex31_1.htm">
              <w:r>
                <w:rPr>
                  <w:rStyle w:val="InternetLink"/>
                  <w:rFonts w:ascii="Times New Roman;serif" w:hAnsi="Times New Roman;serif"/>
                  <w:b w:val="false"/>
                  <w:sz w:val="20"/>
                  <w:u w:val="single"/>
                </w:rPr>
                <w:t>Certification of Principal Executive Officer pursuant to Exchange Act Rules 13a-14(a) and 15d-14(a), as adopted pursuant to Section 302 of the Sarbanes-Oxley Act of 2002.</w:t>
              </w:r>
            </w:hyperlink>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31.2</w:t>
            </w:r>
            <w:r>
              <w:rPr>
                <w:rFonts w:ascii="Times New Roman;serif" w:hAnsi="Times New Roman;serif"/>
                <w:b w:val="false"/>
                <w:sz w:val="13"/>
              </w:rPr>
              <w:t>+</w:t>
            </w: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h-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32.1</w:t>
            </w:r>
            <w:r>
              <w:rPr>
                <w:rFonts w:ascii="Times New Roman;serif" w:hAnsi="Times New Roman;serif"/>
                <w:b w:val="false"/>
                <w:sz w:val="13"/>
              </w:rPr>
              <w:t>+</w:t>
            </w: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h-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101.INS</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101.SCH</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101.DEF</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101.LAB</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101.PRE</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9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104</w:t>
            </w:r>
            <w:r>
              <w:rPr>
                <w:rFonts w:ascii="Times New Roman;serif" w:hAnsi="Times New Roman;serif"/>
                <w:b w:val="false"/>
                <w:sz w:val="13"/>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2" w:name="signatures"/>
      <w:bookmarkEnd w:id="22"/>
      <w:r>
        <w:rPr>
          <w:rFonts w:ascii="Times New Roman;serif" w:hAnsi="Times New Roman;serif"/>
          <w:b/>
          <w:sz w:val="20"/>
        </w:rPr>
        <w:t>SIGNATURES</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tbl>
      <w:tblPr>
        <w:tblW w:w="5460" w:type="dxa"/>
        <w:jc w:val="left"/>
        <w:tblInd w:w="0" w:type="dxa"/>
        <w:tblCellMar>
          <w:top w:w="28" w:type="dxa"/>
          <w:left w:w="28" w:type="dxa"/>
          <w:bottom w:w="28" w:type="dxa"/>
          <w:right w:w="28" w:type="dxa"/>
        </w:tblCellMar>
      </w:tblPr>
      <w:tblGrid>
        <w:gridCol w:w="1156"/>
        <w:gridCol w:w="146"/>
        <w:gridCol w:w="406"/>
        <w:gridCol w:w="631"/>
        <w:gridCol w:w="3121"/>
      </w:tblGrid>
      <w:tr>
        <w:trPr/>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5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5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Registrant</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52" w:type="dxa"/>
            <w:gridSpan w:val="2"/>
            <w:tcBorders/>
            <w:shd w:fill="auto" w:val="clear"/>
            <w:vAlign w:val="center"/>
          </w:tcPr>
          <w:p>
            <w:pPr>
              <w:pStyle w:val="TableContents"/>
              <w:spacing w:before="0" w:after="0"/>
              <w:ind w:left="0" w:right="0" w:hanging="0"/>
              <w:jc w:val="left"/>
              <w:rPr/>
            </w:pPr>
            <w:r>
              <w:rPr/>
              <w:t> </w:t>
            </w:r>
          </w:p>
        </w:tc>
      </w:tr>
      <w:tr>
        <w:trPr/>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4,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52" w:type="dxa"/>
            <w:gridSpan w:val="2"/>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 Robert Musslewhite</w:t>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Title:</w:t>
            </w:r>
            <w:r>
              <w:rPr>
                <w:rFonts w:ascii="Times New Roman" w:hAnsi="Times New Roman"/>
                <w:sz w:val="20"/>
              </w:rPr>
              <w:t xml:space="preserve"> </w:t>
            </w:r>
          </w:p>
        </w:tc>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bl>
    <w:tbl>
      <w:tblPr>
        <w:tblW w:w="6765" w:type="dxa"/>
        <w:jc w:val="left"/>
        <w:tblInd w:w="0" w:type="dxa"/>
        <w:tblCellMar>
          <w:top w:w="28" w:type="dxa"/>
          <w:left w:w="28" w:type="dxa"/>
          <w:bottom w:w="28" w:type="dxa"/>
          <w:right w:w="28" w:type="dxa"/>
        </w:tblCellMar>
      </w:tblPr>
      <w:tblGrid>
        <w:gridCol w:w="1156"/>
        <w:gridCol w:w="146"/>
        <w:gridCol w:w="406"/>
        <w:gridCol w:w="631"/>
        <w:gridCol w:w="4426"/>
      </w:tblGrid>
      <w:tr>
        <w:trPr/>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426" w:type="dxa"/>
            <w:tcBorders/>
            <w:shd w:fill="auto" w:val="clear"/>
            <w:vAlign w:val="center"/>
          </w:tcPr>
          <w:p>
            <w:pPr>
              <w:pStyle w:val="TableContents"/>
              <w:spacing w:before="0" w:after="283"/>
              <w:rPr>
                <w:sz w:val="4"/>
                <w:szCs w:val="4"/>
              </w:rPr>
            </w:pPr>
            <w:r>
              <w:rPr>
                <w:sz w:val="4"/>
                <w:szCs w:val="4"/>
              </w:rPr>
            </w:r>
          </w:p>
        </w:tc>
      </w:tr>
      <w:tr>
        <w:trPr/>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4,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057" w:type="dxa"/>
            <w:gridSpan w:val="2"/>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 Richard Booth</w:t>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Financial Officer (</w:t>
            </w:r>
            <w:r>
              <w:rPr>
                <w:rFonts w:ascii="Times New Roman;serif" w:hAnsi="Times New Roman;serif"/>
                <w:b w:val="false"/>
                <w:i/>
                <w:sz w:val="20"/>
              </w:rPr>
              <w:t>Principal Financial Officer</w:t>
            </w:r>
            <w:r>
              <w:rPr>
                <w:rFonts w:ascii="Times New Roman;serif" w:hAnsi="Times New Roman;serif"/>
                <w:b w:val="false"/>
                <w:sz w:val="20"/>
              </w:rPr>
              <w:t>)</w:t>
            </w:r>
          </w:p>
        </w:tc>
      </w:tr>
    </w:tbl>
    <w:p>
      <w:pPr>
        <w:pStyle w:val="TextBody"/>
        <w:spacing w:before="360" w:after="0"/>
        <w:jc w:val="left"/>
        <w:rPr/>
      </w:pPr>
      <w:r>
        <w:rPr/>
        <w:t> </w:t>
      </w:r>
    </w:p>
    <w:p>
      <w:pPr>
        <w:pStyle w:val="TextBody"/>
        <w:spacing w:before="36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r>
        <w:br w:type="page"/>
      </w:r>
    </w:p>
    <w:p>
      <w:pPr>
        <w:pStyle w:val="TextBody"/>
        <w:spacing w:before="0" w:after="0"/>
        <w:jc w:val="left"/>
        <w:rPr/>
      </w:pPr>
      <w:bookmarkStart w:id="23" w:name="dh-ex31_1.htm"/>
      <w:bookmarkStart w:id="24" w:name="ksdhex31_1"/>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Robert Musslewhite, certify that:</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Definitive Healthcare Corp.; </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555" w:type="dxa"/>
        <w:jc w:val="left"/>
        <w:tblInd w:w="0" w:type="dxa"/>
        <w:tblCellMar>
          <w:top w:w="28" w:type="dxa"/>
          <w:left w:w="28" w:type="dxa"/>
          <w:bottom w:w="28" w:type="dxa"/>
          <w:right w:w="28" w:type="dxa"/>
        </w:tblCellMar>
      </w:tblPr>
      <w:tblGrid>
        <w:gridCol w:w="556"/>
        <w:gridCol w:w="1201"/>
        <w:gridCol w:w="146"/>
        <w:gridCol w:w="146"/>
        <w:gridCol w:w="2506"/>
      </w:tblGrid>
      <w:tr>
        <w:trPr/>
        <w:tc>
          <w:tcPr>
            <w:tcW w:w="55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pPr>
            <w:r>
              <w:rPr/>
              <w:t> </w:t>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May 4,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Musslewhite</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r>
        <w:br w:type="page"/>
      </w:r>
    </w:p>
    <w:p>
      <w:pPr>
        <w:pStyle w:val="TextBody"/>
        <w:spacing w:before="0" w:after="0"/>
        <w:jc w:val="left"/>
        <w:rPr/>
      </w:pPr>
      <w:bookmarkStart w:id="25" w:name="dh-ex31_2.htm"/>
      <w:bookmarkStart w:id="26" w:name="ksdhex31_2"/>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Richard Booth, certify that:</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Definitive Healthcare Corp.; </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424" w:type="dxa"/>
        <w:jc w:val="left"/>
        <w:tblInd w:w="0" w:type="dxa"/>
        <w:tblCellMar>
          <w:top w:w="28" w:type="dxa"/>
          <w:left w:w="28" w:type="dxa"/>
          <w:bottom w:w="28" w:type="dxa"/>
          <w:right w:w="28" w:type="dxa"/>
        </w:tblCellMar>
      </w:tblPr>
      <w:tblGrid>
        <w:gridCol w:w="556"/>
        <w:gridCol w:w="1201"/>
        <w:gridCol w:w="146"/>
        <w:gridCol w:w="2521"/>
      </w:tblGrid>
      <w:tr>
        <w:trPr/>
        <w:tc>
          <w:tcPr>
            <w:tcW w:w="55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pPr>
            <w:r>
              <w:rPr/>
              <w:t> </w:t>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0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May 4,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/s/Richard Booth</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dh-ex32_1.htm"/>
      <w:bookmarkStart w:id="28" w:name="ksdhex32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Certification of CEO and CFO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on Form 10-Q of Definitive Healthcare Corp. (the “Company”) for the quarterly period ended March 31, 2023 as filed with the Securities and Exchange Commission on the date hereof (the “Report”), Robert Musslewhite, as Chief Executive Officer of the Company, and Richard Booth, as Chief Financial Officer of the Company, each hereby certifies, pursuant to 18 U.S.C. § 1350, as adopted pursuant to § 906 of the Sarbanes-Oxley Act of 2002, that, to the best of his knowledge:</w:t>
      </w:r>
      <w:r>
        <w:rPr>
          <w:rFonts w:ascii="Times New Roman" w:hAnsi="Times New Roman"/>
          <w:sz w:val="20"/>
        </w:rPr>
        <w:t xml:space="preserve"> </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spacing w:before="24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4, 2023</w:t>
      </w:r>
    </w:p>
    <w:tbl>
      <w:tblPr>
        <w:tblW w:w="2521" w:type="dxa"/>
        <w:jc w:val="left"/>
        <w:tblInd w:w="0" w:type="dxa"/>
        <w:tblCellMar>
          <w:top w:w="28" w:type="dxa"/>
          <w:left w:w="28" w:type="dxa"/>
          <w:bottom w:w="28" w:type="dxa"/>
          <w:right w:w="28" w:type="dxa"/>
        </w:tblCellMar>
      </w:tblPr>
      <w:tblGrid>
        <w:gridCol w:w="2521"/>
      </w:tblGrid>
      <w:tr>
        <w:trPr/>
        <w:tc>
          <w:tcPr>
            <w:tcW w:w="252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Robert Musslewhite</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tbl>
      <w:tblPr>
        <w:tblW w:w="2536" w:type="dxa"/>
        <w:jc w:val="left"/>
        <w:tblInd w:w="0" w:type="dxa"/>
        <w:tblCellMar>
          <w:top w:w="28" w:type="dxa"/>
          <w:left w:w="28" w:type="dxa"/>
          <w:bottom w:w="28" w:type="dxa"/>
          <w:right w:w="28" w:type="dxa"/>
        </w:tblCellMar>
      </w:tblPr>
      <w:tblGrid>
        <w:gridCol w:w="2536"/>
      </w:tblGrid>
      <w:tr>
        <w:trPr/>
        <w:tc>
          <w:tcPr>
            <w:tcW w:w="2536"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jc w:val="left"/>
              <w:rPr/>
            </w:pPr>
            <w:r>
              <w:rPr/>
              <w:t> </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Booth</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3004128/dh-ex10_2.htm" TargetMode="External"/><Relationship Id="rId3" Type="http://schemas.openxmlformats.org/officeDocument/2006/relationships/hyperlink" Target="https://www.sec.gov/Archives/edgar/data/1861795/000095017023004128/dh-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20430</Words>
  <CharactersWithSpaces>136202</CharactersWithSpaces>
  <Paragraphs>5391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