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34"/>
        </w:rPr>
      </w:pPr>
      <w:bookmarkStart w:id="0" w:name="dh-20250331.htm"/>
      <w:bookmarkStart w:id="1" w:name="ksdh20250331"/>
      <w:bookmarkEnd w:id="0"/>
      <w:bookmarkEnd w:id="1"/>
      <w:r>
        <w:rPr>
          <w:rFonts w:ascii="Times New Roman" w:hAnsi="Times New Roman"/>
          <w:b/>
          <w:color w:val="000000"/>
          <w:sz w:val="34"/>
        </w:rPr>
        <w:t>UNITED STATES</w:t>
      </w:r>
    </w:p>
    <w:p>
      <w:pPr>
        <w:pStyle w:val="TextBody"/>
        <w:bidi w:val="0"/>
        <w:jc w:val="center"/>
        <w:rPr>
          <w:rFonts w:ascii="Times New Roman" w:hAnsi="Times New Roman"/>
          <w:sz w:val="20"/>
        </w:rPr>
      </w:pPr>
      <w:r>
        <w:rPr>
          <w:rFonts w:ascii="Times New Roman" w:hAnsi="Times New Roman"/>
          <w:b/>
          <w:color w:val="000000"/>
          <w:sz w:val="34"/>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2"/>
        </w:rPr>
        <w:t>Washington, D.C. 20549</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34"/>
        </w:rPr>
        <w:t>FORM 10-Q</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18"/>
        </w:rPr>
        <w:t>(Mark One)</w:t>
      </w:r>
      <w:r>
        <w:rPr>
          <w:rFonts w:ascii="Times New Roman" w:hAnsi="Times New Roman"/>
          <w:color w:val="000000"/>
          <w:sz w:val="20"/>
        </w:rPr>
        <w:t xml:space="preserve"> </w:t>
      </w:r>
    </w:p>
    <w:p>
      <w:pPr>
        <w:pStyle w:val="TextBody"/>
        <w:bidi w:val="0"/>
        <w:jc w:val="left"/>
        <w:rPr/>
      </w:pPr>
      <w:r>
        <w:rPr>
          <w:color w:val="000000"/>
        </w:rPr>
        <w:t xml:space="preserve">☒ </w:t>
      </w:r>
      <w:r>
        <w:rPr>
          <w:rFonts w:ascii="Times New Roman" w:hAnsi="Times New Roman"/>
          <w:b/>
          <w:color w:val="000000"/>
          <w:sz w:val="22"/>
        </w:rPr>
        <w:t>QUARTERLY REPORT PURSUANT TO SECTION 13 OR 15(d) OF THE SECURITIES EXCHANGE ACT OF 1934</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18"/>
        </w:rPr>
        <w:t>For the quarterly period ended March 31, 2025</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18"/>
        </w:rPr>
        <w:t>or</w:t>
      </w:r>
      <w:r>
        <w:rPr>
          <w:rFonts w:ascii="Times New Roman" w:hAnsi="Times New Roman"/>
          <w:color w:val="000000"/>
          <w:sz w:val="20"/>
        </w:rPr>
        <w:t xml:space="preserve"> </w:t>
      </w:r>
    </w:p>
    <w:p>
      <w:pPr>
        <w:pStyle w:val="TextBody"/>
        <w:bidi w:val="0"/>
        <w:spacing w:before="120" w:after="283"/>
        <w:jc w:val="left"/>
        <w:rPr/>
      </w:pPr>
      <w:r>
        <w:rPr>
          <w:color w:val="000000"/>
        </w:rPr>
        <w:t xml:space="preserve">☐ </w:t>
      </w:r>
      <w:r>
        <w:rPr>
          <w:rFonts w:ascii="Times New Roman" w:hAnsi="Times New Roman"/>
          <w:b/>
          <w:color w:val="000000"/>
          <w:sz w:val="22"/>
        </w:rPr>
        <w:t>TRANSITION REPORT PURSUANT TO SECTION 13 OR 15(d) OF THE SECURITIES EXCHANGE ACT OF 1934</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18"/>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18"/>
        </w:rPr>
      </w:pPr>
      <w:r>
        <w:rPr>
          <w:rFonts w:ascii="Times New Roman" w:hAnsi="Times New Roman"/>
          <w:b/>
          <w:color w:val="000000"/>
          <w:sz w:val="18"/>
        </w:rPr>
        <w:t>Commission File Number 001-40815</w:t>
      </w:r>
    </w:p>
    <w:p>
      <w:pPr>
        <w:pStyle w:val="TextBody"/>
        <w:bidi w:val="0"/>
        <w:spacing w:before="40" w:after="283"/>
        <w:jc w:val="center"/>
        <w:rPr>
          <w:rFonts w:ascii="Times New Roman" w:hAnsi="Times New Roman"/>
          <w:sz w:val="20"/>
        </w:rPr>
      </w:pPr>
      <w:r>
        <w:rPr>
          <w:rFonts w:ascii="Times New Roman" w:hAnsi="Times New Roman"/>
          <w:b/>
          <w:color w:val="000000"/>
          <w:sz w:val="46"/>
        </w:rPr>
        <w:t>Definitive Healthcare Corp.</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(Exact name of registrant as specified in its charter)</w:t>
      </w:r>
      <w:r>
        <w:rPr>
          <w:rFonts w:ascii="Times New Roman" w:hAnsi="Times New Roman"/>
          <w:color w:val="000000"/>
          <w:sz w:val="20"/>
        </w:rPr>
        <w:t xml:space="preserve"> </w:t>
      </w:r>
    </w:p>
    <w:tbl>
      <w:tblPr>
        <w:tblW w:w="4412" w:type="dxa"/>
        <w:jc w:val="left"/>
        <w:tblInd w:w="0" w:type="dxa"/>
        <w:tblLayout w:type="fixed"/>
        <w:tblCellMar>
          <w:top w:w="28" w:type="dxa"/>
          <w:left w:w="28" w:type="dxa"/>
          <w:bottom w:w="28" w:type="dxa"/>
          <w:right w:w="28" w:type="dxa"/>
        </w:tblCellMar>
      </w:tblPr>
      <w:tblGrid>
        <w:gridCol w:w="292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86-3988281</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r>
        <w:trPr/>
        <w:tc>
          <w:tcPr>
            <w:tcW w:w="29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492 Old Connecticut Path, Suite 401</w:t>
            </w:r>
          </w:p>
          <w:p>
            <w:pPr>
              <w:pStyle w:val="TableContents"/>
              <w:bidi w:val="0"/>
              <w:spacing w:before="0" w:after="20"/>
              <w:jc w:val="center"/>
              <w:rPr>
                <w:rFonts w:ascii="Times New Roman" w:hAnsi="Times New Roman"/>
                <w:b/>
                <w:color w:val="000000"/>
                <w:sz w:val="18"/>
              </w:rPr>
            </w:pPr>
            <w:r>
              <w:rPr>
                <w:rFonts w:ascii="Times New Roman" w:hAnsi="Times New Roman"/>
                <w:b/>
                <w:color w:val="000000"/>
                <w:sz w:val="18"/>
              </w:rPr>
              <w:t>Framingham, MA</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01701</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18"/>
        </w:rPr>
        <w:t>(508) 720-4224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(Registrant’s telephone number, including area code)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tbl>
      <w:tblPr>
        <w:tblW w:w="8088" w:type="dxa"/>
        <w:jc w:val="left"/>
        <w:tblInd w:w="0" w:type="dxa"/>
        <w:tblLayout w:type="fixed"/>
        <w:tblCellMar>
          <w:top w:w="28" w:type="dxa"/>
          <w:left w:w="28" w:type="dxa"/>
          <w:bottom w:w="28" w:type="dxa"/>
          <w:right w:w="28" w:type="dxa"/>
        </w:tblCellMar>
      </w:tblPr>
      <w:tblGrid>
        <w:gridCol w:w="3316"/>
        <w:gridCol w:w="1456"/>
        <w:gridCol w:w="3316"/>
      </w:tblGrid>
      <w:tr>
        <w:trPr/>
        <w:tc>
          <w:tcPr>
            <w:tcW w:w="331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Class A Common Stock, $0.001 par value</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DH</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The Nasdaq Stock Market LLC</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tbl>
      <w:tblPr>
        <w:tblW w:w="4489" w:type="dxa"/>
        <w:jc w:val="left"/>
        <w:tblInd w:w="0" w:type="dxa"/>
        <w:tblLayout w:type="fixed"/>
        <w:tblCellMar>
          <w:top w:w="28" w:type="dxa"/>
          <w:left w:w="28" w:type="dxa"/>
          <w:bottom w:w="28" w:type="dxa"/>
          <w:right w:w="28" w:type="dxa"/>
        </w:tblCellMar>
      </w:tblPr>
      <w:tblGrid>
        <w:gridCol w:w="1771"/>
        <w:gridCol w:w="316"/>
        <w:gridCol w:w="2041"/>
        <w:gridCol w:w="361"/>
      </w:tblGrid>
      <w:tr>
        <w:trPr/>
        <w:tc>
          <w:tcPr>
            <w:tcW w:w="17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by Rule 12b-2 of the Exchange Act). Yes ☐ No </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As of May 5, 2025, the number of outstanding shares of the registrant’s Class A Common Stock was 107,341,903</w:t>
      </w:r>
      <w:r>
        <w:rPr>
          <w:rFonts w:ascii="Times New Roman" w:hAnsi="Times New Roman"/>
          <w:color w:val="000000"/>
          <w:sz w:val="20"/>
        </w:rPr>
        <w:t xml:space="preserve"> </w:t>
      </w:r>
      <w:r>
        <w:rPr>
          <w:rFonts w:ascii="Times New Roman" w:hAnsi="Times New Roman"/>
          <w:color w:val="000000"/>
          <w:sz w:val="18"/>
        </w:rPr>
        <w:t>shares.</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Definitive Healthcare Corp.</w:t>
      </w:r>
    </w:p>
    <w:p>
      <w:pPr>
        <w:pStyle w:val="TextBody"/>
        <w:bidi w:val="0"/>
        <w:spacing w:before="240" w:after="283"/>
        <w:jc w:val="center"/>
        <w:rPr>
          <w:rFonts w:ascii="Times New Roman" w:hAnsi="Times New Roman"/>
          <w:sz w:val="20"/>
        </w:rPr>
      </w:pPr>
      <w:r>
        <w:rPr>
          <w:rFonts w:ascii="Times New Roman" w:hAnsi="Times New Roman"/>
          <w:b/>
          <w:color w:val="000000"/>
          <w:sz w:val="20"/>
        </w:rPr>
        <w:t>Quarterly Report on Form 10-Q</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For the Quarterly Period Ended March 31, 2025</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tbl>
      <w:tblPr>
        <w:tblW w:w="9213" w:type="dxa"/>
        <w:jc w:val="left"/>
        <w:tblInd w:w="0" w:type="dxa"/>
        <w:tblLayout w:type="fixed"/>
        <w:tblCellMar>
          <w:top w:w="28" w:type="dxa"/>
          <w:left w:w="28" w:type="dxa"/>
          <w:bottom w:w="28" w:type="dxa"/>
          <w:right w:w="28" w:type="dxa"/>
        </w:tblCellMar>
      </w:tblPr>
      <w:tblGrid>
        <w:gridCol w:w="1051"/>
        <w:gridCol w:w="7606"/>
        <w:gridCol w:w="556"/>
      </w:tblGrid>
      <w:tr>
        <w:trPr/>
        <w:tc>
          <w:tcPr>
            <w:tcW w:w="1051" w:type="dxa"/>
            <w:tcBorders/>
            <w:vAlign w:val="center"/>
          </w:tcPr>
          <w:p>
            <w:pPr>
              <w:pStyle w:val="TableContents"/>
              <w:bidi w:val="0"/>
              <w:spacing w:before="0" w:after="283"/>
              <w:jc w:val="left"/>
              <w:rPr>
                <w:sz w:val="4"/>
                <w:szCs w:val="4"/>
              </w:rPr>
            </w:pPr>
            <w:r>
              <w:rPr>
                <w:sz w:val="4"/>
                <w:szCs w:val="4"/>
              </w:rPr>
            </w:r>
          </w:p>
        </w:tc>
        <w:tc>
          <w:tcPr>
            <w:tcW w:w="760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556"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sz w:val="16"/>
              </w:rPr>
            </w:pPr>
            <w:r>
              <w:rPr>
                <w:rFonts w:ascii="Times New Roman" w:hAnsi="Times New Roman"/>
                <w:b/>
                <w:color w:val="000000"/>
                <w:sz w:val="16"/>
              </w:rPr>
              <w:t>Page</w:t>
            </w:r>
            <w:r>
              <w:rPr>
                <w:rFonts w:ascii="Times New Roman" w:hAnsi="Times New Roman"/>
                <w:color w:val="000000"/>
                <w:sz w:val="16"/>
              </w:rPr>
              <w:t xml:space="preserve"> </w:t>
            </w:r>
          </w:p>
        </w:tc>
      </w:tr>
      <w:tr>
        <w:trPr/>
        <w:tc>
          <w:tcPr>
            <w:tcW w:w="1051"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ind w:left="0" w:right="0" w:firstLine="240"/>
              <w:jc w:val="left"/>
              <w:rPr/>
            </w:pPr>
            <w:r>
              <w:rPr/>
              <w:t> </w:t>
            </w:r>
          </w:p>
        </w:tc>
        <w:tc>
          <w:tcPr>
            <w:tcW w:w="7606" w:type="dxa"/>
            <w:tcBorders/>
            <w:tcMar>
              <w:top w:w="0" w:type="dxa"/>
              <w:left w:w="0" w:type="dxa"/>
              <w:bottom w:w="0" w:type="dxa"/>
              <w:right w:w="0" w:type="dxa"/>
            </w:tcMar>
            <w:vAlign w:val="center"/>
          </w:tcPr>
          <w:p>
            <w:pPr>
              <w:pStyle w:val="TableContents"/>
              <w:bidi w:val="0"/>
              <w:ind w:left="0" w:right="0" w:firstLine="240"/>
              <w:jc w:val="left"/>
              <w:rPr/>
            </w:pPr>
            <w:r>
              <w:rPr/>
              <w:t> </w:t>
            </w:r>
          </w:p>
          <w:p>
            <w:pPr>
              <w:pStyle w:val="TableContents"/>
              <w:bidi w:val="0"/>
              <w:spacing w:before="0" w:after="283"/>
              <w:ind w:left="0" w:right="0" w:firstLine="240"/>
              <w:jc w:val="left"/>
              <w:rPr/>
            </w:pPr>
            <w:r>
              <w:rPr/>
              <w:t> </w:t>
            </w:r>
          </w:p>
        </w:tc>
        <w:tc>
          <w:tcPr>
            <w:tcW w:w="556"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pPr>
            <w:r>
              <w:rPr/>
              <w:t> </w:t>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glossary">
              <w:r>
                <w:rPr>
                  <w:rStyle w:val="InternetLink"/>
                  <w:rFonts w:ascii="Times New Roman" w:hAnsi="Times New Roman"/>
                  <w:color w:val="0000FF"/>
                  <w:sz w:val="20"/>
                  <w:u w:val="single"/>
                </w:rPr>
                <w:t>Glossary</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3</w:t>
            </w:r>
          </w:p>
        </w:tc>
      </w:tr>
      <w:tr>
        <w:trPr/>
        <w:tc>
          <w:tcPr>
            <w:tcW w:w="1051" w:type="dxa"/>
            <w:tcBorders/>
            <w:tcMar>
              <w:top w:w="0" w:type="dxa"/>
              <w:left w:w="0" w:type="dxa"/>
              <w:bottom w:w="0" w:type="dxa"/>
              <w:right w:w="0" w:type="dxa"/>
            </w:tcMar>
            <w:vAlign w:val="center"/>
          </w:tcPr>
          <w:p>
            <w:pPr>
              <w:pStyle w:val="TableContents"/>
              <w:bidi w:val="0"/>
              <w:spacing w:before="0" w:after="283"/>
              <w:jc w:val="left"/>
              <w:rPr/>
            </w:pPr>
            <w:r>
              <w:rPr/>
              <w:t> </w:t>
            </w:r>
          </w:p>
        </w:tc>
        <w:tc>
          <w:tcPr>
            <w:tcW w:w="760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autionary_note">
              <w:r>
                <w:rPr>
                  <w:rStyle w:val="InternetLink"/>
                  <w:rFonts w:ascii="Times New Roman" w:hAnsi="Times New Roman"/>
                  <w:color w:val="0000FF"/>
                  <w:sz w:val="20"/>
                  <w:u w:val="single"/>
                </w:rPr>
                <w:t>Cautionary Note Regarding Forward-Looking Statements</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4</w:t>
            </w:r>
          </w:p>
        </w:tc>
      </w:tr>
      <w:tr>
        <w:trPr/>
        <w:tc>
          <w:tcPr>
            <w:tcW w:w="1051" w:type="dxa"/>
            <w:tcBorders/>
            <w:tcMar>
              <w:top w:w="0" w:type="dxa"/>
              <w:left w:w="0" w:type="dxa"/>
              <w:bottom w:w="0" w:type="dxa"/>
              <w:right w:w="0" w:type="dxa"/>
            </w:tcMar>
            <w:vAlign w:val="center"/>
          </w:tcPr>
          <w:p>
            <w:pPr>
              <w:pStyle w:val="TableContents"/>
              <w:bidi w:val="0"/>
              <w:spacing w:before="0" w:after="283"/>
              <w:jc w:val="left"/>
              <w:rPr/>
            </w:pPr>
            <w:r>
              <w:rPr/>
              <w:t> </w:t>
            </w:r>
          </w:p>
        </w:tc>
        <w:tc>
          <w:tcPr>
            <w:tcW w:w="760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b/>
                <w:color w:val="000000"/>
                <w:sz w:val="20"/>
              </w:rPr>
            </w:pPr>
            <w:r>
              <w:rPr>
                <w:rFonts w:ascii="Times New Roman" w:hAnsi="Times New Roman"/>
                <w:b/>
                <w:color w:val="000000"/>
                <w:sz w:val="20"/>
              </w:rPr>
              <w:t>Part I.</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part_i_financial_information">
              <w:r>
                <w:rPr>
                  <w:rStyle w:val="InternetLink"/>
                  <w:rFonts w:ascii="Times New Roman" w:hAnsi="Times New Roman"/>
                  <w:color w:val="0000FF"/>
                  <w:sz w:val="20"/>
                  <w:u w:val="single"/>
                </w:rPr>
                <w:t>FINANCIAL INFORMATION</w:t>
              </w:r>
            </w:hyperlink>
            <w:hyperlink w:anchor="part_i_financial_information">
              <w:r>
                <w:rPr>
                  <w:rStyle w:val="InternetLink"/>
                  <w:rFonts w:ascii="Times New Roman" w:hAnsi="Times New Roman"/>
                  <w:color w:val="0000FF"/>
                  <w:sz w:val="20"/>
                </w:rPr>
                <w:t xml:space="preserve"> </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5</w:t>
            </w:r>
          </w:p>
        </w:tc>
      </w:tr>
      <w:tr>
        <w:trPr/>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solidated_balance_sheets">
              <w:r>
                <w:rPr>
                  <w:rStyle w:val="InternetLink"/>
                  <w:rFonts w:ascii="Times New Roman" w:hAnsi="Times New Roman"/>
                  <w:color w:val="0000FF"/>
                  <w:sz w:val="20"/>
                  <w:u w:val="single"/>
                </w:rPr>
                <w:t>Condensed Consolidated Balance Sheets (Unaudited)</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5</w:t>
            </w:r>
          </w:p>
        </w:tc>
      </w:tr>
      <w:tr>
        <w:trPr/>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solidated_statements_of_operations">
              <w:r>
                <w:rPr>
                  <w:rStyle w:val="InternetLink"/>
                  <w:rFonts w:ascii="Times New Roman" w:hAnsi="Times New Roman"/>
                  <w:color w:val="0000FF"/>
                  <w:sz w:val="20"/>
                  <w:u w:val="single"/>
                </w:rPr>
                <w:t>Condensed Consolidated Statements of Operations (Unaudited)</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6</w:t>
            </w:r>
          </w:p>
        </w:tc>
      </w:tr>
      <w:tr>
        <w:trPr/>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statements_of_comprehensive_loss">
              <w:r>
                <w:rPr>
                  <w:rStyle w:val="InternetLink"/>
                  <w:rFonts w:ascii="Times New Roman" w:hAnsi="Times New Roman"/>
                  <w:color w:val="0000FF"/>
                  <w:sz w:val="20"/>
                  <w:u w:val="single"/>
                </w:rPr>
                <w:t>Condensed Consolidated Statements of Comprehensive Loss (Unaudited)</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7</w:t>
            </w:r>
          </w:p>
        </w:tc>
      </w:tr>
      <w:tr>
        <w:trPr/>
        <w:tc>
          <w:tcPr>
            <w:tcW w:w="1051" w:type="dxa"/>
            <w:tcBorders/>
            <w:tcMar>
              <w:top w:w="0" w:type="dxa"/>
              <w:left w:w="0" w:type="dxa"/>
              <w:bottom w:w="0" w:type="dxa"/>
              <w:right w:w="0" w:type="dxa"/>
            </w:tcMar>
            <w:vAlign w:val="center"/>
          </w:tcPr>
          <w:p>
            <w:pPr>
              <w:pStyle w:val="TableContents"/>
              <w:bidi w:val="0"/>
              <w:spacing w:before="0" w:after="283"/>
              <w:jc w:val="left"/>
              <w:rPr/>
            </w:pPr>
            <w:r>
              <w:rPr/>
              <w:t> </w:t>
            </w:r>
          </w:p>
        </w:tc>
        <w:tc>
          <w:tcPr>
            <w:tcW w:w="760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hanges_in_members_equity">
              <w:r>
                <w:rPr>
                  <w:rStyle w:val="InternetLink"/>
                  <w:rFonts w:ascii="Times New Roman" w:hAnsi="Times New Roman"/>
                  <w:color w:val="0000FF"/>
                  <w:sz w:val="20"/>
                  <w:u w:val="single"/>
                </w:rPr>
                <w:t>Condensed Consolidated Statements of Changes in Total Equity (Unaudited)</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8</w:t>
            </w:r>
          </w:p>
        </w:tc>
      </w:tr>
      <w:tr>
        <w:trPr/>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statements_of_cash_flows">
              <w:r>
                <w:rPr>
                  <w:rStyle w:val="InternetLink"/>
                  <w:rFonts w:ascii="Times New Roman" w:hAnsi="Times New Roman"/>
                  <w:color w:val="0000FF"/>
                  <w:sz w:val="20"/>
                  <w:u w:val="single"/>
                </w:rPr>
                <w:t>Condensed Consolidated Statements of Cash Flows (Unaudited)</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9</w:t>
            </w:r>
          </w:p>
        </w:tc>
      </w:tr>
      <w:tr>
        <w:trPr/>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notes_to_financial_statements">
              <w:r>
                <w:rPr>
                  <w:rStyle w:val="InternetLink"/>
                  <w:rFonts w:ascii="Times New Roman" w:hAnsi="Times New Roman"/>
                  <w:color w:val="0000FF"/>
                  <w:sz w:val="20"/>
                  <w:u w:val="single"/>
                </w:rPr>
                <w:t>Notes to the Condensed Consolidated Financial Statements (Unaudited)</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10</w:t>
            </w:r>
          </w:p>
        </w:tc>
      </w:tr>
      <w:tr>
        <w:trPr/>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2.</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2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32</w:t>
            </w:r>
          </w:p>
        </w:tc>
      </w:tr>
      <w:tr>
        <w:trPr/>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3.</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52</w:t>
            </w:r>
          </w:p>
        </w:tc>
      </w:tr>
      <w:tr>
        <w:trPr/>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4.</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4_controls_and_procedures">
              <w:r>
                <w:rPr>
                  <w:rStyle w:val="InternetLink"/>
                  <w:rFonts w:ascii="Times New Roman" w:hAnsi="Times New Roman"/>
                  <w:color w:val="0000FF"/>
                  <w:sz w:val="20"/>
                  <w:u w:val="single"/>
                </w:rPr>
                <w:t>Controls and Procedures</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53</w:t>
            </w:r>
          </w:p>
        </w:tc>
      </w:tr>
      <w:tr>
        <w:trPr/>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b/>
                <w:color w:val="000000"/>
                <w:sz w:val="20"/>
              </w:rPr>
            </w:pPr>
            <w:r>
              <w:rPr>
                <w:rFonts w:ascii="Times New Roman" w:hAnsi="Times New Roman"/>
                <w:b/>
                <w:color w:val="000000"/>
                <w:sz w:val="20"/>
              </w:rPr>
              <w:t>Part II.</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part_ii_other_information">
              <w:r>
                <w:rPr>
                  <w:rStyle w:val="InternetLink"/>
                  <w:rFonts w:ascii="Times New Roman" w:hAnsi="Times New Roman"/>
                  <w:color w:val="0000FF"/>
                  <w:sz w:val="20"/>
                  <w:u w:val="single"/>
                </w:rPr>
                <w:t>OTHER INFORMATION</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54</w:t>
            </w:r>
          </w:p>
        </w:tc>
      </w:tr>
      <w:tr>
        <w:trPr/>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1_legal_proceedings">
              <w:r>
                <w:rPr>
                  <w:rStyle w:val="InternetLink"/>
                  <w:rFonts w:ascii="Times New Roman" w:hAnsi="Times New Roman"/>
                  <w:color w:val="0000FF"/>
                  <w:sz w:val="20"/>
                  <w:u w:val="single"/>
                </w:rPr>
                <w:t>Legal Proceedings</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54</w:t>
            </w:r>
          </w:p>
        </w:tc>
      </w:tr>
      <w:tr>
        <w:trPr/>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1A.</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1a_risk_factors">
              <w:r>
                <w:rPr>
                  <w:rStyle w:val="InternetLink"/>
                  <w:rFonts w:ascii="Times New Roman" w:hAnsi="Times New Roman"/>
                  <w:color w:val="0000FF"/>
                  <w:sz w:val="20"/>
                  <w:u w:val="single"/>
                </w:rPr>
                <w:t>Risk Factors</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54</w:t>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556" w:type="dxa"/>
            <w:tcBorders/>
            <w:tcMar>
              <w:top w:w="0" w:type="dxa"/>
              <w:left w:w="0" w:type="dxa"/>
              <w:bottom w:w="0" w:type="dxa"/>
              <w:right w:w="0" w:type="dxa"/>
            </w:tcMar>
            <w:vAlign w:val="center"/>
          </w:tcPr>
          <w:p>
            <w:pPr>
              <w:pStyle w:val="TableContents"/>
              <w:bidi w:val="0"/>
              <w:spacing w:before="0" w:after="20"/>
              <w:jc w:val="left"/>
              <w:rPr/>
            </w:pPr>
            <w:r>
              <w:rPr/>
              <w:t> </w:t>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2.</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2_unregistered_sales_of_equity">
              <w:r>
                <w:rPr>
                  <w:rStyle w:val="InternetLink"/>
                  <w:rFonts w:ascii="Times New Roman" w:hAnsi="Times New Roman"/>
                  <w:color w:val="0000FF"/>
                  <w:sz w:val="20"/>
                  <w:u w:val="single"/>
                </w:rPr>
                <w:t>Unregistered Sales of Equity Securities and Use of Proceeds</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54</w:t>
            </w:r>
          </w:p>
        </w:tc>
      </w:tr>
      <w:tr>
        <w:trPr/>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3.</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55</w:t>
            </w:r>
          </w:p>
        </w:tc>
      </w:tr>
      <w:tr>
        <w:trPr/>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4.</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4_mine_safety_disclosures">
              <w:r>
                <w:rPr>
                  <w:rStyle w:val="InternetLink"/>
                  <w:rFonts w:ascii="Times New Roman" w:hAnsi="Times New Roman"/>
                  <w:color w:val="0000FF"/>
                  <w:sz w:val="20"/>
                  <w:u w:val="single"/>
                </w:rPr>
                <w:t>Mine Safety Disclosures</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55</w:t>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556" w:type="dxa"/>
            <w:tcBorders/>
            <w:tcMar>
              <w:top w:w="0" w:type="dxa"/>
              <w:left w:w="0" w:type="dxa"/>
              <w:bottom w:w="0" w:type="dxa"/>
              <w:right w:w="0" w:type="dxa"/>
            </w:tcMar>
            <w:vAlign w:val="center"/>
          </w:tcPr>
          <w:p>
            <w:pPr>
              <w:pStyle w:val="TableContents"/>
              <w:bidi w:val="0"/>
              <w:spacing w:before="0" w:after="20"/>
              <w:jc w:val="left"/>
              <w:rPr/>
            </w:pPr>
            <w:r>
              <w:rPr/>
              <w:t> </w:t>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5.</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5_other_information">
              <w:r>
                <w:rPr>
                  <w:rStyle w:val="InternetLink"/>
                  <w:rFonts w:ascii="Times New Roman" w:hAnsi="Times New Roman"/>
                  <w:color w:val="0000FF"/>
                  <w:sz w:val="20"/>
                  <w:u w:val="single"/>
                </w:rPr>
                <w:t>Other Information</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55</w:t>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556" w:type="dxa"/>
            <w:tcBorders/>
            <w:tcMar>
              <w:top w:w="0" w:type="dxa"/>
              <w:left w:w="0" w:type="dxa"/>
              <w:bottom w:w="0" w:type="dxa"/>
              <w:right w:w="0" w:type="dxa"/>
            </w:tcMar>
            <w:vAlign w:val="center"/>
          </w:tcPr>
          <w:p>
            <w:pPr>
              <w:pStyle w:val="TableContents"/>
              <w:bidi w:val="0"/>
              <w:spacing w:before="0" w:after="20"/>
              <w:jc w:val="left"/>
              <w:rPr/>
            </w:pPr>
            <w:r>
              <w:rPr/>
              <w:t> </w:t>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6.</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6_exhibits">
              <w:r>
                <w:rPr>
                  <w:rStyle w:val="InternetLink"/>
                  <w:rFonts w:ascii="Times New Roman" w:hAnsi="Times New Roman"/>
                  <w:color w:val="0000FF"/>
                  <w:sz w:val="20"/>
                  <w:u w:val="single"/>
                </w:rPr>
                <w:t>Exhibits</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56</w:t>
            </w:r>
          </w:p>
        </w:tc>
      </w:tr>
      <w:tr>
        <w:trPr/>
        <w:tc>
          <w:tcPr>
            <w:tcW w:w="865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7" w:type="dxa"/>
            <w:gridSpan w:val="2"/>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57</w:t>
            </w:r>
          </w:p>
        </w:tc>
      </w:tr>
    </w:tbl>
    <w:p>
      <w:pPr>
        <w:pStyle w:val="TextBody"/>
        <w:bidi w:val="0"/>
        <w:spacing w:before="24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glossary"/>
      <w:bookmarkEnd w:id="2"/>
      <w:r>
        <w:rPr>
          <w:rFonts w:ascii="Times New Roman" w:hAnsi="Times New Roman"/>
          <w:b/>
          <w:color w:val="000000"/>
          <w:sz w:val="20"/>
        </w:rPr>
        <w:t>GLOSSARY</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used in this Quarterly Report on Form 10-Q, the terms identified below have the meanings specified below unless otherwise noted or the context indicates otherwise. References in this Form 10-Q to “Definitive Healthcare Corp.” refer to Definitive Healthcare Corp. and not to any of its subsidiaries unless the context indicates otherwise. References in this Form 10-Q to “Definitive Healthcare”, “Definitive”, the “Company”, “we”, “us”, and “our” refer to Definitive Healthcare Corp. and its consolidated subsidiaries unless the context indicates otherwise.</w:t>
      </w:r>
    </w:p>
    <w:p>
      <w:pPr>
        <w:pStyle w:val="TextBody"/>
        <w:bidi w:val="0"/>
        <w:spacing w:before="120" w:after="283"/>
        <w:jc w:val="left"/>
        <w:rPr>
          <w:color w:val="000000"/>
        </w:rPr>
      </w:pPr>
      <w:r>
        <w:rPr>
          <w:color w:val="000000"/>
        </w:rPr>
        <w:t>•</w:t>
      </w:r>
    </w:p>
    <w:p>
      <w:pPr>
        <w:pStyle w:val="TextBody"/>
        <w:bidi w:val="0"/>
        <w:spacing w:before="120" w:after="283"/>
        <w:jc w:val="left"/>
        <w:rPr/>
      </w:pPr>
      <w:r>
        <w:rPr>
          <w:color w:val="000000"/>
        </w:rPr>
        <w:t>“</w:t>
      </w:r>
      <w:r>
        <w:rPr>
          <w:rFonts w:ascii="Times New Roman" w:hAnsi="Times New Roman"/>
          <w:color w:val="000000"/>
          <w:sz w:val="20"/>
          <w:u w:val="single"/>
        </w:rPr>
        <w:t>Advent</w:t>
      </w:r>
      <w:r>
        <w:rPr>
          <w:color w:val="000000"/>
        </w:rPr>
        <w:t xml:space="preserve">” </w:t>
      </w:r>
      <w:r>
        <w:rPr>
          <w:rFonts w:ascii="Times New Roman" w:hAnsi="Times New Roman"/>
          <w:color w:val="000000"/>
          <w:sz w:val="20"/>
        </w:rPr>
        <w:t>refers to funds affiliated with Advent International, a global private equity firm.</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AIDH Buyer</w:t>
      </w:r>
      <w:r>
        <w:rPr>
          <w:color w:val="000000"/>
        </w:rPr>
        <w:t xml:space="preserve">” </w:t>
      </w:r>
      <w:r>
        <w:rPr>
          <w:rFonts w:ascii="Times New Roman" w:hAnsi="Times New Roman"/>
          <w:color w:val="000000"/>
          <w:sz w:val="20"/>
        </w:rPr>
        <w:t>refers to AIDH Buyer, LLC, which is a wholly owned subsidiary of Definitive OpCo and the direct parent company of DH Holdings.</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AIDH Management Holdings, LLC</w:t>
      </w:r>
      <w:r>
        <w:rPr>
          <w:color w:val="000000"/>
        </w:rPr>
        <w:t xml:space="preserve">” </w:t>
      </w:r>
      <w:r>
        <w:rPr>
          <w:rFonts w:ascii="Times New Roman" w:hAnsi="Times New Roman"/>
          <w:color w:val="000000"/>
          <w:sz w:val="20"/>
        </w:rPr>
        <w:t>is a special purpose investment vehicle through which certain persons, primarily employees and certain legacy investors, indirectly hold interests in Definitive OpCo.</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Amended LLC Agreement</w:t>
      </w:r>
      <w:r>
        <w:rPr>
          <w:color w:val="000000"/>
        </w:rPr>
        <w:t xml:space="preserve">” </w:t>
      </w:r>
      <w:r>
        <w:rPr>
          <w:rFonts w:ascii="Times New Roman" w:hAnsi="Times New Roman"/>
          <w:color w:val="000000"/>
          <w:sz w:val="20"/>
        </w:rPr>
        <w:t xml:space="preserve">refers to the second amended and restated limited liability company agreement entered into by Definitive Opco pursuant to which members have the right to exchange all or a portion of their LLC units for newly issued shares of Class A Common Stock in Definitive Healthcare Corp. </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ARR</w:t>
      </w:r>
      <w:r>
        <w:rPr>
          <w:color w:val="000000"/>
        </w:rPr>
        <w:t xml:space="preserve">” </w:t>
      </w:r>
      <w:r>
        <w:rPr>
          <w:rFonts w:ascii="Times New Roman" w:hAnsi="Times New Roman"/>
          <w:color w:val="000000"/>
          <w:sz w:val="20"/>
        </w:rPr>
        <w:t>refers to annual recurring revenue as of period end, which is calculated by aggregating annual subscription revenue from committed contractual amounts for all existing customers during that period. ARR may also include, in rare circumstances, existing customers with expired contracts who have provided oral or written commitments to renew.</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Blocker Company</w:t>
      </w:r>
      <w:r>
        <w:rPr>
          <w:color w:val="000000"/>
        </w:rPr>
        <w:t xml:space="preserve">” </w:t>
      </w:r>
      <w:r>
        <w:rPr>
          <w:rFonts w:ascii="Times New Roman" w:hAnsi="Times New Roman"/>
          <w:color w:val="000000"/>
          <w:sz w:val="20"/>
        </w:rPr>
        <w:t>or “</w:t>
      </w:r>
      <w:r>
        <w:rPr>
          <w:rFonts w:ascii="Times New Roman" w:hAnsi="Times New Roman"/>
          <w:color w:val="000000"/>
          <w:sz w:val="20"/>
          <w:u w:val="single"/>
        </w:rPr>
        <w:t>Blocker Companies</w:t>
      </w:r>
      <w:r>
        <w:rPr>
          <w:color w:val="000000"/>
        </w:rPr>
        <w:t xml:space="preserve">” </w:t>
      </w:r>
      <w:r>
        <w:rPr>
          <w:rFonts w:ascii="Times New Roman" w:hAnsi="Times New Roman"/>
          <w:color w:val="000000"/>
          <w:sz w:val="20"/>
        </w:rPr>
        <w:t>refers to certain entities treated as corporations for U.S. federal income tax purposes that held LLC units in Definitive OpCo which, through the Reorganization Transactions, were merged into Definitive Healthcare Corp. and are now holders of Class A Common Stock.</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Continuing Pre-IPO LLC Members</w:t>
      </w:r>
      <w:r>
        <w:rPr>
          <w:color w:val="000000"/>
        </w:rPr>
        <w:t xml:space="preserve">” </w:t>
      </w:r>
      <w:r>
        <w:rPr>
          <w:rFonts w:ascii="Times New Roman" w:hAnsi="Times New Roman"/>
          <w:color w:val="000000"/>
          <w:sz w:val="20"/>
        </w:rPr>
        <w:t>refers to certain Pre-IPO LLC Members who retained their equity ownership in Definitive OpCo in the form of LLC Units immediately following the consummation of the Reorganization Transactions.</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Definitive OpCo</w:t>
      </w:r>
      <w:r>
        <w:rPr>
          <w:color w:val="000000"/>
        </w:rPr>
        <w:t xml:space="preserve">” </w:t>
      </w:r>
      <w:r>
        <w:rPr>
          <w:rFonts w:ascii="Times New Roman" w:hAnsi="Times New Roman"/>
          <w:color w:val="000000"/>
          <w:sz w:val="20"/>
        </w:rPr>
        <w:t>refers to AIDH TopCo, LLC, a Delaware limited liability company, and a subsidiary of Definitive Healthcare Corp., following the Reorganization Transactions.</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DH Holdings</w:t>
      </w:r>
      <w:r>
        <w:rPr>
          <w:color w:val="000000"/>
        </w:rPr>
        <w:t xml:space="preserve">” </w:t>
      </w:r>
      <w:r>
        <w:rPr>
          <w:rFonts w:ascii="Times New Roman" w:hAnsi="Times New Roman"/>
          <w:color w:val="000000"/>
          <w:sz w:val="20"/>
        </w:rPr>
        <w:t>refers to Definitive Healthcare Holdings, LLC, a Delaware limited liability company and wholly owned subsidiary of AIDH Buyer.</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IPO</w:t>
      </w:r>
      <w:r>
        <w:rPr>
          <w:color w:val="000000"/>
        </w:rPr>
        <w:t xml:space="preserve">” </w:t>
      </w:r>
      <w:r>
        <w:rPr>
          <w:rFonts w:ascii="Times New Roman" w:hAnsi="Times New Roman"/>
          <w:color w:val="000000"/>
          <w:sz w:val="20"/>
        </w:rPr>
        <w:t>refers to the initial public offering of Class A Common Stock of Definitive Healthcare Corp.</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LLC Units</w:t>
      </w:r>
      <w:r>
        <w:rPr>
          <w:color w:val="000000"/>
        </w:rPr>
        <w:t xml:space="preserve">” </w:t>
      </w:r>
      <w:r>
        <w:rPr>
          <w:rFonts w:ascii="Times New Roman" w:hAnsi="Times New Roman"/>
          <w:color w:val="000000"/>
          <w:sz w:val="20"/>
        </w:rPr>
        <w:t>refers to limited liability company interests in Definitive OpCo.</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NDR</w:t>
      </w:r>
      <w:r>
        <w:rPr>
          <w:color w:val="000000"/>
        </w:rPr>
        <w:t xml:space="preserve">” </w:t>
      </w:r>
      <w:r>
        <w:rPr>
          <w:rFonts w:ascii="Times New Roman" w:hAnsi="Times New Roman"/>
          <w:color w:val="000000"/>
          <w:sz w:val="20"/>
        </w:rPr>
        <w:t>or “</w:t>
      </w:r>
      <w:r>
        <w:rPr>
          <w:rFonts w:ascii="Times New Roman" w:hAnsi="Times New Roman"/>
          <w:color w:val="000000"/>
          <w:sz w:val="20"/>
          <w:u w:val="single"/>
        </w:rPr>
        <w:t>Net Dollar Retention Rate</w:t>
      </w:r>
      <w:r>
        <w:rPr>
          <w:color w:val="000000"/>
        </w:rPr>
        <w:t xml:space="preserve">” </w:t>
      </w:r>
      <w:r>
        <w:rPr>
          <w:rFonts w:ascii="Times New Roman" w:hAnsi="Times New Roman"/>
          <w:color w:val="000000"/>
          <w:sz w:val="20"/>
        </w:rPr>
        <w:t>refers to net dollar retention rate, which we calculate as the percentage of ARR retained from existing customers across a defined period, after accounting for upsell, down-sell, pricing changes, and churn. We calculate net dollar retention as beginning ARR for a period, plus (i) expansion ARR (including, but not limited to, upsell and pricing increases), less (ii) churn (including, but not limited to, non-renewals and contractions), divided by (iii) beginning ARR for the same period.</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Populi</w:t>
      </w:r>
      <w:r>
        <w:rPr>
          <w:color w:val="000000"/>
        </w:rPr>
        <w:t xml:space="preserve">” </w:t>
      </w:r>
      <w:r>
        <w:rPr>
          <w:rFonts w:ascii="Times New Roman" w:hAnsi="Times New Roman"/>
          <w:color w:val="000000"/>
          <w:sz w:val="20"/>
        </w:rPr>
        <w:t>refers to Populi, Inc., a Delaware corporation.</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Pre-IPO LLC Members</w:t>
      </w:r>
      <w:r>
        <w:rPr>
          <w:color w:val="000000"/>
        </w:rPr>
        <w:t xml:space="preserve">” </w:t>
      </w:r>
      <w:r>
        <w:rPr>
          <w:rFonts w:ascii="Times New Roman" w:hAnsi="Times New Roman"/>
          <w:color w:val="000000"/>
          <w:sz w:val="20"/>
        </w:rPr>
        <w:t>refers to certain affiliates of Spectrum Equity, Jason Krantz, DH Holdings, AIDH Management Holdings, LLC, certain affiliates of Advent, and certain other minority equity holders of Definitive OpCo prior to the Reorganization Transactions.</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Reorganization Parties</w:t>
      </w:r>
      <w:r>
        <w:rPr>
          <w:color w:val="000000"/>
        </w:rPr>
        <w:t xml:space="preserve">” </w:t>
      </w:r>
      <w:r>
        <w:rPr>
          <w:rFonts w:ascii="Times New Roman" w:hAnsi="Times New Roman"/>
          <w:color w:val="000000"/>
          <w:sz w:val="20"/>
        </w:rPr>
        <w:t>refers to the shareholders of the Blocker Companies prior to the merger of the Blocker Companies into Definitive Healthcare Corp.</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Reorganization Transactions</w:t>
      </w:r>
      <w:r>
        <w:rPr>
          <w:color w:val="000000"/>
        </w:rPr>
        <w:t xml:space="preserve">” </w:t>
      </w:r>
      <w:r>
        <w:rPr>
          <w:rFonts w:ascii="Times New Roman" w:hAnsi="Times New Roman"/>
          <w:color w:val="000000"/>
          <w:sz w:val="20"/>
        </w:rPr>
        <w:t>refers to transactions completed in connection with the Company’s IPO as defined within Note 1 to the unaudited condensed consolidated financial statements included in Part I, Item 1 of this Form 10-Q.</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Spectrum Equity</w:t>
      </w:r>
      <w:r>
        <w:rPr>
          <w:color w:val="000000"/>
        </w:rPr>
        <w:t xml:space="preserve">” </w:t>
      </w:r>
      <w:r>
        <w:rPr>
          <w:rFonts w:ascii="Times New Roman" w:hAnsi="Times New Roman"/>
          <w:color w:val="000000"/>
          <w:sz w:val="20"/>
        </w:rPr>
        <w:t>refers to investment funds associated with Spectrum Equity Management, L.P., a private equity firm.</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Sponsors</w:t>
      </w:r>
      <w:r>
        <w:rPr>
          <w:color w:val="000000"/>
        </w:rPr>
        <w:t xml:space="preserve">” </w:t>
      </w:r>
      <w:r>
        <w:rPr>
          <w:rFonts w:ascii="Times New Roman" w:hAnsi="Times New Roman"/>
          <w:color w:val="000000"/>
          <w:sz w:val="20"/>
        </w:rPr>
        <w:t>refers collectively to Advent and Spectrum Equity.</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Tax Receivable Agreement</w:t>
      </w:r>
      <w:r>
        <w:rPr>
          <w:color w:val="000000"/>
        </w:rPr>
        <w:t xml:space="preserve">” </w:t>
      </w:r>
      <w:r>
        <w:rPr>
          <w:rFonts w:ascii="Times New Roman" w:hAnsi="Times New Roman"/>
          <w:color w:val="000000"/>
          <w:sz w:val="20"/>
        </w:rPr>
        <w:t>refers to the Tax Receivable Agreement, dated September 14, 2021, between Definitive Healthcare Corp., Definitive OpCo, and the TRA Parties.</w:t>
      </w:r>
    </w:p>
    <w:p>
      <w:pPr>
        <w:pStyle w:val="TextBody"/>
        <w:bidi w:val="0"/>
        <w:spacing w:before="0" w:after="0"/>
        <w:jc w:val="left"/>
        <w:rPr>
          <w:color w:val="000000"/>
        </w:rPr>
      </w:pPr>
      <w:r>
        <w:rPr>
          <w:color w:val="000000"/>
        </w:rPr>
        <w:t>•</w:t>
      </w:r>
    </w:p>
    <w:p>
      <w:pPr>
        <w:pStyle w:val="TextBody"/>
        <w:bidi w:val="0"/>
        <w:jc w:val="left"/>
        <w:rPr/>
      </w:pPr>
      <w:r>
        <w:rPr>
          <w:color w:val="000000"/>
        </w:rPr>
        <w:t>“</w:t>
      </w:r>
      <w:r>
        <w:rPr>
          <w:rFonts w:ascii="Times New Roman" w:hAnsi="Times New Roman"/>
          <w:color w:val="000000"/>
          <w:sz w:val="20"/>
          <w:u w:val="single"/>
        </w:rPr>
        <w:t>TRA Parties</w:t>
      </w:r>
      <w:r>
        <w:rPr>
          <w:color w:val="000000"/>
        </w:rPr>
        <w:t xml:space="preserve">” </w:t>
      </w:r>
      <w:r>
        <w:rPr>
          <w:rFonts w:ascii="Times New Roman" w:hAnsi="Times New Roman"/>
          <w:color w:val="000000"/>
          <w:sz w:val="20"/>
        </w:rPr>
        <w:t>refers to the Continuing Pre-IPO LLC Members, the Reorganization Parties, and any future party to the Tax Receivable Agreement.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 w:name="cautionary_note"/>
      <w:bookmarkEnd w:id="3"/>
      <w:r>
        <w:rPr>
          <w:rFonts w:ascii="Times New Roman" w:hAnsi="Times New Roman"/>
          <w:b/>
          <w:color w:val="000000"/>
          <w:sz w:val="20"/>
        </w:rPr>
        <w:t>CAUTIONARY NOTE REGARDING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Quarterly Report on Form 10-Q (“Quarterly Report”) contains forward-looking statements. Forward-looking statements can be identified by words such as “anticipates,” “intends,” “plans,” “seeks,” “believes,” “estimates,” “expects” and similar references to future periods, or by the inclusion of forecasts or projections. Examples of forward-looking statements include, but are not limited to, statements we make regarding the outlook for our future business and financial performance, such as those contained in “Management’s Discussion and Analysis of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but are not limited to, regional, national, or global political, economic, business, competitive, market, and regulatory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reasons described above, we caution you against relying on any forward-looking statements, which should also be read in conjunction with Part I, Item 1A, “Risk Factors,” in our Annual Report on Form 10-K for the year ended December 31, 2024 (the “2024 Form 10-K”) filed with the Securities and Exchange Commission (“SEC”) on February 27, 2025, and Part II, Item 1A in this Quarterly Report and the other cautionary statements that are included elsewhere in this Quarterly Report and in our public filings, including under “Management’s Discussion and Analysis of Financial Condition and Results of Operations.” Any forward-looking statement made by us speaks only as of the date on which we make it. We undertake no obligation to publicly update or revise any forward-looking statement, whether as a result of new information, future developments, or otherwise, except as may be required by law.</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4" w:name="part_i_financial_information"/>
      <w:bookmarkEnd w:id="4"/>
      <w:r>
        <w:rPr>
          <w:rFonts w:ascii="Times New Roman" w:hAnsi="Times New Roman"/>
          <w:b/>
          <w:color w:val="000000"/>
          <w:sz w:val="20"/>
        </w:rPr>
        <w:t>PART I - FINANCIAL INFORMATION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DEFINITIVE HEALTHCARE CORP.</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nsolidated_balance_sheets"/>
      <w:bookmarkEnd w:id="5"/>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(in thousands, except number of shares and par value)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61"/>
        <w:gridCol w:w="246"/>
        <w:gridCol w:w="215"/>
        <w:gridCol w:w="953"/>
        <w:gridCol w:w="166"/>
        <w:gridCol w:w="246"/>
        <w:gridCol w:w="226"/>
        <w:gridCol w:w="999"/>
        <w:gridCol w:w="593"/>
      </w:tblGrid>
      <w:tr>
        <w:trPr/>
        <w:tc>
          <w:tcPr>
            <w:tcW w:w="656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6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68"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2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68"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2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105,378</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184,786</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53,232</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13,040</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contract costs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13,736</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current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273,442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370,172</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3,791</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 net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7,521</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contract costs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14,389</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284,708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297,933</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393,283</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808,657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1,089,389</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10,763</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40,896</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93,344</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loan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13,750</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2,408</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current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161,161</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 term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loan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162,385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229,368</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7,586</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receivable agreements liability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49,511</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tax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25,088</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9,449</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372,752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482,195</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A Common Stock, par value $0.001, 600,000,000 shares authorized, 109,646,157 and 113,953,554 shares issued and outstanding at March 31, 2025 and December 31, 2024, respectively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B Common Stock, par value $0.00001, 65,000,000 shares authorized, 38,997,184 and 38,995,217 shares issued and outstanding, respectively, at March 31, 2025, and 39,439,198 and 39,375,806 shares issued and outstanding, respectively, at December 31, 2024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1,071,732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1,085,445</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deficit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(747,802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(640,574</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Noncontrolling interests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162,819</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equity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435,905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607,194</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liabilities and 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808,657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1,089,389</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See notes to unaudited condensed consolidated financial statements.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DEFINITIVE HEALTHCARE CORP.</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6" w:name="consolidated_statements_of_operations"/>
      <w:bookmarkEnd w:id="6"/>
      <w:r>
        <w:rPr>
          <w:rFonts w:ascii="Times New Roman" w:hAnsi="Times New Roman"/>
          <w:b/>
          <w:color w:val="000000"/>
          <w:sz w:val="20"/>
        </w:rPr>
        <w:t>CONDENSED CONSOLIDATED STATEMENTS OF OPERATIONS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(in thousands, except share amounts and per share data)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(Unaudited)</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4832"/>
        <w:gridCol w:w="1346"/>
        <w:gridCol w:w="211"/>
        <w:gridCol w:w="1141"/>
        <w:gridCol w:w="266"/>
        <w:gridCol w:w="246"/>
        <w:gridCol w:w="211"/>
        <w:gridCol w:w="1141"/>
        <w:gridCol w:w="811"/>
      </w:tblGrid>
      <w:tr>
        <w:trPr/>
        <w:tc>
          <w:tcPr>
            <w:tcW w:w="483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48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2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Revenue</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59,191</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63,480</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revenue:</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Cost of revenue exclusive of amortization</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10,141</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Amortization</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832"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Gross profit</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43,760</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50,382</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expenses:</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Sales and marketing</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20,653</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Product development</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General and administrative</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12,269</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Depreciation and amortization</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8,527</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Transaction, integration, and restructuring expenses</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Goodwill impairment</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176,531</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3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Total operating expenses</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228,546</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66,631</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832"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Loss from operations</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(184,786</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(16,249</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3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income (expense), net:</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Interest income</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Interest expense</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(2,433</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3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Gain on remeasurement of tax receivable agreement liability</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20,664</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Loss on partial extinguishment of debt</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Other (expense) income, net</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3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Total other income, net</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18,807</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2,751</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832"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Net loss before income taxes</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(165,979</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832"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Benefit from income taxes</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10,886</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832"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Net loss</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(155,093</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32"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Less: Net loss attributable to noncontrolling interests</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(47,865</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4832"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Net loss attributable to Definitive Healthcare Corp.</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(107,228</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(9,518</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3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per share of Class A Common Stock:</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3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Basic and diluted</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(0.95</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3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 average Class A Common Stock outstanding:</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83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Basic and diluted</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112,782,505</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117,433,520</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unaudited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DEFINITIVE HEALTHCARE CORP.</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statements_of_comprehensive_loss"/>
      <w:bookmarkEnd w:id="7"/>
      <w:r>
        <w:rPr>
          <w:rFonts w:ascii="Times New Roman" w:hAnsi="Times New Roman"/>
          <w:b/>
          <w:color w:val="000000"/>
          <w:sz w:val="20"/>
        </w:rPr>
        <w:t>CONDENSED CONSOLIDATED STATEMENTS OF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(Unaudited)</w:t>
      </w:r>
      <w:r>
        <w:rPr>
          <w:rFonts w:ascii="Times New Roman" w:hAnsi="Times New Roman"/>
          <w:color w:val="000000"/>
          <w:sz w:val="20"/>
        </w:rPr>
        <w:t xml:space="preserve"> </w:t>
      </w:r>
    </w:p>
    <w:tbl>
      <w:tblPr>
        <w:tblW w:w="8791" w:type="dxa"/>
        <w:jc w:val="left"/>
        <w:tblInd w:w="0" w:type="dxa"/>
        <w:tblLayout w:type="fixed"/>
        <w:tblCellMar>
          <w:top w:w="28" w:type="dxa"/>
          <w:left w:w="28" w:type="dxa"/>
          <w:bottom w:w="28" w:type="dxa"/>
          <w:right w:w="28" w:type="dxa"/>
        </w:tblCellMar>
      </w:tblPr>
      <w:tblGrid>
        <w:gridCol w:w="5636"/>
        <w:gridCol w:w="146"/>
        <w:gridCol w:w="219"/>
        <w:gridCol w:w="873"/>
        <w:gridCol w:w="172"/>
        <w:gridCol w:w="151"/>
        <w:gridCol w:w="219"/>
        <w:gridCol w:w="764"/>
        <w:gridCol w:w="611"/>
      </w:tblGrid>
      <w:tr>
        <w:trPr/>
        <w:tc>
          <w:tcPr>
            <w:tcW w:w="5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(155,093</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6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interest rate hedging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(155,973</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6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Comprehensive loss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(48,091</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Comprehensive loss attributable to Definitive Healthcare Corp.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(107,882</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(9,969</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unaudited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DEFINITIVE HEALTHCARE CORP.</w:t>
      </w:r>
    </w:p>
    <w:p>
      <w:pPr>
        <w:pStyle w:val="TextBody"/>
        <w:bidi w:val="0"/>
        <w:jc w:val="center"/>
        <w:rPr>
          <w:rFonts w:ascii="Times New Roman" w:hAnsi="Times New Roman"/>
          <w:sz w:val="20"/>
        </w:rPr>
      </w:pPr>
      <w:bookmarkStart w:id="8" w:name="changes_in_members_equity"/>
      <w:bookmarkEnd w:id="8"/>
      <w:r>
        <w:rPr>
          <w:rFonts w:ascii="Times New Roman" w:hAnsi="Times New Roman"/>
          <w:b/>
          <w:color w:val="000000"/>
          <w:sz w:val="18"/>
        </w:rPr>
        <w:t>CONDENSED CONSOLIDATED STATEMENTS OF CHANGES IN TOTAL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18"/>
        </w:rPr>
        <w:t>(in thousands, except share amounts)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18"/>
        </w:rPr>
        <w:t>(Unaudited)</w:t>
      </w:r>
      <w:r>
        <w:rPr>
          <w:rFonts w:ascii="Times New Roman" w:hAnsi="Times New Roman"/>
          <w:color w:val="000000"/>
          <w:sz w:val="20"/>
        </w:rPr>
        <w:t xml:space="preserve"> </w:t>
      </w:r>
    </w:p>
    <w:tbl>
      <w:tblPr>
        <w:tblW w:w="11005" w:type="dxa"/>
        <w:jc w:val="left"/>
        <w:tblInd w:w="0" w:type="dxa"/>
        <w:tblLayout w:type="fixed"/>
        <w:tblCellMar>
          <w:top w:w="28" w:type="dxa"/>
          <w:left w:w="28" w:type="dxa"/>
          <w:bottom w:w="28" w:type="dxa"/>
          <w:right w:w="28" w:type="dxa"/>
        </w:tblCellMar>
      </w:tblPr>
      <w:tblGrid>
        <w:gridCol w:w="1171"/>
        <w:gridCol w:w="146"/>
        <w:gridCol w:w="1006"/>
        <w:gridCol w:w="166"/>
        <w:gridCol w:w="196"/>
        <w:gridCol w:w="376"/>
        <w:gridCol w:w="166"/>
        <w:gridCol w:w="146"/>
        <w:gridCol w:w="916"/>
        <w:gridCol w:w="166"/>
        <w:gridCol w:w="206"/>
        <w:gridCol w:w="365"/>
        <w:gridCol w:w="146"/>
        <w:gridCol w:w="196"/>
        <w:gridCol w:w="826"/>
        <w:gridCol w:w="166"/>
        <w:gridCol w:w="196"/>
        <w:gridCol w:w="751"/>
        <w:gridCol w:w="166"/>
        <w:gridCol w:w="260"/>
        <w:gridCol w:w="761"/>
        <w:gridCol w:w="166"/>
        <w:gridCol w:w="225"/>
        <w:gridCol w:w="796"/>
        <w:gridCol w:w="166"/>
        <w:gridCol w:w="196"/>
        <w:gridCol w:w="751"/>
        <w:gridCol w:w="21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B</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Interests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113,953,554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39,439,198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1,085,445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(640,574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162,819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607,194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(107,228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(47,865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(155,093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Vested incentive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Class A Common Stock upon vesting of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1,279,156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withheld related to net share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(423,245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Repurchases of Class A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(5,604,751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5,955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(21,155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Effect of changes in LLC ownership, including LLC unit exchanges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441,443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(441,443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(8,719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Forfeited unvested incentive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Equity-based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at March 31, 2025</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00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109,646,157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38,997,184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0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6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1,071,732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(747,802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6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(1,264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2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113,129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435,905</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360"/>
        <w:jc w:val="center"/>
        <w:rPr/>
      </w:pPr>
      <w:r>
        <w:rPr/>
        <w:t> </w:t>
      </w:r>
    </w:p>
    <w:tbl>
      <w:tblPr>
        <w:tblW w:w="11080" w:type="dxa"/>
        <w:jc w:val="left"/>
        <w:tblInd w:w="0" w:type="dxa"/>
        <w:tblLayout w:type="fixed"/>
        <w:tblCellMar>
          <w:top w:w="28" w:type="dxa"/>
          <w:left w:w="28" w:type="dxa"/>
          <w:bottom w:w="28" w:type="dxa"/>
          <w:right w:w="28" w:type="dxa"/>
        </w:tblCellMar>
      </w:tblPr>
      <w:tblGrid>
        <w:gridCol w:w="1171"/>
        <w:gridCol w:w="146"/>
        <w:gridCol w:w="1006"/>
        <w:gridCol w:w="166"/>
        <w:gridCol w:w="196"/>
        <w:gridCol w:w="376"/>
        <w:gridCol w:w="166"/>
        <w:gridCol w:w="146"/>
        <w:gridCol w:w="916"/>
        <w:gridCol w:w="166"/>
        <w:gridCol w:w="206"/>
        <w:gridCol w:w="365"/>
        <w:gridCol w:w="146"/>
        <w:gridCol w:w="196"/>
        <w:gridCol w:w="826"/>
        <w:gridCol w:w="166"/>
        <w:gridCol w:w="196"/>
        <w:gridCol w:w="751"/>
        <w:gridCol w:w="166"/>
        <w:gridCol w:w="282"/>
        <w:gridCol w:w="739"/>
        <w:gridCol w:w="166"/>
        <w:gridCol w:w="225"/>
        <w:gridCol w:w="796"/>
        <w:gridCol w:w="166"/>
        <w:gridCol w:w="196"/>
        <w:gridCol w:w="826"/>
        <w:gridCol w:w="21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B</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Income</w:t>
            </w:r>
            <w:r>
              <w:rPr>
                <w:rFonts w:ascii="Times New Roman" w:hAnsi="Times New Roman"/>
                <w:color w:val="000000"/>
                <w:sz w:val="14"/>
              </w:rPr>
              <w:t xml:space="preserve"> </w:t>
            </w: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Interests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at January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116,562,252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39,762,700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1,086,581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(227,450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337,817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1,199,174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(9,518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(12,718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Vested incentive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Class A Common Stock upon vesting of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1,822,506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withheld related to net share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(646,041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Effect of changes in LLC ownership, including LLC unit exchanges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51,308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(51,308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Forfeited unvested incentive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(47,388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Equity-based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11,682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15,582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at March 31, 2024</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00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117,790,025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3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39,664,004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0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36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8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1,095,482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(236,968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8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1,658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2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334,741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8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1,195,031</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See notes to unaudited condensed consolidated financial statements.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DEFINITIVE HEALTHCARE CORP.</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9" w:name="statements_of_cash_flows"/>
      <w:bookmarkEnd w:id="9"/>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(in thousands)</w:t>
      </w:r>
    </w:p>
    <w:p>
      <w:pPr>
        <w:pStyle w:val="TextBody"/>
        <w:bidi w:val="0"/>
        <w:spacing w:before="0" w:after="120"/>
        <w:jc w:val="center"/>
        <w:rPr>
          <w:rFonts w:ascii="Times New Roman" w:hAnsi="Times New Roman"/>
          <w:i/>
          <w:color w:val="000000"/>
          <w:sz w:val="20"/>
        </w:rPr>
      </w:pPr>
      <w:r>
        <w:rPr>
          <w:rFonts w:ascii="Times New Roman" w:hAnsi="Times New Roman"/>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5663"/>
        <w:gridCol w:w="946"/>
        <w:gridCol w:w="198"/>
        <w:gridCol w:w="763"/>
        <w:gridCol w:w="270"/>
        <w:gridCol w:w="249"/>
        <w:gridCol w:w="198"/>
        <w:gridCol w:w="702"/>
        <w:gridCol w:w="1216"/>
      </w:tblGrid>
      <w:tr>
        <w:trPr/>
        <w:tc>
          <w:tcPr>
            <w:tcW w:w="5663"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566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6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6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7"/>
              </w:rPr>
            </w:pPr>
            <w:r>
              <w:rPr>
                <w:rFonts w:ascii="Times New Roman" w:hAnsi="Times New Roman"/>
                <w:b/>
                <w:color w:val="000000"/>
                <w:sz w:val="17"/>
              </w:rPr>
              <w:t>Cash flows provided by (used in) operating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663"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Net loss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(155,093</w:t>
            </w:r>
          </w:p>
        </w:tc>
        <w:tc>
          <w:tcPr>
            <w:tcW w:w="2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(12,718</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66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Adjustments to reconcile net loss to net cash provided by operating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right"/>
              <w:rPr/>
            </w:pPr>
            <w:r>
              <w:rPr/>
              <w:t> </w:t>
            </w:r>
          </w:p>
        </w:tc>
      </w:tr>
      <w:tr>
        <w:trPr/>
        <w:tc>
          <w:tcPr>
            <w:tcW w:w="566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Depreciation and amortization</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591</w:t>
            </w:r>
          </w:p>
        </w:tc>
        <w:tc>
          <w:tcPr>
            <w:tcW w:w="2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554</w:t>
            </w:r>
          </w:p>
        </w:tc>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566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Amortization of intangible assets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13,226</w:t>
            </w:r>
          </w:p>
        </w:tc>
        <w:tc>
          <w:tcPr>
            <w:tcW w:w="2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12,130</w:t>
            </w:r>
          </w:p>
        </w:tc>
        <w:tc>
          <w:tcPr>
            <w:tcW w:w="121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566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Amortization of deferred contract costs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3,947</w:t>
            </w:r>
          </w:p>
        </w:tc>
        <w:tc>
          <w:tcPr>
            <w:tcW w:w="2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3,692</w:t>
            </w:r>
          </w:p>
        </w:tc>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566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Equity-based compensation</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7,319</w:t>
            </w:r>
          </w:p>
        </w:tc>
        <w:tc>
          <w:tcPr>
            <w:tcW w:w="2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15,582</w:t>
            </w:r>
          </w:p>
        </w:tc>
        <w:tc>
          <w:tcPr>
            <w:tcW w:w="121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566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Amortization of debt issuance costs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126</w:t>
            </w:r>
          </w:p>
        </w:tc>
        <w:tc>
          <w:tcPr>
            <w:tcW w:w="2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176</w:t>
            </w:r>
          </w:p>
        </w:tc>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566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(Benefit from) provision for doubtful accounts receivable</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(142</w:t>
            </w:r>
          </w:p>
        </w:tc>
        <w:tc>
          <w:tcPr>
            <w:tcW w:w="2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211</w:t>
            </w:r>
          </w:p>
        </w:tc>
        <w:tc>
          <w:tcPr>
            <w:tcW w:w="121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566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Loss on partial extinguishment of debt</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507</w:t>
            </w:r>
          </w:p>
        </w:tc>
        <w:tc>
          <w:tcPr>
            <w:tcW w:w="2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566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Non-cash restructuring charges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192</w:t>
            </w:r>
          </w:p>
        </w:tc>
        <w:tc>
          <w:tcPr>
            <w:tcW w:w="2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21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566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Goodwill impairment charges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176,531</w:t>
            </w:r>
          </w:p>
        </w:tc>
        <w:tc>
          <w:tcPr>
            <w:tcW w:w="2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566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Tax receivable agreement remeasurement</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(20,664</w:t>
            </w:r>
          </w:p>
        </w:tc>
        <w:tc>
          <w:tcPr>
            <w:tcW w:w="2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(2,267</w:t>
            </w:r>
          </w:p>
        </w:tc>
        <w:tc>
          <w:tcPr>
            <w:tcW w:w="121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7"/>
              </w:rPr>
            </w:pPr>
            <w:r>
              <w:rPr>
                <w:rFonts w:ascii="Times New Roman" w:hAnsi="Times New Roman"/>
                <w:color w:val="000000"/>
                <w:sz w:val="17"/>
              </w:rPr>
              <w:t>)</w:t>
            </w:r>
          </w:p>
        </w:tc>
      </w:tr>
      <w:tr>
        <w:trPr/>
        <w:tc>
          <w:tcPr>
            <w:tcW w:w="566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Changes in fair value of contingent consideration</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(690</w:t>
            </w:r>
          </w:p>
        </w:tc>
        <w:tc>
          <w:tcPr>
            <w:tcW w:w="2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270</w:t>
            </w:r>
          </w:p>
        </w:tc>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566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Deferred income taxes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(11,007</w:t>
            </w:r>
          </w:p>
        </w:tc>
        <w:tc>
          <w:tcPr>
            <w:tcW w:w="2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(847</w:t>
            </w:r>
          </w:p>
        </w:tc>
        <w:tc>
          <w:tcPr>
            <w:tcW w:w="12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5663"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Changes in operating assets and liabilities: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right"/>
              <w:rPr/>
            </w:pPr>
            <w:r>
              <w:rPr/>
              <w:t> </w:t>
            </w:r>
          </w:p>
        </w:tc>
      </w:tr>
      <w:tr>
        <w:trPr/>
        <w:tc>
          <w:tcPr>
            <w:tcW w:w="566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Accounts receivable</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10,351</w:t>
            </w:r>
          </w:p>
        </w:tc>
        <w:tc>
          <w:tcPr>
            <w:tcW w:w="2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2,999</w:t>
            </w:r>
          </w:p>
        </w:tc>
        <w:tc>
          <w:tcPr>
            <w:tcW w:w="121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566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Prepaid expenses and other assets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(5,683</w:t>
            </w:r>
          </w:p>
        </w:tc>
        <w:tc>
          <w:tcPr>
            <w:tcW w:w="2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(1,399</w:t>
            </w:r>
          </w:p>
        </w:tc>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7"/>
              </w:rPr>
            </w:pPr>
            <w:r>
              <w:rPr>
                <w:rFonts w:ascii="Times New Roman" w:hAnsi="Times New Roman"/>
                <w:color w:val="000000"/>
                <w:sz w:val="17"/>
              </w:rPr>
              <w:t>)</w:t>
            </w:r>
          </w:p>
        </w:tc>
      </w:tr>
      <w:tr>
        <w:trPr/>
        <w:tc>
          <w:tcPr>
            <w:tcW w:w="566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Deferred contract costs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(3,794</w:t>
            </w:r>
          </w:p>
        </w:tc>
        <w:tc>
          <w:tcPr>
            <w:tcW w:w="2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(2,699</w:t>
            </w:r>
          </w:p>
        </w:tc>
        <w:tc>
          <w:tcPr>
            <w:tcW w:w="121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7"/>
              </w:rPr>
            </w:pPr>
            <w:r>
              <w:rPr>
                <w:rFonts w:ascii="Times New Roman" w:hAnsi="Times New Roman"/>
                <w:color w:val="000000"/>
                <w:sz w:val="17"/>
              </w:rPr>
              <w:t>)</w:t>
            </w:r>
          </w:p>
        </w:tc>
      </w:tr>
      <w:tr>
        <w:trPr/>
        <w:tc>
          <w:tcPr>
            <w:tcW w:w="566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Contingent consideration</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(602</w:t>
            </w:r>
          </w:p>
        </w:tc>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7"/>
              </w:rPr>
            </w:pPr>
            <w:r>
              <w:rPr>
                <w:rFonts w:ascii="Times New Roman" w:hAnsi="Times New Roman"/>
                <w:color w:val="000000"/>
                <w:sz w:val="17"/>
              </w:rPr>
              <w:t>)</w:t>
            </w:r>
          </w:p>
        </w:tc>
      </w:tr>
      <w:tr>
        <w:trPr/>
        <w:tc>
          <w:tcPr>
            <w:tcW w:w="566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Accounts payable, accrued expenses, and other liabilities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(8,745</w:t>
            </w:r>
          </w:p>
        </w:tc>
        <w:tc>
          <w:tcPr>
            <w:tcW w:w="2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(8,231</w:t>
            </w:r>
          </w:p>
        </w:tc>
        <w:tc>
          <w:tcPr>
            <w:tcW w:w="121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7"/>
              </w:rPr>
            </w:pPr>
            <w:r>
              <w:rPr>
                <w:rFonts w:ascii="Times New Roman" w:hAnsi="Times New Roman"/>
                <w:color w:val="000000"/>
                <w:sz w:val="17"/>
              </w:rPr>
              <w:t>)</w:t>
            </w:r>
          </w:p>
        </w:tc>
      </w:tr>
      <w:tr>
        <w:trPr/>
        <w:tc>
          <w:tcPr>
            <w:tcW w:w="566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Deferred revenue</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19,094</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9,738</w:t>
            </w:r>
          </w:p>
        </w:tc>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6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Net cash provided by operating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26,066</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16,589</w:t>
            </w:r>
          </w:p>
        </w:tc>
        <w:tc>
          <w:tcPr>
            <w:tcW w:w="1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6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7"/>
              </w:rPr>
            </w:pPr>
            <w:r>
              <w:rPr>
                <w:rFonts w:ascii="Times New Roman" w:hAnsi="Times New Roman"/>
                <w:b/>
                <w:color w:val="000000"/>
                <w:sz w:val="17"/>
              </w:rPr>
              <w:t>Cash flows (used in) provided by investing activities: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663"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Purchases of property, equipment, and other assets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(7,706</w:t>
            </w:r>
          </w:p>
        </w:tc>
        <w:tc>
          <w:tcPr>
            <w:tcW w:w="2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(266</w:t>
            </w:r>
          </w:p>
        </w:tc>
        <w:tc>
          <w:tcPr>
            <w:tcW w:w="12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5663"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Purchases of short-term investments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(12,000</w:t>
            </w:r>
          </w:p>
        </w:tc>
        <w:tc>
          <w:tcPr>
            <w:tcW w:w="2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(83,826</w:t>
            </w:r>
          </w:p>
        </w:tc>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5663"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Maturities of short-term investments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103,251</w:t>
            </w:r>
          </w:p>
        </w:tc>
        <w:tc>
          <w:tcPr>
            <w:tcW w:w="2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73,588</w:t>
            </w:r>
          </w:p>
        </w:tc>
        <w:tc>
          <w:tcPr>
            <w:tcW w:w="12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63"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Cash paid for acquisitions, net of cash acquired</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(13,530</w:t>
            </w:r>
          </w:p>
        </w:tc>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66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Net cash provided by (used in) investing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83,545</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(24,034</w:t>
            </w:r>
          </w:p>
        </w:tc>
        <w:tc>
          <w:tcPr>
            <w:tcW w:w="1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66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7"/>
              </w:rPr>
            </w:pPr>
            <w:r>
              <w:rPr>
                <w:rFonts w:ascii="Times New Roman" w:hAnsi="Times New Roman"/>
                <w:b/>
                <w:color w:val="000000"/>
                <w:sz w:val="17"/>
              </w:rPr>
              <w:t>Cash flows used in financing activities: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663"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Repayments of term loan</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(246,250</w:t>
            </w:r>
          </w:p>
        </w:tc>
        <w:tc>
          <w:tcPr>
            <w:tcW w:w="2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(3,438</w:t>
            </w:r>
          </w:p>
        </w:tc>
        <w:tc>
          <w:tcPr>
            <w:tcW w:w="12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5663"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Proceeds from term loan</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175,000</w:t>
            </w:r>
          </w:p>
        </w:tc>
        <w:tc>
          <w:tcPr>
            <w:tcW w:w="2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63"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Payments of debt issuance costs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(1,660</w:t>
            </w:r>
          </w:p>
        </w:tc>
        <w:tc>
          <w:tcPr>
            <w:tcW w:w="2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2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63"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Taxes paid related to net share settlement of equity awards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(1,874</w:t>
            </w:r>
          </w:p>
        </w:tc>
        <w:tc>
          <w:tcPr>
            <w:tcW w:w="2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(5,806</w:t>
            </w:r>
          </w:p>
        </w:tc>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5663"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Repurchases of Class A Common Stock</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(21,155</w:t>
            </w:r>
          </w:p>
        </w:tc>
        <w:tc>
          <w:tcPr>
            <w:tcW w:w="2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2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63"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Payments of contingent consideration</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(1,000</w:t>
            </w:r>
          </w:p>
        </w:tc>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5663"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Payments under tax receivable agreement</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(13,767</w:t>
            </w:r>
          </w:p>
        </w:tc>
        <w:tc>
          <w:tcPr>
            <w:tcW w:w="2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(6,950</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663"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Net cash used in financing activities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6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(109,706</w:t>
            </w:r>
          </w:p>
        </w:tc>
        <w:tc>
          <w:tcPr>
            <w:tcW w:w="270"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0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(17,194</w:t>
            </w:r>
          </w:p>
        </w:tc>
        <w:tc>
          <w:tcPr>
            <w:tcW w:w="12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66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Net decrease in cash and cash equivalents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(95</w:t>
            </w:r>
          </w:p>
        </w:tc>
        <w:tc>
          <w:tcPr>
            <w:tcW w:w="2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(24,639</w:t>
            </w:r>
          </w:p>
        </w:tc>
        <w:tc>
          <w:tcPr>
            <w:tcW w:w="12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5663"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Effect of exchange rate changes on cash and cash equivalents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816</w:t>
            </w:r>
          </w:p>
        </w:tc>
        <w:tc>
          <w:tcPr>
            <w:tcW w:w="2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(343</w:t>
            </w:r>
          </w:p>
        </w:tc>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5663"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Cash and cash equivalents, beginning of period</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105,378</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130,976</w:t>
            </w:r>
          </w:p>
        </w:tc>
        <w:tc>
          <w:tcPr>
            <w:tcW w:w="12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663"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Cash and cash equivalents, end of period</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106,099</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105,994</w:t>
            </w:r>
          </w:p>
        </w:tc>
        <w:tc>
          <w:tcPr>
            <w:tcW w:w="1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6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7"/>
              </w:rPr>
            </w:pPr>
            <w:r>
              <w:rPr>
                <w:rFonts w:ascii="Times New Roman" w:hAnsi="Times New Roman"/>
                <w:b/>
                <w:color w:val="000000"/>
                <w:sz w:val="17"/>
              </w:rPr>
              <w:t>Supplemental cash flow disclosures: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663"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Cash paid during the period for:</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5663"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Interest</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2,242</w:t>
            </w:r>
          </w:p>
        </w:tc>
        <w:tc>
          <w:tcPr>
            <w:tcW w:w="2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3,642</w:t>
            </w:r>
          </w:p>
        </w:tc>
        <w:tc>
          <w:tcPr>
            <w:tcW w:w="12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663"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Income taxes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w:t>
            </w:r>
          </w:p>
        </w:tc>
        <w:tc>
          <w:tcPr>
            <w:tcW w:w="2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663"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Acquisitions: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right"/>
              <w:rPr/>
            </w:pPr>
            <w:r>
              <w:rPr/>
              <w:t> </w:t>
            </w:r>
          </w:p>
        </w:tc>
      </w:tr>
      <w:tr>
        <w:trPr/>
        <w:tc>
          <w:tcPr>
            <w:tcW w:w="5663"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Net assets acquired, net of cash acquired</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13,675</w:t>
            </w:r>
          </w:p>
        </w:tc>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5663"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Working capital adjustment receivable</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(145</w:t>
            </w:r>
          </w:p>
        </w:tc>
        <w:tc>
          <w:tcPr>
            <w:tcW w:w="121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rFonts w:ascii="Times New Roman" w:hAnsi="Times New Roman"/>
                <w:color w:val="000000"/>
                <w:sz w:val="17"/>
              </w:rPr>
            </w:pPr>
            <w:r>
              <w:rPr>
                <w:rFonts w:ascii="Times New Roman" w:hAnsi="Times New Roman"/>
                <w:color w:val="000000"/>
                <w:sz w:val="17"/>
              </w:rPr>
              <w:t>)</w:t>
            </w:r>
          </w:p>
        </w:tc>
      </w:tr>
      <w:tr>
        <w:trPr/>
        <w:tc>
          <w:tcPr>
            <w:tcW w:w="5663"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Net cash paid for acquisitions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270"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0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13,530</w:t>
            </w:r>
          </w:p>
        </w:tc>
        <w:tc>
          <w:tcPr>
            <w:tcW w:w="12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5663"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17"/>
              </w:rPr>
            </w:pPr>
            <w:r>
              <w:rPr>
                <w:rFonts w:ascii="Times New Roman" w:hAnsi="Times New Roman"/>
                <w:b/>
                <w:color w:val="000000"/>
                <w:sz w:val="17"/>
              </w:rPr>
              <w:t>Supplemental disclosure of non-cash investing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66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Capital expenditures included in accounts payable and accrued expenses and other liabilities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5,393</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unaudited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aps/>
          <w:color w:val="000000"/>
          <w:sz w:val="20"/>
        </w:rPr>
        <w:t>DEFINITIVE HEALTHCARE CORP.</w:t>
      </w:r>
      <w:r>
        <w:rPr>
          <w:rFonts w:ascii="Times New Roman" w:hAnsi="Times New Roman"/>
          <w:caps/>
          <w:color w:val="000000"/>
          <w:sz w:val="20"/>
        </w:rPr>
        <w:t xml:space="preserve"> </w:t>
      </w:r>
    </w:p>
    <w:p>
      <w:pPr>
        <w:pStyle w:val="TextBody"/>
        <w:bidi w:val="0"/>
        <w:jc w:val="center"/>
        <w:rPr>
          <w:rFonts w:ascii="Times New Roman" w:hAnsi="Times New Roman"/>
          <w:sz w:val="20"/>
        </w:rPr>
      </w:pPr>
      <w:bookmarkStart w:id="10" w:name="notes_to_financial_statements"/>
      <w:bookmarkEnd w:id="10"/>
      <w:r>
        <w:rPr>
          <w:rFonts w:ascii="Times New Roman" w:hAnsi="Times New Roman"/>
          <w:b/>
          <w:color w:val="000000"/>
          <w:sz w:val="20"/>
        </w:rPr>
        <w:t>NOTES TO THE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spacing w:before="360" w:after="283"/>
        <w:jc w:val="left"/>
        <w:rPr>
          <w:rFonts w:ascii="Times New Roman" w:hAnsi="Times New Roman"/>
          <w:sz w:val="20"/>
        </w:rPr>
      </w:pPr>
      <w:r>
        <w:rPr>
          <w:rFonts w:ascii="Times New Roman" w:hAnsi="Times New Roman"/>
          <w:b/>
          <w:color w:val="000000"/>
          <w:sz w:val="20"/>
        </w:rPr>
        <w:t>1. Organization and Basis of Presentation</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Description of Business and Organization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Definitive Healthcare Corp. (the “Company”) was formed on May 5, 2021 as a Delaware corporation to facilitate an initial public offering (“IPO”) and other related transactions to carry on the business of AIDH TopCo, LLC (“Definitive OpCo”). Following consummation of the Reorganization Transactions, as described below, Definitive OpCo became a subsidiary of Definitive Healthcare Corp. The Company, through its operating subsidiaries, provides comprehensive and up-to-date hospital and healthcare-related information and insight across the entire healthcare continuum via a multi-tenant software-as-a-service (“SaaS”) platform which combines proprietary and public sources to deliver insights. The Company is headquartered in Framingham, Massachusetts.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the IPO, the Company completed the following transactions (the “Reorganization Transactions”): Definitive OpCo entered into an amended and restated limited liability company agreement (the “Amended LLC Agreement”) pursuant to which members of Definitive OpCo prior to the IPO who continued to hold limited liability company interests (“LLC Units”) in Definitive OpCo following the consummation of the Reorganization Transactions acquired the right to require Definitive OpCo to redeem all or a portion of their LLC Units for newly issued shares of Class A Common Stock on a one-for-one basis. Until redeemed or exchanged, each LLC Unit is paired with one share of Definitive Healthcare Corp. Class B Common Stock. The total shares of Class B Common Stock outstanding is equal to the number of vested LLC Units outstanding, excluding LLC Units held by the Company. Unvested LLC Units are paired with Class B Common Stock, which are issued but do not have voting rights and are deemed not outstanding until the corresponding LLC Units have vested. Certain entities treated as corporations for U.S. federal income tax purposes that held LLC Units (individually, a “Blocker Company” and collectively, the “Blocker Companies”) each merged with a merger subsidiary of Definitive Healthcare Corp., and subsequently merged into Definitive Healthcare Corp. (the “Mergers”). The former shareholders of the Blocker Companies collectively received a number of shares of Class A Common Stock in the Mergers equal to the number of LLC Units held by the Blocker Companies prior to the Mergers.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Following the Reorganization Transactions, Definitive Healthcare Corp. became a holding company, with its sole material asset being a controlling equity interest in Definitive OpCo. Definitive Healthcare Corp. operates and controls all of the business and affairs of Definitive OpCo, and through Definitive OpCo and its subsidiaries, conducts its business. Accordingly, Definitive Healthcare Corp. consolidates the financial results of Definitive OpCo, and reports the noncontrolling interests of unexchanged LLC Unit holders on its unaudited condensed consolidated financial statements.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connection with the Reorganization Transactions and the IPO, Definitive Healthcare Corp entered into a tax receivable agreement. See Note 15. </w:t>
      </w:r>
      <w:r>
        <w:rPr>
          <w:rFonts w:ascii="Times New Roman" w:hAnsi="Times New Roman"/>
          <w:i/>
          <w:color w:val="000000"/>
          <w:sz w:val="20"/>
        </w:rPr>
        <w:t>Income Taxes</w:t>
      </w:r>
      <w:r>
        <w:rPr>
          <w:rFonts w:ascii="Times New Roman" w:hAnsi="Times New Roman"/>
          <w:color w:val="000000"/>
          <w:sz w:val="20"/>
        </w:rPr>
        <w: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unaudited condensed consolidated financial statements have been prepared in accordance with accounting principles generally accepted in the United States (“GAAP”) and in conformity with rules applicable to quarterly financial information. Any reference in these notes to applicable accounting guidance is meant to refer to the authoritative nongovernmental GAAP as found in the Financial Accounting Standards Board (“FASB”) Accounting Standards Codification (“ASC”). The unaudited condensed consolidated financial statements as of March 31, 2025 and for the three months ended March 31, 2025 and 2024 are unaudited and should be read in conjunction with the Company’s audited financial statements for the year ended December 31, 2024. All adjustments, consisting of normal recurring adjustments, except as otherwise noted, considered, in the opinion of management, necessary for a fair presentation of the unaudited condensed consolidated financial statements for these interim periods have been included.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Refer to Note 2. </w:t>
      </w:r>
      <w:r>
        <w:rPr>
          <w:rFonts w:ascii="Times New Roman" w:hAnsi="Times New Roman"/>
          <w:i/>
          <w:color w:val="000000"/>
          <w:sz w:val="20"/>
        </w:rPr>
        <w:t>Summary of Significant Accounting Policies</w:t>
      </w:r>
      <w:r>
        <w:rPr>
          <w:rFonts w:ascii="Times New Roman" w:hAnsi="Times New Roman"/>
          <w:color w:val="000000"/>
          <w:sz w:val="20"/>
        </w:rPr>
        <w:t xml:space="preserve"> in the notes to the consolidated financial statements in the 2024 Form 10-K for the Company’s significant accounting policies and estimates.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Use of Estimates in the Preparation of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consolidated financial statements in conformity with GAAP requires management to make estimates, judgments, and assumptions that affect the reported amounts of assets and liabilities and disclosure of contingent assets and liabilities at the date of the consolidated financial statements, as well as the reported amounts of revenues and expenses during the reporting period. These estimates include, but are not limited to, revenue recognition, allowance for doubtful accounts, contingencies, valuations, useful lives of intangible assets acquired in business combinations, equity-based compensation, and income taxes. Actual results could differ from those estimates.</w:t>
      </w:r>
    </w:p>
    <w:p>
      <w:pPr>
        <w:pStyle w:val="TextBody"/>
        <w:bidi w:val="0"/>
        <w:spacing w:before="240" w:after="283"/>
        <w:jc w:val="left"/>
        <w:rPr>
          <w:rFonts w:ascii="Times New Roman" w:hAnsi="Times New Roman"/>
          <w:sz w:val="20"/>
        </w:rPr>
      </w:pPr>
      <w:r>
        <w:rPr>
          <w:rFonts w:ascii="Times New Roman" w:hAnsi="Times New Roman"/>
          <w:b/>
          <w:i/>
          <w:color w:val="000000"/>
          <w:sz w:val="20"/>
        </w:rPr>
        <w:t>Recently Issued Accounting Pronouncements Not Yet Adopted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Accounting Standards Update (“ASU”) No. 2024-03, </w:t>
      </w:r>
      <w:r>
        <w:rPr>
          <w:rFonts w:ascii="Times New Roman" w:hAnsi="Times New Roman"/>
          <w:i/>
          <w:color w:val="000000"/>
          <w:sz w:val="20"/>
        </w:rPr>
        <w:t xml:space="preserve">Disaggregation of Income Statement Expenses (Subtopic 220-40), </w:t>
      </w:r>
      <w:r>
        <w:rPr>
          <w:rFonts w:ascii="Times New Roman" w:hAnsi="Times New Roman"/>
          <w:color w:val="000000"/>
          <w:sz w:val="20"/>
        </w:rPr>
        <w:t>(“ASU 2024-03”). The ASU requires the disaggregated disclosure of specific expense categories, including purchases of inventory, employee compensation, depreciation, and amortization, within relevant income statement captions. This ASU also requires disclosure of the total amount of selling expenses along with the definition of selling expenses. The ASU is effective for annual periods beginning after December 15, 2026, and interim periods within fiscal years beginning after December 15, 2027. Adoption of this ASU can either be applied prospectively to consolidated financial statements issued for reporting periods after the effective date of this ASU or retrospectively to any or all prior periods presented in the consolidated financial statements. Early adoption is also permitted. The Company is currently assessing the impact that adoption of this new accounting standard will have on its unaudited condensed consolidated financial statements and footnote disclosures.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2023, the FASB issued ASU 2023-09, </w:t>
      </w:r>
      <w:r>
        <w:rPr>
          <w:rFonts w:ascii="Times New Roman" w:hAnsi="Times New Roman"/>
          <w:i/>
          <w:color w:val="000000"/>
          <w:sz w:val="20"/>
        </w:rPr>
        <w:t xml:space="preserve">Improvements to Income Tax Disclosures, </w:t>
      </w:r>
      <w:r>
        <w:rPr>
          <w:rFonts w:ascii="Times New Roman" w:hAnsi="Times New Roman"/>
          <w:color w:val="000000"/>
          <w:sz w:val="20"/>
        </w:rPr>
        <w:t xml:space="preserve">(“ASU 2023-09”), which is effective for annual periods beginning after December 15, 2024. ASU 2023-09 intends to enhance the transparency as well as usefulness of income tax disclosures, primarily related to the rate reconciliation and income taxes paid. The Company is currently assessing the impact that adoption of this new accounting standard will have on its unaudited condensed consolidated financial statements and footnote disclosures.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other new accounting pronouncements issued or effective during the first three months of the current year have had, or are expected to have, a material impact on the Company’s unaudited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2. Acquisitions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Carevoyance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16, 2024, the Company completed the purchase of assets comprising the Carevoyance business line of H1 Insights, Inc. (“Carevoyance”), a product that helps medical technology (“MedTech”) customers to improve segmentation, targeting, and prospect engagement, for $13.7 million in cash consideration. The Carevoyance assets meet the definition of a business and accordingly, the Company has accounted for the Carevoyance transaction under the acquisition method. The assets acquired and liabilities assumed were recorded at their estimated fair values and the results of operations were included in the Company’s consolidated results prospectively from the acquisition date.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finalized the purchase price allocations of the Carevoyance acquisition during the fourth quarter of 2024. Acquisition-date fair values of assets and liabilities pertaining to this business combination have been allocated as follows:</w:t>
      </w:r>
    </w:p>
    <w:tbl>
      <w:tblPr>
        <w:tblW w:w="6863" w:type="dxa"/>
        <w:jc w:val="left"/>
        <w:tblInd w:w="0" w:type="dxa"/>
        <w:tblLayout w:type="fixed"/>
        <w:tblCellMar>
          <w:top w:w="28" w:type="dxa"/>
          <w:left w:w="28" w:type="dxa"/>
          <w:bottom w:w="28" w:type="dxa"/>
          <w:right w:w="28" w:type="dxa"/>
        </w:tblCellMar>
      </w:tblPr>
      <w:tblGrid>
        <w:gridCol w:w="3821"/>
        <w:gridCol w:w="946"/>
        <w:gridCol w:w="382"/>
        <w:gridCol w:w="1223"/>
        <w:gridCol w:w="491"/>
      </w:tblGrid>
      <w:tr>
        <w:trPr/>
        <w:tc>
          <w:tcPr>
            <w:tcW w:w="382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Purchase price allocation:</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Final Purchase Price</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Intangible assets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assets acquired and liabilities assumed</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8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22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6,618</w:t>
            </w:r>
          </w:p>
        </w:tc>
        <w:tc>
          <w:tcPr>
            <w:tcW w:w="4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8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Goodwill</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7,057</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82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Purchase price</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3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13,675</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the Carevoyance acquisition, the Company recorded goodwill, developed technology, customer relationships, and tradename of $7.1 million, $6.8 million, $0.2 million, and $0.1 million, respectively, as of the acquisition date. The goodwill recognized includes the fair value of the assembled workforce, which is not recognized as an intangible asset separable from goodwill, and any expected synergies gained through the acquisition. The Company determined that the goodwill resulting from the acquisition is deductible for tax purposes. All goodwill has been allocated to the Company’s one reportable segment.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developed technology represents Carevoyance’s proprietary solutions that are designed to assist MedTech customers with improving segmentation, targeting, and prospect engagement. The Company used the income approach, specifically the multi-period excess earnings method, to determine the value of developed technology. Significant assumptions include an obsolescence factor, tax rate, and discount rate. The developed technology was valued at $6.8 million and is amortized using the economic value method, which represents the pattern of cash flows over the estimated 7-year life of this asset.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Customer relationships represent the estimated fair value of the underlying relationships with the acquired entity’s business customers. The Company valued customer relationships using the income approach, specifically the multi-period excess earnings method. Significant assumptions include estimated attrition rates, discount rates, and tax rates reflecting the different risk profiles of the asset depending upon the acquisition. The value assigned to customer relationships is $0.2 million and is amortized using the straight-line method over the estimated remaining useful life of 5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tradename represents the estimated fair value of the registered trade name associated with the Carevoyance corporate brand. The Company estimated the fair value of the trademark using a relief from royalty method of the income approach. Significant assumptions include forecast of royalty rate, tax rate, and discount rate. The trademark was valued at $0.1 million and is amortized using the straight-line method over the estimated remaining useful life of two years.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total, intangible assets acquired in the Carevoyance acquisition are estimated to be amortized over a weighted average of 6.9 years. See Note 7. </w:t>
      </w:r>
      <w:r>
        <w:rPr>
          <w:rFonts w:ascii="Times New Roman" w:hAnsi="Times New Roman"/>
          <w:i/>
          <w:color w:val="000000"/>
          <w:sz w:val="20"/>
        </w:rPr>
        <w:t>Goodwill and Intangible Assets</w:t>
      </w:r>
      <w:r>
        <w:rPr>
          <w:rFonts w:ascii="Times New Roman" w:hAnsi="Times New Roman"/>
          <w:color w:val="000000"/>
          <w:sz w:val="20"/>
        </w:rPr>
        <w:t xml:space="preserve"> for the estimated total intangible amortization expense during the next five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 forma results of operation for this acquisition have not been presented because the effects were not material to the Company’s unaudited condensed consolidated financial results.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3.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disaggregates revenue from its arrangements with customers by type of service as it believes these categories best depict how the nature, amount, timing, and uncertainty of revenue and cash flows are affected by economic factors.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represents a disaggregation of revenue from arrangements with customers for the three months ended March 31, 2025 and 2024, respectively: </w:t>
      </w:r>
    </w:p>
    <w:tbl>
      <w:tblPr>
        <w:tblW w:w="4781" w:type="dxa"/>
        <w:jc w:val="left"/>
        <w:tblInd w:w="0" w:type="dxa"/>
        <w:tblLayout w:type="fixed"/>
        <w:tblCellMar>
          <w:top w:w="28" w:type="dxa"/>
          <w:left w:w="28" w:type="dxa"/>
          <w:bottom w:w="28" w:type="dxa"/>
          <w:right w:w="28" w:type="dxa"/>
        </w:tblCellMar>
      </w:tblPr>
      <w:tblGrid>
        <w:gridCol w:w="1946"/>
        <w:gridCol w:w="246"/>
        <w:gridCol w:w="223"/>
        <w:gridCol w:w="716"/>
        <w:gridCol w:w="260"/>
        <w:gridCol w:w="260"/>
        <w:gridCol w:w="223"/>
        <w:gridCol w:w="716"/>
        <w:gridCol w:w="191"/>
      </w:tblGrid>
      <w:tr>
        <w:trPr/>
        <w:tc>
          <w:tcPr>
            <w:tcW w:w="19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Subscription services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57,311</w:t>
            </w:r>
          </w:p>
        </w:tc>
        <w:tc>
          <w:tcPr>
            <w:tcW w:w="2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61,752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Professional services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revenue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59,191</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63,480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Deferred Contract Costs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 summary of the activity impacting the deferred contract costs for the three months ended March 31, 2025 and the year ended December 31, 2024 is presented below: </w:t>
      </w:r>
    </w:p>
    <w:tbl>
      <w:tblPr>
        <w:tblW w:w="10205" w:type="dxa"/>
        <w:jc w:val="left"/>
        <w:tblInd w:w="0" w:type="dxa"/>
        <w:tblLayout w:type="fixed"/>
        <w:tblCellMar>
          <w:top w:w="28" w:type="dxa"/>
          <w:left w:w="28" w:type="dxa"/>
          <w:bottom w:w="28" w:type="dxa"/>
          <w:right w:w="28" w:type="dxa"/>
        </w:tblCellMar>
      </w:tblPr>
      <w:tblGrid>
        <w:gridCol w:w="3885"/>
        <w:gridCol w:w="646"/>
        <w:gridCol w:w="578"/>
        <w:gridCol w:w="1854"/>
        <w:gridCol w:w="266"/>
        <w:gridCol w:w="246"/>
        <w:gridCol w:w="471"/>
        <w:gridCol w:w="1646"/>
        <w:gridCol w:w="613"/>
      </w:tblGrid>
      <w:tr>
        <w:trPr/>
        <w:tc>
          <w:tcPr>
            <w:tcW w:w="388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3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2024</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beginning of period</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28,125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30,810</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885"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Costs amortized</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(3,947</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(15,441</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885"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Additional amounts deferred</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3,794</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12,756</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8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end of period</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27,972</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28,125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Classified as: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885"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Current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13,673</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13,736</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885"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Non-current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14,299</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14,389</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8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deferred contract costs (deferred commissions)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27,972</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28,125</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Contract Liabilities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 summary of the activity impacting deferred revenue balances during the three months ended March 31, 2025 and for the year ended December 31, 2024 is presented below: </w:t>
      </w:r>
    </w:p>
    <w:tbl>
      <w:tblPr>
        <w:tblW w:w="8915" w:type="dxa"/>
        <w:jc w:val="left"/>
        <w:tblInd w:w="0" w:type="dxa"/>
        <w:tblLayout w:type="fixed"/>
        <w:tblCellMar>
          <w:top w:w="28" w:type="dxa"/>
          <w:left w:w="28" w:type="dxa"/>
          <w:bottom w:w="28" w:type="dxa"/>
          <w:right w:w="28" w:type="dxa"/>
        </w:tblCellMar>
      </w:tblPr>
      <w:tblGrid>
        <w:gridCol w:w="2741"/>
        <w:gridCol w:w="246"/>
        <w:gridCol w:w="596"/>
        <w:gridCol w:w="2209"/>
        <w:gridCol w:w="266"/>
        <w:gridCol w:w="246"/>
        <w:gridCol w:w="481"/>
        <w:gridCol w:w="1919"/>
        <w:gridCol w:w="211"/>
      </w:tblGrid>
      <w:tr>
        <w:trPr/>
        <w:tc>
          <w:tcPr>
            <w:tcW w:w="27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beginning of period</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93,376</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97,386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Revenue recognized</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(59,191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Additional amounts deferred</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78,329</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248,192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end of period</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112,514</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93,376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Remaining Performance Obligations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Transaction price allocated to remaining performance obligations represents contracted revenue that has not yet been recognized, which includes unearned revenue and unbilled amounts that will be invoiced and recognized as revenue in future periods. Transaction price allocated to remaining performance obligations is influenced by several factors, including seasonality, the timing of renewals, and disparate contract terms. The Company’s backlog represents installment billings for periods beyond the current billing cycle. The majority of the Company’s noncurrent remaining performance obligations will be recognized in the next 13 to 36 months.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remaining performance obligations consisted of the following: </w:t>
      </w:r>
    </w:p>
    <w:tbl>
      <w:tblPr>
        <w:tblW w:w="5042" w:type="dxa"/>
        <w:jc w:val="left"/>
        <w:tblInd w:w="0" w:type="dxa"/>
        <w:tblLayout w:type="fixed"/>
        <w:tblCellMar>
          <w:top w:w="28" w:type="dxa"/>
          <w:left w:w="28" w:type="dxa"/>
          <w:bottom w:w="28" w:type="dxa"/>
          <w:right w:w="28" w:type="dxa"/>
        </w:tblCellMar>
      </w:tblPr>
      <w:tblGrid>
        <w:gridCol w:w="1226"/>
        <w:gridCol w:w="646"/>
        <w:gridCol w:w="211"/>
        <w:gridCol w:w="781"/>
        <w:gridCol w:w="246"/>
        <w:gridCol w:w="246"/>
        <w:gridCol w:w="233"/>
        <w:gridCol w:w="862"/>
        <w:gridCol w:w="591"/>
      </w:tblGrid>
      <w:tr>
        <w:trPr/>
        <w:tc>
          <w:tcPr>
            <w:tcW w:w="1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2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181,772</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188,050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Non-current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99,802</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105,673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22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281,574</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293,723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4. Short-Term Investments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Short-term investments classified as available-for-sale consisted of the following: </w:t>
      </w:r>
    </w:p>
    <w:tbl>
      <w:tblPr>
        <w:tblW w:w="10205" w:type="dxa"/>
        <w:jc w:val="left"/>
        <w:tblInd w:w="0" w:type="dxa"/>
        <w:tblLayout w:type="fixed"/>
        <w:tblCellMar>
          <w:top w:w="28" w:type="dxa"/>
          <w:left w:w="28" w:type="dxa"/>
          <w:bottom w:w="28" w:type="dxa"/>
          <w:right w:w="28" w:type="dxa"/>
        </w:tblCellMar>
      </w:tblPr>
      <w:tblGrid>
        <w:gridCol w:w="2350"/>
        <w:gridCol w:w="646"/>
        <w:gridCol w:w="278"/>
        <w:gridCol w:w="891"/>
        <w:gridCol w:w="246"/>
        <w:gridCol w:w="246"/>
        <w:gridCol w:w="539"/>
        <w:gridCol w:w="1081"/>
        <w:gridCol w:w="246"/>
        <w:gridCol w:w="246"/>
        <w:gridCol w:w="621"/>
        <w:gridCol w:w="1023"/>
        <w:gridCol w:w="266"/>
        <w:gridCol w:w="246"/>
        <w:gridCol w:w="211"/>
        <w:gridCol w:w="676"/>
        <w:gridCol w:w="393"/>
      </w:tblGrid>
      <w:tr>
        <w:trPr/>
        <w:tc>
          <w:tcPr>
            <w:tcW w:w="235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235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81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Gains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Losses</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 investments: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50"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US treasuries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8,709</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8,711</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50"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Commercial paper</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54,844</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54,860</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50"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Certificates of deposit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30,895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31,003</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5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short-term investments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94,448</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94,574</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11"/>
        <w:gridCol w:w="646"/>
        <w:gridCol w:w="251"/>
        <w:gridCol w:w="930"/>
        <w:gridCol w:w="246"/>
        <w:gridCol w:w="246"/>
        <w:gridCol w:w="632"/>
        <w:gridCol w:w="950"/>
        <w:gridCol w:w="246"/>
        <w:gridCol w:w="246"/>
        <w:gridCol w:w="575"/>
        <w:gridCol w:w="1028"/>
        <w:gridCol w:w="266"/>
        <w:gridCol w:w="246"/>
        <w:gridCol w:w="211"/>
        <w:gridCol w:w="781"/>
        <w:gridCol w:w="394"/>
      </w:tblGrid>
      <w:tr>
        <w:trPr/>
        <w:tc>
          <w:tcPr>
            <w:tcW w:w="23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85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Gains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Losses</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 investments: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US treasuries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24,477</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24,486</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Commercial paper</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127,642</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127,682</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Certificates of deposit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32,598</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32,618</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short-term investments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184,717</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184,786</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short-term investments had stated maturity dates of less than one year. Included in the amortized cost as of March 31, 2025 and December 31, 2024 is accumulated accretion of $1.2 million and $1.6 million, respectively. Interest accretion on short-term investments was $1.1 million and $2.0 million during the three months ended March 31, 2025 and 2024, respectively.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 Accounts Receivable, Net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Accounts receivable, net consisted of the following:</w:t>
      </w:r>
    </w:p>
    <w:tbl>
      <w:tblPr>
        <w:tblW w:w="6947" w:type="dxa"/>
        <w:jc w:val="left"/>
        <w:tblInd w:w="0" w:type="dxa"/>
        <w:tblLayout w:type="fixed"/>
        <w:tblCellMar>
          <w:top w:w="28" w:type="dxa"/>
          <w:left w:w="28" w:type="dxa"/>
          <w:bottom w:w="28" w:type="dxa"/>
          <w:right w:w="28" w:type="dxa"/>
        </w:tblCellMar>
      </w:tblPr>
      <w:tblGrid>
        <w:gridCol w:w="3216"/>
        <w:gridCol w:w="646"/>
        <w:gridCol w:w="211"/>
        <w:gridCol w:w="676"/>
        <w:gridCol w:w="266"/>
        <w:gridCol w:w="246"/>
        <w:gridCol w:w="260"/>
        <w:gridCol w:w="835"/>
        <w:gridCol w:w="591"/>
      </w:tblGrid>
      <w:tr>
        <w:trPr/>
        <w:tc>
          <w:tcPr>
            <w:tcW w:w="321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44,556</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54,618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Unbilled receivable</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44,905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55,346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Less: allowance for credit losses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(1,982</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 net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42,923</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53,232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 Property and Equipment, Net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Property and equipment, net consisted of the following: </w:t>
      </w:r>
    </w:p>
    <w:tbl>
      <w:tblPr>
        <w:tblW w:w="8342" w:type="dxa"/>
        <w:jc w:val="left"/>
        <w:tblInd w:w="0" w:type="dxa"/>
        <w:tblLayout w:type="fixed"/>
        <w:tblCellMar>
          <w:top w:w="28" w:type="dxa"/>
          <w:left w:w="28" w:type="dxa"/>
          <w:bottom w:w="28" w:type="dxa"/>
          <w:right w:w="28" w:type="dxa"/>
        </w:tblCellMar>
      </w:tblPr>
      <w:tblGrid>
        <w:gridCol w:w="4611"/>
        <w:gridCol w:w="646"/>
        <w:gridCol w:w="211"/>
        <w:gridCol w:w="676"/>
        <w:gridCol w:w="266"/>
        <w:gridCol w:w="246"/>
        <w:gridCol w:w="260"/>
        <w:gridCol w:w="835"/>
        <w:gridCol w:w="591"/>
      </w:tblGrid>
      <w:tr>
        <w:trPr/>
        <w:tc>
          <w:tcPr>
            <w:tcW w:w="46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Computers and software</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13,336</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Furniture and equipment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Leasehold improvements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Construction and software development in process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17,572</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(8,089</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Property and equipment, net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9,483</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Depreciation and amortization expense associated with property and equipment was $0.6 million for the three months ended March 31, 2025 and 2024.</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7. Goodwill and Intangible Assets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carrying amounts of goodwill and intangible assets, as of March 31, 2025 and December 31, 2024, consisted of the following: </w:t>
      </w:r>
    </w:p>
    <w:tbl>
      <w:tblPr>
        <w:tblW w:w="8570" w:type="dxa"/>
        <w:jc w:val="left"/>
        <w:tblInd w:w="0" w:type="dxa"/>
        <w:tblLayout w:type="fixed"/>
        <w:tblCellMar>
          <w:top w:w="28" w:type="dxa"/>
          <w:left w:w="28" w:type="dxa"/>
          <w:bottom w:w="28" w:type="dxa"/>
          <w:right w:w="28" w:type="dxa"/>
        </w:tblCellMar>
      </w:tblPr>
      <w:tblGrid>
        <w:gridCol w:w="3176"/>
        <w:gridCol w:w="646"/>
        <w:gridCol w:w="211"/>
        <w:gridCol w:w="781"/>
        <w:gridCol w:w="246"/>
        <w:gridCol w:w="246"/>
        <w:gridCol w:w="216"/>
        <w:gridCol w:w="865"/>
        <w:gridCol w:w="266"/>
        <w:gridCol w:w="246"/>
        <w:gridCol w:w="229"/>
        <w:gridCol w:w="851"/>
        <w:gridCol w:w="591"/>
      </w:tblGrid>
      <w:tr>
        <w:trPr/>
        <w:tc>
          <w:tcPr>
            <w:tcW w:w="317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15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w:t>
              <w:br/>
              <w:t>Amount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Finite-lived intangible assets: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7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Customer relationships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410,390</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(204,092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206,298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7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Developed technologies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85,200</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(46,805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38,395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7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Tradenames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36,124</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23,933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7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Database</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67,475</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(51,393</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finite-lived intangible assets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599,189</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(314,481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284,708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7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Goodwill</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216,752</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216,752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goodwill and intangible assets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815,941</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(314,481</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501,460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570" w:type="dxa"/>
        <w:jc w:val="left"/>
        <w:tblInd w:w="0" w:type="dxa"/>
        <w:tblLayout w:type="fixed"/>
        <w:tblCellMar>
          <w:top w:w="28" w:type="dxa"/>
          <w:left w:w="28" w:type="dxa"/>
          <w:bottom w:w="28" w:type="dxa"/>
          <w:right w:w="28" w:type="dxa"/>
        </w:tblCellMar>
      </w:tblPr>
      <w:tblGrid>
        <w:gridCol w:w="3176"/>
        <w:gridCol w:w="646"/>
        <w:gridCol w:w="211"/>
        <w:gridCol w:w="781"/>
        <w:gridCol w:w="246"/>
        <w:gridCol w:w="246"/>
        <w:gridCol w:w="216"/>
        <w:gridCol w:w="865"/>
        <w:gridCol w:w="266"/>
        <w:gridCol w:w="246"/>
        <w:gridCol w:w="229"/>
        <w:gridCol w:w="851"/>
        <w:gridCol w:w="591"/>
      </w:tblGrid>
      <w:tr>
        <w:trPr/>
        <w:tc>
          <w:tcPr>
            <w:tcW w:w="317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15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w:t>
              <w:br/>
              <w:t>Amount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Finite-lived intangible assets: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7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Customer relationships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410,390</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(196,694</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213,696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7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Developed technologies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85,074</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(43,526</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41,548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7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Tradenames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36,078</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(11,608</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7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Database</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67,456</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(49,237</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18,219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finite-lived intangible assets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598,998</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(301,065</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297,933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7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Goodwill</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393,283</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393,283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goodwill and intangible assets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992,281</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(301,065</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691,216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Amortization expense associated with finite-lived intangible assets was $13.2 million and $12.1 million for the three months ended March 31, 2025 and 2024, respectively, of which $5.3 million and $3.3 million was included in cost of revenue for each respective period.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Estimated total intangible amortization expense during the next five years and thereafter is as follows:</w:t>
      </w:r>
    </w:p>
    <w:tbl>
      <w:tblPr>
        <w:tblW w:w="6055" w:type="dxa"/>
        <w:jc w:val="left"/>
        <w:tblInd w:w="0" w:type="dxa"/>
        <w:tblLayout w:type="fixed"/>
        <w:tblCellMar>
          <w:top w:w="28" w:type="dxa"/>
          <w:left w:w="28" w:type="dxa"/>
          <w:bottom w:w="28" w:type="dxa"/>
          <w:right w:w="28" w:type="dxa"/>
        </w:tblCellMar>
      </w:tblPr>
      <w:tblGrid>
        <w:gridCol w:w="4726"/>
        <w:gridCol w:w="146"/>
        <w:gridCol w:w="211"/>
        <w:gridCol w:w="781"/>
        <w:gridCol w:w="191"/>
      </w:tblGrid>
      <w:tr>
        <w:trPr/>
        <w:tc>
          <w:tcPr>
            <w:tcW w:w="4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excluding the three months ended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46,637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30,778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101,642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284,708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determined it had one reporting unit.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Goodwill Impairment</w:t>
      </w:r>
    </w:p>
    <w:p>
      <w:pPr>
        <w:pStyle w:val="TextBody"/>
        <w:bidi w:val="0"/>
        <w:spacing w:before="120" w:after="120"/>
        <w:jc w:val="left"/>
        <w:rPr>
          <w:rFonts w:ascii="Times New Roman" w:hAnsi="Times New Roman"/>
          <w:sz w:val="20"/>
        </w:rPr>
      </w:pPr>
      <w:r>
        <w:rPr>
          <w:rFonts w:ascii="Times New Roman" w:hAnsi="Times New Roman"/>
          <w:color w:val="000000"/>
          <w:sz w:val="20"/>
        </w:rPr>
        <w:t xml:space="preserve">Goodwill and acquired intangible assets are initially recorded at fair value and tested periodically for impairment. For purposes of initial recognition, the Company estimates the fair value of these assets using primarily unobservable inputs, which are considered Level 3 fair value measurements as defined in Note 11. </w:t>
      </w:r>
      <w:r>
        <w:rPr>
          <w:rFonts w:ascii="Times New Roman" w:hAnsi="Times New Roman"/>
          <w:i/>
          <w:color w:val="000000"/>
          <w:sz w:val="20"/>
        </w:rPr>
        <w:t>Fair Value Measurements</w:t>
      </w:r>
      <w:r>
        <w:rPr>
          <w:rFonts w:ascii="Times New Roman" w:hAnsi="Times New Roman"/>
          <w:color w:val="000000"/>
          <w:sz w:val="20"/>
        </w:rPr>
        <w:t xml:space="preserve">. The Company performs an impairment test of goodwill during the fourth quarter of each fiscal year and more frequently if indicators of potential impairment arise.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Though the Company traditionally performs its annual impairment assessment in the first month of the fourth quarter of each calendar year, during the first quarter of 2025, the Company experienced declines in its market capitalization as a result of sustained decreases in the Company’s stock price, which represented a triggering event requiring management to perform a quantitative goodwill impairment test as of the end of the reporting period. As a result of the impairment test, the Company determined that the fair value of its single reporting unit was lower than its carrying value and, accordingly, recorded a non-cash, pretax, goodwill impairment charge of $176.5 million during the three months ended March 31, 2025. The goodwill impairment charge did not affect the Company’s liquidity or the financial covenants in its outstanding debt agreement.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calculating the goodwill impairment charge, the Company estimated the fair value of its single reporting unit based on its market capitalization and an appropriate control premium. Market capitalization is determined by multiplying the number of shares of Class A Common Stock outstanding by the market price of its Class A Common Stock. The control premium, or the amount paid by a new controlling shareholder for the benefits resulting from synergies and other potential benefits derived from controlling the acquired company, is determined by utilizing data from publicly available premium studies for similarly situated public company transactions. A goodwill impairment loss is recognized for the difference between the carrying value of the reporting unit and the fair value.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of and for the periods ended March 31, 2025 and December 31, 2024, goodwill consisted of the following:</w:t>
      </w:r>
    </w:p>
    <w:tbl>
      <w:tblPr>
        <w:tblW w:w="7120" w:type="dxa"/>
        <w:jc w:val="left"/>
        <w:tblInd w:w="0" w:type="dxa"/>
        <w:tblLayout w:type="fixed"/>
        <w:tblCellMar>
          <w:top w:w="28" w:type="dxa"/>
          <w:left w:w="28" w:type="dxa"/>
          <w:bottom w:w="28" w:type="dxa"/>
          <w:right w:w="28" w:type="dxa"/>
        </w:tblCellMar>
      </w:tblPr>
      <w:tblGrid>
        <w:gridCol w:w="3166"/>
        <w:gridCol w:w="146"/>
        <w:gridCol w:w="296"/>
        <w:gridCol w:w="1309"/>
        <w:gridCol w:w="166"/>
        <w:gridCol w:w="146"/>
        <w:gridCol w:w="277"/>
        <w:gridCol w:w="1223"/>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gross -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1,369,537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1,362,480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impairment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(976,254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(287,400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net -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393,283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1,075,080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 acquired during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 impairment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(688,854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net -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216,752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393,283</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855" w:type="dxa"/>
        <w:jc w:val="left"/>
        <w:tblInd w:w="0" w:type="dxa"/>
        <w:tblLayout w:type="fixed"/>
        <w:tblCellMar>
          <w:top w:w="28" w:type="dxa"/>
          <w:left w:w="28" w:type="dxa"/>
          <w:bottom w:w="28" w:type="dxa"/>
          <w:right w:w="28" w:type="dxa"/>
        </w:tblCellMar>
      </w:tblPr>
      <w:tblGrid>
        <w:gridCol w:w="2901"/>
        <w:gridCol w:w="146"/>
        <w:gridCol w:w="281"/>
        <w:gridCol w:w="1324"/>
        <w:gridCol w:w="166"/>
        <w:gridCol w:w="146"/>
        <w:gridCol w:w="277"/>
        <w:gridCol w:w="1223"/>
        <w:gridCol w:w="391"/>
      </w:tblGrid>
      <w:tr>
        <w:trPr/>
        <w:tc>
          <w:tcPr>
            <w:tcW w:w="2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gross -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1,369,537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1,369,537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impairment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(1,152,785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(976,254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net -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393,283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Company also considered its intangible assets with finite useful lives, which are amortized over their estimated useful lives, generally on a straight-line basis. These assets are reviewed for impairment when facts or circumstances indicate that the carrying values may not be recoverable. As described above, the Company experienced a triggering event in the three months ended March 31, 2025 resulting from declines in the Company’s market capitalization driven by sustained decreases in the Company’s stock price. As a result, the Company’s intangible assets were reviewed for impairment. Based on quantitative and qualitative analyses performed, management concluded the assets were recoverable and no impairment charges were recorded as a result of the triggering event.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8. Accrued Expenses and Other Liabilities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Accrued expenses and other liabilities consisted of the following: </w:t>
      </w:r>
    </w:p>
    <w:tbl>
      <w:tblPr>
        <w:tblW w:w="6522" w:type="dxa"/>
        <w:jc w:val="left"/>
        <w:tblInd w:w="0" w:type="dxa"/>
        <w:tblLayout w:type="fixed"/>
        <w:tblCellMar>
          <w:top w:w="28" w:type="dxa"/>
          <w:left w:w="28" w:type="dxa"/>
          <w:bottom w:w="28" w:type="dxa"/>
          <w:right w:w="28" w:type="dxa"/>
        </w:tblCellMar>
      </w:tblPr>
      <w:tblGrid>
        <w:gridCol w:w="3611"/>
        <w:gridCol w:w="246"/>
        <w:gridCol w:w="211"/>
        <w:gridCol w:w="676"/>
        <w:gridCol w:w="246"/>
        <w:gridCol w:w="246"/>
        <w:gridCol w:w="260"/>
        <w:gridCol w:w="835"/>
        <w:gridCol w:w="191"/>
      </w:tblGrid>
      <w:tr>
        <w:trPr/>
        <w:tc>
          <w:tcPr>
            <w:tcW w:w="361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Payroll and payroll-related</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9,039</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Tax receivable agreement, current portion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5,331</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capital data expenditures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1,872</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Contingent consideration, current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Sales, franchise, and other taxes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2,218</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expenses and other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26,963</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40,896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January 3, 2024, the Company committed to a restructuring plan (the “2024 Restructuring Plan”) intended to reduce operating costs, improve operating margins, and continue advancing the Company’s ongoing commitment to profitable growth. The 2024 Restructuring Plan provided for a reduction of the Company’s then-current workforce by approximately 150 people. Accordingly, during the three months ended March 31, 2024, the Company incurred restructuring and related charges of $7.2 million, consisting of severance payments, employee benefits and related cash expenses.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2025, $0.1 million of severance and separation benefits is included in accrued expenses and other liabilities in the unaudited condensed consolidated balance sheets and the Company expects these payments will be made over the next four months. The Company does not expect to incur additional material restructuring and related charges associated with the 2024 Restructuring Plan during the remainder of 2025.</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sets forth the activity in the Company’s liabilities resulting from the 2024 Restructuring Plan:</w:t>
      </w:r>
    </w:p>
    <w:tbl>
      <w:tblPr>
        <w:tblW w:w="4818" w:type="dxa"/>
        <w:jc w:val="left"/>
        <w:tblInd w:w="0" w:type="dxa"/>
        <w:tblLayout w:type="fixed"/>
        <w:tblCellMar>
          <w:top w:w="28" w:type="dxa"/>
          <w:left w:w="28" w:type="dxa"/>
          <w:bottom w:w="28" w:type="dxa"/>
          <w:right w:w="28" w:type="dxa"/>
        </w:tblCellMar>
      </w:tblPr>
      <w:tblGrid>
        <w:gridCol w:w="2696"/>
        <w:gridCol w:w="246"/>
        <w:gridCol w:w="452"/>
        <w:gridCol w:w="1033"/>
        <w:gridCol w:w="391"/>
      </w:tblGrid>
      <w:tr>
        <w:trPr/>
        <w:tc>
          <w:tcPr>
            <w:tcW w:w="269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br/>
              <w:t>Restructuring Plan</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December 31, 2024</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Charges incurred</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payments made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March 31, 2025</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9. Long-Term Debt</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Long-term debt consisted of the following as of March 31, 2025 and December 31, 2024, respectively: </w:t>
      </w:r>
    </w:p>
    <w:tbl>
      <w:tblPr>
        <w:tblW w:w="8191" w:type="dxa"/>
        <w:jc w:val="left"/>
        <w:tblInd w:w="0" w:type="dxa"/>
        <w:tblLayout w:type="fixed"/>
        <w:tblCellMar>
          <w:top w:w="28" w:type="dxa"/>
          <w:left w:w="28" w:type="dxa"/>
          <w:bottom w:w="28" w:type="dxa"/>
          <w:right w:w="28" w:type="dxa"/>
        </w:tblCellMar>
      </w:tblPr>
      <w:tblGrid>
        <w:gridCol w:w="3356"/>
        <w:gridCol w:w="246"/>
        <w:gridCol w:w="211"/>
        <w:gridCol w:w="781"/>
        <w:gridCol w:w="246"/>
        <w:gridCol w:w="246"/>
        <w:gridCol w:w="353"/>
        <w:gridCol w:w="1057"/>
        <w:gridCol w:w="266"/>
        <w:gridCol w:w="246"/>
        <w:gridCol w:w="211"/>
        <w:gridCol w:w="781"/>
        <w:gridCol w:w="191"/>
      </w:tblGrid>
      <w:tr>
        <w:trPr/>
        <w:tc>
          <w:tcPr>
            <w:tcW w:w="335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39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Unamortized debt</w:t>
              <w:br/>
              <w:t>issuance costs /</w:t>
              <w:br/>
              <w:t>financing costs</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debt,</w:t>
              <w:br/>
              <w:t>net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2021 Term Loan</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172,813</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(1,678</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current portion of long-term debt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Long-term debt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162,385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591" w:type="dxa"/>
        <w:jc w:val="left"/>
        <w:tblInd w:w="0" w:type="dxa"/>
        <w:tblLayout w:type="fixed"/>
        <w:tblCellMar>
          <w:top w:w="28" w:type="dxa"/>
          <w:left w:w="28" w:type="dxa"/>
          <w:bottom w:w="28" w:type="dxa"/>
          <w:right w:w="28" w:type="dxa"/>
        </w:tblCellMar>
      </w:tblPr>
      <w:tblGrid>
        <w:gridCol w:w="3256"/>
        <w:gridCol w:w="146"/>
        <w:gridCol w:w="211"/>
        <w:gridCol w:w="781"/>
        <w:gridCol w:w="146"/>
        <w:gridCol w:w="146"/>
        <w:gridCol w:w="429"/>
        <w:gridCol w:w="981"/>
        <w:gridCol w:w="166"/>
        <w:gridCol w:w="146"/>
        <w:gridCol w:w="211"/>
        <w:gridCol w:w="781"/>
        <w:gridCol w:w="191"/>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Unamortized debt</w:t>
              <w:br/>
              <w:t>issuance costs /</w:t>
              <w:br/>
              <w:t>financing costs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debt,</w:t>
              <w:br/>
              <w:t>net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2021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243,118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229,368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2025, the Company repaid $71.3 million in outstanding principal of the Term Facility (as defined below).</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2021 Credit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2021, DH Holdings entered into a credit agreement (the “2021 Credit Agreement”) with Bank of America, N.A., as administrative agent, the other lenders party thereto and the other parties specified therein. On January 16, 2025 (the “Closing Date”), DH Holdings entered into an amendment to the credit agreement (the “DH Holdings Credit Agreement Amendment”), dated as of September 17, 2021 (as amended by Amendment No. 1, dated as of October 31, 2022, and as further amended, supplemented or otherwise modified from time to time prior to the date hereof, the “Existing Credit Agreement,” and as further amended by the DH Holdings Credit Agreement Amendment, the “DH Holdings Credit Agreement”), with Bank of America, N.A., as administrative agent, the lenders party thereto and the other parties specified therein.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DH Holdings Credit Agreement Amendment provides for (i) a $175.0 million term loan facility (the “Term Facility”) and (ii) a $50.0 million revolving credit facility (the “Revolving Credit Facility” and, together with the Term Facility, collectively, the “Facilities”), the proceeds of which were used to, among other things, repay the remaining portion of the indebtedness outstanding under the Existing Credit Agreement, and to pay related fees and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loans under the Term Facility and the Revolving Credit Facility mature on January 16, 2030. The Facilities are guaranteed, subject to customary exceptions, by all of DH Holdings’ wholly-owned domestic restricted subsidiaries and AIDH Buyer, LLC, a Delaware limited liability company and the direct parent company of DH Holdings (“Holdings”), and are secured by associated collateral agreements that pledge a lien on substantially all of DH Holdings’ assets, including fixed assets and intangibles, and the assets of the guarantors, in each case, subject to customary exceptions (the “Pledged Assets”). As of March 31, 2025, the Pledged Assets of these subsidiaries approximated $710.0 million, and the net assets of these subsidiaries approximated $383.1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Facility is subject to amortization of principal, payable in quarterly installments on the last day of each fiscal quarter, commencing on the last day of the first full fiscal quarter after the Closing Date (the “Initial Amortization Date”), equal to 5.0% of the original principal amount of the term loans for each of the five years after the Initial Amortization Date. The remaining initial aggregate advances under the Term Facility are payable at the maturity of the Term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Facility and the Revolving Credit Facility bear interest at a rate per annum equal to (a) ABR (as defined in the DH Holdings Credit Agreement) or (b) Term SOFR (as defined in the DH Holdings Credit Agreement) for the interest period in effect for the applicable borrowing, in each case, plus an applicable margin based on a grid ranging from 1.00% to 1.50% for ABR borrowings and 2.00% to 2.50% for Term SOFR borrowings. The interest rates are subject to two step-ups of 0.25% based on the total net leverage ratio of DH Holdings and its restricted subsidiaries on a consolidated basis (the “Total Net Leverage Ratio”). In addition, DH Holdings will pay an unused commitment fee of between 0.25% and 0.30% on the undrawn commitments under the Revolving Credit Facility, also depending on the Total Net Leverage Ratio. The expense is included in interest expense in the unaudited condensed consolidated statements of operations. There was no outstanding balance on the Revolving Credit Facility at March 31, 2025. However, in lieu of a security deposit, the Company has provided a standby letter of credit of $0.3 million to the lessor of the Company’s corporate headquarters, which reduced the amount available under our revolving credit facility to $49.7 million as of March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DH Holdings Credit Agreement, DH Holdings (and in certain circumstances, Holdings) and its restricted subsidiaries are subject to customary affirmative, negative and financial covenants, and events of default for facilities of this type (with customary grace periods, as applicable, and lender remedies).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DH Holdings Credit Agreement Amendment, the Company repaid $69.1 million of outstanding principal amount of the Term Facility and reduced its borrowing capacity under the Revolver Credit Facility by $25.0 million. As a result, the Company incurred a loss on partial extinguishment of debt of $0.5 million during the quarter ended March 31, 2025 attributed to the derecognition of a proportionate amount of the unamortized debt discount, a result of repaying the $69.1 million of outstanding principal on the Term Facility and reducing our Revolving Credit Facility. In addition, the Company capitalized financing costs totaling $1.7 million, of which $1.2 million related to the Term Facility and $0.5 million related to the Revolving Line of Credit. The financing costs associated with the Term Facility are recorded as a contra-debt balance in term loan, net of current portion in the consolidated balance sheets and are amortized over the remaining life of the loan using the effective interest method. The financing costs associated with the Revolving Line of Credit are recorded in other assets in the unaudited condensed consolidated balance sheets are amortized over the life of the arrangement. At March 31, 2025 and December 31, 2024, the unamortized financing costs were $0.6 million and $0.3 million, respectively.</w:t>
      </w:r>
    </w:p>
    <w:p>
      <w:pPr>
        <w:pStyle w:val="TextBody"/>
        <w:bidi w:val="0"/>
        <w:spacing w:before="120" w:after="283"/>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 Derivative Instruments and Hedging Activities</w:t>
      </w:r>
    </w:p>
    <w:p>
      <w:pPr>
        <w:pStyle w:val="TextBody"/>
        <w:bidi w:val="0"/>
        <w:spacing w:before="240" w:after="283"/>
        <w:jc w:val="both"/>
        <w:rPr>
          <w:rFonts w:ascii="Times New Roman" w:hAnsi="Times New Roman"/>
          <w:sz w:val="20"/>
        </w:rPr>
      </w:pPr>
      <w:r>
        <w:rPr>
          <w:rFonts w:ascii="Times New Roman" w:hAnsi="Times New Roman"/>
          <w:b/>
          <w:i/>
          <w:color w:val="000000"/>
          <w:sz w:val="20"/>
        </w:rPr>
        <w:t>Risk Management Objective of Using Derivatives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is exposed to risks from changes in interest rates related to the 2021 Term Loan (See Note 9. </w:t>
      </w:r>
      <w:r>
        <w:rPr>
          <w:rFonts w:ascii="Times New Roman" w:hAnsi="Times New Roman"/>
          <w:i/>
          <w:color w:val="000000"/>
          <w:sz w:val="20"/>
        </w:rPr>
        <w:t>Long-Term Debt</w:t>
      </w:r>
      <w:r>
        <w:rPr>
          <w:rFonts w:ascii="Times New Roman" w:hAnsi="Times New Roman"/>
          <w:color w:val="000000"/>
          <w:sz w:val="20"/>
        </w:rPr>
        <w:t xml:space="preserve">). The Company uses derivative financial instruments, specifically, interest rate swap and cap contracts, in order to manage its exposure to interest rate movements. Interest rate swaps designated as cash flow hedges involve the receipt of variable amounts from a counterparty in exchange for the Company making fixed-rate payments over the life of the agreements without exchange of the underlying notional amount. Interest rate caps designated as cash flow hedges involve the receipt of variable-rate amounts from a counterparty if interest rates rise above the strike rate on the contract in exchange for an up-front premium. Our primary objective in holding derivatives is to reduce the volatility of cash flows associated with changes in interest rates. The Company does not enter into derivative transactions for speculative or trading purposes.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Cash Flow Hedges of 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entered into two interest rate swap agreements, effective on March 31, 2022. The swap agreements matured on March 31, 2025. The two interest rate swap agreements each had a notional value of $61.9 million with fixed interest rates of 1.90650% and 1.90900%. Interest payments under the swaps were made monthly on a net settlement basis. The Company has not recorded any amounts due to ineffectiveness for the period ended March 31, 2025 or year ended December 31,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first quarter of 2025, the Company entered into two interest rate cap agreements, effective March 31, 2025. The two interest rate cap agreements each have a notional value of $69.1 million with an interest rate cap of 4.50%. Interest payments under the caps are made monthly on a net settlement basis. The Company has not recorded any amounts due to ineffectiveness for the period ended March 31,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derivative interest rate caps are designated and qualify as cash flow hedges. Consequently, the change in the estimated fair value of the effective portion of the derivative is recognized in accumulated other comprehensive income (“AOCI”) on our consolidated balance sheets and reclassified to interest expense, net, when the underlying transaction has an impact on earnings. The Company expects to recognize $0.1 million of net pre-tax losses from accumulated other comprehensive income as a charge to interest expense in the next twelve months associated with its interest rate caps. The Company recognizes derivative instruments and hedging activities on a gross basis as either assets or liabilities on the Company’s consolidated balance sheets and measures them at fair value. Hedge accounting generally provides for the matching of the timing of gain or loss recognition on the hedging instrument with the earnings effect of the hedged forecasted transactions in a cash flow hedge. To receive hedge accounting treatment, all hedging relationships are formally documented at the inception of the hedge, and the hedges must be highly effective in offsetting changes to future cash flows on hedged transactions.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fair values of the interest rate caps as of March 31, 2025 and the fair values of the interest rate swaps as of December 31, 2024 were recorded in our unaudited condensed consolidated balance sheets as follows:</w:t>
      </w:r>
    </w:p>
    <w:tbl>
      <w:tblPr>
        <w:tblW w:w="9237" w:type="dxa"/>
        <w:jc w:val="left"/>
        <w:tblInd w:w="0" w:type="dxa"/>
        <w:tblLayout w:type="fixed"/>
        <w:tblCellMar>
          <w:top w:w="28" w:type="dxa"/>
          <w:left w:w="28" w:type="dxa"/>
          <w:bottom w:w="28" w:type="dxa"/>
          <w:right w:w="28" w:type="dxa"/>
        </w:tblCellMar>
      </w:tblPr>
      <w:tblGrid>
        <w:gridCol w:w="2381"/>
        <w:gridCol w:w="246"/>
        <w:gridCol w:w="2921"/>
        <w:gridCol w:w="246"/>
        <w:gridCol w:w="340"/>
        <w:gridCol w:w="920"/>
        <w:gridCol w:w="246"/>
        <w:gridCol w:w="246"/>
        <w:gridCol w:w="499"/>
        <w:gridCol w:w="1001"/>
        <w:gridCol w:w="191"/>
      </w:tblGrid>
      <w:tr>
        <w:trPr/>
        <w:tc>
          <w:tcPr>
            <w:tcW w:w="23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9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Sheet Location</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 derivative asset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Long-term derivative asset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11. Fair Value Measurements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ASC 820, </w:t>
      </w:r>
      <w:r>
        <w:rPr>
          <w:rFonts w:ascii="Times New Roman" w:hAnsi="Times New Roman"/>
          <w:i/>
          <w:color w:val="000000"/>
          <w:sz w:val="20"/>
        </w:rPr>
        <w:t>Fair Value Measurements and Disclosures</w:t>
      </w:r>
      <w:r>
        <w:rPr>
          <w:rFonts w:ascii="Times New Roman" w:hAnsi="Times New Roman"/>
          <w:color w:val="000000"/>
          <w:sz w:val="20"/>
        </w:rPr>
        <w:t xml:space="preserve"> (“ASC 820”), defines fair value as the price that would be received for an asset, or paid to transfer a liability, in an orderly transaction between market participants on the measurement date, and establishes a three-level fair value hierarchy that prioritizes the inputs used to measure fair value as follows: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Level 1 – Observable inputs (unadjusted) that reflect unadjusted quoted prices in active markets for identical assets or liabilities.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Level 2 – Other inputs that are directly or indirectly observable in the marketplace.</w:t>
      </w:r>
    </w:p>
    <w:p>
      <w:pPr>
        <w:pStyle w:val="TextBody"/>
        <w:bidi w:val="0"/>
        <w:jc w:val="left"/>
        <w:rPr>
          <w:rFonts w:ascii="Times New Roman" w:hAnsi="Times New Roman"/>
          <w:color w:val="000000"/>
          <w:sz w:val="20"/>
        </w:rPr>
      </w:pPr>
      <w:r>
        <w:rPr>
          <w:rFonts w:ascii="Times New Roman" w:hAnsi="Times New Roman"/>
          <w:color w:val="000000"/>
          <w:sz w:val="20"/>
        </w:rPr>
        <w:t xml:space="preserve">Level 3 – Unobservable inputs that are supported by little or no market activity, including the Company’s own assumptions in determining fair value.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financial assets and liabilities subject to the three-level fair value hierarchy consist principally of cash and equivalents, short-term investments, accounts receivable, accounts payable, long-term and short-term debt, derivative financial instruments, and contingent consideration payable. The estimated fair value of cash included in cash and cash equivalents, accounts receivable, and accounts payable approximates their carrying value due to due to their short maturities (less than 12 months).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short- and long-term debt are recorded at their carrying values in the unaudited condensed consolidated balance sheets, which may differ from their respective fair values. The estimated fair values of the Company’s short- and long-term debt approximate their carrying values as of March 31, 2025 and December 31, 2024, based on interest rates currently available to the Company for similar borrowings.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Money market funds (included in cash and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Money market funds are recorded at fair value using quoted market prices in active markets and are classified as Level 1 in the fair value hierarchy.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Short-term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estimates the fair values of investments in U.S. treasuries, agency bond securities, commercial paper, and certificates of deposit using level 2 inputs, taking into consideration valuations obtained from a third-party pricing service.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market yield curves, benchmark securities, prepayment/default projections based on historical data, and other observable inputs.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Derivative financial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Currently, the Company uses interest rate caps and swaps to manage interest rate risk.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comply with the provisions of ASC 820, the Company incorporates credit valuation adjustments to appropriately reflect both its own nonperformance risk and the respective counterparty’s nonperformance risk in the fair value measurements.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The Company has determined that the significance of the impact of the credit valuation adjustments made to its derivative contracts, which determination was based on the fair value of each individual contract, was not significant to the overall valuation. As a result, all of its derivatives held as of March 31, 2025 and December 31, 2024 were classified as Level 2 in the fair value hierarchy.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Contingent consideration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deferred consideration resulting from the acquisition of Populi in the third quarter of 2023, which is subject to meeting certain revenue metrics during calendar years 2024 and 2025, is measured at fair value on a recurring basis. The fair value was estimated based on the present value of the amount expected to be paid at the end of the measurement period. At March 31, 2025, the fair value of the contingent consideration associated with this acquisition was estimated to be $6.3 million, of which $3.0 million was included in accrued expenses and other liabilities and $3.3 million was included in other liabilities on the unaudited condensed consolidated balance sheets. The change in estimate of contingent consideration subsequent to initial measurement as of the acquisition date was recorded in transaction, integration, and restructuring expense in the accompanying unaudited condensed consolidated statements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Contingent consideration resulting from an earnout associated with a previous acquisition was paid during the year ended December 31, 2024.</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Earnout liabilities are classified within Level 3 in the fair value hierarchy because the methodology used to develop the estimated fair value includes significant unobservable inputs reflecting management’s own assumptions. The table below presents a reconciliation of earnout liabilities measured at fair value on a recurring basis using significant unobservable inputs (Level 3):</w:t>
      </w:r>
    </w:p>
    <w:tbl>
      <w:tblPr>
        <w:tblW w:w="10205" w:type="dxa"/>
        <w:jc w:val="left"/>
        <w:tblInd w:w="0" w:type="dxa"/>
        <w:tblLayout w:type="fixed"/>
        <w:tblCellMar>
          <w:top w:w="28" w:type="dxa"/>
          <w:left w:w="28" w:type="dxa"/>
          <w:bottom w:w="28" w:type="dxa"/>
          <w:right w:w="28" w:type="dxa"/>
        </w:tblCellMar>
      </w:tblPr>
      <w:tblGrid>
        <w:gridCol w:w="3964"/>
        <w:gridCol w:w="646"/>
        <w:gridCol w:w="674"/>
        <w:gridCol w:w="1825"/>
        <w:gridCol w:w="266"/>
        <w:gridCol w:w="246"/>
        <w:gridCol w:w="516"/>
        <w:gridCol w:w="1654"/>
        <w:gridCol w:w="414"/>
      </w:tblGrid>
      <w:tr>
        <w:trPr/>
        <w:tc>
          <w:tcPr>
            <w:tcW w:w="396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2024</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beginning of period</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10,352</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Net change in fair value and other adjustments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Payments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end of period</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6,280</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6,970</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Non-recurring fair value measurements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Certain assets and liabilities, including property and equipment, lease right-of-use assets, goodwill, and other intangible assets, are measured at fair value on a non-recurring basis. These assets are remeasured when the derived fair value is below the carrying value on the Company’s unaudited condensed consolidated balance sheet. For these assets, the Company does not periodically adjust carrying value to fair value except in the event of impairment. When impairment has occurred, the Company measures the required charges and adjusts the carrying value as discussed in Note 2. </w:t>
      </w:r>
      <w:r>
        <w:rPr>
          <w:rFonts w:ascii="Times New Roman" w:hAnsi="Times New Roman"/>
          <w:i/>
          <w:color w:val="000000"/>
          <w:sz w:val="20"/>
        </w:rPr>
        <w:t>Summary of Significant Accounting Policies</w:t>
      </w:r>
      <w:r>
        <w:rPr>
          <w:rFonts w:ascii="Times New Roman" w:hAnsi="Times New Roman"/>
          <w:color w:val="000000"/>
          <w:sz w:val="20"/>
        </w:rPr>
        <w:t xml:space="preserve"> of the notes to the consolidated financial statements in the Company’s 2024 Form 10-K.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At March 31, 2025 and December 31, 2024, assets and liabilities measured at fair value on a recurring basis were as follows:</w:t>
      </w:r>
    </w:p>
    <w:tbl>
      <w:tblPr>
        <w:tblW w:w="8927" w:type="dxa"/>
        <w:jc w:val="left"/>
        <w:tblInd w:w="0" w:type="dxa"/>
        <w:tblLayout w:type="fixed"/>
        <w:tblCellMar>
          <w:top w:w="28" w:type="dxa"/>
          <w:left w:w="28" w:type="dxa"/>
          <w:bottom w:w="28" w:type="dxa"/>
          <w:right w:w="28" w:type="dxa"/>
        </w:tblCellMar>
      </w:tblPr>
      <w:tblGrid>
        <w:gridCol w:w="3371"/>
        <w:gridCol w:w="246"/>
        <w:gridCol w:w="211"/>
        <w:gridCol w:w="676"/>
        <w:gridCol w:w="246"/>
        <w:gridCol w:w="246"/>
        <w:gridCol w:w="211"/>
        <w:gridCol w:w="676"/>
        <w:gridCol w:w="246"/>
        <w:gridCol w:w="246"/>
        <w:gridCol w:w="211"/>
        <w:gridCol w:w="676"/>
        <w:gridCol w:w="146"/>
        <w:gridCol w:w="146"/>
        <w:gridCol w:w="211"/>
        <w:gridCol w:w="571"/>
        <w:gridCol w:w="591"/>
      </w:tblGrid>
      <w:tr>
        <w:trPr/>
        <w:tc>
          <w:tcPr>
            <w:tcW w:w="33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Assets: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38,862</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38,862</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 investments: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8,711</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Commercial paper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54,860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Certificates of deposit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31,003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rate cap contracts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rate cap contracts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expenses and other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Contingent consideration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Contingent consideration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9872" w:type="dxa"/>
        <w:jc w:val="left"/>
        <w:tblInd w:w="0" w:type="dxa"/>
        <w:tblLayout w:type="fixed"/>
        <w:tblCellMar>
          <w:top w:w="28" w:type="dxa"/>
          <w:left w:w="28" w:type="dxa"/>
          <w:bottom w:w="28" w:type="dxa"/>
          <w:right w:w="28" w:type="dxa"/>
        </w:tblCellMar>
      </w:tblPr>
      <w:tblGrid>
        <w:gridCol w:w="4106"/>
        <w:gridCol w:w="246"/>
        <w:gridCol w:w="211"/>
        <w:gridCol w:w="781"/>
        <w:gridCol w:w="246"/>
        <w:gridCol w:w="246"/>
        <w:gridCol w:w="211"/>
        <w:gridCol w:w="676"/>
        <w:gridCol w:w="246"/>
        <w:gridCol w:w="246"/>
        <w:gridCol w:w="211"/>
        <w:gridCol w:w="781"/>
        <w:gridCol w:w="146"/>
        <w:gridCol w:w="146"/>
        <w:gridCol w:w="211"/>
        <w:gridCol w:w="571"/>
        <w:gridCol w:w="591"/>
      </w:tblGrid>
      <w:tr>
        <w:trPr/>
        <w:tc>
          <w:tcPr>
            <w:tcW w:w="410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Assets: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63,389</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63,389</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Commercial paper (maturities less than 90 days)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4,997</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 investments: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Commercial paper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127,682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Certificates of deposit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32,618</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rate swap contracts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expenses and other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Contingent consideration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Contingent consideration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March 31, 2025 and December 31, 2024, except for the non-current portion of the contingent consideration noted above, the estimated fair values of all of the Company’s financial assets and liabilities subject to the three-level fair value hierarchy approximated their carrying values due to their short-term maturities (less than 12 months).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 Noncontrolling Interest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Definitive Healthcare Corp. operates and controls all of the business and affairs of Definitive OpCo, and through Definitive OpCo and its subsidiaries, conducts its business. Accordingly, Definitive Healthcare Corp. consolidates the financial results of Definitive OpCo, and reports the noncontrolling interests of its consolidated subsidiaries on its unaudited condensed consolidated financial statements based on the LLC Units held by Continuing Pre-IPO LLC Members other than Definitive Healthcare Corp. Changes in Definitive Healthcare Corp.’s ownership interest in its consolidated subsidiaries are accounted for as equity transactions. As such, future redemptions or direct exchanges of LLC Units by such Continuing Pre-IPO LLC Members will result in a change in ownership and reduce or increase the amount recorded as noncontrolling interests and increase or decrease additional paid-in capital in the Company’s unaudited condensed consolidated balance sheets.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2025, 441,443 LLC Units held by Continuing Pre-IPO LLC Members were exchanged for shares of Class A Common Stock of Definitive Healthcare Corp. pursuant to the terms of the Amended LLC Agreement. In addition, 1,279,156 restricted stock units (“RSUs”) vested and 423,245 shares of Class A Common Stock were withheld to cover withholding tax obligations, resulting in the net issuance of 855,911 shares of Class A Common Stock of Definitive Healthcare Corp. Furthermore, 5,604,751 shares of Class A Common Stock have been repurchased and subsequently retired under stock repurchase programs authorized by the Company’s board of directors. Pursuant to the Definitive OpCo second amended and restated limited liability company agreement entered into in connection with the IPO, LLC Units were issued on a one-for-one basis in connection with the vesting of RSUs and LLC Units were cancelled on a one-for-one basis in connection with the repurchases of shares of the Company’s Class A Common Stock.</w:t>
      </w:r>
    </w:p>
    <w:p>
      <w:pPr>
        <w:pStyle w:val="TextBody"/>
        <w:bidi w:val="0"/>
        <w:spacing w:before="120" w:after="283"/>
        <w:jc w:val="left"/>
        <w:rPr>
          <w:rFonts w:ascii="Times New Roman" w:hAnsi="Times New Roman"/>
          <w:sz w:val="20"/>
        </w:rPr>
      </w:pPr>
      <w:r>
        <w:rPr>
          <w:rFonts w:ascii="Times New Roman" w:hAnsi="Times New Roman"/>
          <w:color w:val="000000"/>
          <w:sz w:val="20"/>
        </w:rPr>
        <w:t>As of March 31, 2025 and December 31, 2024, Definitive Healthcare Corp. held ownership interests in Definitive OpCo of 73.8% and 74.3%, respectively, and noncontrolling interests of 26.2% and 25.7%, respectively</w:t>
      </w:r>
      <w:r>
        <w:rPr>
          <w:rFonts w:ascii="Times New Roman" w:hAnsi="Times New Roman"/>
          <w:color w:val="000000"/>
          <w:sz w:val="24"/>
        </w:rPr>
        <w: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13. Accumulated Other Comprehensive (Deficit) Income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tables summarize the changes in accumulated balances of other comprehensive (deficit) income (“AOCI”) for the three months ended March 31, 2025 and 2024, respectively. </w:t>
      </w:r>
    </w:p>
    <w:tbl>
      <w:tblPr>
        <w:tblW w:w="10205" w:type="dxa"/>
        <w:jc w:val="left"/>
        <w:tblInd w:w="0" w:type="dxa"/>
        <w:tblLayout w:type="fixed"/>
        <w:tblCellMar>
          <w:top w:w="28" w:type="dxa"/>
          <w:left w:w="28" w:type="dxa"/>
          <w:bottom w:w="28" w:type="dxa"/>
          <w:right w:w="28" w:type="dxa"/>
        </w:tblCellMar>
      </w:tblPr>
      <w:tblGrid>
        <w:gridCol w:w="3001"/>
        <w:gridCol w:w="543"/>
        <w:gridCol w:w="1239"/>
        <w:gridCol w:w="166"/>
        <w:gridCol w:w="661"/>
        <w:gridCol w:w="1182"/>
        <w:gridCol w:w="166"/>
        <w:gridCol w:w="616"/>
        <w:gridCol w:w="1409"/>
        <w:gridCol w:w="166"/>
        <w:gridCol w:w="211"/>
        <w:gridCol w:w="631"/>
        <w:gridCol w:w="214"/>
      </w:tblGrid>
      <w:tr>
        <w:trPr/>
        <w:tc>
          <w:tcPr>
            <w:tcW w:w="300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0"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 on Cash Flow Hedges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 (Loss) on 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 Currency Translation 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income before reclassifications</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reclassified from AOCI</w:t>
            </w:r>
          </w:p>
        </w:tc>
        <w:tc>
          <w:tcPr>
            <w:tcW w:w="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5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39"/>
        <w:gridCol w:w="533"/>
        <w:gridCol w:w="1444"/>
        <w:gridCol w:w="166"/>
        <w:gridCol w:w="551"/>
        <w:gridCol w:w="1258"/>
        <w:gridCol w:w="166"/>
        <w:gridCol w:w="603"/>
        <w:gridCol w:w="1382"/>
        <w:gridCol w:w="166"/>
        <w:gridCol w:w="211"/>
        <w:gridCol w:w="571"/>
        <w:gridCol w:w="215"/>
      </w:tblGrid>
      <w:tr>
        <w:trPr/>
        <w:tc>
          <w:tcPr>
            <w:tcW w:w="293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9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1"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2024</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9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 (Loss) on Cash Flow Hedges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 (Loss) on 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 Currency Translation 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 before reclassifications</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reclassified from AOCI</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5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14. Stockholders’ Equity and Equity-Based Compensation</w:t>
      </w:r>
      <w:r>
        <w:rPr>
          <w:rFonts w:ascii="Times New Roman" w:hAnsi="Times New Roman"/>
          <w:color w:val="000000"/>
          <w:sz w:val="20"/>
        </w:rPr>
        <w:t xml:space="preserve"> </w:t>
      </w:r>
    </w:p>
    <w:p>
      <w:pPr>
        <w:pStyle w:val="TextBody"/>
        <w:bidi w:val="0"/>
        <w:spacing w:before="240" w:after="120"/>
        <w:jc w:val="left"/>
        <w:rPr>
          <w:rFonts w:ascii="Times New Roman" w:hAnsi="Times New Roman"/>
          <w:sz w:val="20"/>
        </w:rPr>
      </w:pPr>
      <w:r>
        <w:rPr>
          <w:rFonts w:ascii="Times New Roman" w:hAnsi="Times New Roman"/>
          <w:b/>
          <w:i/>
          <w:color w:val="000000"/>
          <w:sz w:val="20"/>
        </w:rPr>
        <w:t>Stock Repurchase Programs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May 2024, our board of directors authorized a stock repurchase program of up to $20.0 million of our Class A Common Stock, which expired on December 31, 2024 (the “2024 Repurchase Program”). On November 1, 2024, our board of directors announced a new stock repurchase program (the “2025 Repurchase Program” and, together with the 2024 Repurchase Program, the “Repurchase Programs”) of our Class A Common Stock authorizing up to $100.0 million in share repurchases. The 2025 Repurchase Program expires on December 31, 2025 and became effective upon the expiration or completion of the 2024 Repurchase Program. Repurchases may be effected, from time to time, either on the open market (including pre-set trading plans), in privately negotiated transactions, and other transactions in accordance with applicable securities laws.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timing and the amount of any repurchased Class A Common Stock will be determined by the Company’s management based on its evaluation of market conditions and other factors. The repurchase program will be funded using the Company’s working capital. Any repurchased shares of Class A Common Stock will be retired. The repurchase program does not obligate the Company to acquire any particular amount of Class A Common Stock, and the repurchase program may be suspended or discontinued at any time at the Company’s discretion.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During the three months ended March 31, 2025, the Company repurchased 5.6 million shares of Class A Common Stock under the 2025 Repurchase Program for an aggregate purchase price of $21.2 million, including commissions. As of March 31, 2025, the Company has repurchased an aggregate of 10.4 million shares of Class A Common Stock under the Repurchase Programs for an aggregate purchase price of $43.6 million, including commissions.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Equity-Based Compensation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recognizes equity-based compensation expense associated with awards granted under equity incentive plans. Equity-based compensation expense is allocated to all departments based on the recipients of the compensation. A summary of the expense by line item in the unaudited condensed consolidated statements of operations for the three months ended March 31, 2025 and 2024, respectively, is provided in the following table.</w:t>
      </w:r>
    </w:p>
    <w:tbl>
      <w:tblPr>
        <w:tblW w:w="5281" w:type="dxa"/>
        <w:jc w:val="left"/>
        <w:tblInd w:w="0" w:type="dxa"/>
        <w:tblLayout w:type="fixed"/>
        <w:tblCellMar>
          <w:top w:w="28" w:type="dxa"/>
          <w:left w:w="28" w:type="dxa"/>
          <w:bottom w:w="28" w:type="dxa"/>
          <w:right w:w="28" w:type="dxa"/>
        </w:tblCellMar>
      </w:tblPr>
      <w:tblGrid>
        <w:gridCol w:w="2446"/>
        <w:gridCol w:w="246"/>
        <w:gridCol w:w="258"/>
        <w:gridCol w:w="699"/>
        <w:gridCol w:w="178"/>
        <w:gridCol w:w="178"/>
        <w:gridCol w:w="258"/>
        <w:gridCol w:w="827"/>
        <w:gridCol w:w="191"/>
      </w:tblGrid>
      <w:tr>
        <w:trPr/>
        <w:tc>
          <w:tcPr>
            <w:tcW w:w="24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development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4,241</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compensation expense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7,319</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During the three months ended March 31, 2025, the Company accelerated the vesting of 98,922 previously unvested time-based RSUs in connection with the departure of an executive-level employee. The remaining unvested shares held by the award holder were forfeited upon separation, and the modifications resulted in an incremental stock-based compensation charge of approximately $0.3 million during the three months ended March 31, 2025.</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During the three months ended March 31, 2024, the Company accelerated the vesting of 546,384 previously unvested time-based RSUs, along with 60,098 previously unvested LLC Units in connection with the departure of certain executive-level employees. Additionally, during the three months ended March 31, 2024, the Company accelerated the vesting of 49,265 previously unvested performance-based RSUs (“PSUs”). Remaining unvested shares held by the award holders were forfeited upon separation, and the modifications resulted in incremental stock-based compensation charges of approximately $6.7 million during the three months ended March 31, 2024.</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Performance Stock Units with Market Conditions</w:t>
      </w:r>
    </w:p>
    <w:p>
      <w:pPr>
        <w:pStyle w:val="TextBody"/>
        <w:bidi w:val="0"/>
        <w:spacing w:before="120" w:after="120"/>
        <w:jc w:val="left"/>
        <w:rPr>
          <w:rFonts w:ascii="Times New Roman" w:hAnsi="Times New Roman"/>
          <w:sz w:val="20"/>
        </w:rPr>
      </w:pPr>
      <w:r>
        <w:rPr>
          <w:rFonts w:ascii="Times New Roman" w:hAnsi="Times New Roman"/>
          <w:color w:val="000000"/>
          <w:sz w:val="20"/>
        </w:rPr>
        <w:t xml:space="preserve">During the three months ended March 31, 2025, the Company granted PSUs to its Chief Executive Officer with a relative total stockholder return component (“TSR”), pursuant to the Company’s 2021 Equity Incentive Plan (the “2021 Plan”). For fiscal years 2025, 2026, and 2027, these PSUs are earned, if at all, based upon achievement of certain performance goals, which include revenue and adjusted EBITDA margin targets determined by the Company with a relative TSR multiplier up to plus or minus 20%. The final payout of the PSUs, ranging from 0% to 200% of target, could be earned upon achievement of the performance goals, including the relative TSR multiplier. For fiscal year 2025, the revenue and adjusted EBITDA margin targets have been determined, with the fiscal year 2026 and 2027 targets to be determined within 75 days following the end of the previous applicable fiscal year. In accordance with ASC 718, </w:t>
      </w:r>
      <w:r>
        <w:rPr>
          <w:rFonts w:ascii="Times New Roman" w:hAnsi="Times New Roman"/>
          <w:i/>
          <w:color w:val="000000"/>
          <w:sz w:val="20"/>
        </w:rPr>
        <w:t>Compensation - Stock Compensation</w:t>
      </w:r>
      <w:r>
        <w:rPr>
          <w:rFonts w:ascii="Times New Roman" w:hAnsi="Times New Roman"/>
          <w:color w:val="000000"/>
          <w:sz w:val="20"/>
        </w:rPr>
        <w:t xml:space="preserve"> (“ASC 718”), the grant date for these PSUs can only be established when the specific targets for all performance periods are explicitly defined. The last date to establish these targets is March 15, 2027.</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In June 2024, the Company granted PSUs to its Chief Executive Officer with performance criteria related to the Company’s achievement of certain stock price hurdles over a four-year period. These PSUs subject to the performance criteria will become earned and eligible to vest in four vesting tranches over the performance period. As these PSUs vest based on the achievement of market conditions, the grant date fair values were determined using a Monte-Carlo valuation model. The Monte-Carlo valuation model considered a variety of potential future share prices for the Company as well as its peer companies in the selected market index. Expense for these awards is recognized ratably over the requisite service period based on the fair value of the award.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February 2024, the Company granted PSUs to its Executive Chairman with performance criteria related to the relative ranking of the TSR of the Company’s common stock for the cumulative three-year performance period return relative to the TSR of certain peer companies within the Nasdaq Software &amp; Services Index. TSR will be measured based on the 45-trading-day average closing stock price on the first day of the performance period compared to the 45-trading-day average closing stock price on the last day of such period, inclusive of applicable cash dividend payments. These PSUs subject to the performance criteria will cliff vest after three years, subject to the satisfaction of the performance criteria and the executive’s continued employment through the performance period. PSUs may vest in a range between 0% and 200%, based on the satisfaction of performance, and no shares will be issued if the minimum applicable performance metric is not achieved. As these PSUs vest based on the achievement of market conditions, the grant date fair values were determined using a Monte-Carlo valuation model. The Monte-Carlo valuation model considered a variety of potential future share prices for the Company as well as its peer companies in the selected market index. Expense for these awards is recognized ratably over the requisite service period based on the fair value of the award.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recognized approximately $0.7 million and $0.2 million in stock-based compensation expense associated with PSUs with market conditions in the three months ended March 31, 2025 and 2024, respectively.</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15.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2025, management performed an assessment of the recoverability of deferred tax assets. Based on the review of all available evidence, the Company determined that it has not yet attained a sustained level of profitability and the objectively verifiable negative evidence outweighed the positive evidence. Therefore, the Company has recorded a valuation allowance for all years on its net operating loss carryforwards, R&amp;D credit carryforwards, and other net deferred tax assets that remain after all sources of taxable income are exhausted, not supportable by the “naked credit” deferred tax liability sourced income as of March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2025 and December 31, 2024, the Company has recorded net deferred tax liabilities of $13.4 million and $24.5 million,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effective tax rate was 6.6% and 5.8% for the three months ended March 31, 2025 and 2024, respectively. The Company’s effective tax rate differs from the statutory tax rate of 21% due to the valuation allowance recorded, foreign tax rates that differ from the U.S. statutory tax rate, and partnership income that is not taxed.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income of the Company’s subsidiaries is generally subject to corporate-level taxation, and certain of these subsidiaries have a valuation allowance whereas others do not. The effective tax rates for each period generally arise from the tax provisions for Company subsidiaries without valuation allowances, and the impact of any revaluation of deferred taxes arising from changes in the states effective tax rates. Such revaluations are caused by changes in state apportionment factors arising from fluctuations in the mix of sales, property and payroll by state, certain state tax rate changes and certain state tax incentives.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Tax Receivable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Company’s election under Section 754 of the Internal Revenue Code (the “Code”), the Company expects to obtain an increase in its share of the tax basis in the net assets of Definitive OpCo when LLC Interests are redeemed or exchanged by other members. The Company intends to treat any redemptions and exchanges of LLC Interest as direct purchases of LLC Interests for U.S. federal income tax purposes. These increases in tax basis may reduce the amounts that would otherwise be paid in the future to various tax authorities. They may also decrease gains (or increase losses) on future dispositions of certain capital assets to the extent tax basis is allocated to those capital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IPO, the Company entered into a Tax Receivable Agreement (“TRA”) among Definitive Healthcare Corp., Definitive OpCo, and the TRA Parties and has recorded a liability under the TRA of $28.5 million and $63.2 million as of March 31, 2025 and December 31, 2024, respectively. The $34.7 million decrease in the TRA liability during the three months ended March 31, 2025 was primarily driven by a $20.7 million remeasurement of the liability based on future realizability of tax attributes with an offsetting adjustment to statement of operations and $13.8 million of payments to TRA Parties, while concurrently decreasing $0.2 million with an offsetting adjustment to additional paid-in capital for current year exchange transactions and redemptions. Under the TRA, the Company generally will be required to pay to the TRA Parties 85% of the amount of cash savings, if any, in U.S. federal, state, or local tax that the Company actually realizes directly or indirectly (or are deemed to realize in certain circumstances) as a result of (i) certain tax basis adjustments resulting from (a) acquisitions by the Company of LLC Units from pre-IPO holders in connection with the IPO, and (b) subsequent redemptions or exchanges of LLC Units by holders for Class A Common Stock or other consideration, (ii) certain tax attributes acquired by the Company from the Blocker Companies in the Reorganization Transactions, and (iii) certain payments made under the TRA. The Company expects to benefit from the remaining 15% of any tax benefits that it may actually realize. To the extent that the Company is unable to timely make payments under the TRA for any reason, such payments generally will be deferred and will accrue interest until paid.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16.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Basic net loss per share of Class A Common Stock is computed by dividing net income attributable to Definitive Healthcare Corp. by the weighted-average number of shares of Class A Common Stock outstanding during the period, excluding unvested equity awards and subsidiary member units not exchanged. Diluted earnings per share of Class A Common Stock is calculated by dividing net income attributable to Definitive Healthcare Corp., adjusted for the assumed exchange of all potentially dilutive securities by the weighted-average number of shares of Class A Common Stock outstanding.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sets forth reconciliations of the numerators and denominators used to compute basic and diluted net loss per share of Class A Common Stock for the three months ended March 31, 2025 and 2024. </w:t>
      </w:r>
    </w:p>
    <w:tbl>
      <w:tblPr>
        <w:tblW w:w="7128" w:type="dxa"/>
        <w:jc w:val="left"/>
        <w:tblInd w:w="0" w:type="dxa"/>
        <w:tblLayout w:type="fixed"/>
        <w:tblCellMar>
          <w:top w:w="28" w:type="dxa"/>
          <w:left w:w="28" w:type="dxa"/>
          <w:bottom w:w="28" w:type="dxa"/>
          <w:right w:w="28" w:type="dxa"/>
        </w:tblCellMar>
      </w:tblPr>
      <w:tblGrid>
        <w:gridCol w:w="4426"/>
        <w:gridCol w:w="211"/>
        <w:gridCol w:w="841"/>
        <w:gridCol w:w="246"/>
        <w:gridCol w:w="246"/>
        <w:gridCol w:w="211"/>
        <w:gridCol w:w="736"/>
        <w:gridCol w:w="211"/>
      </w:tblGrid>
      <w:tr>
        <w:trPr/>
        <w:tc>
          <w:tcPr>
            <w:tcW w:w="4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Numerator:</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(155,093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Net loss attributable to noncontrolling interests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(47,865</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Definitive Healthcare Corp.</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(107,228</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sets forth the computation of basic and diluted net loss per share of Class A Common Stock for the three months ended March 31, 2025 and 2024 (per share amounts unaudited).</w:t>
      </w:r>
    </w:p>
    <w:tbl>
      <w:tblPr>
        <w:tblW w:w="9803" w:type="dxa"/>
        <w:jc w:val="left"/>
        <w:tblInd w:w="0" w:type="dxa"/>
        <w:tblLayout w:type="fixed"/>
        <w:tblCellMar>
          <w:top w:w="28" w:type="dxa"/>
          <w:left w:w="28" w:type="dxa"/>
          <w:bottom w:w="28" w:type="dxa"/>
          <w:right w:w="28" w:type="dxa"/>
        </w:tblCellMar>
      </w:tblPr>
      <w:tblGrid>
        <w:gridCol w:w="6396"/>
        <w:gridCol w:w="211"/>
        <w:gridCol w:w="1141"/>
        <w:gridCol w:w="166"/>
        <w:gridCol w:w="146"/>
        <w:gridCol w:w="211"/>
        <w:gridCol w:w="1141"/>
        <w:gridCol w:w="391"/>
      </w:tblGrid>
      <w:tr>
        <w:trPr/>
        <w:tc>
          <w:tcPr>
            <w:tcW w:w="63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 except number of shares and per share amounts)</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net loss per share attributable to common stockholders</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Allocation of net loss attributable to Definitive Healthcare Corp.</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number of shares of Class A Common Stock outstanding</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112,782,505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117,433,520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of the Company’s Class B Common Stock do not participate in the earnings or losses of Definitive Healthcare Corp. and are therefore not participating securities. As such, separate presentation of basic and diluted earnings per share of Class B Common Stock under the two-class method has not been presented.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potentially dilutive securities excluded from the computation of diluted net loss per share for the period presented because their effect would have been anti-dilutive:</w:t>
      </w:r>
    </w:p>
    <w:tbl>
      <w:tblPr>
        <w:tblW w:w="7233" w:type="dxa"/>
        <w:jc w:val="left"/>
        <w:tblInd w:w="0" w:type="dxa"/>
        <w:tblLayout w:type="fixed"/>
        <w:tblCellMar>
          <w:top w:w="28" w:type="dxa"/>
          <w:left w:w="28" w:type="dxa"/>
          <w:bottom w:w="28" w:type="dxa"/>
          <w:right w:w="28" w:type="dxa"/>
        </w:tblCellMar>
      </w:tblPr>
      <w:tblGrid>
        <w:gridCol w:w="4186"/>
        <w:gridCol w:w="146"/>
        <w:gridCol w:w="1036"/>
        <w:gridCol w:w="246"/>
        <w:gridCol w:w="246"/>
        <w:gridCol w:w="146"/>
        <w:gridCol w:w="1036"/>
        <w:gridCol w:w="19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OpCo LLC Units (vested and unvested)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38,997,184</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39,664,004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13,435,809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7,523,924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17. Segment Data</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Operating segments are defined as components of an enterprise about which separate financial information is available that is evaluated regularly by the chief operating decision-maker (“CODM”) in deciding how to allocate resources and assess performance. The Company derives substantially all of its revenue from the sale of subscription fees for access to its platform and stand-ready support—a product designed to provide accurate and comprehensive information on healthcare providers and their activities helping its customers optimize everything from product development to go-to-market planning and sales and marketing execution. To assess performance, the Company’s CODM, the Chief Executive Officer, reviews financial information on a consolidated basis. Therefore, the Company determined it has one operating segment and one reportable segment. The accounting policies of the Company’s operating segment are the same as those described in Note 2. </w:t>
      </w:r>
      <w:r>
        <w:rPr>
          <w:rFonts w:ascii="Times New Roman" w:hAnsi="Times New Roman"/>
          <w:i/>
          <w:color w:val="000000"/>
          <w:sz w:val="20"/>
        </w:rPr>
        <w:t>Summary of Significant Accounting Policies</w:t>
      </w:r>
      <w:r>
        <w:rPr>
          <w:rFonts w:ascii="Times New Roman" w:hAnsi="Times New Roman"/>
          <w:color w:val="000000"/>
          <w:sz w:val="20"/>
        </w:rPr>
        <w:t xml:space="preserve"> in the notes to the consolidated financial statements in the 2024 Form 10-K filed with the SEC on February 27, 2025. The CODM uses consolidated net loss to set budgets, evaluate margins, review actual results, and to make decisions whether to reinvest profits into the business, pursue acquisitions and partnerships, repurchase shares, and/or engage in other capital management transactions.</w:t>
      </w:r>
    </w:p>
    <w:p>
      <w:pPr>
        <w:pStyle w:val="TextBody"/>
        <w:bidi w:val="0"/>
        <w:spacing w:before="120" w:after="283"/>
        <w:jc w:val="left"/>
        <w:rPr/>
      </w:pPr>
      <w:r>
        <w:rPr/>
        <w:t> </w:t>
      </w:r>
    </w:p>
    <w:tbl>
      <w:tblPr>
        <w:tblW w:w="5261" w:type="dxa"/>
        <w:jc w:val="left"/>
        <w:tblInd w:w="0" w:type="dxa"/>
        <w:tblLayout w:type="fixed"/>
        <w:tblCellMar>
          <w:top w:w="28" w:type="dxa"/>
          <w:left w:w="28" w:type="dxa"/>
          <w:bottom w:w="28" w:type="dxa"/>
          <w:right w:w="28" w:type="dxa"/>
        </w:tblCellMar>
      </w:tblPr>
      <w:tblGrid>
        <w:gridCol w:w="2326"/>
        <w:gridCol w:w="146"/>
        <w:gridCol w:w="219"/>
        <w:gridCol w:w="873"/>
        <w:gridCol w:w="172"/>
        <w:gridCol w:w="151"/>
        <w:gridCol w:w="219"/>
        <w:gridCol w:w="764"/>
        <w:gridCol w:w="39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59,191</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63,480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20,653</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12,269</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segment items, net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167,516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15,105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from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10,886</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(155,093</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jc w:val="both"/>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sans-serif" w:hAnsi="sans-serif"/>
          <w:sz w:val="22"/>
        </w:rPr>
      </w:pPr>
      <w:r>
        <w:rPr>
          <w:rFonts w:ascii="Times New Roman" w:hAnsi="Times New Roman"/>
          <w:color w:val="000000"/>
          <w:sz w:val="20"/>
        </w:rPr>
        <w:t>For the three months ended March 31, 2025, other segment items, net includes a goodwill impairment charge of $176.5</w:t>
      </w:r>
      <w:r>
        <w:rPr>
          <w:rFonts w:ascii="sans-serif" w:hAnsi="sans-serif"/>
          <w:color w:val="000000"/>
          <w:sz w:val="22"/>
        </w:rPr>
        <w:t xml:space="preserve"> </w:t>
      </w:r>
      <w:r>
        <w:rPr>
          <w:rFonts w:ascii="Times New Roman" w:hAnsi="Times New Roman"/>
          <w:color w:val="000000"/>
          <w:sz w:val="20"/>
        </w:rPr>
        <w:t>million, a tax receivable agreement remeasurement gain of $20.7</w:t>
      </w:r>
      <w:r>
        <w:rPr>
          <w:rFonts w:ascii="sans-serif" w:hAnsi="sans-serif"/>
          <w:color w:val="000000"/>
          <w:sz w:val="22"/>
        </w:rPr>
        <w:t xml:space="preserve"> </w:t>
      </w:r>
      <w:r>
        <w:rPr>
          <w:rFonts w:ascii="Times New Roman" w:hAnsi="Times New Roman"/>
          <w:color w:val="000000"/>
          <w:sz w:val="20"/>
        </w:rPr>
        <w:t>million, depreciation and amortization expense of $8.5</w:t>
      </w:r>
      <w:r>
        <w:rPr>
          <w:rFonts w:ascii="sans-serif" w:hAnsi="sans-serif"/>
          <w:color w:val="000000"/>
          <w:sz w:val="22"/>
        </w:rPr>
        <w:t xml:space="preserve"> </w:t>
      </w:r>
      <w:r>
        <w:rPr>
          <w:rFonts w:ascii="Times New Roman" w:hAnsi="Times New Roman"/>
          <w:color w:val="000000"/>
          <w:sz w:val="20"/>
        </w:rPr>
        <w:t>million, interest expense of $2.4</w:t>
      </w:r>
      <w:r>
        <w:rPr>
          <w:rFonts w:ascii="sans-serif" w:hAnsi="sans-serif"/>
          <w:color w:val="000000"/>
          <w:sz w:val="22"/>
        </w:rPr>
        <w:t xml:space="preserve"> </w:t>
      </w:r>
      <w:r>
        <w:rPr>
          <w:rFonts w:ascii="Times New Roman" w:hAnsi="Times New Roman"/>
          <w:color w:val="000000"/>
          <w:sz w:val="20"/>
        </w:rPr>
        <w:t>million, interest income of $2.1</w:t>
      </w:r>
      <w:r>
        <w:rPr>
          <w:rFonts w:ascii="sans-serif" w:hAnsi="sans-serif"/>
          <w:color w:val="000000"/>
          <w:sz w:val="22"/>
        </w:rPr>
        <w:t xml:space="preserve"> </w:t>
      </w:r>
      <w:r>
        <w:rPr>
          <w:rFonts w:ascii="Times New Roman" w:hAnsi="Times New Roman"/>
          <w:color w:val="000000"/>
          <w:sz w:val="20"/>
        </w:rPr>
        <w:t>million, transaction integration, and restructuring expenses of $1.3</w:t>
      </w:r>
      <w:r>
        <w:rPr>
          <w:rFonts w:ascii="sans-serif" w:hAnsi="sans-serif"/>
          <w:color w:val="000000"/>
          <w:sz w:val="22"/>
        </w:rPr>
        <w:t xml:space="preserve"> </w:t>
      </w:r>
      <w:r>
        <w:rPr>
          <w:rFonts w:ascii="Times New Roman" w:hAnsi="Times New Roman"/>
          <w:color w:val="000000"/>
          <w:sz w:val="20"/>
        </w:rPr>
        <w:t>million, net foreign currency transaction losses of $1.0</w:t>
      </w:r>
      <w:r>
        <w:rPr>
          <w:rFonts w:ascii="sans-serif" w:hAnsi="sans-serif"/>
          <w:color w:val="000000"/>
          <w:sz w:val="22"/>
        </w:rPr>
        <w:t xml:space="preserve"> </w:t>
      </w:r>
      <w:r>
        <w:rPr>
          <w:rFonts w:ascii="Times New Roman" w:hAnsi="Times New Roman"/>
          <w:color w:val="000000"/>
          <w:sz w:val="20"/>
        </w:rPr>
        <w:t>million, and a loss on the partial extinguishment of debt of $0.5</w:t>
      </w:r>
      <w:r>
        <w:rPr>
          <w:rFonts w:ascii="sans-serif" w:hAnsi="sans-serif"/>
          <w:color w:val="000000"/>
          <w:sz w:val="22"/>
        </w:rPr>
        <w:t xml:space="preserve"> </w:t>
      </w:r>
      <w:r>
        <w:rPr>
          <w:rFonts w:ascii="Times New Roman" w:hAnsi="Times New Roman"/>
          <w:color w:val="000000"/>
          <w:sz w:val="20"/>
        </w:rPr>
        <w:t>million. For the three months ended March 31, 2024, other segment items, net includes depreciation and amortization expense of $9.3, transaction integration, and restructuring expenses of $8.5</w:t>
      </w:r>
      <w:r>
        <w:rPr>
          <w:rFonts w:ascii="sans-serif" w:hAnsi="sans-serif"/>
          <w:color w:val="000000"/>
          <w:sz w:val="22"/>
        </w:rPr>
        <w:t xml:space="preserve"> </w:t>
      </w:r>
      <w:r>
        <w:rPr>
          <w:rFonts w:ascii="Times New Roman" w:hAnsi="Times New Roman"/>
          <w:color w:val="000000"/>
          <w:sz w:val="20"/>
        </w:rPr>
        <w:t>million, interest income of $3.9</w:t>
      </w:r>
      <w:r>
        <w:rPr>
          <w:rFonts w:ascii="sans-serif" w:hAnsi="sans-serif"/>
          <w:color w:val="000000"/>
          <w:sz w:val="22"/>
        </w:rPr>
        <w:t xml:space="preserve"> </w:t>
      </w:r>
      <w:r>
        <w:rPr>
          <w:rFonts w:ascii="Times New Roman" w:hAnsi="Times New Roman"/>
          <w:color w:val="000000"/>
          <w:sz w:val="20"/>
        </w:rPr>
        <w:t>million, interest expense of $3.8</w:t>
      </w:r>
      <w:r>
        <w:rPr>
          <w:rFonts w:ascii="sans-serif" w:hAnsi="sans-serif"/>
          <w:color w:val="000000"/>
          <w:sz w:val="22"/>
        </w:rPr>
        <w:t xml:space="preserve"> </w:t>
      </w:r>
      <w:r>
        <w:rPr>
          <w:rFonts w:ascii="Times New Roman" w:hAnsi="Times New Roman"/>
          <w:color w:val="000000"/>
          <w:sz w:val="20"/>
        </w:rPr>
        <w:t>million, a tax receivable agreement remeasurement gain of $2.3</w:t>
      </w:r>
      <w:r>
        <w:rPr>
          <w:rFonts w:ascii="sans-serif" w:hAnsi="sans-serif"/>
          <w:color w:val="000000"/>
          <w:sz w:val="22"/>
        </w:rPr>
        <w:t xml:space="preserve"> </w:t>
      </w:r>
      <w:r>
        <w:rPr>
          <w:rFonts w:ascii="Times New Roman" w:hAnsi="Times New Roman"/>
          <w:color w:val="000000"/>
          <w:sz w:val="20"/>
        </w:rPr>
        <w:t>million, and net foreign currency transaction gains of $0.4</w:t>
      </w:r>
      <w:r>
        <w:rPr>
          <w:rFonts w:ascii="sans-serif" w:hAnsi="sans-serif"/>
          <w:color w:val="000000"/>
          <w:sz w:val="22"/>
        </w:rPr>
        <w:t xml:space="preserve"> </w:t>
      </w:r>
      <w:r>
        <w:rPr>
          <w:rFonts w:ascii="Times New Roman" w:hAnsi="Times New Roman"/>
          <w:color w:val="000000"/>
          <w:sz w:val="20"/>
        </w:rPr>
        <w:t>million.</w:t>
      </w:r>
    </w:p>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18. Related Parties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color w:val="231F20"/>
          <w:sz w:val="20"/>
        </w:rPr>
        <w:t>The Company has engaged in revenue transactions within the ordinary course of business with entities affiliated with its Sponsors and with members of the Company’s board of directors. During the three months ended March 31, 2025 and 2024, the Company recorded revenue from related parties of $0.2</w:t>
      </w:r>
      <w:r>
        <w:rPr>
          <w:rFonts w:ascii="Times New Roman" w:hAnsi="Times New Roman"/>
          <w:color w:val="000000"/>
          <w:sz w:val="20"/>
        </w:rPr>
        <w:t xml:space="preserve"> million and</w:t>
      </w:r>
      <w:r>
        <w:rPr>
          <w:rFonts w:ascii="Times New Roman" w:hAnsi="Times New Roman"/>
          <w:color w:val="231F20"/>
          <w:sz w:val="20"/>
        </w:rPr>
        <w:t xml:space="preserve"> $0.4 million, respectively. Receivables for related party revenue transactions amounted to less than $0.1 million and $0.2 million at March 31, 2025 and December 31, 2024, respectively.</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During the three months ended March 31, 2025, the Company also paid $0.3 million to related parties for transactions within the ordinary course of business. There were no such payables during the three months ended March 31, 2024.</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1" w:name="item_2_managements_discussion"/>
      <w:bookmarkEnd w:id="11"/>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The following discussion and analysis of our financial condition and results of operations should be read in conjunction with our unaudited Condensed Consolidated Financial Statements and related notes included elsewhere in this Quarterly Report and with our audited Consolidated Financial Statements, “Risk Factors,” and “Management’s Discussion and Analysis of Financial Condition and Results of Operations” included in our 2024 Form 10-K.</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As discussed in “Cautionary Note Regarding Forward-Looking Statements,” the following discussion and analysis contains forward-looking statements that involve risks and uncertainties. Our actual results may materially differ from those discussed in such forward-looking statements. Factors that could cause or contribute to these differences include, but are not limited to, those identified below and those discussed in “Risk Factors” under Part II, Item 1A in this Quarterly Report and in Part I, Item 1A of our 2024 Form 10-K.</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Definitive Healthcare is a leading provider of healthcare commercial intelligence. Our solutions are designed to provide accurate and comprehensive information on healthcare providers and their activities to help our customers optimize everything from product development to go-to-market planning and sales and marketing execution. Delivered through our software as a service (“SaaS”) platform, our intelligence has become important to the commercial success of our approximately 2,475 customers as of March 31, 2025. We generally define a customer as a company that maintains one or more active paid subscriptions to our platform.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sell into three end markets: Life Sciences, Provider, and Diversified. Life Sciences is made up of biopharmaceutical and medical device companies; Providers are the healthcare providers; and Diversified includes healthcare information technology companies and other organizations seeking commercial success in the attractive but complex healthcare ecosystem, such as staffing firms, commercial real estate firms, and financial institutions. Within these organizations, our platform is leveraged by a broad set of functional groups, including sales, marketing, clinical research and product development, strategy, talent acquisition, and physician network management. We offer access to our platform on a subscription basis, and we generate substantially all of our revenue from subscription fees.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were founded in 2011 by our Executive Chairman, Jason Krantz. Mr. Krantz founded the company to provide healthcare commercial intelligence that enables companies that compete within or sell into the healthcare ecosystem to make better, informed decisions and be more successful. Over time, we have expanded our platform with new intelligence modules, innovative analytics, workflow capabilities, and additional data 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any company selling or competing within the healthcare ecosystem is a potential customer for us and contributes to our estimated current total addressable market of over $10 billion. In total, we have identified more than 100,000 potential customers that we believe could benefit from our platform.</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 Developments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Acquisitions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January 16, 2024, we completed the purchase of assets comprising the Carevoyance business line of H1 Insights, Inc., a product that helps medical technology (“MedTech”) customers improve segmentation, targeting, and prospect engagement for $13.7 million, subject to closing adjustments. Refer to Note 2. </w:t>
      </w:r>
      <w:r>
        <w:rPr>
          <w:rFonts w:ascii="Times New Roman" w:hAnsi="Times New Roman"/>
          <w:i/>
          <w:color w:val="000000"/>
          <w:sz w:val="20"/>
        </w:rPr>
        <w:t>Acquisitions</w:t>
      </w:r>
      <w:r>
        <w:rPr>
          <w:rFonts w:ascii="Times New Roman" w:hAnsi="Times New Roman"/>
          <w:color w:val="000000"/>
          <w:sz w:val="20"/>
        </w:rPr>
        <w:t xml:space="preserve"> in the accompanying unaudited condensed consolidated financial statements for further information.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Goodwill Impairment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first quarter of 2025, we experienced declines in our market capitalization as a result of sustained decreases in our stock price, which represented a triggering event requiring our management to perform a quantitative goodwill impairment test as of the end of the reporting period. As a result of the impairment test, we determined that the fair value of our single reporting unit was lower than its carrying value and, accordingly, recorded a non-cash, pre-tax, goodwill impairment charge of $176.5 million during the three months ended March 31, 2025. The goodwill impairment charge did not affect our liquidity or the financial covenants in our outstanding debt agreement.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will continue to monitor for potential impairment indicators and potential impairments. See Note 7. </w:t>
      </w:r>
      <w:r>
        <w:rPr>
          <w:rFonts w:ascii="Times New Roman" w:hAnsi="Times New Roman"/>
          <w:i/>
          <w:color w:val="000000"/>
          <w:sz w:val="20"/>
        </w:rPr>
        <w:t xml:space="preserve">Goodwill and Intangible Assets </w:t>
      </w:r>
      <w:r>
        <w:rPr>
          <w:rFonts w:ascii="Times New Roman" w:hAnsi="Times New Roman"/>
          <w:color w:val="000000"/>
          <w:sz w:val="20"/>
        </w:rPr>
        <w:t>to the accompanying unaudited condensed consolidated financial statements. Our reporting unit is at risk for future goodwill impairments if we experience a continued decline in our market capitalization or worsening macroeconomic conditions.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Restructuring Charges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first quarter of 2024, we committed to a restructuring plan intended to reduce operating costs, improve operating margins, and continue advancing our ongoing commitment to profitable growth (the “2024 Restructuring Plan”). The 2024 Restructuring Plan provided for a reduction of the Company’s current workforce by approximately 150 people. During the three months ended March 31, 2024, we incurred restructuring and related charges of $7.2 million, consisting primarily of severance payments, employee benefits, and related cash expenses. These charges were recognized within transaction, integration, and restructuring expenses in our unaudited condensed consolidated statements of operations. As of March 31, 2025, $0.1 million of severance and separation benefits is included in accrued expenses and other liabilities in the unaudited condensed consolidated balance sheets, and we expect these payments will be made over the next seven months.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2024, we recorded impairment charges of $1.2 million related to the consolidation of certain leased office space at our corporate headquarters. These charges comprised $0.9 million relating to the operating lease right-of-use assets and $0.3 million relating to the leasehold improvements. During the three months ended March 31, 2025, we incurred an additional $0.2 million in impairment charges related to the operating lease right-of-use assets. These charges were recognized within transaction, integration, and restructuring expenses in our unaudited condensed consolidated statements of operations for each respective period.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Sales Execution Challenges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the 2024 Restructuring Plan, we made significant changes to our go-to-market team that reduced overlay expenses, created a separate group and sales motion for our small and medium sized customers, and allocated more resources to our Enterprise Customers. These changes created disruptions to our sales efforts in 2024, impacting both new customer acquisition and upsell to existing customers. These factors, in addition to the lower than historical renewal rates we observed through the second half of 2024 and the first quarter of 2025, have impacted, and we expect will continue to impact, our results in 2025.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Executive Transitions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experienced significant executive transitions in 2024. In November 2024, the Company announced that, following discussions regarding the scope of the role of Chief Financial Officer, Richard Booth, the Company’s Chief Financial Officer, and the Company agreed that Mr. Booth will be leaving the Company effective June 1, 2025. After a thorough search process, our board of directors appointed Casey Heller, our current Senior Vice President of Finance, to the role of Chief Financial Officer effective June 2, 2025.</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Macroeconomic Conditions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current and prospective customers and their business spendings are impacted by difficult macroeconomic conditions to varying degrees and as a result, in some cases we are observing deal cycles lengthen for new and existing customers, in part as a result of more stringent approval processes, as well as a significant number of deferred purchasing decisions. We are also experiencing heightened customer churn. These trends have been particularly pronounced for smaller customers and in the Life Sciences market. This churn has impacted our revenue growth since 2023, and we expect this will continue to have an impact on our growth in fiscal year 2025.</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As a corporation with a global footprint, we are subject to risks and exposures caused by significant events and their macroeconomic impacts, including, but not limited to, fluctuating inflation and high interest rates, volatility in the capital markets, international trade policies, including tariffs, sanctions, and trade barriers, and related market uncertainty, the conflicts in Ukraine and the Middle East, and global geopolitical tensions. We continuously monitor the direct and indirect impacts, and the potential for future impacts, of these circumstances on our business and financial results, as well as the overall global economy and geopolitical landscape. While our revenue and earnings have historically been relatively predictable as a result of our subscription-based business model, the potential implications of these macroeconomic events on our business, results of operations and overall financial position, particularly in the long term, introduce additional uncertainty.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have been observing changes in the healthcare claims data market as a result of data source disruption in calendar year 2024, including how data providers are reviewing pricing, data availability, and use terms, all of which may negatively impact the prices at which we acquire such data. We are continuing to evaluate these and other past and potential future direct and indirect impacts on our business and results of operations.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Key Factors Affecting Our Performance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the growth and future success of our business depend on many factors, including the following: </w:t>
      </w:r>
    </w:p>
    <w:p>
      <w:pPr>
        <w:pStyle w:val="TextBody"/>
        <w:bidi w:val="0"/>
        <w:spacing w:before="240" w:after="283"/>
        <w:jc w:val="left"/>
        <w:rPr>
          <w:rFonts w:ascii="Times New Roman" w:hAnsi="Times New Roman"/>
          <w:sz w:val="20"/>
        </w:rPr>
      </w:pPr>
      <w:r>
        <w:rPr>
          <w:rFonts w:ascii="Times New Roman" w:hAnsi="Times New Roman"/>
          <w:b/>
          <w:i/>
          <w:color w:val="000000"/>
          <w:sz w:val="20"/>
        </w:rPr>
        <w:t>Acquiring New Customers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plan to organically grow the number of customers that use our platform by increasing demand for our platform and penetrating our addressable market. Our results of operations and growth prospects will depend, in part, on our ability to attract new customers. We intend to drive new customer acquisition with our efficient go-to-market engine by continuing to invest in our sales and marketing efforts and developing new use cases for our platform. Customers generating more than $100,000 in Annual Recurring Revenue (“ARR”), which we refer to as “Enterprise Customers,” represent the majority of our ARR and are a key focus of our go-to-market programs.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second quarter of 2024, we completed a project to refresh our customer hierarchy methodology to reflect industry consolidation and to better reflect our go-to-market strategy as we increased resources and focus on Enterprise Customers. In some cases, this consolidated certain existing customer legal entities under larger parent accounts, and therefore reduced total customer count. As a result, our customer counts are not directly comparable to previously reported values and prior year customer counts have been revised to also reflect the updated customer hierarchy methodology. We believe this view of customer count better reflects our updated selling and go-to-market strategy. Using the updated methodology, our total customer count, which includes smaller customers, was approximately 2,475 as of March 31, 2025 compared with approximately 2,700 customers as of March 31, 2024. Our smaller customers have churned at disproportionately higher rates, primarily due to current macroeconomic conditions.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table below presents the customer counts under the former and updated methodologies for the periods ended:</w:t>
      </w:r>
    </w:p>
    <w:tbl>
      <w:tblPr>
        <w:tblW w:w="6600" w:type="dxa"/>
        <w:jc w:val="left"/>
        <w:tblInd w:w="0" w:type="dxa"/>
        <w:tblLayout w:type="fixed"/>
        <w:tblCellMar>
          <w:top w:w="28" w:type="dxa"/>
          <w:left w:w="28" w:type="dxa"/>
          <w:bottom w:w="28" w:type="dxa"/>
          <w:right w:w="28" w:type="dxa"/>
        </w:tblCellMar>
      </w:tblPr>
      <w:tblGrid>
        <w:gridCol w:w="721"/>
        <w:gridCol w:w="856"/>
        <w:gridCol w:w="146"/>
        <w:gridCol w:w="201"/>
        <w:gridCol w:w="519"/>
        <w:gridCol w:w="146"/>
        <w:gridCol w:w="146"/>
        <w:gridCol w:w="318"/>
        <w:gridCol w:w="822"/>
        <w:gridCol w:w="146"/>
        <w:gridCol w:w="146"/>
        <w:gridCol w:w="306"/>
        <w:gridCol w:w="789"/>
        <w:gridCol w:w="146"/>
        <w:gridCol w:w="146"/>
        <w:gridCol w:w="238"/>
        <w:gridCol w:w="617"/>
        <w:gridCol w:w="191"/>
      </w:tblGrid>
      <w:tr>
        <w:trPr/>
        <w:tc>
          <w:tcPr>
            <w:tcW w:w="72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8"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Customers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Prior</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Updated</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8"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Enterprise Customers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Prior</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Updated</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identified more than 100,000 potential customers across the healthcare ecosystem that we believe could benefit from our platform. Our ability to attract and acquire new customers is dependent on the strength of our platform and effectiveness of our go-to-market strategy, as well as macroeconomic factors and their impact on our potential customers’ business spending.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Expanding Relationships with Existing Customers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there is a significant opportunity to generate additional revenue from our existing customer base of approximately 2,475 customers as of March 31,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customers have historically increased their spending by adding functionality and by expanding use-cases across departments. Our customers are typically assigned to one of our vertically focused teams, which is responsible for driving usage and increasing adoption of the platform, identifying expansion opportunities, and driving customer renewals. Real-time input from these customer centric teams feeds directly into our product innovation teams, enhancing the development of new capabilities. We believe this feedback loop and our ability to innovate creates significant opportunities for continual existing customer expansion. Our ability to generate additional revenue from existing customers is also subject to such existing customers’ business spending trends and the impact of macroeconomic conditions thereon.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progress in expanding usage of our platform with our existing customers is demonstrated by our NDR, which is further described below. </w:t>
      </w:r>
    </w:p>
    <w:p>
      <w:pPr>
        <w:pStyle w:val="TextBody"/>
        <w:bidi w:val="0"/>
        <w:spacing w:before="240" w:after="283"/>
        <w:jc w:val="left"/>
        <w:rPr>
          <w:rFonts w:ascii="Times New Roman" w:hAnsi="Times New Roman"/>
          <w:sz w:val="20"/>
        </w:rPr>
      </w:pPr>
      <w:r>
        <w:rPr>
          <w:rFonts w:ascii="Times New Roman" w:hAnsi="Times New Roman"/>
          <w:b/>
          <w:i/>
          <w:color w:val="000000"/>
          <w:sz w:val="20"/>
        </w:rPr>
        <w:t>Continuing to Innovate and Expand Our Platform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growth of our business is driven in part by our ability to apply our deep healthcare domain expertise to innovate and expand our platform. We have continually created new products since our founding in 2011. We plan to continue to invest significantly into our engineering and research and development efforts to enhance our capabilities and functionality and facilitate the expansion of our platform to new use cases and customers. In addition, we work to continuously release updates and new features. While we are primarily focused on organic investments to drive innovation, we will also evaluate strategic acquisitions and investments that further expand our platform.</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Key Metrics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monitor the following key metrics to help us evaluate our business performance, identify financial trends, formulate business plans, and make strategic operational decisions.</w:t>
      </w:r>
    </w:p>
    <w:p>
      <w:pPr>
        <w:pStyle w:val="TextBody"/>
        <w:bidi w:val="0"/>
        <w:spacing w:before="240" w:after="283"/>
        <w:jc w:val="left"/>
        <w:rPr>
          <w:rFonts w:ascii="Times New Roman" w:hAnsi="Times New Roman"/>
          <w:sz w:val="20"/>
        </w:rPr>
      </w:pPr>
      <w:r>
        <w:rPr>
          <w:rFonts w:ascii="Times New Roman" w:hAnsi="Times New Roman"/>
          <w:b/>
          <w:i/>
          <w:color w:val="000000"/>
          <w:sz w:val="20"/>
        </w:rPr>
        <w:t>Net Dollar Retention Rate (“NDR”)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the growth in use of our platform by our existing customers is an important measure of the health of our business and our future growth prospects. We evaluate and report on our NDR on an annual basis to measure this growth. We define NDR as the percentage of ARR retained from existing customers across a defined period, after accounting for upsell, down-sell, pricing changes, and churn. We calculate NDR as beginning ARR for a period, plus (i) expansion ARR (including, but not limited to, upsell and pricing increases), less (ii) churn (including, but not limited to, non-renewals and contractions), divided by (iii) beginning ARR for the same period.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Current Remaining Performance Obligations (“cRPO”)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monitor current remaining performance obligations as a metric to help us evaluate the health of our business and identify trends affecting our growth. cRPO represents the amount of contracted future revenue that has not yet been recognized, including both deferred revenue and non-cancelable contracted amounts that will be invoiced and recognized as revenue within the next twelve months. cRPO is not necessarily indicative of future revenue growth. In addition to total contract volume, cRPO is influenced by several factors, including seasonality, disparate contract terms, and the timing of renewals, because renewals tend to be most frequent in the fourth quarter. The value of contracts that included cancellation terms began to increase significantly during the third quarter of 2023 compared with prior periods as most of these contracts were inherited from the Populi acquisition. This precludes several millions of dollars of business from being included in the cRPO metric and puts further downward pressure on the cRPO growth rate. Due to these factors, it is important to review cRPO in conjunction with revenue and other financial metrics.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cRPO will continue to be impacted by macroeconomic challenges, which have resulted in elongating deal cycles as customers implement more stringent approval processes or push out final decisions to later periods. We expect this trend, along with the continued pressures on our renewals and other factors, will result in a negative revenue growth rate for 2025 relative to 2024.</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presents our current and total remaining performance obligations as of March 31, 2025 and December 31, 2024: </w:t>
      </w:r>
    </w:p>
    <w:tbl>
      <w:tblPr>
        <w:tblW w:w="5042" w:type="dxa"/>
        <w:jc w:val="left"/>
        <w:tblInd w:w="0" w:type="dxa"/>
        <w:tblLayout w:type="fixed"/>
        <w:tblCellMar>
          <w:top w:w="28" w:type="dxa"/>
          <w:left w:w="28" w:type="dxa"/>
          <w:bottom w:w="28" w:type="dxa"/>
          <w:right w:w="28" w:type="dxa"/>
        </w:tblCellMar>
      </w:tblPr>
      <w:tblGrid>
        <w:gridCol w:w="1226"/>
        <w:gridCol w:w="646"/>
        <w:gridCol w:w="211"/>
        <w:gridCol w:w="781"/>
        <w:gridCol w:w="246"/>
        <w:gridCol w:w="246"/>
        <w:gridCol w:w="233"/>
        <w:gridCol w:w="862"/>
        <w:gridCol w:w="591"/>
      </w:tblGrid>
      <w:tr>
        <w:trPr/>
        <w:tc>
          <w:tcPr>
            <w:tcW w:w="1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2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181,772</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188,050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Non-current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99,802</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105,673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22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281,574</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293,723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color w:val="000000"/>
          <w:sz w:val="20"/>
        </w:rPr>
        <w:t>Impact of Acquisitions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seek to enhance our platform, data and business through internal development and through acquisitions of and investments in businesses that broaden and strengthen our platform. During 2024, we completed the purchase of assets comprising the Carevoyance business line of H1 Insights, Inc., a product that helps MedTech customers to improve segmentation, targeting, and prospect engagement. Acquisitions can result in transaction costs, amortization expenses and other adjustments as purchase accounting requires that all assets acquired and liabilities assumed be recorded at fair value on the acquisition date. Refer to Note 2. </w:t>
      </w:r>
      <w:r>
        <w:rPr>
          <w:rFonts w:ascii="Times New Roman" w:hAnsi="Times New Roman"/>
          <w:i/>
          <w:color w:val="000000"/>
          <w:sz w:val="20"/>
        </w:rPr>
        <w:t>Acquisitions</w:t>
      </w:r>
      <w:r>
        <w:rPr>
          <w:rFonts w:ascii="Times New Roman" w:hAnsi="Times New Roman"/>
          <w:color w:val="000000"/>
          <w:sz w:val="20"/>
        </w:rPr>
        <w:t xml:space="preserve"> in the notes to our unaudited condensed consolidated financial statements included elsewhere in this Form 10-Q for further details.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Components of our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 2025, we derived approximately 97% of our revenue from subscription services and the remainder from professional services. Our subscription services consist primarily of subscription fees for access to our platform and stand-ready support. Our subscription contracts typically have a term ranging from 1 to 3 years and are non-cancellable. We typically bill for services in advance annually, and we typically require payment at the beginning of each annual period. Our subscription revenue is recognized ratably over the contract term. Our professional services revenue typically is derived from non-recurring consulting services or from other one-time deliveries, which are generally capable of being distinct and can be accounted for as separate performance obligations. Revenue related to these professional services is recognized at a point in time when the performance obligations under the terms of the contract are satisfied and control has been transferred to the customer.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the 2024 Restructuring Plan, we made significant changes to our go-to-market team that reduced overlay expenses, created a separate group and sales motion for our small and medium sized customers, and allocated more resources to our Enterprise Customers. These changes disrupted our sales efforts in 2024, coupled with continued macroeconomic headwinds and sales execution challenges throughout 2024. As we moved through 2024 and the first quarter of 2025, we did not see subscription renewals return to historical levels. Based on these impacts, we expect our revenue to decline in 2025 compared with 2024.</w:t>
      </w:r>
    </w:p>
    <w:p>
      <w:pPr>
        <w:pStyle w:val="TextBody"/>
        <w:bidi w:val="0"/>
        <w:spacing w:before="240" w:after="283"/>
        <w:jc w:val="left"/>
        <w:rPr>
          <w:rFonts w:ascii="Times New Roman" w:hAnsi="Times New Roman"/>
          <w:sz w:val="20"/>
        </w:rPr>
      </w:pPr>
      <w:r>
        <w:rPr>
          <w:rFonts w:ascii="Times New Roman" w:hAnsi="Times New Roman"/>
          <w:b/>
          <w:i/>
          <w:color w:val="000000"/>
          <w:sz w:val="20"/>
        </w:rPr>
        <w:t>Cost of Revenue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Cost of Revenue</w:t>
      </w:r>
      <w:r>
        <w:rPr>
          <w:rFonts w:ascii="Times New Roman" w:hAnsi="Times New Roman"/>
          <w:color w:val="000000"/>
          <w:sz w:val="20"/>
        </w:rPr>
        <w:t xml:space="preserve">. Cost of revenue, excluding amortization of acquired technology and data, consists of direct expenses related to the support and operations of our SaaS platform, such as data and infrastructure costs, personnel costs for our professional services, customer support, and data research teams, including salaries, bonuses, stock-based compensation, and other employee-related benefits, as well as allocated overheads. We anticipate that we will continue to invest in cost of revenue and that cost of revenue as a percentage of revenue will modestly increase as we add to our existing intelligence modules and invest in new products and data sources. Cost of data is included in the cost of revenue and is a fundamental driver of innovation. </w:t>
      </w:r>
    </w:p>
    <w:p>
      <w:pPr>
        <w:pStyle w:val="TextBody"/>
        <w:bidi w:val="0"/>
        <w:spacing w:before="120" w:after="283"/>
        <w:jc w:val="left"/>
        <w:rPr>
          <w:rFonts w:ascii="Times New Roman" w:hAnsi="Times New Roman"/>
          <w:sz w:val="20"/>
        </w:rPr>
      </w:pPr>
      <w:r>
        <w:rPr>
          <w:rFonts w:ascii="Times New Roman" w:hAnsi="Times New Roman"/>
          <w:i/>
          <w:color w:val="000000"/>
          <w:sz w:val="20"/>
        </w:rPr>
        <w:t>Amortization</w:t>
      </w:r>
      <w:r>
        <w:rPr>
          <w:rFonts w:ascii="Times New Roman" w:hAnsi="Times New Roman"/>
          <w:color w:val="000000"/>
          <w:sz w:val="20"/>
        </w:rPr>
        <w:t>. Includes amortization expense for technology and data acquired in business combinations and asset purchase agreements. We anticipate that amortization will only increase if we make additional acquisitions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been observing changes in the healthcare claims data market as a result of data source disruption since early 2024, including how data providers are reviewing pricing, data availability, and use terms, all of which may negatively impact the prices at which we acquire such data.</w:t>
      </w:r>
    </w:p>
    <w:p>
      <w:pPr>
        <w:pStyle w:val="TextBody"/>
        <w:bidi w:val="0"/>
        <w:spacing w:before="240" w:after="283"/>
        <w:jc w:val="left"/>
        <w:rPr>
          <w:rFonts w:ascii="Times New Roman" w:hAnsi="Times New Roman"/>
          <w:sz w:val="20"/>
        </w:rPr>
      </w:pPr>
      <w:r>
        <w:rPr>
          <w:rFonts w:ascii="Times New Roman" w:hAnsi="Times New Roman"/>
          <w:b/>
          <w:i/>
          <w:color w:val="000000"/>
          <w:sz w:val="20"/>
        </w:rPr>
        <w:t>Gross Profit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profit is revenue less cost of revenue, and gross margin is gross profit as a percentage of revenue. Gross profit and gross margin have been and will continue to be affected by various factors, including the costs associated with third-party data and third-party hosting services, leveraging economies of scale, and the extent to which we introduce new intelligence modules, features, or functionality, or expand our customer support and service organizations, hire additional personnel, or complete additional acquisitions. We expect that our gross profit and gross margin will fluctuate from period to period depending on the interplay of these various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gross profit margin for 2025 will continue to be impacted by the expansion of data sources and the anticipated revenue declines, as described above. Revenue declines, in combination with our largely fixed cost structure, are expected to result in a decrease in gross profit margin in 2025.</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most significant component of our operating expenses is personnel costs, which consist of salaries, bonuses, sales commissions, stock-based compensation, and other employee-related benefits. Operating expenses also include non-personnel costs such as facilities, technology, professional fees, and marketing. In light of macroeconomic conditions and their past and potential future impacts on our business, we have made efforts to contain our operating expenses, including implementing restructuring plans. Inflation, and in particular increases to the cost of labor due to cost-of-living increases, have negatively impacted our operating expenses, and we expect this to continue. However, inflation has not materially affected our business to date.</w:t>
      </w:r>
    </w:p>
    <w:p>
      <w:pPr>
        <w:pStyle w:val="TextBody"/>
        <w:bidi w:val="0"/>
        <w:spacing w:before="120" w:after="283"/>
        <w:jc w:val="left"/>
        <w:rPr>
          <w:rFonts w:ascii="Times New Roman" w:hAnsi="Times New Roman"/>
          <w:sz w:val="20"/>
        </w:rPr>
      </w:pPr>
      <w:r>
        <w:rPr>
          <w:rFonts w:ascii="Times New Roman" w:hAnsi="Times New Roman"/>
          <w:i/>
          <w:color w:val="000000"/>
          <w:sz w:val="20"/>
        </w:rPr>
        <w:t>Sales and marketing</w:t>
      </w:r>
      <w:r>
        <w:rPr>
          <w:rFonts w:ascii="Times New Roman" w:hAnsi="Times New Roman"/>
          <w:color w:val="000000"/>
          <w:sz w:val="20"/>
        </w:rPr>
        <w:t xml:space="preserve">. Sales and marketing expenses primarily consist of personnel costs such as salaries, bonuses, sales commissions, stock-based compensation, and other employee-related benefits for our sales and marketing teams, as well as non-personnel costs including overhead costs, technology and advertising costs. While we have slowed hiring in response to macroeconomic conditions, and expect to maintain slower levels until macroeconomic conditions improve, we have continued to hire additional sales and marketing personnel, enhance our digital marketing infrastructure and invest in marketing programs targeting our major vertical markets. </w:t>
      </w:r>
    </w:p>
    <w:p>
      <w:pPr>
        <w:pStyle w:val="TextBody"/>
        <w:bidi w:val="0"/>
        <w:spacing w:before="120" w:after="283"/>
        <w:jc w:val="left"/>
        <w:rPr>
          <w:rFonts w:ascii="Times New Roman" w:hAnsi="Times New Roman"/>
          <w:sz w:val="20"/>
        </w:rPr>
      </w:pPr>
      <w:r>
        <w:rPr>
          <w:rFonts w:ascii="Times New Roman" w:hAnsi="Times New Roman"/>
          <w:i/>
          <w:color w:val="000000"/>
          <w:sz w:val="20"/>
        </w:rPr>
        <w:t>Product development</w:t>
      </w:r>
      <w:r>
        <w:rPr>
          <w:rFonts w:ascii="Times New Roman" w:hAnsi="Times New Roman"/>
          <w:color w:val="000000"/>
          <w:sz w:val="20"/>
        </w:rPr>
        <w:t xml:space="preserve">. Product development expenses primarily consist of personnel costs such as salaries, bonuses, stock-based compensation, and other employee-related benefits for our engineering, data science and product teams, as well as non-personnel costs including overhead costs. We believe that our core technologies and ongoing innovation represent a significant competitive advantage for us, and we continue to invest in systems optimization and product improvements for our customers, enhance our software development team and invest in automation and artificial intelligence (“A.I.”) to drive higher quality data and deeper insights. </w:t>
      </w:r>
    </w:p>
    <w:p>
      <w:pPr>
        <w:pStyle w:val="TextBody"/>
        <w:bidi w:val="0"/>
        <w:spacing w:before="120" w:after="283"/>
        <w:jc w:val="left"/>
        <w:rPr>
          <w:rFonts w:ascii="Times New Roman" w:hAnsi="Times New Roman"/>
          <w:sz w:val="20"/>
        </w:rPr>
      </w:pPr>
      <w:r>
        <w:rPr>
          <w:rFonts w:ascii="Times New Roman" w:hAnsi="Times New Roman"/>
          <w:i/>
          <w:color w:val="000000"/>
          <w:sz w:val="20"/>
        </w:rPr>
        <w:t>General and administrative</w:t>
      </w:r>
      <w:r>
        <w:rPr>
          <w:rFonts w:ascii="Times New Roman" w:hAnsi="Times New Roman"/>
          <w:color w:val="000000"/>
          <w:sz w:val="20"/>
        </w:rPr>
        <w:t>. General and administrative expenses primarily consist of personnel costs such as salaries, bonuses, stock-based compensation, and other employee-related benefits for our executive, finance, legal, human resources, IT and operations, and administrative teams, as well as non-personnel costs including overhead costs, professional fees and other corporate expenses. General and administration expenses also include sales tax amounts payable to taxation authorities, inclusive of interest and penalties, for customers that we did not collect sales taxes from, due to misclassifications of products and services for sales tax purposes. We do not expect sales taxes and related interest and penalties to be an ongoing component of our general and administrative expense as we have completed voluntary disclosure agreements, registered with certain tax authorities, and commenced collection of sales taxes from customers in these tax jurisdictions. We have slowed hiring in response to macroeconomic conditions and do not expect to increase it until macroeconomic conditions improve.</w:t>
      </w:r>
    </w:p>
    <w:p>
      <w:pPr>
        <w:pStyle w:val="TextBody"/>
        <w:bidi w:val="0"/>
        <w:spacing w:before="120" w:after="283"/>
        <w:jc w:val="left"/>
        <w:rPr>
          <w:rFonts w:ascii="Times New Roman" w:hAnsi="Times New Roman"/>
          <w:sz w:val="20"/>
        </w:rPr>
      </w:pPr>
      <w:r>
        <w:rPr>
          <w:rFonts w:ascii="Times New Roman" w:hAnsi="Times New Roman"/>
          <w:i/>
          <w:color w:val="000000"/>
          <w:sz w:val="20"/>
        </w:rPr>
        <w:t>Depreciation and Amortization</w:t>
      </w:r>
      <w:r>
        <w:rPr>
          <w:rFonts w:ascii="Times New Roman" w:hAnsi="Times New Roman"/>
          <w:color w:val="000000"/>
          <w:sz w:val="20"/>
        </w:rPr>
        <w:t xml:space="preserve">. Depreciation and amortization expenses consist primarily of amortization of intangible assets resulting from acquisitions and business combinations, as well as depreciation of property and equipment. We anticipate depreciation of property and equipment as a percentage of revenue to moderately decrease, although amortization will increase if we make additional acquisitions in the future. </w:t>
      </w:r>
    </w:p>
    <w:p>
      <w:pPr>
        <w:pStyle w:val="TextBody"/>
        <w:bidi w:val="0"/>
        <w:spacing w:before="120" w:after="283"/>
        <w:jc w:val="left"/>
        <w:rPr>
          <w:rFonts w:ascii="Times New Roman" w:hAnsi="Times New Roman"/>
          <w:sz w:val="20"/>
        </w:rPr>
      </w:pPr>
      <w:r>
        <w:rPr>
          <w:rFonts w:ascii="Times New Roman" w:hAnsi="Times New Roman"/>
          <w:i/>
          <w:color w:val="000000"/>
          <w:sz w:val="20"/>
        </w:rPr>
        <w:t>Transaction, integration, and restructuring expenses</w:t>
      </w:r>
      <w:r>
        <w:rPr>
          <w:rFonts w:ascii="Times New Roman" w:hAnsi="Times New Roman"/>
          <w:color w:val="000000"/>
          <w:sz w:val="20"/>
        </w:rPr>
        <w:t>. Transaction, integration, and restructuring expenses are costs directly associated with various acquisition, strategic partnership, and integration activities we have undertaken, primarily accounting, legal due diligence, consulting, and advisory fees, as well as expenses related to the 2024 Restructuring Plan and our office relocations and consolidations.</w:t>
      </w:r>
    </w:p>
    <w:p>
      <w:pPr>
        <w:pStyle w:val="TextBody"/>
        <w:bidi w:val="0"/>
        <w:spacing w:before="120" w:after="283"/>
        <w:jc w:val="left"/>
        <w:rPr>
          <w:rFonts w:ascii="Times New Roman" w:hAnsi="Times New Roman"/>
          <w:sz w:val="20"/>
        </w:rPr>
      </w:pPr>
      <w:r>
        <w:rPr>
          <w:rFonts w:ascii="Times New Roman" w:hAnsi="Times New Roman"/>
          <w:i/>
          <w:color w:val="000000"/>
          <w:sz w:val="20"/>
        </w:rPr>
        <w:t>Goodwill impairment</w:t>
      </w:r>
      <w:r>
        <w:rPr>
          <w:rFonts w:ascii="Times New Roman" w:hAnsi="Times New Roman"/>
          <w:color w:val="000000"/>
          <w:sz w:val="20"/>
        </w:rPr>
        <w:t xml:space="preserve">. Goodwill represents the excess of consideration transferred over the fair value of tangible and identifiable intangible net assets acquired and the liabilities assumed in a business combination. Substantially all of our goodwill was recognized in the purchase price allocations when our Company was acquired in 2019 by Advent (the “Advent Acquisition”), with smaller incremental amounts recognized in subsequent business combinations. Goodwill is not amortized, but is tested for impairment at the reporting unit level annually and more frequently if indicators of potential impairment arise. In conducting the impairment test, we first review qualitative factors to determine whether it is more likely than not that the fair value of our single reporting unit is less than its carrying amount.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When testing goodwill for impairment, we have the option of first performing a qualitative assessment to determine whether it is more likely than not that the fair value of the reporting unit is less than its carrying amount. If we elect to bypass the qualitative assessment, or if a qualitative assessment indicates it is more likely than not that carrying value exceeds its fair value, we perform a quantitative goodwill impairment test. Under the quantitative goodwill impairment test, if our reporting unit’s carrying amount exceeds its fair value, we will record an impairment charge based on that difference. Recently, we have experienced declines in our market capitalization as a result of sustained decreases in our stock price, which represented a triggering event requiring our management to perform a quantitative goodwill impairment test. As a result of the impairment test, we determined that the fair value of our single reporting unit was lower than its carrying value and, accordingly, recorded a non-cash, pre-tax, goodwill impairment charge of $176.5 million during the three months ended March 31, 2025. The goodwill impairment charges did not affect our liquidity or the financial covenants in our outstanding debt agreement.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(Expense) Income, Net</w:t>
      </w:r>
    </w:p>
    <w:p>
      <w:pPr>
        <w:pStyle w:val="TextBody"/>
        <w:bidi w:val="0"/>
        <w:spacing w:before="120" w:after="283"/>
        <w:jc w:val="left"/>
        <w:rPr>
          <w:rFonts w:ascii="Times New Roman" w:hAnsi="Times New Roman"/>
          <w:sz w:val="20"/>
        </w:rPr>
      </w:pPr>
      <w:r>
        <w:rPr>
          <w:rFonts w:ascii="Times New Roman" w:hAnsi="Times New Roman"/>
          <w:i/>
          <w:color w:val="000000"/>
          <w:sz w:val="20"/>
        </w:rPr>
        <w:t>Interest expense</w:t>
      </w:r>
      <w:r>
        <w:rPr>
          <w:rFonts w:ascii="Times New Roman" w:hAnsi="Times New Roman"/>
          <w:color w:val="000000"/>
          <w:sz w:val="20"/>
        </w:rPr>
        <w:t xml:space="preserve"> consists of interest expense on our debt obligations and the amortization of debt discounts and debt issuance costs. </w:t>
      </w:r>
    </w:p>
    <w:p>
      <w:pPr>
        <w:pStyle w:val="TextBody"/>
        <w:bidi w:val="0"/>
        <w:spacing w:before="120" w:after="283"/>
        <w:jc w:val="left"/>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 xml:space="preserve"> consists of earnings resulting from our cash and cash equivalents and short-term investments. </w:t>
      </w:r>
    </w:p>
    <w:p>
      <w:pPr>
        <w:pStyle w:val="TextBody"/>
        <w:bidi w:val="0"/>
        <w:spacing w:before="120" w:after="283"/>
        <w:jc w:val="left"/>
        <w:rPr>
          <w:rFonts w:ascii="Times New Roman" w:hAnsi="Times New Roman"/>
          <w:sz w:val="20"/>
        </w:rPr>
      </w:pPr>
      <w:r>
        <w:rPr>
          <w:rFonts w:ascii="Times New Roman" w:hAnsi="Times New Roman"/>
          <w:i/>
          <w:color w:val="000000"/>
          <w:sz w:val="20"/>
        </w:rPr>
        <w:t>Other income (expense), net</w:t>
      </w:r>
      <w:r>
        <w:rPr>
          <w:rFonts w:ascii="Times New Roman" w:hAnsi="Times New Roman"/>
          <w:color w:val="000000"/>
          <w:sz w:val="20"/>
        </w:rPr>
        <w:t xml:space="preserve"> consists primarily of the revaluation of Tax Receivable Agreement liabilities and realized and unrealized gains and losses related to the impact of transactions denominated in a foreign currency. Significant changes in the projected liability resulting from the Tax Receivable Agreement may occur based on changes in anticipated future taxable income, changes in applicable tax rates, or other changes in tax attributes that may occur and could affect the expected future tax benefits to be received by us. We do not have significant exposure to foreign exchange volatility and do not anticipate foreign currency transaction gains or losses to materially impact our results of operations.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sets forth a summary of our unaudited condensed consolidated statements of operations for the periods presented: </w:t>
      </w:r>
    </w:p>
    <w:tbl>
      <w:tblPr>
        <w:tblW w:w="10205" w:type="dxa"/>
        <w:jc w:val="left"/>
        <w:tblInd w:w="0" w:type="dxa"/>
        <w:tblLayout w:type="fixed"/>
        <w:tblCellMar>
          <w:top w:w="28" w:type="dxa"/>
          <w:left w:w="28" w:type="dxa"/>
          <w:bottom w:w="28" w:type="dxa"/>
          <w:right w:w="28" w:type="dxa"/>
        </w:tblCellMar>
      </w:tblPr>
      <w:tblGrid>
        <w:gridCol w:w="5537"/>
        <w:gridCol w:w="1346"/>
        <w:gridCol w:w="211"/>
        <w:gridCol w:w="841"/>
        <w:gridCol w:w="266"/>
        <w:gridCol w:w="246"/>
        <w:gridCol w:w="211"/>
        <w:gridCol w:w="736"/>
        <w:gridCol w:w="811"/>
      </w:tblGrid>
      <w:tr>
        <w:trPr/>
        <w:tc>
          <w:tcPr>
            <w:tcW w:w="5537"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55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59,191</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63,480</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Cost of revenue exclusive of amortization</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10,141</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5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 of revenue</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15,431</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537"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20"/>
              </w:rPr>
            </w:pPr>
            <w:r>
              <w:rPr>
                <w:rFonts w:ascii="Times New Roman" w:hAnsi="Times New Roman"/>
                <w:color w:val="000000"/>
                <w:sz w:val="20"/>
              </w:rPr>
              <w:t>Gross profit</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43,760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50,382</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Sales and marketing</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20,653</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Product development</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9,301</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General and administrative</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12,269</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8,527</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Transaction, integration, and restructuring expenses</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Goodwill impairment</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176,531</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537"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20"/>
              </w:rPr>
            </w:pPr>
            <w:r>
              <w:rPr>
                <w:rFonts w:ascii="Times New Roman" w:hAnsi="Times New Roman"/>
                <w:color w:val="000000"/>
                <w:sz w:val="20"/>
              </w:rPr>
              <w:t>Total operating expenses</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228,546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537" w:type="dxa"/>
            <w:tcBorders/>
            <w:shd w:fill="CFF0FC" w:val="clear"/>
            <w:tcMar>
              <w:top w:w="0" w:type="dxa"/>
              <w:left w:w="0" w:type="dxa"/>
              <w:bottom w:w="0" w:type="dxa"/>
              <w:right w:w="0" w:type="dxa"/>
            </w:tcMar>
            <w:vAlign w:val="center"/>
          </w:tcPr>
          <w:p>
            <w:pPr>
              <w:pStyle w:val="TableContents"/>
              <w:bidi w:val="0"/>
              <w:spacing w:before="0" w:after="283"/>
              <w:ind w:left="0" w:right="0" w:firstLine="1100"/>
              <w:jc w:val="left"/>
              <w:rPr>
                <w:rFonts w:ascii="Times New Roman" w:hAnsi="Times New Roman"/>
                <w:color w:val="000000"/>
                <w:sz w:val="20"/>
              </w:rPr>
            </w:pPr>
            <w:r>
              <w:rPr>
                <w:rFonts w:ascii="Times New Roman" w:hAnsi="Times New Roman"/>
                <w:color w:val="000000"/>
                <w:sz w:val="20"/>
              </w:rPr>
              <w:t>Loss from operations</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(184,786</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income, net</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18,807</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537" w:type="dxa"/>
            <w:tcBorders/>
            <w:shd w:fill="CFF0FC" w:val="clear"/>
            <w:tcMar>
              <w:top w:w="0" w:type="dxa"/>
              <w:left w:w="0" w:type="dxa"/>
              <w:bottom w:w="0" w:type="dxa"/>
              <w:right w:w="0" w:type="dxa"/>
            </w:tcMar>
            <w:vAlign w:val="center"/>
          </w:tcPr>
          <w:p>
            <w:pPr>
              <w:pStyle w:val="TableContents"/>
              <w:bidi w:val="0"/>
              <w:spacing w:before="0" w:after="283"/>
              <w:ind w:left="0" w:right="0" w:firstLine="1100"/>
              <w:jc w:val="left"/>
              <w:rPr>
                <w:rFonts w:ascii="Times New Roman" w:hAnsi="Times New Roman"/>
                <w:color w:val="000000"/>
                <w:sz w:val="20"/>
              </w:rPr>
            </w:pPr>
            <w:r>
              <w:rPr>
                <w:rFonts w:ascii="Times New Roman" w:hAnsi="Times New Roman"/>
                <w:color w:val="000000"/>
                <w:sz w:val="20"/>
              </w:rPr>
              <w:t>Net loss before income taxes</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(165,979</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537" w:type="dxa"/>
            <w:tcBorders/>
            <w:shd w:fill="FFFFFF" w:val="clear"/>
            <w:tcMar>
              <w:top w:w="0" w:type="dxa"/>
              <w:left w:w="0" w:type="dxa"/>
              <w:bottom w:w="0" w:type="dxa"/>
              <w:right w:w="0" w:type="dxa"/>
            </w:tcMar>
            <w:vAlign w:val="center"/>
          </w:tcPr>
          <w:p>
            <w:pPr>
              <w:pStyle w:val="TableContents"/>
              <w:bidi w:val="0"/>
              <w:spacing w:before="0" w:after="283"/>
              <w:ind w:left="0" w:right="0" w:firstLine="1100"/>
              <w:jc w:val="left"/>
              <w:rPr>
                <w:rFonts w:ascii="Times New Roman" w:hAnsi="Times New Roman"/>
                <w:color w:val="000000"/>
                <w:sz w:val="20"/>
              </w:rPr>
            </w:pPr>
            <w:r>
              <w:rPr>
                <w:rFonts w:ascii="Times New Roman" w:hAnsi="Times New Roman"/>
                <w:color w:val="000000"/>
                <w:sz w:val="20"/>
              </w:rPr>
              <w:t>Benefit from income taxes</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537" w:type="dxa"/>
            <w:tcBorders/>
            <w:shd w:fill="CFF0FC" w:val="clear"/>
            <w:tcMar>
              <w:top w:w="0" w:type="dxa"/>
              <w:left w:w="0" w:type="dxa"/>
              <w:bottom w:w="0" w:type="dxa"/>
              <w:right w:w="0" w:type="dxa"/>
            </w:tcMar>
            <w:vAlign w:val="center"/>
          </w:tcPr>
          <w:p>
            <w:pPr>
              <w:pStyle w:val="TableContents"/>
              <w:bidi w:val="0"/>
              <w:spacing w:before="0" w:after="283"/>
              <w:ind w:left="0" w:right="0" w:firstLine="1100"/>
              <w:jc w:val="left"/>
              <w:rPr>
                <w:rFonts w:ascii="Times New Roman" w:hAnsi="Times New Roman"/>
                <w:color w:val="000000"/>
                <w:sz w:val="20"/>
              </w:rPr>
            </w:pPr>
            <w:r>
              <w:rPr>
                <w:rFonts w:ascii="Times New Roman" w:hAnsi="Times New Roman"/>
                <w:color w:val="000000"/>
                <w:sz w:val="20"/>
              </w:rPr>
              <w:t>Net loss</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(155,093</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37"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Less: Net loss attributable to noncontrolling interests</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(47,865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537"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Net loss attributable to Definitive Healthcare Corp.</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(107,228</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(9,518</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br/>
        <w:t>Three Months Ended March 31, 2025 compared to Three Months Ended March 31, 2024</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decreased $4.3 million, or 7%, in the three months ended March 31, 2025 compared with the same period in the prior year due to lower subscription revenue of $4.5 million, partially offset by higher professional services revenue of $0.2 million. Revenue attributable to customers that existed prior to the start of 2025 decreased $6.9 million, which was partially offset by a $2.6 million increase in revenue from new customers in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Cost of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revenue increased $2.3 million, or 18%, in the three months ended March 31, 2025 compared with the same period in the prior year. This increase was driven primarily by a $1.9 million increase in amortization expense resulting from new data asset purchases and a $0.8 million increase in hosting fees and data subscription and collection costs as a result of expanded customer usage of our platform. These increases were partially offset by a $0.4 million decrease in personnel costs, primarily due to costs incurred associated with the 2024 Restructuring Plan that did not repeat in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Operating Expenses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Operating expenses, which included a goodwill impairment charge of $176.5 million incurred during the three months ended March 31, 2025 (refer to Note 7. </w:t>
      </w:r>
      <w:r>
        <w:rPr>
          <w:rFonts w:ascii="Times New Roman" w:hAnsi="Times New Roman"/>
          <w:i/>
          <w:color w:val="000000"/>
          <w:sz w:val="20"/>
        </w:rPr>
        <w:t xml:space="preserve">Goodwill and Intangible Assets </w:t>
      </w:r>
      <w:r>
        <w:rPr>
          <w:rFonts w:ascii="Times New Roman" w:hAnsi="Times New Roman"/>
          <w:color w:val="000000"/>
          <w:sz w:val="20"/>
        </w:rPr>
        <w:t xml:space="preserve">to the accompanying unaudited condensed consolidated financial statements for further details), increased $161.9 million, or 243%, during the three months ended March 31, 2025 compared with the same period in the prior year. The increase to operating expense as compared to the prior-year period was primarily due to the goodwill impairment charge in the current period, partially offset by: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sales and marketing expense of $1.1 million for the three months ended March 31, 2025, primarily driven by lower stock-based compensation expense in the current period. Higher stock-based compensation costs in the first quarter of 2024 associated with equity grant modifications were primarily driven by the 2024 Restructuring Plan and the departure of certain executive-level employees, which did not repeat at the same level during the first quarter of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product development expense of $0.8 million for the three months ended March 31, 2025, primarily driven by lower personnel costs in the current period, including stock-based compensation expense. Higher stock-based compensation costs in the first quarter of 2024 associated with equity grant modifications were primarily driven by the 2024 Restructuring Plan, which did not repeat at the same level during the first quarter of 2025. These decreases were partially offset by increased costs associated with new software application investments in the current period;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general and administrative expense of $4.6 million for the three months ended March 31, 2025, primarily driven by lower personnel costs in the current period, including stock-based compensation expense. Higher stock-based compensation costs in the first quarter of 2024 associated with equity grant modifications were primarily driven by the 2024 Restructuring Plan and the departure of certain executive-level employees, which did not repeat at the same level during the first quarter of 2025. Also during the first quarter of 2024, we experienced relief from sales tax exposure, including penalties and interest, resulting from voluntary disclosure agreements, which did not repeat at the same level during the first quarter of 2025. These cost decreases were partially offset by third party legal fees associated with the refinancing of our credit facility in January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depreciation and amortization expense of $0.8 million for the three months ended March 31, 2025, primarily driven by the full amortization of a database intangible asset during the third quarter of 2024 and certain customer relationship intangible assets utilizing economic consumption amortization methods with lower amortization in the current period;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transaction, integration, and restructuring expenses of $7.3 million for the three months ended March 31, 2025, primarily driven by higher costs in the prior year period associated with the 2024 Restructuring Plan, partially offset by increased costs associated with the integration of certain prior acquisitions and the partial impairment of assets resulting from the consolidation of certain leased office facilities.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Total Other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other income, net was $18.8 million for the three months ended March 31, 2025 compared to $2.8 million in the same period in the prior year. The increase was primarily driven by an increase in the TRA liability remeasurement gain of $18.4 million during the three months ended March 31, 2025 compared with the same period in the prior year. The TRA liability remeasurement gain was higher in the current period primarily as a result of a $176.5 million goodwill impairment charge incurred during the three months ended March 31, 2025. This increase was partially offset by a foreign currency transaction loss of $1.0 million in the current year period, compared with a gain of $0.4 million in the prior year period, as well as a $0.5 million loss on the partial extinguishment of debt incurred during the three months ended March 31,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Benefit from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Benefit from income taxes was $10.9 million for the three months ended March 31, 2025 compared to $0.8 million in the comparable prior year period. The overall increase was primarily attributed to the $176.5 million impairment of goodwill during the current period, resulting in a reduction of indefinite-lived deferred tax liabilities.</w:t>
      </w:r>
    </w:p>
    <w:p>
      <w:pPr>
        <w:pStyle w:val="TextBody"/>
        <w:bidi w:val="0"/>
        <w:spacing w:before="12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our results determined in accordance with GAAP, we believe certain non-GAAP measures are useful in evaluating our operating performance. Non-GAAP measures include, but are not limited to, Adjusted Gross Profit, Adjusted Gross Margin, Adjusted EBITDA, and Adjusted EBITDA Margin. We believe these non-GAAP measures are useful to investors because they eliminate certain items that affect period-over-period comparability and provide consistency with past financial performance and additional information about our underlying results and trends by excluding certain items that may not be indicative of our business, results of operations, or outlook.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view Adjusted Gross Profit, Adjusted Gross Margin, Adjusted EBITDA, and Adjusted EBITDA Margin as operating performance measures. As such, we believe the most directly comparable GAAP financial measures to Adjusted Gross Profit and Adjusted Gross Margin are GAAP Gross Profit and GAAP Gross Margin, respectively, and the most directly comparable GAAP financial measure to Adjusted EBITDA and Adjusted EBITDA Margin is GAAP net loss and GAAP net loss margin,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Non-GAAP measures are supplemental financial measures of our performance and should not be considered substitutes for net loss, gross profit, or any other measure derived in accordance with GAAP. This information should be read only in conjunction with our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or events being adjusted. In addition, other companies may use different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w:t>
      </w:r>
    </w:p>
    <w:p>
      <w:pPr>
        <w:pStyle w:val="TextBody"/>
        <w:bidi w:val="0"/>
        <w:spacing w:before="360" w:after="283"/>
        <w:jc w:val="left"/>
        <w:rPr>
          <w:rFonts w:ascii="Times New Roman" w:hAnsi="Times New Roman"/>
          <w:sz w:val="20"/>
        </w:rPr>
      </w:pPr>
      <w:r>
        <w:rPr>
          <w:rFonts w:ascii="Times New Roman" w:hAnsi="Times New Roman"/>
          <w:b/>
          <w:i/>
          <w:color w:val="000000"/>
          <w:sz w:val="20"/>
        </w:rPr>
        <w:t>Adjusted Gross Profit and Adjusted Gross Margin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define Adjusted Gross Profit as Gross Profit, excluding acquisition-related depreciation and amortization, and equity-based compensation costs. We exclude acquisition-related depreciation and amortization expenses as they have no direct correlation to the cost of operating our business on an ongoing basis. A small portion of equity-based compensation is included in cost of revenue in accordance with GAAP, but is excluded from our Adjusted Gross Profit calculations due to its non-cash nature. Gross Margin is defined as Gross Profit as a percentage of revenue and Adjusted Gross Margin is defined as Adjusted Gross Profit as a percentage of revenue. These are key metrics used by management and our board of directors to assess our operations.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presents a reconciliation of gross profit and gross margin to adjusted gross profit and adjusted gross margin, respectively, for the periods presented: </w:t>
      </w:r>
    </w:p>
    <w:tbl>
      <w:tblPr>
        <w:tblW w:w="10205" w:type="dxa"/>
        <w:jc w:val="left"/>
        <w:tblInd w:w="0" w:type="dxa"/>
        <w:tblLayout w:type="fixed"/>
        <w:tblCellMar>
          <w:top w:w="28" w:type="dxa"/>
          <w:left w:w="28" w:type="dxa"/>
          <w:bottom w:w="28" w:type="dxa"/>
          <w:right w:w="28" w:type="dxa"/>
        </w:tblCellMar>
      </w:tblPr>
      <w:tblGrid>
        <w:gridCol w:w="5114"/>
        <w:gridCol w:w="146"/>
        <w:gridCol w:w="211"/>
        <w:gridCol w:w="676"/>
        <w:gridCol w:w="146"/>
        <w:gridCol w:w="146"/>
        <w:gridCol w:w="291"/>
        <w:gridCol w:w="634"/>
        <w:gridCol w:w="271"/>
        <w:gridCol w:w="146"/>
        <w:gridCol w:w="211"/>
        <w:gridCol w:w="676"/>
        <w:gridCol w:w="146"/>
        <w:gridCol w:w="146"/>
        <w:gridCol w:w="291"/>
        <w:gridCol w:w="634"/>
        <w:gridCol w:w="320"/>
      </w:tblGrid>
      <w:tr>
        <w:trPr/>
        <w:tc>
          <w:tcPr>
            <w:tcW w:w="51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51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Reported gross profit</w:t>
            </w:r>
            <w:r>
              <w:rPr>
                <w:rFonts w:ascii="Times New Roman" w:hAnsi="Times New Roman"/>
                <w:color w:val="000000"/>
                <w:sz w:val="20"/>
              </w:rPr>
              <w:t xml:space="preserve"> </w:t>
            </w:r>
            <w:r>
              <w:rPr>
                <w:rFonts w:ascii="Times New Roman" w:hAnsi="Times New Roman"/>
                <w:b/>
                <w:color w:val="000000"/>
                <w:sz w:val="20"/>
              </w:rPr>
              <w:t>and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Amortization of intangible assets resulting from acquisition-related purchase accounting adjustments</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Equity-based compensation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gross profit and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Amortization of intangible assets resulting from purchase accounting adjustments represents non-cash amortization of acquired intangibles, primarily resulting from the Advent Acquisition.</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Adjusted EBITDA and Adjusted EBITDA Margin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present “Adjusted EBITDA” as a measure of our operating performance. EBITDA is defined as earnings before (i) debt-related costs, including interest expense and loss from partial extinguishment of debt, (ii) interest expense (income), net, (iii) income taxes, and (iv) depreciation and amortization. Management further adjusts EBITDA in its presentation of Adjusted EBITDA to exclude (i) other income, net, (ii) equity-based compensation, (iii) transaction, integration, and restructuring expenses, (iv) goodwill impairment, and (v) other non-core items. We exclude these items because they are by nature non-cash, non-recurring, and/or unrelated to our core operations, and therefore we do not believe them to be representative of ongoing operational performance. Adjusted EBITDA Margin is defined as Adjusted EBITDA as a percentage of revenue. Adjusted EBITDA and Adjusted EBITDA Margin are key metrics used by management and our board of directors to assess the profitability of our operations. We believe these metrics provide useful measures to investors to assess our operating performance and in measuring the profitability of our operations on a consolidated level.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presents a reconciliation of net loss and margin to Adjusted EBITDA and Adjusted EBITDA margin, respectively, for the periods presented: </w:t>
      </w:r>
    </w:p>
    <w:tbl>
      <w:tblPr>
        <w:tblW w:w="10205" w:type="dxa"/>
        <w:jc w:val="left"/>
        <w:tblInd w:w="0" w:type="dxa"/>
        <w:tblLayout w:type="fixed"/>
        <w:tblCellMar>
          <w:top w:w="28" w:type="dxa"/>
          <w:left w:w="28" w:type="dxa"/>
          <w:bottom w:w="28" w:type="dxa"/>
          <w:right w:w="28" w:type="dxa"/>
        </w:tblCellMar>
      </w:tblPr>
      <w:tblGrid>
        <w:gridCol w:w="3916"/>
        <w:gridCol w:w="246"/>
        <w:gridCol w:w="196"/>
        <w:gridCol w:w="751"/>
        <w:gridCol w:w="266"/>
        <w:gridCol w:w="246"/>
        <w:gridCol w:w="277"/>
        <w:gridCol w:w="834"/>
        <w:gridCol w:w="399"/>
        <w:gridCol w:w="246"/>
        <w:gridCol w:w="196"/>
        <w:gridCol w:w="661"/>
        <w:gridCol w:w="266"/>
        <w:gridCol w:w="246"/>
        <w:gridCol w:w="328"/>
        <w:gridCol w:w="784"/>
        <w:gridCol w:w="347"/>
      </w:tblGrid>
      <w:tr>
        <w:trPr/>
        <w:tc>
          <w:tcPr>
            <w:tcW w:w="39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 except percentages)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7"/>
              </w:rPr>
            </w:pPr>
            <w:r>
              <w:rPr>
                <w:rFonts w:ascii="Times New Roman" w:hAnsi="Times New Roman"/>
                <w:b/>
                <w:color w:val="000000"/>
                <w:sz w:val="17"/>
              </w:rPr>
              <w:t>Net loss</w:t>
            </w:r>
            <w:r>
              <w:rPr>
                <w:rFonts w:ascii="Times New Roman" w:hAnsi="Times New Roman"/>
                <w:color w:val="000000"/>
                <w:sz w:val="17"/>
              </w:rPr>
              <w:t xml:space="preserve"> </w:t>
            </w:r>
            <w:r>
              <w:rPr>
                <w:rFonts w:ascii="Times New Roman" w:hAnsi="Times New Roman"/>
                <w:b/>
                <w:color w:val="000000"/>
                <w:sz w:val="17"/>
              </w:rPr>
              <w:t>and margin</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(155,093</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(262</w:t>
            </w:r>
          </w:p>
        </w:tc>
        <w:tc>
          <w:tcPr>
            <w:tcW w:w="39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(12,718</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Interest expense (income), net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Benefit from income taxes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(10,886</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w:t>
            </w:r>
          </w:p>
        </w:tc>
        <w:tc>
          <w:tcPr>
            <w:tcW w:w="39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(780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Loss on partial extinguishment of debt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507</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Depreciation &amp; amortization</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13,817</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12,684</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w:t>
            </w:r>
          </w:p>
        </w:tc>
        <w:tc>
          <w:tcPr>
            <w:tcW w:w="3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7"/>
              </w:rPr>
            </w:pPr>
            <w:r>
              <w:rPr>
                <w:rFonts w:ascii="Times New Roman" w:hAnsi="Times New Roman"/>
                <w:b/>
                <w:color w:val="000000"/>
                <w:sz w:val="17"/>
              </w:rPr>
              <w:t>EBITDA</w:t>
            </w:r>
            <w:r>
              <w:rPr>
                <w:rFonts w:ascii="Times New Roman" w:hAnsi="Times New Roman"/>
                <w:color w:val="000000"/>
                <w:sz w:val="17"/>
              </w:rPr>
              <w:t xml:space="preserve"> </w:t>
            </w:r>
            <w:r>
              <w:rPr>
                <w:rFonts w:ascii="Times New Roman" w:hAnsi="Times New Roman"/>
                <w:b/>
                <w:color w:val="000000"/>
                <w:sz w:val="17"/>
              </w:rPr>
              <w:t>and margin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(151,274</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(256</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(925</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7"/>
              </w:rPr>
            </w:pPr>
            <w:r>
              <w:rPr>
                <w:rFonts w:ascii="Times New Roman" w:hAnsi="Times New Roman"/>
                <w:color w:val="000000"/>
                <w:sz w:val="17"/>
              </w:rPr>
              <w:t xml:space="preserve">Other income, net </w:t>
            </w:r>
            <w:r>
              <w:rPr>
                <w:rFonts w:ascii="Times New Roman" w:hAnsi="Times New Roman"/>
                <w:color w:val="000000"/>
                <w:sz w:val="11"/>
              </w:rPr>
              <w:t>(a)</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(19,695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w:t>
            </w:r>
          </w:p>
        </w:tc>
        <w:tc>
          <w:tcPr>
            <w:tcW w:w="39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(2,640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7"/>
              </w:rPr>
            </w:pPr>
            <w:r>
              <w:rPr>
                <w:rFonts w:ascii="Times New Roman" w:hAnsi="Times New Roman"/>
                <w:color w:val="000000"/>
                <w:sz w:val="17"/>
              </w:rPr>
              <w:t xml:space="preserve">Equity-based compensation </w:t>
            </w:r>
            <w:r>
              <w:rPr>
                <w:rFonts w:ascii="Times New Roman" w:hAnsi="Times New Roman"/>
                <w:color w:val="000000"/>
                <w:sz w:val="11"/>
              </w:rPr>
              <w:t>(b)</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7,319</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15,582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7"/>
              </w:rPr>
            </w:pPr>
            <w:r>
              <w:rPr>
                <w:rFonts w:ascii="Times New Roman" w:hAnsi="Times New Roman"/>
                <w:color w:val="000000"/>
                <w:sz w:val="17"/>
              </w:rPr>
              <w:t xml:space="preserve">Transaction, integration, and restructuring expenses </w:t>
            </w:r>
            <w:r>
              <w:rPr>
                <w:rFonts w:ascii="Times New Roman" w:hAnsi="Times New Roman"/>
                <w:color w:val="000000"/>
                <w:sz w:val="11"/>
              </w:rPr>
              <w:t>(c)</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1,265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39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8,534</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7"/>
              </w:rPr>
            </w:pPr>
            <w:r>
              <w:rPr>
                <w:rFonts w:ascii="Times New Roman" w:hAnsi="Times New Roman"/>
                <w:color w:val="000000"/>
                <w:sz w:val="17"/>
              </w:rPr>
              <w:t xml:space="preserve">Goodwill impairment </w:t>
            </w:r>
            <w:r>
              <w:rPr>
                <w:rFonts w:ascii="Times New Roman" w:hAnsi="Times New Roman"/>
                <w:color w:val="000000"/>
                <w:sz w:val="11"/>
              </w:rPr>
              <w:t>(d)</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176,531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298</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7"/>
              </w:rPr>
            </w:pPr>
            <w:r>
              <w:rPr>
                <w:rFonts w:ascii="Times New Roman" w:hAnsi="Times New Roman"/>
                <w:color w:val="000000"/>
                <w:sz w:val="17"/>
              </w:rPr>
              <w:t xml:space="preserve">Other non-core items </w:t>
            </w:r>
            <w:r>
              <w:rPr>
                <w:rFonts w:ascii="Times New Roman" w:hAnsi="Times New Roman"/>
                <w:color w:val="000000"/>
                <w:sz w:val="11"/>
              </w:rPr>
              <w:t>(e)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560</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(528</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3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7"/>
              </w:rPr>
            </w:pPr>
            <w:r>
              <w:rPr>
                <w:rFonts w:ascii="Times New Roman" w:hAnsi="Times New Roman"/>
                <w:b/>
                <w:color w:val="000000"/>
                <w:sz w:val="17"/>
              </w:rPr>
              <w:t>Adjusted EBITDA</w:t>
            </w:r>
            <w:r>
              <w:rPr>
                <w:rFonts w:ascii="Times New Roman" w:hAnsi="Times New Roman"/>
                <w:color w:val="000000"/>
                <w:sz w:val="17"/>
              </w:rPr>
              <w:t xml:space="preserve"> </w:t>
            </w:r>
            <w:r>
              <w:rPr>
                <w:rFonts w:ascii="Times New Roman" w:hAnsi="Times New Roman"/>
                <w:b/>
                <w:color w:val="000000"/>
                <w:sz w:val="17"/>
              </w:rPr>
              <w:t>and margin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14,706</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20,023</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Primarily represents foreign exchange and Tax Receivable Agreement liability remeasurement gains and losses.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Equity-based compensation represents non-cash compensation expense recognized in association with equity awards made to employees and directors.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jc w:val="left"/>
        <w:rPr>
          <w:rFonts w:ascii="Times New Roman" w:hAnsi="Times New Roman"/>
          <w:color w:val="000000"/>
          <w:sz w:val="20"/>
        </w:rPr>
      </w:pPr>
      <w:r>
        <w:rPr>
          <w:rFonts w:ascii="Times New Roman" w:hAnsi="Times New Roman"/>
          <w:color w:val="000000"/>
          <w:sz w:val="20"/>
        </w:rPr>
        <w:t>Transaction and integration expenses primarily represent legal, accounting, and consulting expenses and fair value adjustments for contingent consideration related to our acquisitions and strategic partnerships. Restructuring expenses relate to the 2024 Restructuring Plan, as well as impairment and restructuring charges related to office closures, relocations, and consolidations.</w:t>
      </w:r>
    </w:p>
    <w:p>
      <w:pPr>
        <w:pStyle w:val="TextBody"/>
        <w:bidi w:val="0"/>
        <w:jc w:val="left"/>
        <w:rPr/>
      </w:pPr>
      <w:r>
        <w:rPr/>
        <w:t> </w:t>
      </w:r>
    </w:p>
    <w:tbl>
      <w:tblPr>
        <w:tblW w:w="9132" w:type="dxa"/>
        <w:jc w:val="left"/>
        <w:tblInd w:w="0" w:type="dxa"/>
        <w:tblLayout w:type="fixed"/>
        <w:tblCellMar>
          <w:top w:w="28" w:type="dxa"/>
          <w:left w:w="28" w:type="dxa"/>
          <w:bottom w:w="28" w:type="dxa"/>
          <w:right w:w="28" w:type="dxa"/>
        </w:tblCellMar>
      </w:tblPr>
      <w:tblGrid>
        <w:gridCol w:w="5996"/>
        <w:gridCol w:w="546"/>
        <w:gridCol w:w="244"/>
        <w:gridCol w:w="660"/>
        <w:gridCol w:w="307"/>
        <w:gridCol w:w="284"/>
        <w:gridCol w:w="244"/>
        <w:gridCol w:w="660"/>
        <w:gridCol w:w="191"/>
      </w:tblGrid>
      <w:tr>
        <w:trPr/>
        <w:tc>
          <w:tcPr>
            <w:tcW w:w="599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Merger and acquisition due diligence and transaction costs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w:t>
            </w:r>
          </w:p>
        </w:tc>
        <w:tc>
          <w:tcPr>
            <w:tcW w:w="30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Integration costs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3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Fair value adjustment for contingent consideration</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w:t>
            </w:r>
          </w:p>
        </w:tc>
        <w:tc>
          <w:tcPr>
            <w:tcW w:w="30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8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Restructuring charges for severance and other separation costs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Office closure and relocation restructuring charges and impairments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transaction, integration and restructuring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Goodwill impairment represents non-cash, pre-tax, goodwill impairment charges. We experienced declines in our market capitalization as a result of a sustained decrease in our stock price, which represented a triggering event requiring our management to perform a quantitative goodwill impairment test as of the end of the first quarter of 2025. As a result of the impairment test conducted, we determined that the fair value of our single reporting unit was lower than its carrying value and, accordingly, recorded the impairment charge.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w:t>
      </w:r>
    </w:p>
    <w:p>
      <w:pPr>
        <w:pStyle w:val="TextBody"/>
        <w:bidi w:val="0"/>
        <w:jc w:val="left"/>
        <w:rPr>
          <w:rFonts w:ascii="Times New Roman" w:hAnsi="Times New Roman"/>
          <w:color w:val="000000"/>
          <w:sz w:val="20"/>
        </w:rPr>
      </w:pPr>
      <w:r>
        <w:rPr>
          <w:rFonts w:ascii="Times New Roman" w:hAnsi="Times New Roman"/>
          <w:color w:val="000000"/>
          <w:sz w:val="20"/>
        </w:rPr>
        <w:t>Other non-core items represent expenses driven by events that are typically by nature one-time, non-operational, and/or unrelated to our core operations. These expenses are comprised of non-core legal and regulatory costs isolated to unique and extraordinary litigation, legal and regulatory matters that are not considered normal and recurring business activity, including sales tax accrual adjustments inclusive of penalties and interest for sales taxes that we may have been required to collect from customers in certain previous years, and other non-recurring legal and regulatory matters. Other non-core items also include consulting fees and severance costs associated with strategic transition initiatives, as well as professional fees related to financing, capital structure changes, and other non-core items.</w:t>
      </w:r>
    </w:p>
    <w:p>
      <w:pPr>
        <w:pStyle w:val="TextBody"/>
        <w:bidi w:val="0"/>
        <w:jc w:val="left"/>
        <w:rPr/>
      </w:pPr>
      <w:r>
        <w:rPr/>
        <w:t> </w:t>
      </w:r>
    </w:p>
    <w:tbl>
      <w:tblPr>
        <w:tblW w:w="8925" w:type="dxa"/>
        <w:jc w:val="left"/>
        <w:tblInd w:w="0" w:type="dxa"/>
        <w:tblLayout w:type="fixed"/>
        <w:tblCellMar>
          <w:top w:w="28" w:type="dxa"/>
          <w:left w:w="28" w:type="dxa"/>
          <w:bottom w:w="28" w:type="dxa"/>
          <w:right w:w="28" w:type="dxa"/>
        </w:tblCellMar>
      </w:tblPr>
      <w:tblGrid>
        <w:gridCol w:w="5771"/>
        <w:gridCol w:w="546"/>
        <w:gridCol w:w="278"/>
        <w:gridCol w:w="556"/>
        <w:gridCol w:w="325"/>
        <w:gridCol w:w="325"/>
        <w:gridCol w:w="278"/>
        <w:gridCol w:w="635"/>
        <w:gridCol w:w="211"/>
      </w:tblGrid>
      <w:tr>
        <w:trPr/>
        <w:tc>
          <w:tcPr>
            <w:tcW w:w="577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Non-core legal and regulatory</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32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Consulting and severance costs for strategic transition initiatives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32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non-core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non-core items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As of March 31, 2025, we had $106.1 million of cash and cash equivalents, $94.6 million of short-term investments, and $49.7 million available under our revolving credit facility. Our principal sources of liquidity are cash and cash equivalents and short-term investments on hand, as well as the cash flows we generate from operations. Our principal uses of liquidity have been, and are expected to continue to be, primarily for investment in long-term growth of the business through capital expenditures, acquisitions, as well as for debt services (see Note 9. </w:t>
      </w:r>
      <w:r>
        <w:rPr>
          <w:rFonts w:ascii="Times New Roman" w:hAnsi="Times New Roman"/>
          <w:i/>
          <w:color w:val="000000"/>
          <w:sz w:val="20"/>
        </w:rPr>
        <w:t>Long-Term Debt</w:t>
      </w:r>
      <w:r>
        <w:rPr>
          <w:rFonts w:ascii="Times New Roman" w:hAnsi="Times New Roman"/>
          <w:color w:val="000000"/>
          <w:sz w:val="20"/>
        </w:rPr>
        <w:t xml:space="preserve"> to the accompanying unaudited condensed consolidated financial statements for further details), repurchases of our Class A Common Stock, and distributions to members of Definitive OpCo, and payments under our tax receivable agreement. </w:t>
      </w:r>
    </w:p>
    <w:p>
      <w:pPr>
        <w:pStyle w:val="TextBody"/>
        <w:bidi w:val="0"/>
        <w:spacing w:before="120" w:after="283"/>
        <w:jc w:val="left"/>
        <w:rPr>
          <w:rFonts w:ascii="Times New Roman" w:hAnsi="Times New Roman"/>
          <w:sz w:val="20"/>
        </w:rPr>
      </w:pPr>
      <w:r>
        <w:rPr>
          <w:rFonts w:ascii="Times New Roman" w:hAnsi="Times New Roman"/>
          <w:color w:val="000000"/>
          <w:sz w:val="20"/>
        </w:rPr>
        <w:t>All of our business is conducted through Definitive OpCo and its consolidated subsidiaries and affiliates, and the financial results are included in the unaudited condensed consolidated financial statements of Definitive Healthcare Corp. Definitive Healthcare Corp. has no independent means of generating revenue. The Amended LLC Agreement provides that certain distributions will be made to cover Definitive Healthcare Corp.</w:t>
      </w:r>
      <w:r>
        <w:rPr>
          <w:rFonts w:ascii="Times New Roman" w:hAnsi="Times New Roman"/>
          <w:color w:val="231F20"/>
          <w:sz w:val="20"/>
        </w:rPr>
        <w:t>’</w:t>
      </w:r>
      <w:r>
        <w:rPr>
          <w:rFonts w:ascii="Times New Roman" w:hAnsi="Times New Roman"/>
          <w:color w:val="000000"/>
          <w:sz w:val="20"/>
        </w:rPr>
        <w:t xml:space="preserve">s taxes and such tax distributions are also expected to be used by Definitive Healthcare Corp. to satisfy its obligations under the TRA. We have broad discretion to make distributions out of Definitive OpCo. In the event Definitive Healthcare Corp. declares any cash dividend, we expect to cause Definitive OpCo to make distributions to us, in an amount sufficient to cover such cash dividends declared by us. Deterioration in the financial condition, earnings, or cash flow of Definitive OpCo and its subsidiaries for any reason could limit or impair their ability to pay such distributions. In addition, the terms of our 2021 Credit Agreement contain covenants that may restrict DH Holdings and its subsidiaries from paying such distributions, subject to certain exceptions. Further, Definitive OpCo and Definitive Healthcare Corp. are generally prohibited under Delaware law from making a distribution to a member to the extent that, at the time of the distribution, after giving effect to the distribution, liabilities of Definitive OpCo and DH Holdings (with certain exceptions), as applicable, exceed the fair value of its assets. Subsidiaries of DH Holdings are generally subject to similar legal limitations on their ability to make distributions to DH Holdings.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our cash flow from operations, availability under the 2021 Credit Agreement and available cash and cash equivalents and short-term investments will be sufficient to meet our liquidity needs for at least the next twelve months and in the long term. We anticipate that to the extent that we require additional liquidity, it will be funded through the incurrence of additional indebtedness, the issuance of additional equity, or a combination thereof. We cannot provide assurance that we will be able to obtain this additional liquidity on reasonable terms,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our liquidity and our ability to meet our obligations and fund our capital requirements are dependent on our future financial performance, which is subject to general economic, financial, and other factors that are beyond our control. See “Risk Factors” in our 2024 Form 10-K and the factors described elsewhere in this “Management’s Discussion and Analysis of Financial Condition and Results of Operations.” Macroeconomic conditions, including fluctuating inflation and high interest rates, could increase our anticipated funding requirements. In the event we need to seek additional funding, high interest rates, stock market volatility, or other unfavorable macroeconomic conditions may also prevent us from obtaining additional financing on favorable terms or at all. Future adverse developments with respect to specific financial institutions or the broader financial services industry may lead to market-wide liquidity shortages that could impact us and our customers, and materially harm our business and financial condition. Our ability to access our cash, cash equivalents and investments, including transferring funds, making payments or receiving funds could be threatened and our ability to raise additional capital could be substantially impaired, any of which could materially and adversely affect our business and financial condition. Accordingly, we cannot provide assurance that our business will generate sufficient cash flow from operations or that future borrowings will be available from additional indebtedness or otherwise to meet our liquidity needs. In addition, if we decide to pursue one or more significant acquisitions, we may incur additional debt or sell or issue additional equity to finance such acquisitions, which could possibly result in additional expenses or dilution.</w:t>
      </w:r>
    </w:p>
    <w:p>
      <w:pPr>
        <w:pStyle w:val="TextBody"/>
        <w:bidi w:val="0"/>
        <w:spacing w:before="240" w:after="283"/>
        <w:jc w:val="left"/>
        <w:rPr>
          <w:rFonts w:ascii="Times New Roman" w:hAnsi="Times New Roman"/>
          <w:sz w:val="20"/>
        </w:rPr>
      </w:pPr>
      <w:r>
        <w:rPr>
          <w:rFonts w:ascii="Times New Roman" w:hAnsi="Times New Roman"/>
          <w:b/>
          <w:i/>
          <w:color w:val="000000"/>
          <w:sz w:val="20"/>
        </w:rPr>
        <w:t>Credit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financial instruments that are exposed to concentrations of credit risk consist primarily of cash and cash equivalents, short-term investments, and trade and other receivables. We hold cash with reputable financial institutions that often exceed federally insured limits. We manage our credit risk by concentrating our cash deposits and short-term investments with high-quality financial institutions and periodically evaluating the credit quality of those institutions. The carrying value of our financial instruments approximate fair value.</w:t>
      </w:r>
    </w:p>
    <w:p>
      <w:pPr>
        <w:pStyle w:val="TextBody"/>
        <w:bidi w:val="0"/>
        <w:spacing w:before="240" w:after="283"/>
        <w:jc w:val="left"/>
        <w:rPr>
          <w:rFonts w:ascii="Times New Roman" w:hAnsi="Times New Roman"/>
          <w:sz w:val="20"/>
        </w:rPr>
      </w:pPr>
      <w:r>
        <w:rPr>
          <w:rFonts w:ascii="Times New Roman" w:hAnsi="Times New Roman"/>
          <w:b/>
          <w:i/>
          <w:color w:val="000000"/>
          <w:sz w:val="20"/>
        </w:rPr>
        <w:t>Impact of Inflation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believe inflation has had a material effect on our business, financial condition, or results of operations. However, if our costs were to become subject to significant inflationary pressures, we may not be able to fully offset higher costs through price increases and our inability or failure to do so could potentially harm our business, financial condition, and results of operations.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summarizes our cash flows for the periods presented: </w:t>
      </w:r>
    </w:p>
    <w:tbl>
      <w:tblPr>
        <w:tblW w:w="10205" w:type="dxa"/>
        <w:jc w:val="left"/>
        <w:tblInd w:w="0" w:type="dxa"/>
        <w:tblLayout w:type="fixed"/>
        <w:tblCellMar>
          <w:top w:w="28" w:type="dxa"/>
          <w:left w:w="28" w:type="dxa"/>
          <w:bottom w:w="28" w:type="dxa"/>
          <w:right w:w="28" w:type="dxa"/>
        </w:tblCellMar>
      </w:tblPr>
      <w:tblGrid>
        <w:gridCol w:w="6537"/>
        <w:gridCol w:w="546"/>
        <w:gridCol w:w="211"/>
        <w:gridCol w:w="841"/>
        <w:gridCol w:w="266"/>
        <w:gridCol w:w="246"/>
        <w:gridCol w:w="211"/>
        <w:gridCol w:w="736"/>
        <w:gridCol w:w="611"/>
      </w:tblGrid>
      <w:tr>
        <w:trPr/>
        <w:tc>
          <w:tcPr>
            <w:tcW w:w="653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5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provided by (used in):</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activities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26,066</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Investing activities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83,545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5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Financing activities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(109,706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cash and cash equivalents (excluding effect of exchange rate changes)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(24,639</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Cash Provided by 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operating activities was $26.1 million during the three months ended March 31, 2025, primarily as a result of a net loss of $155.1 million, offset by non-cash charges of $169.9 million. The non-cash charges were primarily comprised of $176.5 million in goodwill impairment charges recorded during the three months ended March 31, 2025, a gain on remeasurement of the TRA of $20.7 million, amortization of intangible assets of $13.2 million, a decrease in deferred taxes of $11.0 million, equity compensation costs of $7.3 million, amortization of deferred contract costs of $3.9 million, and a $0.5 million loss on the extinguishment of debt. The net increase in operating assets and liabilities of $11.2 million for the three months ended March 31, 2025 was primarily driven by cash inflows resulting from an increase in deferred revenue of $19.1 million due to the timing of billings and cash received in advance of revenue recognition for subscription services and a decrease in accounts receivable of $10.4 million. These factors were partially offset by cash outflows resulting from lower accounts payable, accrued expenses, and other liabilities, collectively, of $8.7 million, an increase in prepaid expenses and other assets of $5.7 million, and an increase in deferred contract costs of $3.8 million. </w:t>
      </w:r>
    </w:p>
    <w:p>
      <w:pPr>
        <w:pStyle w:val="TextBody"/>
        <w:bidi w:val="0"/>
        <w:spacing w:before="240" w:after="283"/>
        <w:jc w:val="left"/>
        <w:rPr>
          <w:rFonts w:ascii="Times New Roman" w:hAnsi="Times New Roman"/>
          <w:sz w:val="20"/>
        </w:rPr>
      </w:pPr>
      <w:r>
        <w:rPr>
          <w:rFonts w:ascii="Times New Roman" w:hAnsi="Times New Roman"/>
          <w:i/>
          <w:color w:val="000000"/>
          <w:sz w:val="20"/>
        </w:rPr>
        <w:t>Cash Provided by (Used in) 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provided by investing activities during the three months ended March 31, 2025 was $83.5 million, driven primarily by $103.3 million in maturities of short-term investments, partially offset by $12.0 million in purchases of short-term investments and $7.7 million in purchases of property (including software), equipment, and data assets.</w:t>
      </w:r>
    </w:p>
    <w:p>
      <w:pPr>
        <w:pStyle w:val="TextBody"/>
        <w:bidi w:val="0"/>
        <w:spacing w:before="240" w:after="283"/>
        <w:jc w:val="left"/>
        <w:rPr>
          <w:rFonts w:ascii="Times New Roman" w:hAnsi="Times New Roman"/>
          <w:sz w:val="20"/>
        </w:rPr>
      </w:pPr>
      <w:r>
        <w:rPr>
          <w:rFonts w:ascii="Times New Roman" w:hAnsi="Times New Roman"/>
          <w:i/>
          <w:color w:val="000000"/>
          <w:sz w:val="20"/>
        </w:rPr>
        <w:t>Cash Used in 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financing activities during the three months ended March 31, 2025 was $109.7 million, driven by net repayments of the 2021 Term Loan (as defined below) of $71.3 million, payments of $21.2 million for repurchases of our Class A Common Stock, including commissions, payments of $13.8 million under the TRA, taxes paid related to the net share settlement of equity awards of $1.9 million, and payments of debt issuance costs of $1.7 million.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Refer to </w:t>
      </w:r>
      <w:r>
        <w:rPr>
          <w:rFonts w:ascii="Times New Roman" w:hAnsi="Times New Roman"/>
          <w:i/>
          <w:color w:val="000000"/>
          <w:sz w:val="20"/>
        </w:rPr>
        <w:t>Debt Obligations</w:t>
      </w:r>
      <w:r>
        <w:rPr>
          <w:rFonts w:ascii="Times New Roman" w:hAnsi="Times New Roman"/>
          <w:color w:val="000000"/>
          <w:sz w:val="20"/>
        </w:rPr>
        <w:t xml:space="preserve"> for additional information related to our debt obligations.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Debt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2021, DH Holdings entered into a credit agreement (the “2021 Credit Agreement”) with Bank of America, N.A., as administrative agent, the other lenders party thereto and the other parties specified therein. On January 16, 2025 (the “Closing Date”), DH Holdings entered into an amendment to the credit agreement (the “DH Holdings Credit Agreement Amendment”), dated as of September 17, 2021 (as amended by Amendment No. 1, dated as of October 31, 2022, and as further amended, supplemented or otherwise modified from time to time prior to the date hereof, the “Existing Credit Agreement,” and as further amended by the DH Holdings Credit Agreement Amendment, the “DH Holdings Credit Agreement”), with Bank of America, N.A., as administrative agent, the lenders party thereto and the other parties specified therein.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DH Holdings Credit Agreement Amendment provides for (i) a $175.0 million term loan facility (the “Term Facility”) and (ii) a $50.0 million revolving credit facility (the “Revolving Credit Facility” and, together with the Term Facility, collectively, the “Facilities”), the proceeds of which were used to, among other things, repay the remaining portion of the indebtedness outstanding under the Existing Credit Agreement, and to pay related fees and expenses.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loans under the Term Facility and the Revolving Credit Facility mature on January 16, 2030. The Facilities are guaranteed, subject to customary exceptions, by all of DH Holdings’ wholly-owned domestic restricted subsidiaries and AIDH Buyer, LLC, a Delaware limited liability company and the direct parent company of DH Holdings (“Holdings”), and are secured by associated collateral agreements that pledge a lien on substantially all of DH Holdings’ assets, including fixed assets and intangibles, and the assets of the guarantors, in each case, subject to customary exceptions (the “Pledged Assets”). As of March 31, 2025, the Pledged Assets of these subsidiaries approximated $710.0 million, and the net assets of these subsidiaries approximated $383.1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Facility is subject to amortization of principal, payable in quarterly installments on the last day of each fiscal quarter, commencing on the last day of the first full fiscal quarter after the Closing Date (the “Initial Amortization Date”), equal to 5.0% of the original principal amount of the term loans for each of the five years after the Initial Amortization Date. The remaining initial aggregate advances under the Term Facility are payable at the maturity of the Term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was no outstanding balance on the Revolving Credit Facility as of March 31, 2025, though we provided a standby letter of credit of $0.3 million to the lessor of our corporate headquarters in lieu of a security deposit, reducing the amount available under our revolving credit facility to $49.7 million.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2021 Credit Agreement, as amended, includes certain financial covenants for which we were compliant as of March 31, 2025 and December 31, 2024. Refer to Note 9. </w:t>
      </w:r>
      <w:r>
        <w:rPr>
          <w:rFonts w:ascii="Times New Roman" w:hAnsi="Times New Roman"/>
          <w:i/>
          <w:color w:val="000000"/>
          <w:sz w:val="20"/>
        </w:rPr>
        <w:t>Long-Term Debt</w:t>
      </w:r>
      <w:r>
        <w:rPr>
          <w:rFonts w:ascii="Times New Roman" w:hAnsi="Times New Roman"/>
          <w:color w:val="000000"/>
          <w:sz w:val="20"/>
        </w:rPr>
        <w:t xml:space="preserve"> to our unaudited condensed consolidated financial statements for further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DH Holdings Credit Agreement Amendment, we repaid $69.1 million of outstanding principal amount of the Term Facility and reduced our borrowing capacity under the Revolver Credit Facility by $25.0 million. As a result, we incurred a loss on partial extinguishment of debt of $0.5 million during the quarter ended March 31, 2025 attributed to the derecognition of a proportionate amount of the unamortized debt discount, a result of repaying the $69.1 million of outstanding principal on the Term Facility and reducing our Revolving Credit Facility. In addition, we capitalized financing costs totaling $1.7 million, of which $1.2 million related to the Term Facility and $0.5 million related to the Revolving Line of Credit. The financing costs associated with the Term Facility are recorded as a contra-debt balance in term loan, net of current portion in the consolidated balance sheets and are amortized over the remaining life of the loan using the effective interest method. The financing costs associated with the Revolving Line of Credit are recorded in other assets in the unaudited condensed consolidated balance sheets are amortized over the life of the arrangement. At March 31, 2025 and December 31, 2024, the unamortized financing costs were $0.6 million and $0.3 million, respectively.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Financing Obligations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Financing obligations generally include repayment of principal amounts of the 2021 Term Loan, lease payments, and purchase obligations. With the exception of the DH Holdings Credit Agreement Amendment as described under </w:t>
      </w:r>
      <w:r>
        <w:rPr>
          <w:rFonts w:ascii="Times New Roman" w:hAnsi="Times New Roman"/>
          <w:i/>
          <w:color w:val="000000"/>
          <w:sz w:val="20"/>
        </w:rPr>
        <w:t>Debt Obligations</w:t>
      </w:r>
      <w:r>
        <w:rPr>
          <w:rFonts w:ascii="Times New Roman" w:hAnsi="Times New Roman"/>
          <w:color w:val="000000"/>
          <w:sz w:val="20"/>
        </w:rPr>
        <w:t xml:space="preserve">, there have been no material changes to our financing obligations during the three months ended March 31, 2025. Refer to Note 5. </w:t>
      </w:r>
      <w:r>
        <w:rPr>
          <w:rFonts w:ascii="Times New Roman" w:hAnsi="Times New Roman"/>
          <w:i/>
          <w:color w:val="000000"/>
          <w:sz w:val="20"/>
        </w:rPr>
        <w:t>Leases</w:t>
      </w:r>
      <w:r>
        <w:rPr>
          <w:rFonts w:ascii="Times New Roman" w:hAnsi="Times New Roman"/>
          <w:color w:val="000000"/>
          <w:sz w:val="20"/>
        </w:rPr>
        <w:t xml:space="preserve"> and Note 14. </w:t>
      </w:r>
      <w:r>
        <w:rPr>
          <w:rFonts w:ascii="Times New Roman" w:hAnsi="Times New Roman"/>
          <w:i/>
          <w:color w:val="000000"/>
          <w:sz w:val="20"/>
        </w:rPr>
        <w:t>Commitments and Contingencies</w:t>
      </w:r>
      <w:r>
        <w:rPr>
          <w:rFonts w:ascii="Times New Roman" w:hAnsi="Times New Roman"/>
          <w:color w:val="000000"/>
          <w:sz w:val="20"/>
        </w:rPr>
        <w:t xml:space="preserve"> in our Annual Report on Form 10-K filed with the SEC on February 27, 2025 for further information.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 Repurchase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2024, our board of directors authorized a stock repurchase program of up to $20.0 million of our Class A Common Stock, which expired on December 31, 2024 (the “2024 Repurchase Program”). On November 1, 2024, our board of directors announced a new stock repurchase program (the “2025 Repurchase Program” and, together with the 2024 Repurchase Program, the “Repurchase Programs”) of our Class A Common Stock authorizing up to $100.0 million in share repurchases. The 2025 Repurchase Program expires on December 31, 2025 and became effective upon the expiration or completion of the 2024 Repurchase Program. Repurchases may be effected, from time to time, either on the open market (including pre-set trading plans), in privately negotiated transactions, and other transactions in accordance with applicable securities laws.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the amount of any repurchased Class A Common Stock will be determined by our management based on its evaluation of market conditions and other factors. The repurchase program will be funded using our working capital. Any repurchased shares of Class A Common Stock will be retired. The repurchase program does not obligate us to acquire any particular amount of Class A Common Stock, and the repurchase program may be suspended or discontinued at any time at our discretion. As of March 31, 2025, an aggregate of 10.4 million shares of Class A Common Stock have been repurchased under the Repurchase Programs.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Tax Receivable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Reorganization Transactions and the IPO, the Company entered into the TRA with certain of our pre- IPO unitholders and the former shareholders of certain Blocker Companies. The TRA provides for the payment by Definitive Healthcare Corp. of 85% of the amount of any tax benefits that it actually realizes, or in some cases is deemed to realize, as a result of (i) certain tax attributes that it acquired from the Blocker Companies in the Reorganization Transactions (including net operating losses and the unamortized portion of the increase in tax basis in the tangible and intangible assets of Definitive OpCo and its subsidiaries resulting from the prior acquisitions of interests in Definitive OpCo by the Blocker Companies), (ii) certain tax basis adjustments resulting from the acquisition of LLC Units by Definitive Healthcare Corp., and (iii) certain payments made under the TRA.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each case, these tax basis adjustments generated over time may increase (for tax purposes) the Definitive Healthcare Corp.’s depreciation and amortization deductions and, therefore, may reduce the amount of tax that the Definitive Healthcare Corp. would otherwise be required to pay in the future, although the IRS may challenge all or part of the validity of that tax basis, and a court could sustain such a challenge. The anticipated tax basis adjustments upon redemptions or exchanges of LLC Units may also decrease gains (or increase losses) on future dispositions of certain assets to the extent tax basis is allocated to those assets. The payment obligations under the TRA are an obligation of Definitive Healthcare Corp., but not of Definitive OpCo. Definitive Healthcare Corp. expects to benefit from the remaining 15% of realized cash tax benefits. For purposes of the TRA, the realized cash tax benefits will be computed by comparing the actual income tax liability of Definitive Healthcare Corp. (calculated with certain assumptions) to the amount of such taxes that Definitive Healthcare Corp. would have been required to pay had there been no tax basis adjustments of the assets of Definitive Healthcare Corp. as a result of redemptions or exchanges and no utilization of certain tax attributes of the Blocker Companies, and had Definitive Healthcare Corp. not entered into the TRA. The term of the TRA will continue until all such tax benefits have been utilized or expired, unless (i) Definitive Healthcare Corp. exercises its right to terminate the TRA for an amount based on the agreed payments remaining to be made under the agreement, (ii) Definitive Healthcare Corp. breaches any of its material obligations under the TRA in which case all obligations (including any additional interest due relating to any deferred payments) generally will be accelerated and due as if Definitive Healthcare Corp. had exercised its right to terminate the TRA, or (iii) there is a change of control of Definitive Healthcare Corp., in which case, all obligations (including any additional interest due relating to any deferred payments) generally will be accelerated and due as if Definitive Healthcare Corp. had exercised its right to terminate the TRA as described above in clause (i). Estimating the amount of payments that may be made under the TRA is by its nature imprecise, insofar as the calculation of amounts payable depends on a variety of factors. The amount of the anticipated tax basis adjustments, as well as the amount and timing of any payments under the TRA, will vary depending upon a number of factors, including the timing of exchanges, the price of shares of our Class A Common Stock at the time of an exchange, the extent to which such exchanges are taxable, the amount of tax attributes, and the amount and timing of our income.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expect that as a result of the size of the anticipated tax basis adjustment of the tangible and intangible assets of Definitive OpCo upon the exchange or redemption of LLC Units and our possible utilization of certain tax attributes, the payments that Definitive Healthcare Corp. may make under the TRA will be substantial. The payments under the TRA are not conditioned upon continued ownership of us by the exchanging holders of LLC Units. See Note 15. </w:t>
      </w:r>
      <w:r>
        <w:rPr>
          <w:rFonts w:ascii="Times New Roman" w:hAnsi="Times New Roman"/>
          <w:i/>
          <w:color w:val="000000"/>
          <w:sz w:val="20"/>
        </w:rPr>
        <w:t>Income Taxes</w:t>
      </w:r>
      <w:r>
        <w:rPr>
          <w:rFonts w:ascii="Times New Roman" w:hAnsi="Times New Roman"/>
          <w:color w:val="000000"/>
          <w:sz w:val="20"/>
        </w:rPr>
        <w:t xml:space="preserve"> in our unaudited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requirement of our lease agreement for our corporate headquarters, in lieu of a security deposit, we provided a standby letter of credit of $0.3 million, which is effective through March 2038. </w:t>
      </w:r>
    </w:p>
    <w:p>
      <w:pPr>
        <w:pStyle w:val="TextBody"/>
        <w:bidi w:val="0"/>
        <w:spacing w:before="240" w:after="283"/>
        <w:jc w:val="left"/>
        <w:rPr>
          <w:rFonts w:ascii="Times New Roman" w:hAnsi="Times New Roman"/>
          <w:sz w:val="20"/>
        </w:rPr>
      </w:pPr>
      <w:r>
        <w:rPr>
          <w:rFonts w:ascii="Times New Roman" w:hAnsi="Times New Roman"/>
          <w:b/>
          <w:color w:val="000000"/>
          <w:sz w:val="20"/>
        </w:rPr>
        <w:t>Capital Expenditures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Capital expenditures increased by $7.4 million to $7.7 million for the three months ended March 31, 2025 compared to $0.3 million for the same period in the prior year, primarily driven by higher spend on software and data assets in the current year compared with the comparable prior year period.</w:t>
      </w:r>
    </w:p>
    <w:p>
      <w:pPr>
        <w:pStyle w:val="TextBody"/>
        <w:bidi w:val="0"/>
        <w:spacing w:before="240" w:after="283"/>
        <w:jc w:val="left"/>
        <w:rPr>
          <w:rFonts w:ascii="Times New Roman" w:hAnsi="Times New Roman"/>
          <w:sz w:val="20"/>
        </w:rPr>
      </w:pPr>
      <w:r>
        <w:rPr>
          <w:rFonts w:ascii="Times New Roman" w:hAnsi="Times New Roman"/>
          <w:b/>
          <w:color w:val="000000"/>
          <w:sz w:val="20"/>
        </w:rPr>
        <w:t>Critical Accounting Policies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unaudited condensed consolidated financial statements have been prepared in accordance with U.S. GAAP, which requires us to make estimates and assumptions that affect reported amounts. The estimates and assumptions are based on historical experience and on other factors that we believe to be reasonable. Actual results may differ from those estimates. We review these estimates on a periodic basis to ensure reasonableness. Although actual amounts may differ from such estimated amounts, we believe such differences are not likely to be material. For additional detail regarding our critical accounting policies and estimates including business combinations, goodwill and indefinite-lived intangible assets, and income taxes, see our discussion for the year ended December 31, 2024 included in our 2024 Form 10-K. There have been no material changes to these policies or estimates as of March 31, 2025. </w:t>
      </w:r>
    </w:p>
    <w:p>
      <w:pPr>
        <w:pStyle w:val="TextBody"/>
        <w:bidi w:val="0"/>
        <w:spacing w:before="240" w:after="283"/>
        <w:jc w:val="left"/>
        <w:rPr>
          <w:rFonts w:ascii="Times New Roman" w:hAnsi="Times New Roman"/>
          <w:sz w:val="20"/>
        </w:rPr>
      </w:pPr>
      <w:r>
        <w:rPr>
          <w:rFonts w:ascii="Times New Roman" w:hAnsi="Times New Roman"/>
          <w:b/>
          <w:i/>
          <w:color w:val="000000"/>
          <w:sz w:val="20"/>
        </w:rPr>
        <w:t>New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See new accounting pronouncements described under “—Recently Issued Accounting Pronouncements Not Yet Adopted” within Note 1. </w:t>
      </w:r>
      <w:r>
        <w:rPr>
          <w:rFonts w:ascii="Times New Roman" w:hAnsi="Times New Roman"/>
          <w:i/>
          <w:color w:val="000000"/>
          <w:sz w:val="20"/>
        </w:rPr>
        <w:t>Organization and Basis of Presentation</w:t>
      </w:r>
      <w:r>
        <w:rPr>
          <w:rFonts w:ascii="Times New Roman" w:hAnsi="Times New Roman"/>
          <w:color w:val="000000"/>
          <w:sz w:val="20"/>
        </w:rPr>
        <w:t xml:space="preserve"> in the Notes to the unaudited condensed consolidated financial statements.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12" w:name="item_3_quantitative_and_qualitative"/>
      <w:bookmarkEnd w:id="12"/>
      <w:r>
        <w:rPr>
          <w:rFonts w:ascii="Times New Roman" w:hAnsi="Times New Roman"/>
          <w:b/>
          <w:color w:val="000000"/>
          <w:sz w:val="20"/>
        </w:rPr>
        <w:t>ITEM 3. QUANTITATIVE AND QUALITATIVE</w:t>
      </w:r>
      <w:r>
        <w:rPr>
          <w:rFonts w:ascii="Times New Roman" w:hAnsi="Times New Roman"/>
          <w:color w:val="000000"/>
          <w:sz w:val="20"/>
        </w:rPr>
        <w:t xml:space="preserve"> </w:t>
      </w:r>
      <w:r>
        <w:rPr>
          <w:rFonts w:ascii="Times New Roman" w:hAnsi="Times New Roman"/>
          <w:b/>
          <w:color w:val="000000"/>
          <w:sz w:val="20"/>
        </w:rPr>
        <w:t>DISCLOSURES ABOUT MARKET RISK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Market risk represents the risk of loss that may impact our financial condition due to adverse changes in financial market prices and rates. Our market risk exposure is primarily a result of exposure due to potential changes in inflation, interest rates, or currency rates.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Inflation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believe inflation has had a material effect on our business, financial condition, or results of operations. However, if our costs were to become subject to significant inflationary pressures, we may not be able to fully offset higher costs through price increases and our inability or failure to do so could potentially harm our business, financial condition, and results of operations.</w:t>
      </w:r>
    </w:p>
    <w:p>
      <w:pPr>
        <w:pStyle w:val="TextBody"/>
        <w:bidi w:val="0"/>
        <w:spacing w:before="240" w:after="283"/>
        <w:jc w:val="left"/>
        <w:rPr>
          <w:rFonts w:ascii="Times New Roman" w:hAnsi="Times New Roman"/>
          <w:sz w:val="20"/>
        </w:rPr>
      </w:pPr>
      <w:r>
        <w:rPr>
          <w:rFonts w:ascii="Times New Roman" w:hAnsi="Times New Roman"/>
          <w:b/>
          <w:i/>
          <w:color w:val="000000"/>
          <w:sz w:val="20"/>
        </w:rPr>
        <w:t>Interest Rate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cash, cash equivalents, and short-term investments primarily consist of cash on hand and highly liquid investments in money market funds, U.S. government securities, and commercial paper. As of March 31, 2025, we had cash and cash equivalents of $106.1 million and short-term investments of $94.6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operating results are subject to market risk from interest rate fluctuations on our 2021 Term Loan, which bears a variable interest rate based on the Secured Overnight Financing Rate (“SOFR”) or a Base Rate plus an applicable margin. In order to reduce the interest rate risk on our debt, we have entered into an interest rate cap agreement on a portion of our borrowings. As of March 31, 2025, the total principal balance outstanding was $172.8 million. Excluding the effect of the interest rate cap agreement, a hypothetical 1.0% increase or decrease in the interest rate associated with borrowings under the 2021 Credit Agreement would have resulted in an impact to interest expense of approximately $0.4 million for the three months ended March 31, 2025. </w:t>
      </w:r>
    </w:p>
    <w:p>
      <w:pPr>
        <w:pStyle w:val="TextBody"/>
        <w:bidi w:val="0"/>
        <w:spacing w:before="240" w:after="283"/>
        <w:jc w:val="left"/>
        <w:rPr>
          <w:rFonts w:ascii="Times New Roman" w:hAnsi="Times New Roman"/>
          <w:sz w:val="20"/>
        </w:rPr>
      </w:pPr>
      <w:r>
        <w:rPr>
          <w:rFonts w:ascii="Times New Roman" w:hAnsi="Times New Roman"/>
          <w:b/>
          <w:i/>
          <w:color w:val="000000"/>
          <w:sz w:val="20"/>
        </w:rPr>
        <w:t>Foreign Currency Exchange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the majority of our sales contracts have been denominated in U.S. dollars. We have one foreign entity established in Sweden and one in India. The functional currencies of these foreign subsidiaries are the Swedish Krona and the Indian Rupee, respectively. Assets and liabilities of the foreign subsidiaries are translated into U.S. dollars at the exchange rates in effect at the reporting date and revenue and expenses are translated at average exchange rates in effect during each reporting period. Realized and unrealized foreign currency transaction gains and losses are recorded to non-operating loss. As the impact of foreign currency exchange rates has not been material to our historical results of operations, we have not entered into derivative or hedging transactions, but we may do so in the future if our exposure to foreign currency becomes more significant.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13" w:name="item_4_controls_and_procedures"/>
      <w:bookmarkEnd w:id="13"/>
      <w:r>
        <w:rPr>
          <w:rFonts w:ascii="Times New Roman" w:hAnsi="Times New Roman"/>
          <w:b/>
          <w:color w:val="000000"/>
          <w:sz w:val="20"/>
        </w:rPr>
        <w:t>ITEM 4. CONTROLS AND PROCEDURES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Evaluation of 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2025, our management carried out an evaluation, under the supervision and participation of our Chief Executive Officer (principal executive officer) and our Chief Financial Officer (principal financial officer), of the effectiveness of the design of our disclosure controls and procedures (as defined in Rules 13a-15(e) and 15d-15(e) under the Securities Exchange Act of 1934, as amended (“Exchange Act”)). Based on such evaluation, our Chief Executive Officer and Chief Financial Officer have concluded that our disclosure controls and procedures were effective as of March 31, 2025 to provide reasonable assurance that information to be disclosed by us in the reports that we file or submit under the Exchange Act is (i) recorded, processed, summarized, and reported within the time periods specified in the rules and forms of the SEC, and (ii) accumulated and communicated to management, including our principal executive and principal financial officers or persons performing similar functions, as appropriate to allow timely decisions regarding disclosure.</w:t>
      </w:r>
    </w:p>
    <w:p>
      <w:pPr>
        <w:pStyle w:val="TextBody"/>
        <w:bidi w:val="0"/>
        <w:spacing w:before="240" w:after="283"/>
        <w:jc w:val="left"/>
        <w:rPr>
          <w:rFonts w:ascii="Times New Roman" w:hAnsi="Times New Roman"/>
          <w:sz w:val="20"/>
        </w:rPr>
      </w:pPr>
      <w:r>
        <w:rPr>
          <w:rFonts w:ascii="Times New Roman" w:hAnsi="Times New Roman"/>
          <w:b/>
          <w:i/>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was no change in our internal control over financial reporting identified in connection with the evaluation required by Rule 13a-15(d) and 15d-15(d) of the Exchange Act that occurred during the most recently completed fiscal quarter that has materially affected, or is reasonably likely to materially affect, our internal control over financial reporting.</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Inherent Limitations on Effectiveness of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including our Chief Executive Officer and Chief Financial Officer, do not expect that our disclosure controls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4" w:name="part_ii_other_information"/>
      <w:bookmarkEnd w:id="14"/>
      <w:r>
        <w:rPr>
          <w:rFonts w:ascii="Times New Roman" w:hAnsi="Times New Roman"/>
          <w:b/>
          <w:color w:val="000000"/>
          <w:sz w:val="20"/>
        </w:rPr>
        <w:t>PART II - OTHER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15" w:name="item_1_legal_proceedings"/>
      <w:bookmarkEnd w:id="15"/>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various legal proceedings, claims, and governmental inspections, audits, or investigations that arise in the ordinary course of our business. Although the outcomes of these matters cannot be predicted with certainty, in the opinion of management, the ultimate resolution of these matters would not be expected to have a material adverse effect on our financial position, results of operations, or cash flows. </w:t>
      </w:r>
    </w:p>
    <w:p>
      <w:pPr>
        <w:pStyle w:val="TextBody"/>
        <w:bidi w:val="0"/>
        <w:spacing w:before="360" w:after="283"/>
        <w:jc w:val="left"/>
        <w:rPr>
          <w:rFonts w:ascii="Times New Roman" w:hAnsi="Times New Roman"/>
          <w:sz w:val="20"/>
        </w:rPr>
      </w:pPr>
      <w:bookmarkStart w:id="16" w:name="item_1a_risk_factors"/>
      <w:bookmarkEnd w:id="16"/>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For a more detailed discussion of our risks and uncertainties, see also Part I, Item 1A, “Risk Factors,” in our 2024 Form 10-K. There have been no material changes in our risk factors since the filing of our 2024 Form 10-K.</w:t>
      </w:r>
      <w:r>
        <w:rPr>
          <w:rFonts w:ascii="Times New Roman" w:hAnsi="Times New Roman"/>
          <w:color w:val="000000"/>
          <w:sz w:val="24"/>
        </w:rPr>
        <w:br/>
      </w:r>
      <w:r>
        <w:rPr>
          <w:rFonts w:ascii="Times New Roman" w:hAnsi="Times New Roman"/>
          <w:color w:val="000000"/>
          <w:sz w:val="20"/>
        </w:rPr>
        <w:t> </w:t>
      </w:r>
    </w:p>
    <w:p>
      <w:pPr>
        <w:pStyle w:val="TextBody"/>
        <w:bidi w:val="0"/>
        <w:spacing w:before="240" w:after="283"/>
        <w:jc w:val="left"/>
        <w:rPr>
          <w:rFonts w:ascii="Times New Roman" w:hAnsi="Times New Roman"/>
          <w:b/>
          <w:color w:val="000000"/>
          <w:sz w:val="20"/>
        </w:rPr>
      </w:pPr>
      <w:bookmarkStart w:id="17" w:name="item2_unregistered_sales_of_equity"/>
      <w:bookmarkEnd w:id="17"/>
      <w:r>
        <w:rPr>
          <w:rFonts w:ascii="Times New Roman" w:hAnsi="Times New Roman"/>
          <w:b/>
          <w:color w:val="000000"/>
          <w:sz w:val="20"/>
        </w:rPr>
        <w:t>ITEM 2. UNREGISTERED SALES OF EQUITY SECURITIES AND USE OF PROCEEDS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Pursuant to the terms of the Amended LLC Agreement, holders of LLC Units have the right to exchange all or a portion of their LLC Units for newly issued shares of Class A Common Stock on a one-for-one basis, which issuances are made in reliance on Section 4(a)(2) of the Securities Act. Upon any such exchange, a corresponding number of shares of Class B Common Stock held by such LLC Unit holders are cancelled. Such exchanges executed in the three months ended March 31, 2025 are as follows:</w:t>
      </w:r>
    </w:p>
    <w:tbl>
      <w:tblPr>
        <w:tblW w:w="4553" w:type="dxa"/>
        <w:jc w:val="left"/>
        <w:tblInd w:w="0" w:type="dxa"/>
        <w:tblLayout w:type="fixed"/>
        <w:tblCellMar>
          <w:top w:w="28" w:type="dxa"/>
          <w:left w:w="28" w:type="dxa"/>
          <w:bottom w:w="28" w:type="dxa"/>
          <w:right w:w="28" w:type="dxa"/>
        </w:tblCellMar>
      </w:tblPr>
      <w:tblGrid>
        <w:gridCol w:w="1606"/>
        <w:gridCol w:w="146"/>
        <w:gridCol w:w="409"/>
        <w:gridCol w:w="2201"/>
        <w:gridCol w:w="191"/>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2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Date of Exchange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 Exchanged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6,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346,981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17,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79,462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220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441,443</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40"/>
        <w:jc w:val="left"/>
        <w:rPr>
          <w:rFonts w:ascii="Times New Roman" w:hAnsi="Times New Roman"/>
          <w:color w:val="000000"/>
          <w:sz w:val="20"/>
        </w:rPr>
      </w:pPr>
      <w:r>
        <w:rPr>
          <w:rFonts w:ascii="Times New Roman" w:hAnsi="Times New Roman"/>
          <w:color w:val="000000"/>
          <w:sz w:val="20"/>
        </w:rPr>
        <w:t>The following table sets forth certain information with respect to repurchases of our Class A Common Stock during the quarter ended March 31, 2025.</w:t>
      </w:r>
    </w:p>
    <w:tbl>
      <w:tblPr>
        <w:tblW w:w="10205" w:type="dxa"/>
        <w:jc w:val="left"/>
        <w:tblInd w:w="0" w:type="dxa"/>
        <w:tblLayout w:type="fixed"/>
        <w:tblCellMar>
          <w:top w:w="28" w:type="dxa"/>
          <w:left w:w="28" w:type="dxa"/>
          <w:bottom w:w="28" w:type="dxa"/>
          <w:right w:w="28" w:type="dxa"/>
        </w:tblCellMar>
      </w:tblPr>
      <w:tblGrid>
        <w:gridCol w:w="1286"/>
        <w:gridCol w:w="146"/>
        <w:gridCol w:w="200"/>
        <w:gridCol w:w="1278"/>
        <w:gridCol w:w="146"/>
        <w:gridCol w:w="146"/>
        <w:gridCol w:w="371"/>
        <w:gridCol w:w="821"/>
        <w:gridCol w:w="146"/>
        <w:gridCol w:w="146"/>
        <w:gridCol w:w="322"/>
        <w:gridCol w:w="2057"/>
        <w:gridCol w:w="146"/>
        <w:gridCol w:w="146"/>
        <w:gridCol w:w="629"/>
        <w:gridCol w:w="2024"/>
        <w:gridCol w:w="195"/>
      </w:tblGrid>
      <w:tr>
        <w:trPr/>
        <w:tc>
          <w:tcPr>
            <w:tcW w:w="1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0010"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ISSUER PURCHASES OF EQUITY SECURITIES</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Number of Shares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 Price 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Total Number of Shares Purchased as Part of Publicly Announced Plans or Programs </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Approximate Dollar Value of Shares that May Yet Be Purchased Under the Plans or Programs </w:t>
            </w:r>
            <w:r>
              <w:rPr>
                <w:rFonts w:ascii="Times New Roman" w:hAnsi="Times New Roman"/>
                <w:b/>
                <w:color w:val="000000"/>
                <w:sz w:val="13"/>
              </w:rPr>
              <w:t>(1)</w:t>
            </w:r>
            <w:r>
              <w:rPr>
                <w:rFonts w:ascii="Times New Roman" w:hAnsi="Times New Roman"/>
                <w:b/>
                <w:color w:val="000000"/>
                <w:sz w:val="20"/>
              </w:rPr>
              <w:br/>
              <w:t>(in thousands)</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1 - January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940,134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940,134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93,424</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1 - February 28,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1,700,622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1,700,622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85,018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1 -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2,963,995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2,963,995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76,686</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27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5,604,751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205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5,604,751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On November 1, 2024, our board of directors announced a stock repurchase program (the “2025 Repurchase Program”) of our Class A Common Stock authorizing up to $100.0 million in share repurchases. The Repurchase Program expires on December 31, 2025. Repurchases may be effected, from time to time, either on the open market (including pre-set trading plans), in privately negotiated transactions, and other transactions in accordance with applicable securities laws.</w:t>
      </w:r>
    </w:p>
    <w:p>
      <w:pPr>
        <w:pStyle w:val="TextBody"/>
        <w:bidi w:val="0"/>
        <w:spacing w:before="120" w:after="283"/>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18" w:name="item_3_defaults_upon_senior_securities"/>
      <w:bookmarkEnd w:id="18"/>
      <w:r>
        <w:rPr>
          <w:rFonts w:ascii="Times New Roman" w:hAnsi="Times New Roman"/>
          <w:b/>
          <w:color w:val="000000"/>
          <w:sz w:val="20"/>
        </w:rPr>
        <w:t>ITEM 3. DEFAULTS UPON SENIOR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40" w:after="283"/>
        <w:jc w:val="left"/>
        <w:rPr>
          <w:rFonts w:ascii="Times New Roman" w:hAnsi="Times New Roman"/>
          <w:sz w:val="20"/>
        </w:rPr>
      </w:pPr>
      <w:bookmarkStart w:id="19" w:name="item_4_mine_safety_disclosures"/>
      <w:bookmarkEnd w:id="19"/>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283"/>
        <w:jc w:val="left"/>
        <w:rPr>
          <w:rFonts w:ascii="Times New Roman" w:hAnsi="Times New Roman"/>
          <w:sz w:val="20"/>
        </w:rPr>
      </w:pPr>
      <w:bookmarkStart w:id="20" w:name="item_5_other_information"/>
      <w:bookmarkEnd w:id="20"/>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Trading Arrangements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1" w:name="item_6_exhibits"/>
      <w:bookmarkEnd w:id="21"/>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Exhibits filed or furnished herewith are designated by an asterisk (*); all exhibits not so designated are incorporated by reference to a prior filing as indicated. Agreements included as exhibits are included only to provide information to investors regarding their terms. Agreements listed below may contain representations, warranties, and other provisions that were made, among other things, to provide the parties thereto with specified rights and obligations and to allocate risk among them, and no such agreement should be relied upon as constituting or providing any factual disclosures about Definitive Healthcare Corp., any other persons, any state of affairs, or other matters.</w:t>
      </w:r>
    </w:p>
    <w:tbl>
      <w:tblPr>
        <w:tblW w:w="10205" w:type="dxa"/>
        <w:jc w:val="left"/>
        <w:tblInd w:w="0" w:type="dxa"/>
        <w:tblLayout w:type="fixed"/>
        <w:tblCellMar>
          <w:top w:w="28" w:type="dxa"/>
          <w:left w:w="28" w:type="dxa"/>
          <w:bottom w:w="28" w:type="dxa"/>
          <w:right w:w="28" w:type="dxa"/>
        </w:tblCellMar>
      </w:tblPr>
      <w:tblGrid>
        <w:gridCol w:w="734"/>
        <w:gridCol w:w="146"/>
        <w:gridCol w:w="9325"/>
      </w:tblGrid>
      <w:tr>
        <w:trPr/>
        <w:tc>
          <w:tcPr>
            <w:tcW w:w="7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25" w:type="dxa"/>
            <w:tcBorders/>
            <w:vAlign w:val="center"/>
          </w:tcPr>
          <w:p>
            <w:pPr>
              <w:pStyle w:val="TableContents"/>
              <w:bidi w:val="0"/>
              <w:spacing w:before="0" w:after="283"/>
              <w:jc w:val="left"/>
              <w:rPr>
                <w:sz w:val="4"/>
                <w:szCs w:val="4"/>
              </w:rPr>
            </w:pPr>
            <w:r>
              <w:rPr>
                <w:sz w:val="4"/>
                <w:szCs w:val="4"/>
              </w:rPr>
            </w:r>
          </w:p>
        </w:tc>
      </w:tr>
      <w:tr>
        <w:trPr/>
        <w:tc>
          <w:tcPr>
            <w:tcW w:w="734"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5"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 of Definitive Healthcare Corp. (incorporated by reference to Exhibit 3.1 to the Company’s Quarterly Report on Form 10-Q (File No. 001-40815) filed with the SEC on November 8, 2021).</w:t>
              </w:r>
            </w:hyperlink>
          </w:p>
        </w:tc>
      </w:tr>
      <w:tr>
        <w:trPr/>
        <w:tc>
          <w:tcPr>
            <w:tcW w:w="7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5"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 of Definitive Healthcare Corp. (incorporated by reference to Exhibit 3.2 to the Company’s Quarterly Report on Form 10-Q (File No. 001-40815) filed with the SEC on November 8, 2021).</w:t>
              </w:r>
            </w:hyperlink>
          </w:p>
        </w:tc>
      </w:tr>
      <w:tr>
        <w:trPr/>
        <w:tc>
          <w:tcPr>
            <w:tcW w:w="7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5"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Amendment No. 2, dated as of January 16, 2025, to Credit Agreement, dated September 17, 2021, by and among Definitive Healthcare Holdings, LLC, AIDH Buyer, LLC, the other loan guarantors from time to time party thereto, Bank of America, N.A., as Administrative Agent, the lenders party thereto and the issuing banks from time to time party thereto (incorporated by reference to Exhibit 10.1 to the Company’s Current Report on Form 8-K (File No. 001-40815) filed with the SEC on January 16, 2025.)</w:t>
              </w:r>
            </w:hyperlink>
          </w:p>
        </w:tc>
      </w:tr>
      <w:tr>
        <w:trPr/>
        <w:tc>
          <w:tcPr>
            <w:tcW w:w="7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5"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Offer Letter, dated February 24, 2025, by and among Casey Heller, Definitive Healthcare Corp. and Definitive Healthcare, LLC.(incorporated by reference to Exhibit 10.1 to the Company’s Current Report on Form 8-K (File No. 001-40815) filed with the SEC on February 27, 2025.)</w:t>
              </w:r>
            </w:hyperlink>
          </w:p>
        </w:tc>
      </w:tr>
      <w:tr>
        <w:trPr/>
        <w:tc>
          <w:tcPr>
            <w:tcW w:w="7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5" w:type="dxa"/>
            <w:tcBorders/>
            <w:tcMar>
              <w:top w:w="0" w:type="dxa"/>
              <w:left w:w="0" w:type="dxa"/>
              <w:bottom w:w="0" w:type="dxa"/>
              <w:right w:w="0" w:type="dxa"/>
            </w:tcMar>
            <w:vAlign w:val="center"/>
          </w:tcPr>
          <w:p>
            <w:pPr>
              <w:pStyle w:val="TableContents"/>
              <w:bidi w:val="0"/>
              <w:spacing w:before="0" w:after="283"/>
              <w:jc w:val="left"/>
              <w:rPr/>
            </w:pPr>
            <w:hyperlink w:anchor="dh-ex10_3.htm">
              <w:r>
                <w:rPr>
                  <w:rStyle w:val="InternetLink"/>
                  <w:rFonts w:ascii="Times New Roman" w:hAnsi="Times New Roman"/>
                  <w:color w:val="0000FF"/>
                  <w:sz w:val="20"/>
                  <w:u w:val="single"/>
                </w:rPr>
                <w:t>Form of Executive Performance-Based Restricted Stock Unit Award Agreement under Definitive Healthcare Corp. 2021 Equity Incentive Plan (2025).</w:t>
              </w:r>
            </w:hyperlink>
          </w:p>
        </w:tc>
      </w:tr>
      <w:tr>
        <w:trPr/>
        <w:tc>
          <w:tcPr>
            <w:tcW w:w="7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5" w:type="dxa"/>
            <w:tcBorders/>
            <w:tcMar>
              <w:top w:w="0" w:type="dxa"/>
              <w:left w:w="0" w:type="dxa"/>
              <w:bottom w:w="0" w:type="dxa"/>
              <w:right w:w="0" w:type="dxa"/>
            </w:tcMar>
            <w:vAlign w:val="center"/>
          </w:tcPr>
          <w:p>
            <w:pPr>
              <w:pStyle w:val="TableContents"/>
              <w:bidi w:val="0"/>
              <w:spacing w:before="0" w:after="283"/>
              <w:jc w:val="left"/>
              <w:rPr/>
            </w:pPr>
            <w:hyperlink w:anchor="dh-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5" w:type="dxa"/>
            <w:tcBorders/>
            <w:tcMar>
              <w:top w:w="0" w:type="dxa"/>
              <w:left w:w="0" w:type="dxa"/>
              <w:bottom w:w="0" w:type="dxa"/>
              <w:right w:w="0" w:type="dxa"/>
            </w:tcMar>
            <w:vAlign w:val="center"/>
          </w:tcPr>
          <w:p>
            <w:pPr>
              <w:pStyle w:val="TableContents"/>
              <w:bidi w:val="0"/>
              <w:spacing w:before="0" w:after="283"/>
              <w:jc w:val="left"/>
              <w:rPr/>
            </w:pPr>
            <w:hyperlink w:anchor="dh-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5" w:type="dxa"/>
            <w:tcBorders/>
            <w:tcMar>
              <w:top w:w="0" w:type="dxa"/>
              <w:left w:w="0" w:type="dxa"/>
              <w:bottom w:w="0" w:type="dxa"/>
              <w:right w:w="0" w:type="dxa"/>
            </w:tcMar>
            <w:vAlign w:val="center"/>
          </w:tcPr>
          <w:p>
            <w:pPr>
              <w:pStyle w:val="TableContents"/>
              <w:bidi w:val="0"/>
              <w:spacing w:before="0" w:after="283"/>
              <w:jc w:val="left"/>
              <w:rPr/>
            </w:pPr>
            <w:hyperlink w:anchor="dh-ex32_1.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Sarbanes-Oxley Act of 2002.</w:t>
              </w:r>
            </w:hyperlink>
          </w:p>
        </w:tc>
      </w:tr>
      <w:tr>
        <w:trPr/>
        <w:tc>
          <w:tcPr>
            <w:tcW w:w="7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The certification attached as Exhibit 32.1 that accompanies this Quarterly Report on Form 10-Q is not deemed filed with the Securities and Exchange Commission and is not to be incorporated by reference into any filing of Definitive Healthcare Corp.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2" w:name="signatures"/>
      <w:bookmarkEnd w:id="22"/>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as amended, the registrant has duly caused this report to be signed on its behalf by the undersigned thereunto duly authorized. </w:t>
      </w:r>
    </w:p>
    <w:tbl>
      <w:tblPr>
        <w:tblW w:w="6810" w:type="dxa"/>
        <w:jc w:val="left"/>
        <w:tblInd w:w="0" w:type="dxa"/>
        <w:tblLayout w:type="fixed"/>
        <w:tblCellMar>
          <w:top w:w="28" w:type="dxa"/>
          <w:left w:w="28" w:type="dxa"/>
          <w:bottom w:w="28" w:type="dxa"/>
          <w:right w:w="28" w:type="dxa"/>
        </w:tblCellMar>
      </w:tblPr>
      <w:tblGrid>
        <w:gridCol w:w="1156"/>
        <w:gridCol w:w="146"/>
        <w:gridCol w:w="406"/>
        <w:gridCol w:w="631"/>
        <w:gridCol w:w="4471"/>
      </w:tblGrid>
      <w:tr>
        <w:trPr/>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471" w:type="dxa"/>
            <w:tcBorders/>
            <w:vAlign w:val="center"/>
          </w:tcPr>
          <w:p>
            <w:pPr>
              <w:pStyle w:val="TableContents"/>
              <w:bidi w:val="0"/>
              <w:spacing w:before="0" w:after="283"/>
              <w:jc w:val="left"/>
              <w:rPr>
                <w:sz w:val="4"/>
                <w:szCs w:val="4"/>
              </w:rPr>
            </w:pPr>
            <w:r>
              <w:rPr>
                <w:sz w:val="4"/>
                <w:szCs w:val="4"/>
              </w:rPr>
            </w:r>
          </w:p>
        </w:tc>
      </w:tr>
      <w:tr>
        <w:trPr/>
        <w:tc>
          <w:tcPr>
            <w:tcW w:w="11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0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HEALTHCARE CORP.</w:t>
            </w:r>
          </w:p>
        </w:tc>
      </w:tr>
      <w:tr>
        <w:trPr/>
        <w:tc>
          <w:tcPr>
            <w:tcW w:w="11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0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8, 2025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102" w:type="dxa"/>
            <w:gridSpan w:val="2"/>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 Kevin Coop</w:t>
            </w:r>
          </w:p>
        </w:tc>
      </w:tr>
      <w:tr>
        <w:trPr/>
        <w:tc>
          <w:tcPr>
            <w:tcW w:w="1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4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Kevin Coop</w:t>
            </w:r>
          </w:p>
        </w:tc>
      </w:tr>
      <w:tr>
        <w:trPr/>
        <w:tc>
          <w:tcPr>
            <w:tcW w:w="11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4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Chief Executive Officer (</w:t>
            </w:r>
            <w:r>
              <w:rPr>
                <w:rFonts w:ascii="Times New Roman" w:hAnsi="Times New Roman"/>
                <w:i/>
                <w:color w:val="000000"/>
                <w:sz w:val="20"/>
              </w:rPr>
              <w:t>Principal Executive Officer</w:t>
            </w:r>
            <w:r>
              <w:rPr>
                <w:rFonts w:ascii="Times New Roman" w:hAnsi="Times New Roman"/>
                <w:color w:val="000000"/>
                <w:sz w:val="20"/>
              </w:rPr>
              <w:t>)</w:t>
            </w:r>
          </w:p>
        </w:tc>
      </w:tr>
    </w:tbl>
    <w:tbl>
      <w:tblPr>
        <w:tblW w:w="6765" w:type="dxa"/>
        <w:jc w:val="left"/>
        <w:tblInd w:w="0" w:type="dxa"/>
        <w:tblLayout w:type="fixed"/>
        <w:tblCellMar>
          <w:top w:w="28" w:type="dxa"/>
          <w:left w:w="28" w:type="dxa"/>
          <w:bottom w:w="28" w:type="dxa"/>
          <w:right w:w="28" w:type="dxa"/>
        </w:tblCellMar>
      </w:tblPr>
      <w:tblGrid>
        <w:gridCol w:w="1156"/>
        <w:gridCol w:w="146"/>
        <w:gridCol w:w="406"/>
        <w:gridCol w:w="631"/>
        <w:gridCol w:w="4426"/>
      </w:tblGrid>
      <w:tr>
        <w:trPr/>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426" w:type="dxa"/>
            <w:tcBorders/>
            <w:vAlign w:val="center"/>
          </w:tcPr>
          <w:p>
            <w:pPr>
              <w:pStyle w:val="TableContents"/>
              <w:bidi w:val="0"/>
              <w:spacing w:before="0" w:after="283"/>
              <w:jc w:val="left"/>
              <w:rPr>
                <w:sz w:val="4"/>
                <w:szCs w:val="4"/>
              </w:rPr>
            </w:pPr>
            <w:r>
              <w:rPr>
                <w:sz w:val="4"/>
                <w:szCs w:val="4"/>
              </w:rPr>
            </w:r>
          </w:p>
        </w:tc>
      </w:tr>
      <w:tr>
        <w:trPr/>
        <w:tc>
          <w:tcPr>
            <w:tcW w:w="11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8, 2025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057" w:type="dxa"/>
            <w:gridSpan w:val="2"/>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 Richard Booth</w:t>
            </w:r>
          </w:p>
        </w:tc>
      </w:tr>
      <w:tr>
        <w:trPr/>
        <w:tc>
          <w:tcPr>
            <w:tcW w:w="1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4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Richard Booth</w:t>
            </w:r>
          </w:p>
        </w:tc>
      </w:tr>
      <w:tr>
        <w:trPr/>
        <w:tc>
          <w:tcPr>
            <w:tcW w:w="11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4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Chief Financial Officer (</w:t>
            </w:r>
            <w:r>
              <w:rPr>
                <w:rFonts w:ascii="Times New Roman" w:hAnsi="Times New Roman"/>
                <w:i/>
                <w:color w:val="000000"/>
                <w:sz w:val="20"/>
              </w:rPr>
              <w:t>Principal Financial Officer</w:t>
            </w:r>
            <w:r>
              <w:rPr>
                <w:rFonts w:ascii="Times New Roman" w:hAnsi="Times New Roman"/>
                <w:color w:val="000000"/>
                <w:sz w:val="20"/>
              </w:rPr>
              <w:t>)</w:t>
            </w:r>
          </w:p>
        </w:tc>
      </w:tr>
    </w:tbl>
    <w:p>
      <w:pPr>
        <w:pStyle w:val="TextBody"/>
        <w:bidi w:val="0"/>
        <w:spacing w:before="360" w:after="283"/>
        <w:jc w:val="left"/>
        <w:rPr/>
      </w:pPr>
      <w:r>
        <w:rPr/>
        <w:t> </w:t>
      </w:r>
    </w:p>
    <w:p>
      <w:pPr>
        <w:pStyle w:val="TextBody"/>
        <w:bidi w:val="0"/>
        <w:spacing w:before="36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3" w:name="dh-ex10_3.htm"/>
      <w:bookmarkStart w:id="24" w:name="ksdhex10_3"/>
      <w:bookmarkEnd w:id="23"/>
      <w:bookmarkEnd w:id="24"/>
      <w:r>
        <w:rPr>
          <w:rFonts w:ascii="Times New Roman" w:hAnsi="Times New Roman"/>
          <w:b/>
          <w:color w:val="000000"/>
          <w:sz w:val="24"/>
        </w:rPr>
        <w:t>Exhibit 10.3</w:t>
      </w:r>
      <w:r>
        <w:br w:type="page"/>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Definitive Healthcare Corp.</w:t>
      </w:r>
    </w:p>
    <w:p>
      <w:pPr>
        <w:pStyle w:val="TextBody"/>
        <w:bidi w:val="0"/>
        <w:jc w:val="center"/>
        <w:rPr>
          <w:rFonts w:ascii="Times New Roman" w:hAnsi="Times New Roman"/>
          <w:b/>
          <w:color w:val="000000"/>
          <w:sz w:val="24"/>
        </w:rPr>
      </w:pPr>
      <w:r>
        <w:rPr>
          <w:rFonts w:ascii="Times New Roman" w:hAnsi="Times New Roman"/>
          <w:b/>
          <w:color w:val="000000"/>
          <w:sz w:val="24"/>
        </w:rPr>
        <w:t>2021 Equity Incentive Plan</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Restricted Stock Unit Award Agreement</w:t>
        <w:br/>
        <w:t>(Performance-Based)</w:t>
      </w:r>
    </w:p>
    <w:p>
      <w:pPr>
        <w:pStyle w:val="TextBody"/>
        <w:bidi w:val="0"/>
        <w:spacing w:before="180" w:after="283"/>
        <w:jc w:val="both"/>
        <w:rPr>
          <w:rFonts w:ascii="Times New Roman" w:hAnsi="Times New Roman"/>
          <w:sz w:val="20"/>
        </w:rPr>
      </w:pPr>
      <w:r>
        <w:rPr>
          <w:rFonts w:ascii="Times New Roman" w:hAnsi="Times New Roman"/>
          <w:color w:val="000000"/>
          <w:sz w:val="24"/>
        </w:rPr>
        <w:t>This Restricted Stock Unit Award Agreement (this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is made by and between Definitive Healthcare Corp., a Delaware corporation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and [●] (the “</w:t>
      </w:r>
      <w:r>
        <w:rPr>
          <w:rFonts w:ascii="Times New Roman" w:hAnsi="Times New Roman"/>
          <w:color w:val="000000"/>
          <w:sz w:val="24"/>
          <w:u w:val="single"/>
        </w:rPr>
        <w:t>Participant</w:t>
      </w:r>
      <w:r>
        <w:rPr>
          <w:rFonts w:ascii="Times New Roman" w:hAnsi="Times New Roman"/>
          <w:color w:val="000000"/>
          <w:sz w:val="20"/>
        </w:rPr>
        <w:t>”</w:t>
      </w:r>
      <w:r>
        <w:rPr>
          <w:rFonts w:ascii="Times New Roman" w:hAnsi="Times New Roman"/>
          <w:color w:val="000000"/>
          <w:sz w:val="24"/>
        </w:rPr>
        <w:t>), effective as of [●] (the “</w:t>
      </w:r>
      <w:r>
        <w:rPr>
          <w:rFonts w:ascii="Times New Roman" w:hAnsi="Times New Roman"/>
          <w:color w:val="000000"/>
          <w:sz w:val="24"/>
          <w:u w:val="single"/>
        </w:rPr>
        <w:t>Date of Grant</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RECITALS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Company has adopted the Definitive Healthcare Corp. 2021 Equity Incentive Plan (the “</w:t>
      </w:r>
      <w:r>
        <w:rPr>
          <w:rFonts w:ascii="Times New Roman" w:hAnsi="Times New Roman"/>
          <w:color w:val="000000"/>
          <w:sz w:val="24"/>
          <w:u w:val="single"/>
        </w:rPr>
        <w:t>Plan</w:t>
      </w:r>
      <w:r>
        <w:rPr>
          <w:rFonts w:ascii="Times New Roman" w:hAnsi="Times New Roman"/>
          <w:color w:val="000000"/>
          <w:sz w:val="20"/>
        </w:rPr>
        <w:t>”</w:t>
      </w:r>
      <w:r>
        <w:rPr>
          <w:rFonts w:ascii="Times New Roman" w:hAnsi="Times New Roman"/>
          <w:color w:val="000000"/>
          <w:sz w:val="24"/>
        </w:rPr>
        <w:t>), which is incorporated herein by reference and made a part of this Agreement. Capitalized terms not otherwise defined in this Agreement shall have the meanings ascribed to those terms in the Plan; and</w:t>
      </w:r>
    </w:p>
    <w:p>
      <w:pPr>
        <w:pStyle w:val="TextBody"/>
        <w:bidi w:val="0"/>
        <w:spacing w:before="180" w:after="283"/>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Committee has authorized and approved the grant of an Award to the Participant that will provide the Participant the opportunity to receive shares of Common Stock upon the settlement of performance-based restricted stock units on the terms and conditions set forth in the Plan and this Agreement (“</w:t>
      </w:r>
      <w:r>
        <w:rPr>
          <w:rFonts w:ascii="Times New Roman" w:hAnsi="Times New Roman"/>
          <w:color w:val="000000"/>
          <w:sz w:val="24"/>
          <w:u w:val="single"/>
        </w:rPr>
        <w:t>PSUs</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Times New Roman" w:hAnsi="Times New Roman"/>
          <w:b/>
          <w:color w:val="000000"/>
          <w:sz w:val="24"/>
        </w:rPr>
        <w:t>NOW THEREFORE</w:t>
      </w:r>
      <w:r>
        <w:rPr>
          <w:rFonts w:ascii="Times New Roman" w:hAnsi="Times New Roman"/>
          <w:color w:val="000000"/>
          <w:sz w:val="24"/>
        </w:rPr>
        <w:t>, in consideration of the premises and mutual covenants set forth in this Agreement, the parties agree as follows:</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w:t>
      </w:r>
    </w:p>
    <w:p>
      <w:pPr>
        <w:pStyle w:val="TextBody"/>
        <w:bidi w:val="0"/>
        <w:jc w:val="both"/>
        <w:rPr/>
      </w:pPr>
      <w:r>
        <w:rPr>
          <w:rFonts w:ascii="Times New Roman" w:hAnsi="Times New Roman"/>
          <w:color w:val="000000"/>
          <w:sz w:val="24"/>
          <w:u w:val="single"/>
        </w:rPr>
        <w:t>Grant of Award</w:t>
      </w:r>
      <w:r>
        <w:rPr>
          <w:rFonts w:ascii="Times New Roman" w:hAnsi="Times New Roman"/>
          <w:color w:val="000000"/>
          <w:sz w:val="24"/>
        </w:rPr>
        <w:t>. The Company hereby grants to the Participant, effective as of the Date of Grant, [●] PSUs (the “</w:t>
      </w:r>
      <w:r>
        <w:rPr>
          <w:rFonts w:ascii="Times New Roman" w:hAnsi="Times New Roman"/>
          <w:color w:val="000000"/>
          <w:sz w:val="24"/>
          <w:u w:val="single"/>
        </w:rPr>
        <w:t>Target PSUs</w:t>
      </w:r>
      <w:r>
        <w:rPr>
          <w:color w:val="000000"/>
        </w:rPr>
        <w:t>”</w:t>
      </w:r>
      <w:r>
        <w:rPr>
          <w:rFonts w:ascii="Times New Roman" w:hAnsi="Times New Roman"/>
          <w:color w:val="000000"/>
          <w:sz w:val="24"/>
        </w:rPr>
        <w:t xml:space="preserve">), which are subject to vesting on the terms and conditions set forth in the Plan and this Agreement. </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2.</w:t>
      </w:r>
    </w:p>
    <w:p>
      <w:pPr>
        <w:pStyle w:val="TextBody"/>
        <w:bidi w:val="0"/>
        <w:jc w:val="both"/>
        <w:rPr/>
      </w:pPr>
      <w:r>
        <w:rPr>
          <w:rFonts w:ascii="Times New Roman" w:hAnsi="Times New Roman"/>
          <w:color w:val="000000"/>
          <w:sz w:val="24"/>
          <w:u w:val="single"/>
        </w:rPr>
        <w:t>Vesting and Forfeiture</w:t>
      </w:r>
      <w:r>
        <w:rPr>
          <w:rFonts w:ascii="Times New Roman" w:hAnsi="Times New Roman"/>
          <w:color w:val="000000"/>
          <w:sz w:val="24"/>
        </w:rPr>
        <w:t>. Subject to the terms and conditions set forth in the Plan and this Agreement, the PSUs shall vest as follows: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Vesting</w:t>
      </w:r>
      <w:r>
        <w:rPr>
          <w:rFonts w:ascii="Times New Roman" w:hAnsi="Times New Roman"/>
          <w:color w:val="000000"/>
          <w:sz w:val="24"/>
        </w:rPr>
        <w:t>. Except as otherwise provided in this Agreement, the PSUs shall vest (and become “</w:t>
      </w:r>
      <w:r>
        <w:rPr>
          <w:rFonts w:ascii="Times New Roman" w:hAnsi="Times New Roman"/>
          <w:color w:val="000000"/>
          <w:sz w:val="24"/>
          <w:u w:val="single"/>
        </w:rPr>
        <w:t>Final Earned PSUs</w:t>
      </w:r>
      <w:r>
        <w:rPr>
          <w:rFonts w:ascii="Times New Roman" w:hAnsi="Times New Roman"/>
          <w:color w:val="000000"/>
          <w:sz w:val="20"/>
        </w:rPr>
        <w:t>”</w:t>
      </w:r>
      <w:r>
        <w:rPr>
          <w:rFonts w:ascii="Times New Roman" w:hAnsi="Times New Roman"/>
          <w:color w:val="000000"/>
          <w:sz w:val="24"/>
        </w:rPr>
        <w:t>) upon the date on which the Committee certifies the Company’s achievement of the Performance Goals, including application of the Relative TSR Modifier, each as defined and set forth on Schedule I to this Agreement (such date of Committee certification, the “</w:t>
      </w:r>
      <w:r>
        <w:rPr>
          <w:rFonts w:ascii="Times New Roman" w:hAnsi="Times New Roman"/>
          <w:color w:val="000000"/>
          <w:sz w:val="24"/>
          <w:u w:val="single"/>
        </w:rPr>
        <w:t>Vesting Date</w:t>
      </w:r>
      <w:r>
        <w:rPr>
          <w:rFonts w:ascii="Times New Roman" w:hAnsi="Times New Roman"/>
          <w:color w:val="000000"/>
          <w:sz w:val="20"/>
        </w:rPr>
        <w:t>”</w:t>
      </w:r>
      <w:r>
        <w:rPr>
          <w:rFonts w:ascii="Times New Roman" w:hAnsi="Times New Roman"/>
          <w:color w:val="000000"/>
          <w:sz w:val="24"/>
        </w:rPr>
        <w:t>), subject to the Participant’s continued Service from the Date of Grant through the last day of the Performance Period (except as otherwise set forth in Schedule I). The number of Final Earned PSUs may range from 0% of the Target PSUs up to 200% of the Target PSUs based on performance. Any Final Earned PSUs shall be settled as set forth in Section 3(a) of this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Termination of Service; Breach</w:t>
      </w:r>
      <w:r>
        <w:rPr>
          <w:rFonts w:ascii="Times New Roman" w:hAnsi="Times New Roman"/>
          <w:color w:val="000000"/>
          <w:sz w:val="24"/>
        </w:rPr>
        <w:t>. Except as otherwise set forth in Schedule I hereto, upon termination of the Participant’s Service prior to the end of the Performance Period for any reason or no reason, any then unvested PSUs will be forfeited immediately, automatically and without consideration. If the Participant breaches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Section 4, Section 5, or any other restrictive covenant with the Company or its Affiliate, any PSUs, whether vested or unvested, will be forfeited immediately, automatically and without consideration.</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3.</w:t>
      </w:r>
    </w:p>
    <w:p>
      <w:pPr>
        <w:pStyle w:val="TextBody"/>
        <w:bidi w:val="0"/>
        <w:jc w:val="left"/>
        <w:rPr>
          <w:rFonts w:ascii="Times New Roman" w:hAnsi="Times New Roman"/>
          <w:color w:val="000000"/>
          <w:sz w:val="24"/>
          <w:u w:val="single"/>
        </w:rPr>
      </w:pPr>
      <w:r>
        <w:rPr>
          <w:rFonts w:ascii="Times New Roman" w:hAnsi="Times New Roman"/>
          <w:color w:val="000000"/>
          <w:sz w:val="24"/>
          <w:u w:val="single"/>
        </w:rPr>
        <w:t>Payment</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pPr>
      <w:r>
        <w:rPr>
          <w:rFonts w:ascii="Times New Roman" w:hAnsi="Times New Roman"/>
          <w:color w:val="000000"/>
          <w:sz w:val="24"/>
          <w:u w:val="single"/>
        </w:rPr>
        <w:t>Settlement</w:t>
      </w:r>
      <w:r>
        <w:rPr>
          <w:rFonts w:ascii="Times New Roman" w:hAnsi="Times New Roman"/>
          <w:color w:val="000000"/>
          <w:sz w:val="24"/>
        </w:rPr>
        <w:t>. As soon as administratively practicable following the end of the Performance Period or, if earlier, such vesting date specified in Section I of Schedule I, but in no event later than March 15 of the year following the end of the Performance Period (or the year in which the earlier vesting date specified in Section I of Schedule I occurs), the Company shall deliver to the Participant a number of shares of Common Stock equal to the number of Final Earned PSUs that vested pursuant to Section 2(a) on such date. The Company may deliver such shares either through book entry accounts held by, or in the name of, the Participant or cause to be issued a certificate or certificates representing the number of shares to be issued in respect of the Final Earned PSUs, registered in the name of the Participant.</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pPr>
      <w:r>
        <w:rPr>
          <w:rFonts w:ascii="Times New Roman" w:hAnsi="Times New Roman"/>
          <w:color w:val="000000"/>
          <w:sz w:val="24"/>
          <w:u w:val="single"/>
        </w:rPr>
        <w:t>Withholding Requirements</w:t>
      </w:r>
      <w:r>
        <w:rPr>
          <w:rFonts w:ascii="Times New Roman" w:hAnsi="Times New Roman"/>
          <w:color w:val="000000"/>
          <w:sz w:val="24"/>
        </w:rPr>
        <w:t xml:space="preserve">. Unless the Committee determines to require or permit the Participant to satisfy the withholding requirements set forth in this Section 3(b) in any other manner allowed by Section 14 of the Plan, the Company shall automatically withhold cash or shares of Common Stock that are otherwise deliverable to the Participant under this Agreement, in an amount necessary to satisfy all federal, state and local taxes required to be withheld in connection with the settlement of the Final Earned PSUs. </w:t>
      </w:r>
    </w:p>
    <w:p>
      <w:pPr>
        <w:pStyle w:val="TextBody"/>
        <w:bidi w:val="0"/>
        <w:jc w:val="both"/>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4.</w:t>
      </w:r>
    </w:p>
    <w:p>
      <w:pPr>
        <w:pStyle w:val="TextBody"/>
        <w:bidi w:val="0"/>
        <w:jc w:val="left"/>
        <w:rPr>
          <w:rFonts w:ascii="Times New Roman" w:hAnsi="Times New Roman"/>
          <w:color w:val="000000"/>
          <w:sz w:val="24"/>
          <w:u w:val="single"/>
        </w:rPr>
      </w:pPr>
      <w:r>
        <w:rPr>
          <w:rFonts w:ascii="Times New Roman" w:hAnsi="Times New Roman"/>
          <w:color w:val="000000"/>
          <w:sz w:val="24"/>
          <w:u w:val="single"/>
        </w:rPr>
        <w:t>Non-Disclosure and Non-Use of the Company’s Trade Secrets or Confidential Information</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At all times during and following Participant’s Service, Participant agrees that he or she will not, either directly or indirectly, and Participant will not permit any Covered Entity which is Controlled by Participant to, either directly or indirectly, (i) divulge, use, disclose (in any way or in any manner, including by posting on the Internet), reproduce, distribute, or reverse engineer or otherwise provide the Company’s Trade Secrets or Confidential Information to any person, firm, corporation, reporter, author, producer or similar person or entity; (ii) take any action that would make available Trade Secrets or Confidential Information to the general public in any form; (iii) take any action that uses Trade Secrets or Confidential Information to solicit any client or prospective client of the Company; or (iv) take any action that uses Trade Secrets or Confidential Information for solicitation or marketing for any service or product or on Participant’s behalf or on behalf of any entity other than the Company with which Participant may become associated, except (i) as required in connection with the performance of such Participant’s duties to the Company, (ii) as required to be included in any report, statement or testimony requested by any municipal, state or national regulatory body having jurisdiction over Participant or any Covered Entity which is Controlled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pPr>
      <w:r>
        <w:rPr>
          <w:rFonts w:ascii="Times New Roman" w:hAnsi="Times New Roman"/>
          <w:color w:val="000000"/>
          <w:sz w:val="24"/>
        </w:rPr>
        <w:t>by Participant, (iii) as required in response to any summons or subpoena or in connection with any litigation, (iv) to the extent necessary in order to comply with any law, order, regulation, ruling or governmental request applicable to Participant or any Covered Entity which is Controlled by Participant, (v) as required in connection with an audit by any taxing authority, or (vi) as permitted by the express written consent of the Board. In the event that Participant or any such Covered Entity which is Controlled by Participant is required to disclose Trade Secrets or Confidential Information pursuant to the foregoing exceptions, Participant shall promptly notify the Company of such pending disclosure and assist the Company (at the Company’s expense) in seeking a protective order or in objecting to such request, summons or subpoena with regard to the Trade Secrets or Confidential Information. If the Company does not obtain such relief after a period that is reasonable under the circumstances, Participant (or such Covered Entity) may disclose that portion of the Trade Secrets or Confidential Information which counsel to such party advises such party that they are legally compelled to disclose. In such cases, Participant shall promptly provide the Company with a copy of the Trade Secrets or Confidential Information so disclosed. This provision applies without limitation to unauthorized use of Trade Secrets or Confidential Information in any medium, writings of any kind containing such information or materials, including books, and articles, blogs, websites, or writings of any other kind, or film, videotape, or audiotape. If, and only if, the controlling state law applicable to Participant requires a time limit to be placed on restrictions concerning the post-employment use of Confidential Information for the restriction to be enforceable, then this restriction on Participant’s use of Confidential Information that is not a Trade Secret will expire two (2) years after Participant’s employment or other association with the Company ends. This time limit will not apply to Confidential Information that qualifies as a Trade Secret. The Company’s trade secrets will remain protected for as long as they qualify as trade secrets under applicable law.</w:t>
      </w:r>
      <w:r>
        <w:rPr>
          <w:color w:val="00000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rFonts w:ascii="Times New Roman" w:hAnsi="Times New Roman"/>
          <w:color w:val="000000"/>
          <w:sz w:val="24"/>
        </w:rPr>
      </w:pPr>
      <w:r>
        <w:rPr>
          <w:rFonts w:ascii="Times New Roman" w:hAnsi="Times New Roman"/>
          <w:color w:val="000000"/>
          <w:sz w:val="24"/>
        </w:rPr>
        <w:t>Notwithstanding Participant’s confidentiality obligations set forth in this Section 4, Participant understands that, pursuant to the Defend Trade Secrets Act of 2016, Participant shall not be held criminally or civilly liable under any Federal or State trade secret law for the disclosure of a Trade Secret that: (i) is made (x) in confidence to a Federal, State, or local government official, either directly or indirectly, or to an attorney; and (y) solely for the purpose of reporting or investigating a suspected violation of law; or (ii) is made in a complaint or other document filed in a lawsuit or other proceeding, if such filing is made under seal. Participant understands that in the event it is determined that disclosure of the Trade Secrets of the Company or any of its Subsidiaries or Affiliates was not done in good faith pursuant to the above, Participant shall be subject to substantial damages under federal criminal and civil law, including punitive damages and attorneys’ fees.</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Notwithstanding anything to the contrary contained herein, nothing in this Agreement shall limit or interfere with Participant’s right, without notice to or authorization of the Company, to communicate and cooperate in good faith with a Government Agency for the purpose of (i) reporting a possible violation of any U.S.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pPr>
      <w:r>
        <w:rPr>
          <w:rFonts w:ascii="Times New Roman" w:hAnsi="Times New Roman"/>
          <w:color w:val="000000"/>
          <w:sz w:val="24"/>
        </w:rPr>
        <w:t>federal, state, or local law or regulation, (ii) participating in any investigation or proceeding that may be conducted or managed by any Government Agency, including by providing documents or other information, or (iii) filing a charge or complaint with a Government Agency. For purposes of this Agreement, “</w:t>
      </w:r>
      <w:r>
        <w:rPr>
          <w:rFonts w:ascii="Times New Roman" w:hAnsi="Times New Roman"/>
          <w:color w:val="000000"/>
          <w:sz w:val="24"/>
          <w:u w:val="single"/>
        </w:rPr>
        <w:t>Government Agency</w:t>
      </w:r>
      <w:r>
        <w:rPr>
          <w:color w:val="000000"/>
        </w:rPr>
        <w:t xml:space="preserve">” </w:t>
      </w:r>
      <w:r>
        <w:rPr>
          <w:rFonts w:ascii="Times New Roman" w:hAnsi="Times New Roman"/>
          <w:color w:val="000000"/>
          <w:sz w:val="24"/>
        </w:rPr>
        <w:t>means the Equal Employment Opportunity Commission, the National Labor Relations Board, the Occupational Safety and Health Administration, the U.S. Securities and Exchange Commission, the Financial Industry Regulatory Authority, or any other self-regulatory organization or any other federal, state or local governmental agency or commission.</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5.</w:t>
      </w:r>
    </w:p>
    <w:p>
      <w:pPr>
        <w:pStyle w:val="TextBody"/>
        <w:bidi w:val="0"/>
        <w:jc w:val="both"/>
        <w:rPr/>
      </w:pPr>
      <w:r>
        <w:rPr>
          <w:rFonts w:ascii="Times New Roman" w:hAnsi="Times New Roman"/>
          <w:color w:val="000000"/>
          <w:sz w:val="24"/>
          <w:u w:val="single"/>
        </w:rPr>
        <w:t>Non-Competition and Non-Solicitation</w:t>
      </w:r>
      <w:r>
        <w:rPr>
          <w:rFonts w:ascii="Times New Roman" w:hAnsi="Times New Roman"/>
          <w:color w:val="000000"/>
          <w:sz w:val="24"/>
        </w:rPr>
        <w:t>. In consideration of the PSUs granted which Participant and the Company agree is mutually agreed upon consideration, during the term of Participant’s Service and for 12 months following the termination of Participant’s Service (the “</w:t>
      </w:r>
      <w:r>
        <w:rPr>
          <w:rFonts w:ascii="Times New Roman" w:hAnsi="Times New Roman"/>
          <w:color w:val="000000"/>
          <w:sz w:val="24"/>
          <w:u w:val="single"/>
        </w:rPr>
        <w:t>Restricted Period</w:t>
      </w:r>
      <w:r>
        <w:rPr>
          <w:color w:val="000000"/>
        </w:rPr>
        <w:t>”</w:t>
      </w:r>
      <w:r>
        <w:rPr>
          <w:rFonts w:ascii="Times New Roman" w:hAnsi="Times New Roman"/>
          <w:color w:val="000000"/>
          <w:sz w:val="24"/>
        </w:rPr>
        <w: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pPr>
      <w:r>
        <w:rPr>
          <w:rFonts w:ascii="Times New Roman" w:hAnsi="Times New Roman"/>
          <w:color w:val="000000"/>
          <w:sz w:val="24"/>
        </w:rPr>
        <w:t>Participant will not, directly or indirectly, individually or as a consultant to, or an Participant, officer, director, manager, stockholder, partner, member or other owner or participant in any business entity (including, without limitation, any competitor of the Company), other than the Company, engage in or assist any other person or entity to engage in any business which competes with any business in which the Company is engaging or the actual or demonstrably anticipated research or development of the Company (a “</w:t>
      </w:r>
      <w:r>
        <w:rPr>
          <w:rFonts w:ascii="Times New Roman" w:hAnsi="Times New Roman"/>
          <w:color w:val="000000"/>
          <w:sz w:val="24"/>
          <w:u w:val="single"/>
        </w:rPr>
        <w:t>Competing Business</w:t>
      </w:r>
      <w:r>
        <w:rPr>
          <w:color w:val="000000"/>
        </w:rPr>
        <w:t>”</w:t>
      </w:r>
      <w:r>
        <w:rPr>
          <w:rFonts w:ascii="Times New Roman" w:hAnsi="Times New Roman"/>
          <w:color w:val="000000"/>
          <w:sz w:val="24"/>
        </w:rPr>
        <w:t>), during the Participant’s employment, anywhere in the United States or anywhere else in the world in which Participant provided services for the Company or had a material presence or influence, during any time within the last two years prior to the termination of Participant’s Service to the Company. Notwithstanding the foregoing, the Participant’s (x) discretionary ownership of less than three percent (3%) and (y) non-discretionary (for example through a mutual fund or other investment vehicle not controlled by Participant) ownership of the outstanding stock of any publicly-traded corporation shall not be deemed a violation of this Section 5(a);</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rFonts w:ascii="Times New Roman" w:hAnsi="Times New Roman"/>
          <w:color w:val="000000"/>
          <w:sz w:val="24"/>
        </w:rPr>
      </w:pPr>
      <w:r>
        <w:rPr>
          <w:rFonts w:ascii="Times New Roman" w:hAnsi="Times New Roman"/>
          <w:color w:val="000000"/>
          <w:sz w:val="24"/>
        </w:rPr>
        <w:t>the Participant will not, directly or indirectly, individually or as a consultant to, or an Participant, officer, director, manager, stockholder, partner, member or other owner or participant in any business entity solicit or endeavor to entice away from the Company, endeavor to reduce the amount of business conducted with the Company by or otherwise interfere with the business relationship of the Company with any person or entity who is, or was within the one-year period immediately prior thereto, a customer or client of, supplier, vendor or service provider to, or other party having business relations with the Company; and</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Participant will not, directly or indirectly, individually or as a consultant to, or an Participant, officer, director, manager, stockholder, partner, member or other owner or participant in any business entity solicit or endeavor to entice away from the Company, or offer employment or any consulting arrangement to, or otherwise interfere with the business relationship of the Company with any person or entity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who is, or was within the one-year period immediately prior thereto, employed by, associated with or a consultant to the Company.</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6.</w:t>
      </w:r>
    </w:p>
    <w:p>
      <w:pPr>
        <w:pStyle w:val="TextBody"/>
        <w:bidi w:val="0"/>
        <w:jc w:val="both"/>
        <w:rPr/>
      </w:pPr>
      <w:r>
        <w:rPr>
          <w:rFonts w:ascii="Times New Roman" w:hAnsi="Times New Roman"/>
          <w:color w:val="000000"/>
          <w:sz w:val="24"/>
          <w:u w:val="single"/>
        </w:rPr>
        <w:t>Enforcement; Remedies</w:t>
      </w:r>
      <w:r>
        <w:rPr>
          <w:rFonts w:ascii="Times New Roman" w:hAnsi="Times New Roman"/>
          <w:color w:val="000000"/>
          <w:sz w:val="24"/>
        </w:rPr>
        <w:t>. Participant acknowledges that Participant’s expertise in the business of the Company is of a special and unique character which gives this expertise a particular value, and that a breach of Sections 4 or 5 by Participant will cause serious and potentially irreparable harm to the Company. Participant therefore acknowledges that a breach of Sections 4 or 5 by Participant cannot be adequately compensated in an action for damages at law, and equitable relief would be necessary to protect the Company from a violation of this Agreement and from the harm which this Agreement is intended to prevent. By reason thereof, Participant acknowledges that the Company is entitled, in addition to any other remedies it may have under this Agreement or otherwise, to preliminary and permanent injunctive and other equitable relief to prevent or curtail any breach of this Agreement. Participant acknowledges, however, that no specification in this Agreement of a specific legal or equitable remedy may be construed as a waiver of or prohibition against the Company pursuing other legal or equitable remedies in the event of a breach of this Agreement by Participant. For purposes of Sections 4 and 5, “Company” shall specifically include the Company and its direct and indirect parent entities, subsidiaries, successors and assigns. If Participant fails to comply with a restriction in this Agreement that applies for a limited period of time after employment, the time period for that restriction will be extended by the greater of either: one day for each day Participant is found to have violated the restriction, or the length of the legal proceeding necessary to secure enforcement of the restriction; provided, however, that this extension of time shall be capped so that the extension of time does not exceed two years from the date their employment ended, and if this extension would make the restriction unenforceable under applicable law it will not be applied (“</w:t>
      </w:r>
      <w:r>
        <w:rPr>
          <w:rFonts w:ascii="Times New Roman" w:hAnsi="Times New Roman"/>
          <w:color w:val="000000"/>
          <w:sz w:val="24"/>
          <w:u w:val="single"/>
        </w:rPr>
        <w:t>Fairness Extension</w:t>
      </w:r>
      <w:r>
        <w:rPr>
          <w:color w:val="000000"/>
        </w:rPr>
        <w:t>”</w:t>
      </w:r>
      <w:r>
        <w:rPr>
          <w:rFonts w:ascii="Times New Roman" w:hAnsi="Times New Roman"/>
          <w:color w:val="000000"/>
          <w:sz w:val="24"/>
        </w:rPr>
        <w:t>). If Participant resides or works in Massachusetts, the Fairness Extension will only apply to the restrictions in Section 5(b) and (c) and will only apply to the non-competition restriction in Section 5(a) if Participant breaches their fiduciary duty and/or has unlawfully taken, physically or electronically, any Company records.</w:t>
      </w:r>
    </w:p>
    <w:p>
      <w:pPr>
        <w:pStyle w:val="TextBody"/>
        <w:bidi w:val="0"/>
        <w:jc w:val="both"/>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7.</w:t>
      </w:r>
    </w:p>
    <w:p>
      <w:pPr>
        <w:pStyle w:val="TextBody"/>
        <w:bidi w:val="0"/>
        <w:jc w:val="left"/>
        <w:rPr/>
      </w:pPr>
      <w:r>
        <w:rPr>
          <w:rFonts w:ascii="Times New Roman" w:hAnsi="Times New Roman"/>
          <w:color w:val="000000"/>
          <w:sz w:val="24"/>
          <w:u w:val="single"/>
        </w:rPr>
        <w:t>Definitions</w:t>
      </w:r>
      <w:r>
        <w:rPr>
          <w:rFonts w:ascii="Times New Roman" w:hAnsi="Times New Roman"/>
          <w:color w:val="000000"/>
          <w:sz w:val="24"/>
        </w:rPr>
        <w:t>.</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color w:val="000000"/>
        </w:rPr>
        <w:t>“</w:t>
      </w:r>
      <w:r>
        <w:rPr>
          <w:rFonts w:ascii="Times New Roman" w:hAnsi="Times New Roman"/>
          <w:color w:val="000000"/>
          <w:sz w:val="24"/>
          <w:u w:val="single"/>
        </w:rPr>
        <w:t>Confidential Information</w:t>
      </w:r>
      <w:r>
        <w:rPr>
          <w:color w:val="000000"/>
        </w:rPr>
        <w:t xml:space="preserve">” </w:t>
      </w:r>
      <w:r>
        <w:rPr>
          <w:rFonts w:ascii="Times New Roman" w:hAnsi="Times New Roman"/>
          <w:color w:val="000000"/>
          <w:sz w:val="24"/>
        </w:rPr>
        <w:t xml:space="preserve">means any data or information, without regard to form, other than Trade Secrets, that is valuable to the Company and is not generally known by the public. To the extent consistent with the foregoing, Trade Secrets or Confidential Information includes, but is not limited to: (i) the names, addresses, phone numbers, accounts, financial information, and other information concerning patients, referral sources, payors (employers, managed care organizations, workers compensation insurers, and other types of payors) and other clients of the Company; (ii) non-public information and materials describing or relating to the Company’s business or financial affairs, including but not limited to financial and/or investment performance information, personnel matters, products, operating procedures, organizational responsibilities, marketing matters, or policies or procedures of the Company; or (iii) information and materials describing the Company’s existing or new products and services, including analytical data and techniques, and product,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service or marketing concepts under development at or for the Company, and the status of such development. Trade Secrets or Confidential Information does not include information that, other than as a result of a breach by Participant of this Agreement, (x) is or becomes generally known within the relevant industry, or (y) is or becomes known to Participant other than through Participant’s work for the Company, or (z) is or becomes generally available to the public.</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pPr>
      <w:r>
        <w:rPr>
          <w:color w:val="000000"/>
        </w:rPr>
        <w:t>“</w:t>
      </w:r>
      <w:r>
        <w:rPr>
          <w:rFonts w:ascii="Times New Roman" w:hAnsi="Times New Roman"/>
          <w:color w:val="000000"/>
          <w:sz w:val="24"/>
          <w:u w:val="single"/>
        </w:rPr>
        <w:t>Control</w:t>
      </w:r>
      <w:r>
        <w:rPr>
          <w:color w:val="000000"/>
        </w:rPr>
        <w:t xml:space="preserve">” </w:t>
      </w:r>
      <w:r>
        <w:rPr>
          <w:rFonts w:ascii="Times New Roman" w:hAnsi="Times New Roman"/>
          <w:color w:val="000000"/>
          <w:sz w:val="24"/>
        </w:rPr>
        <w:t>means (i) in the case of a corporate entity, direct or indirect ownership of at least fifty percent (50%) of the stock or securities entitled to vote for the election of directors; and (ii) in the case of a non-corporate entity (such as a limited liability company, partnership or limited partnership), either (x) direct or indirect ownership of at least fifty percent (50%) of the equity interests in such entity, or (y) the power to direct the management and policies of such entity.</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w:t>
      </w:r>
    </w:p>
    <w:p>
      <w:pPr>
        <w:pStyle w:val="TextBody"/>
        <w:bidi w:val="0"/>
        <w:jc w:val="both"/>
        <w:rPr/>
      </w:pPr>
      <w:r>
        <w:rPr>
          <w:color w:val="000000"/>
        </w:rPr>
        <w:t>“</w:t>
      </w:r>
      <w:r>
        <w:rPr>
          <w:rFonts w:ascii="Times New Roman" w:hAnsi="Times New Roman"/>
          <w:color w:val="000000"/>
          <w:sz w:val="24"/>
          <w:u w:val="single"/>
        </w:rPr>
        <w:t>Covered Entity</w:t>
      </w:r>
      <w:r>
        <w:rPr>
          <w:color w:val="000000"/>
        </w:rPr>
        <w:t xml:space="preserve">” </w:t>
      </w:r>
      <w:r>
        <w:rPr>
          <w:rFonts w:ascii="Times New Roman" w:hAnsi="Times New Roman"/>
          <w:color w:val="000000"/>
          <w:sz w:val="24"/>
        </w:rPr>
        <w:t>means every Affiliate of Participant, and every business, association, trust, corporation, partnership, limited liability company, proprietorship or other entity in which Participant has an investment (whether through debt or equity securities), or maintains any capital contribution or made any outstanding advances to, or in which any Affiliate of Participant has an ownership interest or profit sharing percentage, or a firm from which Participant or any Affiliate of Participant receives or is entitled to receive income, compensation or consulting fees in which Participant or any Affiliate of Participant has an interest as a lender (other than solely as a trade creditor for the sale of goods or provision of services that do not otherwise violate the provisions of this Agreement). The agreements of Participant contained herein specifically apply to each entity which is presently a Covered Entity (so long as it remains a Covered Entity) or which becomes a Covered Entity subsequent to the date of this Agreement.</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(d)</w:t>
      </w:r>
    </w:p>
    <w:p>
      <w:pPr>
        <w:pStyle w:val="TextBody"/>
        <w:bidi w:val="0"/>
        <w:jc w:val="both"/>
        <w:rPr/>
      </w:pPr>
      <w:r>
        <w:rPr>
          <w:color w:val="000000"/>
        </w:rPr>
        <w:t>“</w:t>
      </w:r>
      <w:r>
        <w:rPr>
          <w:rFonts w:ascii="Times New Roman" w:hAnsi="Times New Roman"/>
          <w:color w:val="000000"/>
          <w:sz w:val="24"/>
          <w:u w:val="single"/>
        </w:rPr>
        <w:t>Trade Secrets</w:t>
      </w:r>
      <w:r>
        <w:rPr>
          <w:color w:val="000000"/>
        </w:rPr>
        <w:t xml:space="preserve">” </w:t>
      </w:r>
      <w:r>
        <w:rPr>
          <w:rFonts w:ascii="Times New Roman" w:hAnsi="Times New Roman"/>
          <w:color w:val="000000"/>
          <w:sz w:val="24"/>
        </w:rPr>
        <w:t>means information, without regard to form, including, but not limited to, technical or nontechnical data, a formula, a pattern, a compilation, a program, a device, a method, a technique, a drawing, a process, a prototype, financial data, financial plans, product plans, or a list of actual or potential customers or suppliers which is not commonly known by or available to the public and which information: (i) derives economic value, actual or potential, from not being generally known to, and not being readily ascertainable by proper means by, other persons who can obtain economic value from its disclosure or use; and (ii) is the subject of efforts that are reasonable under the circumstances to maintain its secrecy. Trade Secrets also include any information or data described above that the Company obtains from another party and that the Company treats as proprietary or designates as a Trade Secrets, whether or not owned or developed by the Company.</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8.</w:t>
      </w:r>
    </w:p>
    <w:p>
      <w:pPr>
        <w:pStyle w:val="TextBody"/>
        <w:bidi w:val="0"/>
        <w:jc w:val="left"/>
        <w:rPr>
          <w:rFonts w:ascii="Times New Roman" w:hAnsi="Times New Roman"/>
          <w:color w:val="000000"/>
          <w:sz w:val="24"/>
          <w:u w:val="single"/>
        </w:rPr>
      </w:pPr>
      <w:r>
        <w:rPr>
          <w:rFonts w:ascii="Times New Roman" w:hAnsi="Times New Roman"/>
          <w:color w:val="000000"/>
          <w:sz w:val="24"/>
          <w:u w:val="single"/>
        </w:rPr>
        <w:t>Miscellaneous Provisions</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Rights of a Shareholder; Dividend Equivalents</w:t>
      </w:r>
      <w:r>
        <w:rPr>
          <w:rFonts w:ascii="Times New Roman" w:hAnsi="Times New Roman"/>
          <w:color w:val="000000"/>
          <w:sz w:val="24"/>
        </w:rPr>
        <w:t xml:space="preserve">. Prior to settlement of the Final Earned PSUs in shares of Common Stock, neither the Participant nor the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Participant’s representative will have any rights as a shareholder of the Company with respect to any shares of Common Stock underlying the PSUs. If cash dividends or other cash distributions are paid in respect of the shares of Common Stock underlying unvested PSUs, then a dividend equivalent equal to the amount paid in respect of one Share shall accumulate with respect to each unvested PSU, with such amounts to be paid solely with respect to each Final Earned PSU at the time of settlement thereof (or, as applicable, forfeited at the time that the underlying PSU is forfeited).</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pPr>
      <w:r>
        <w:rPr>
          <w:rFonts w:ascii="Times New Roman" w:hAnsi="Times New Roman"/>
          <w:color w:val="000000"/>
          <w:sz w:val="24"/>
          <w:u w:val="single"/>
        </w:rPr>
        <w:t>Transfer Restrictions</w:t>
      </w:r>
      <w:r>
        <w:rPr>
          <w:rFonts w:ascii="Times New Roman" w:hAnsi="Times New Roman"/>
          <w:color w:val="000000"/>
          <w:sz w:val="24"/>
        </w:rPr>
        <w:t>. The shares of Common Stock delivered hereunder will be subject to such stop transfer orders and other restrictions as the Committee may deem advisable under the Plan or the rules, regulations and other requirements of the Securities and Exchange Commission, any stock exchange upon which such shares are listed, any applicable federal or state laws and any agreement with, or policy of, the Company or the Committee to which the Participant is a party or subject, and the Committee may cause orders or designations to be placed upon the books and records of the Company’s transfer agent to make appropriate reference to such restrictions.</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w:t>
      </w:r>
    </w:p>
    <w:p>
      <w:pPr>
        <w:pStyle w:val="TextBody"/>
        <w:bidi w:val="0"/>
        <w:jc w:val="both"/>
        <w:rPr/>
      </w:pPr>
      <w:r>
        <w:rPr>
          <w:rFonts w:ascii="Times New Roman" w:hAnsi="Times New Roman"/>
          <w:color w:val="000000"/>
          <w:sz w:val="24"/>
          <w:u w:val="single"/>
        </w:rPr>
        <w:t>Clawback Policy</w:t>
      </w:r>
      <w:r>
        <w:rPr>
          <w:rFonts w:ascii="Times New Roman" w:hAnsi="Times New Roman"/>
          <w:color w:val="000000"/>
          <w:sz w:val="24"/>
        </w:rPr>
        <w:t>. The Participant acknowledges that the Participant is subject to the provisions of Section 12 (Forfeiture Events) and Section 14.6 (Trading Policy and Other Restrictions) of the Plan and any compensation recovery, “clawback” or similar policy adopted by the Company from time to time and/or made applicable by law including the provisions of Section 954 of the Dodd-Frank Wall Street Reform and Consumer Protection and Act and the rules, regulations and requirements adopted thereunder by the Securities and Exchange Commission and/or any national securities exchange on which the Company’s equity securities may be listed.</w:t>
      </w:r>
      <w:r>
        <w:rPr>
          <w:color w:val="00000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(d)</w:t>
      </w:r>
    </w:p>
    <w:p>
      <w:pPr>
        <w:pStyle w:val="TextBody"/>
        <w:bidi w:val="0"/>
        <w:jc w:val="both"/>
        <w:rPr/>
      </w:pPr>
      <w:r>
        <w:rPr>
          <w:rFonts w:ascii="Times New Roman" w:hAnsi="Times New Roman"/>
          <w:color w:val="000000"/>
          <w:sz w:val="24"/>
          <w:u w:val="single"/>
        </w:rPr>
        <w:t>Adjustments</w:t>
      </w:r>
      <w:r>
        <w:rPr>
          <w:rFonts w:ascii="Times New Roman" w:hAnsi="Times New Roman"/>
          <w:color w:val="000000"/>
          <w:sz w:val="24"/>
        </w:rPr>
        <w:t xml:space="preserve">. In the event of any change with respect to the outstanding shares of Common Stock contemplated by Section 4.5 of the Plan, the PSUs may be adjusted in accordance with Section 4.5 of the Plan.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(e)</w:t>
      </w:r>
    </w:p>
    <w:p>
      <w:pPr>
        <w:pStyle w:val="TextBody"/>
        <w:bidi w:val="0"/>
        <w:jc w:val="both"/>
        <w:rPr/>
      </w:pPr>
      <w:r>
        <w:rPr>
          <w:rFonts w:ascii="Times New Roman" w:hAnsi="Times New Roman"/>
          <w:color w:val="000000"/>
          <w:sz w:val="24"/>
          <w:u w:val="single"/>
        </w:rPr>
        <w:t>No Right to Continued Service</w:t>
      </w:r>
      <w:r>
        <w:rPr>
          <w:rFonts w:ascii="Times New Roman" w:hAnsi="Times New Roman"/>
          <w:color w:val="000000"/>
          <w:sz w:val="24"/>
        </w:rPr>
        <w:t>. Nothing in this Agreement or the Plan confers upon the Participant any right to continue in Service for any period of specific duration or interfere with or otherwise restrict in any way the rights of the Company (or any Subsidiary retaining the Participant) or of the Participant, which rights are hereby expressly reserved by each, to terminate his or her Service at any time and for any reason, with or without cause.</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Successors and Assigns</w:t>
      </w:r>
      <w:r>
        <w:rPr>
          <w:rFonts w:ascii="Times New Roman" w:hAnsi="Times New Roman"/>
          <w:color w:val="000000"/>
          <w:sz w:val="24"/>
        </w:rPr>
        <w:t xml:space="preserve">. The provisions of this Agreement will inure to the benefit of, and be binding upon, the Company and its successors and assigns and upon the Participant, the Participant’s executor, personal representative(s), distributees, administrator, permitted transferees, permitted assignees, beneficiaries, and legatee(s), as applicable, whether or not any such person will have become a party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this Agreement and have agreed in writing to be joined herein and be bound by the terms 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u w:val="single"/>
        </w:rPr>
        <w:t>Severability</w:t>
      </w:r>
      <w:r>
        <w:rPr>
          <w:rFonts w:ascii="Times New Roman" w:hAnsi="Times New Roman"/>
          <w:color w:val="000000"/>
          <w:sz w:val="24"/>
        </w:rPr>
        <w:t>. The provisions of this Agreement are severable, and if any one or more provisions are determined to be illegal or otherwise unenforceable, in whole or in part, then the remaining provisions will nevertheless be binding and enforceable.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rFonts w:ascii="Times New Roman" w:hAnsi="Times New Roman"/>
          <w:color w:val="000000"/>
          <w:sz w:val="24"/>
          <w:u w:val="single"/>
        </w:rPr>
        <w:t>Amendment</w:t>
      </w:r>
      <w:r>
        <w:rPr>
          <w:rFonts w:ascii="Times New Roman" w:hAnsi="Times New Roman"/>
          <w:color w:val="000000"/>
          <w:sz w:val="24"/>
        </w:rPr>
        <w:t>. Except as otherwise provided in the Plan, this Agreement will not be amended unless the amendment is agreed to in writing by both the Participant and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Choice of Law; Jurisdiction</w:t>
      </w:r>
      <w:r>
        <w:rPr>
          <w:rFonts w:ascii="Times New Roman" w:hAnsi="Times New Roman"/>
          <w:color w:val="000000"/>
          <w:sz w:val="24"/>
        </w:rPr>
        <w:t>. This Agreement and all claims, causes of action or proceedings (whether in contract, in tort, at law or otherwise) that may be based upon, arise out of or relate to this Agreement will be governed by the internal laws of the State of Delaware, excluding any conflicts or choice-of-law rule or principle that might otherwise refer construction or interpretation of this Agreement to the substantive law of another jurisdiction. This Section 8(i) shall not apply to employees residing in Massachusetts, and for those employees the Agreement will be governed by Massachusetts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pPr>
      <w:r>
        <w:rPr>
          <w:rFonts w:ascii="Times New Roman" w:hAnsi="Times New Roman"/>
          <w:color w:val="000000"/>
          <w:sz w:val="24"/>
          <w:u w:val="single"/>
        </w:rPr>
        <w:t>Other Restrictive Covenants</w:t>
      </w:r>
      <w:r>
        <w:rPr>
          <w:rFonts w:ascii="Times New Roman" w:hAnsi="Times New Roman"/>
          <w:color w:val="000000"/>
          <w:sz w:val="24"/>
        </w:rPr>
        <w:t>. Notwithstanding any other language in the Agreement, this Agreement does not preclude the enforceability of any restrictive covenant provision contained in any prior or subsequent agreement entered into by the Participant (any such covenant, an “</w:t>
      </w:r>
      <w:r>
        <w:rPr>
          <w:rFonts w:ascii="Times New Roman" w:hAnsi="Times New Roman"/>
          <w:color w:val="000000"/>
          <w:sz w:val="24"/>
          <w:u w:val="single"/>
        </w:rPr>
        <w:t>Other Covenant</w:t>
      </w:r>
      <w:r>
        <w:rPr>
          <w:color w:val="000000"/>
        </w:rPr>
        <w:t>”</w:t>
      </w:r>
      <w:r>
        <w:rPr>
          <w:rFonts w:ascii="Times New Roman" w:hAnsi="Times New Roman"/>
          <w:color w:val="000000"/>
          <w:sz w:val="24"/>
        </w:rPr>
        <w:t xml:space="preserve">). Further, no Other Covenant precludes the enforceability of any provision contained in this Agreement. No subsequent agreement entered into by the Participant may amend, supersede, or override the covenants contained herein unless such subsequent agreement specifically references Section 5 of this Agreement.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pPr>
      <w:r>
        <w:rPr>
          <w:rFonts w:ascii="Times New Roman" w:hAnsi="Times New Roman"/>
          <w:color w:val="000000"/>
          <w:sz w:val="24"/>
          <w:u w:val="single"/>
        </w:rPr>
        <w:t>Signature in Counterparts</w:t>
      </w:r>
      <w:r>
        <w:rPr>
          <w:rFonts w:ascii="Times New Roman" w:hAnsi="Times New Roman"/>
          <w:color w:val="000000"/>
          <w:sz w:val="24"/>
        </w:rPr>
        <w:t>. This Agreement may be signed in counterparts, manually or electronically, each of which will be an original, with the same effect as if the signatures to each were upon the same instrument.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w:t>
      </w:r>
    </w:p>
    <w:p>
      <w:pPr>
        <w:pStyle w:val="TextBody"/>
        <w:bidi w:val="0"/>
        <w:spacing w:before="0" w:after="240"/>
        <w:jc w:val="both"/>
        <w:rPr/>
      </w:pPr>
      <w:r>
        <w:rPr>
          <w:rFonts w:ascii="Times New Roman" w:hAnsi="Times New Roman"/>
          <w:color w:val="000000"/>
          <w:sz w:val="24"/>
          <w:u w:val="single"/>
        </w:rPr>
        <w:t>Electronic Delivery</w:t>
      </w:r>
      <w:r>
        <w:rPr>
          <w:rFonts w:ascii="Times New Roman" w:hAnsi="Times New Roman"/>
          <w:color w:val="000000"/>
          <w:sz w:val="22"/>
        </w:rPr>
        <w:t xml:space="preserve">. </w:t>
      </w:r>
      <w:r>
        <w:rPr>
          <w:rFonts w:ascii="Times New Roman" w:hAnsi="Times New Roman"/>
          <w:color w:val="000000"/>
          <w:sz w:val="24"/>
        </w:rPr>
        <w:t xml:space="preserve">The Company may, in its sole discretion, decide to deliver any documents related to any Awards granted under the Plan by electronic means or to request the Participant’s consent to participate in the Plan by electronic means. The Participant hereby consents to receive such documents by electronic delivery and to agree to participate in the Plan through an on-line or electronic system established and maintained by the Company or another third party designated by the Company.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w:t>
      </w:r>
    </w:p>
    <w:p>
      <w:pPr>
        <w:pStyle w:val="TextBody"/>
        <w:bidi w:val="0"/>
        <w:spacing w:before="0" w:after="240"/>
        <w:jc w:val="both"/>
        <w:rPr/>
      </w:pPr>
      <w:r>
        <w:rPr>
          <w:rFonts w:ascii="Times New Roman" w:hAnsi="Times New Roman"/>
          <w:color w:val="000000"/>
          <w:sz w:val="24"/>
          <w:u w:val="single"/>
        </w:rPr>
        <w:t>Code Section 409A Compliance</w:t>
      </w:r>
      <w:r>
        <w:rPr>
          <w:rFonts w:ascii="Times New Roman" w:hAnsi="Times New Roman"/>
          <w:color w:val="000000"/>
          <w:sz w:val="24"/>
        </w:rPr>
        <w:t xml:space="preserve">. The PSUs are intended to be exempt from, or in the alternative, to comply with, the requirements of Code Section 409A, and this Agreement shall be interpreted accordingly. Notwithstanding any provision of the Plan or this Agreement to the contrary, to the extent that the Committee determines that any portion of the PSUs granted under this Agreement is subject to the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requirements of Code Section 409A, the Committee reserves the right to amend, restructure, terminate or replace such portion of the PSUs in order to cause such portion of the PSUs to either not be subject to Code Section 409A or to comply with the applicable provisions of such section. To the extent necessary to cause the PSUs to remain exempt from Code Section 409A, any Final Earned PSUs will be settled by no later than March 15 of the year following the year in which such Final Earned PSUs vest.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w:t>
      </w:r>
    </w:p>
    <w:p>
      <w:pPr>
        <w:pStyle w:val="TextBody"/>
        <w:bidi w:val="0"/>
        <w:spacing w:before="0" w:after="240"/>
        <w:jc w:val="both"/>
        <w:rPr/>
      </w:pPr>
      <w:r>
        <w:rPr>
          <w:rFonts w:ascii="Times New Roman" w:hAnsi="Times New Roman"/>
          <w:color w:val="000000"/>
          <w:sz w:val="24"/>
          <w:u w:val="single"/>
        </w:rPr>
        <w:t>Acceptance</w:t>
      </w:r>
      <w:r>
        <w:rPr>
          <w:rFonts w:ascii="Times New Roman" w:hAnsi="Times New Roman"/>
          <w:color w:val="000000"/>
          <w:sz w:val="24"/>
        </w:rPr>
        <w:t>. The Participant hereby acknowledges receipt of a copy of the Plan and this Agreement. The Participant has read and understands the terms and provisions of the Plan and this Agreement, and accepts the PSUs subject to all of the terms and conditions of the Plan and this Agreement. In the event of a conflict between any term or provision contained in this Agreement and a term or provision of the Plan, the applicable term and provision of the Plan will govern and prevail. The Participant understands that prior to signing this Agreement they have a right to consult with counsel and have been afforded the opportunity to consult with an attorney to the extent they wish to do so.</w:t>
      </w:r>
    </w:p>
    <w:p>
      <w:pPr>
        <w:pStyle w:val="TextBody"/>
        <w:bidi w:val="0"/>
        <w:spacing w:before="0" w:after="240"/>
        <w:jc w:val="center"/>
        <w:rPr>
          <w:rFonts w:ascii="Times New Roman" w:hAnsi="Times New Roman"/>
          <w:i/>
          <w:color w:val="000000"/>
          <w:sz w:val="24"/>
        </w:rPr>
      </w:pPr>
      <w:r>
        <w:rPr>
          <w:rFonts w:ascii="Times New Roman" w:hAnsi="Times New Roman"/>
          <w:i/>
          <w:color w:val="000000"/>
          <w:sz w:val="24"/>
        </w:rPr>
        <w:t>[Signature page follows.]</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IN WITNESS WHEREOF, the Company and the Participant have executed this Restricted Stock Unit Award Agreement as of the dates set forth below.</w:t>
      </w:r>
      <w:r>
        <w:rPr>
          <w:rFonts w:ascii="Times New Roman" w:hAnsi="Times New Roman"/>
          <w:color w:val="000000"/>
          <w:sz w:val="20"/>
        </w:rPr>
        <w:t xml:space="preserve"> </w:t>
      </w:r>
    </w:p>
    <w:p>
      <w:pPr>
        <w:pStyle w:val="TextBody"/>
        <w:bidi w:val="0"/>
        <w:spacing w:before="0" w:after="240"/>
        <w:jc w:val="both"/>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4"/>
        </w:rPr>
        <w:t>PARTICIPANT DEFINITIVE HEALTHCARE CORP.</w:t>
      </w:r>
      <w:r>
        <w:rPr>
          <w:rFonts w:ascii="Times New Roman" w:hAnsi="Times New Roman"/>
          <w:color w:val="000000"/>
          <w:sz w:val="20"/>
        </w:rPr>
        <w:t xml:space="preserve">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By: __________________________ By: ______________________________</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Date:_________________________ Date: _____________________________</w:t>
      </w:r>
    </w:p>
    <w:p>
      <w:pPr>
        <w:pStyle w:val="TextBody"/>
        <w:bidi w:val="0"/>
        <w:jc w:val="left"/>
        <w:rPr/>
      </w:pPr>
      <w:r>
        <w:rPr/>
        <w:t> </w:t>
      </w:r>
    </w:p>
    <w:p>
      <w:pPr>
        <w:pStyle w:val="TextBody"/>
        <w:bidi w:val="0"/>
        <w:spacing w:before="0" w:after="24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TextBody"/>
        <w:bidi w:val="0"/>
        <w:jc w:val="center"/>
        <w:rPr>
          <w:rFonts w:ascii="Times New Roman" w:hAnsi="Times New Roman"/>
          <w:i/>
          <w:color w:val="000000"/>
          <w:sz w:val="24"/>
        </w:rPr>
      </w:pPr>
      <w:r>
        <w:rPr>
          <w:rFonts w:ascii="Times New Roman" w:hAnsi="Times New Roman"/>
          <w:i/>
          <w:color w:val="000000"/>
          <w:sz w:val="24"/>
        </w:rPr>
        <w:t>[Signature Page – Restricted Stock Unit (Performance-Based) Award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SCHEDULE I</w:t>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Vesting Conditions and Performance Goals</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jc w:val="center"/>
        <w:rPr>
          <w:rFonts w:ascii="Times New Roman" w:hAnsi="Times New Roman"/>
          <w:color w:val="000000"/>
          <w:sz w:val="24"/>
        </w:rPr>
      </w:pPr>
      <w:r>
        <w:rPr>
          <w:rFonts w:ascii="Times New Roman" w:hAnsi="Times New Roman"/>
          <w:color w:val="000000"/>
          <w:sz w:val="24"/>
        </w:rPr>
        <w:t>I-1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dh-ex31_1.htm"/>
      <w:bookmarkStart w:id="26" w:name="ksdhex31_1"/>
      <w:bookmarkEnd w:id="25"/>
      <w:bookmarkEnd w:id="26"/>
      <w:r>
        <w:rPr>
          <w:rFonts w:ascii="Times New Roman" w:hAnsi="Times New Roman"/>
          <w:b/>
          <w:color w:val="000000"/>
          <w:sz w:val="20"/>
        </w:rPr>
        <w:t>Exhibit 31.1</w:t>
      </w:r>
      <w:r>
        <w:br w:type="page"/>
      </w:r>
    </w:p>
    <w:p>
      <w:pPr>
        <w:pStyle w:val="TextBody"/>
        <w:bidi w:val="0"/>
        <w:jc w:val="right"/>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Management 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Kevin Coop, certify that: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Definitive Healthcare Corp.;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tbl>
      <w:tblPr>
        <w:tblW w:w="4555" w:type="dxa"/>
        <w:jc w:val="left"/>
        <w:tblInd w:w="0" w:type="dxa"/>
        <w:tblLayout w:type="fixed"/>
        <w:tblCellMar>
          <w:top w:w="28" w:type="dxa"/>
          <w:left w:w="28" w:type="dxa"/>
          <w:bottom w:w="28" w:type="dxa"/>
          <w:right w:w="28" w:type="dxa"/>
        </w:tblCellMar>
      </w:tblPr>
      <w:tblGrid>
        <w:gridCol w:w="556"/>
        <w:gridCol w:w="1201"/>
        <w:gridCol w:w="146"/>
        <w:gridCol w:w="146"/>
        <w:gridCol w:w="2506"/>
      </w:tblGrid>
      <w:tr>
        <w:trPr/>
        <w:tc>
          <w:tcPr>
            <w:tcW w:w="55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20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May 8, 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Kevin Coop</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Kevin Coop</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dh-ex31_2.htm"/>
      <w:bookmarkStart w:id="28" w:name="ksdhex31_2"/>
      <w:bookmarkEnd w:id="27"/>
      <w:bookmarkEnd w:id="28"/>
      <w:r>
        <w:rPr>
          <w:rFonts w:ascii="Times New Roman" w:hAnsi="Times New Roman"/>
          <w:b/>
          <w:color w:val="000000"/>
          <w:sz w:val="20"/>
        </w:rPr>
        <w:t>Exhibit 31.2</w:t>
      </w:r>
      <w:r>
        <w:br w:type="page"/>
      </w:r>
    </w:p>
    <w:p>
      <w:pPr>
        <w:pStyle w:val="TextBody"/>
        <w:bidi w:val="0"/>
        <w:jc w:val="right"/>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Management 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Richard Booth, certify that: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Definitive Healthcare Corp.;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tbl>
      <w:tblPr>
        <w:tblW w:w="4424" w:type="dxa"/>
        <w:jc w:val="left"/>
        <w:tblInd w:w="0" w:type="dxa"/>
        <w:tblLayout w:type="fixed"/>
        <w:tblCellMar>
          <w:top w:w="28" w:type="dxa"/>
          <w:left w:w="28" w:type="dxa"/>
          <w:bottom w:w="28" w:type="dxa"/>
          <w:right w:w="28" w:type="dxa"/>
        </w:tblCellMar>
      </w:tblPr>
      <w:tblGrid>
        <w:gridCol w:w="556"/>
        <w:gridCol w:w="1201"/>
        <w:gridCol w:w="146"/>
        <w:gridCol w:w="2521"/>
      </w:tblGrid>
      <w:tr>
        <w:trPr/>
        <w:tc>
          <w:tcPr>
            <w:tcW w:w="55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20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May 8, 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Richard Booth</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Richard Booth</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9" w:name="dh-ex32_1.htm"/>
      <w:bookmarkStart w:id="30" w:name="ksdhex32_1"/>
      <w:bookmarkEnd w:id="29"/>
      <w:bookmarkEnd w:id="30"/>
      <w:r>
        <w:rPr>
          <w:rFonts w:ascii="Times New Roman" w:hAnsi="Times New Roman"/>
          <w:b/>
          <w:color w:val="000000"/>
          <w:sz w:val="20"/>
        </w:rPr>
        <w:t>Exhibit 32.1</w:t>
      </w:r>
      <w:r>
        <w:br w:type="page"/>
      </w:r>
    </w:p>
    <w:p>
      <w:pPr>
        <w:pStyle w:val="TextBody"/>
        <w:bidi w:val="0"/>
        <w:jc w:val="right"/>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Certification of CEO and CFO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on Form 10-Q of Definitive Healthcare Corp. (the “Company”) for the quarterly period ended March 31, 2025 as filed with the Securities and Exchange Commission on the date hereof (the “Report”), Kevin Coop, Chief Executive Officer of the Company, and Richard Booth, Chief Financial Officer of the Company, each hereby certifies, pursuant to the requirement set forth in Rule 13a-14(b) of the Securities Exchange Act of 1934, as amended, (the “Exchange Act”) and Section 1350 of Chapter 63 of Title 18 of the United States Code (18 U.S.C. § 1350), as adopted pursuant to § 906 of the Sarbanes-Oxley Act of 2002, that, to the best of his knowledge: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Exchange Act;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w:t>
      </w:r>
    </w:p>
    <w:p>
      <w:pPr>
        <w:pStyle w:val="TextBody"/>
        <w:bidi w:val="0"/>
        <w:spacing w:before="240" w:after="283"/>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May 8, 2025</w:t>
      </w:r>
    </w:p>
    <w:tbl>
      <w:tblPr>
        <w:tblW w:w="2521" w:type="dxa"/>
        <w:jc w:val="left"/>
        <w:tblInd w:w="0" w:type="dxa"/>
        <w:tblLayout w:type="fixed"/>
        <w:tblCellMar>
          <w:top w:w="28" w:type="dxa"/>
          <w:left w:w="28" w:type="dxa"/>
          <w:bottom w:w="28" w:type="dxa"/>
          <w:right w:w="28" w:type="dxa"/>
        </w:tblCellMar>
      </w:tblPr>
      <w:tblGrid>
        <w:gridCol w:w="2521"/>
      </w:tblGrid>
      <w:tr>
        <w:trPr/>
        <w:tc>
          <w:tcPr>
            <w:tcW w:w="2521" w:type="dxa"/>
            <w:tcBorders/>
            <w:vAlign w:val="center"/>
          </w:tcPr>
          <w:p>
            <w:pPr>
              <w:pStyle w:val="TableContents"/>
              <w:bidi w:val="0"/>
              <w:spacing w:before="0" w:after="283"/>
              <w:jc w:val="left"/>
              <w:rPr>
                <w:sz w:val="4"/>
                <w:szCs w:val="4"/>
              </w:rPr>
            </w:pPr>
            <w:r>
              <w:rPr>
                <w:sz w:val="4"/>
                <w:szCs w:val="4"/>
              </w:rPr>
            </w:r>
          </w:p>
        </w:tc>
      </w:tr>
      <w:tr>
        <w:trPr/>
        <w:tc>
          <w:tcPr>
            <w:tcW w:w="25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Kevin Coop</w:t>
            </w:r>
          </w:p>
        </w:tc>
      </w:tr>
      <w:tr>
        <w:trPr/>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Kevin Coop</w:t>
            </w:r>
          </w:p>
        </w:tc>
      </w:tr>
      <w:tr>
        <w:trPr/>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tbl>
      <w:tblPr>
        <w:tblW w:w="2536" w:type="dxa"/>
        <w:jc w:val="left"/>
        <w:tblInd w:w="0" w:type="dxa"/>
        <w:tblLayout w:type="fixed"/>
        <w:tblCellMar>
          <w:top w:w="28" w:type="dxa"/>
          <w:left w:w="28" w:type="dxa"/>
          <w:bottom w:w="28" w:type="dxa"/>
          <w:right w:w="28" w:type="dxa"/>
        </w:tblCellMar>
      </w:tblPr>
      <w:tblGrid>
        <w:gridCol w:w="2536"/>
      </w:tblGrid>
      <w:tr>
        <w:trPr/>
        <w:tc>
          <w:tcPr>
            <w:tcW w:w="2536" w:type="dxa"/>
            <w:tcBorders/>
            <w:vAlign w:val="center"/>
          </w:tcPr>
          <w:p>
            <w:pPr>
              <w:pStyle w:val="TableContents"/>
              <w:bidi w:val="0"/>
              <w:spacing w:before="0" w:after="283"/>
              <w:jc w:val="left"/>
              <w:rPr>
                <w:sz w:val="4"/>
                <w:szCs w:val="4"/>
              </w:rPr>
            </w:pPr>
            <w:r>
              <w:rPr>
                <w:sz w:val="4"/>
                <w:szCs w:val="4"/>
              </w:rPr>
            </w:r>
          </w:p>
        </w:tc>
      </w:tr>
      <w:tr>
        <w:trPr/>
        <w:tc>
          <w:tcPr>
            <w:tcW w:w="25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Richard Booth</w:t>
            </w:r>
          </w:p>
        </w:tc>
      </w:tr>
      <w:tr>
        <w:trPr/>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Richard Booth</w:t>
            </w:r>
          </w:p>
        </w:tc>
      </w:tr>
      <w:tr>
        <w:trPr/>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certification accompanies the Form 10-Q to which it relates, is not deemed filed with the Securities and Exchange Commission and is not to be incorporated by reference into any filing of Definitive Healthcare Corp.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61795/000095017021003484/dh-ex3_1.htm" TargetMode="External"/><Relationship Id="rId3" Type="http://schemas.openxmlformats.org/officeDocument/2006/relationships/hyperlink" Target="https://www.sec.gov/Archives/edgar/data/1861795/000095017021003484/dh-ex3_2.htm" TargetMode="External"/><Relationship Id="rId4" Type="http://schemas.openxmlformats.org/officeDocument/2006/relationships/hyperlink" Target="https://www.sec.gov/Archives/edgar/data/1861795/000095017025006199/dh-ex10_1.htm" TargetMode="External"/><Relationship Id="rId5" Type="http://schemas.openxmlformats.org/officeDocument/2006/relationships/hyperlink" Target="https://www.sec.gov/Archives/edgar/data/1861795/000095017025029049/dh-ex10_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29469</Words>
  <Characters>164828</Characters>
  <CharactersWithSpaces>195121</CharactersWithSpaces>
  <Paragraphs>5997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