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42025_080658.xml.htm"/>
      <w:bookmarkStart w:id="1" w:name="ksform406042025_0806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Heller Casey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498,339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605,084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$0.001, with 50% of the RSUs vesting on June 1, 2026, followed by vesting of 12.5% every three months thereafter over the subsequent twelve months,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043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3442</Characters>
  <CharactersWithSpaces>4014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