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6,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80" w:type="dxa"/>
        <w:tblCellMar>
          <w:top w:w="0" w:type="dxa"/>
          <w:left w:w="0" w:type="dxa"/>
          <w:bottom w:w="0" w:type="dxa"/>
          <w:right w:w="0" w:type="dxa"/>
        </w:tblCellMar>
      </w:tblPr>
      <w:tr>
        <w:trPr>
          <w:trHeight w:val="212"/>
        </w:trPr>
        <w:tc>
          <w:tcPr>
            <w:tcW w:w="6240" w:type="dxa"/>
            <w:vAlign w:val="bottom"/>
          </w:tcPr>
          <w:p>
            <w:pPr>
              <w:jc w:val="center"/>
              <w:ind w:right="3359"/>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81-3988281</w:t>
            </w:r>
          </w:p>
        </w:tc>
      </w:tr>
      <w:tr>
        <w:trPr>
          <w:trHeight w:val="148"/>
        </w:trPr>
        <w:tc>
          <w:tcPr>
            <w:tcW w:w="6240" w:type="dxa"/>
            <w:vAlign w:val="bottom"/>
          </w:tcPr>
          <w:p>
            <w:pPr>
              <w:jc w:val="center"/>
              <w:ind w:right="33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359"/>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2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0"/>
              </w:rPr>
              <w:t>492 Old Connecticut Path, Suite 401</w:t>
            </w:r>
          </w:p>
        </w:tc>
        <w:tc>
          <w:tcPr>
            <w:tcW w:w="1280" w:type="dxa"/>
            <w:vAlign w:val="bottom"/>
          </w:tcPr>
          <w:p>
            <w:pPr>
              <w:spacing w:after="0"/>
              <w:rPr>
                <w:sz w:val="24"/>
                <w:szCs w:val="24"/>
                <w:color w:val="auto"/>
              </w:rPr>
            </w:pPr>
          </w:p>
        </w:tc>
      </w:tr>
      <w:tr>
        <w:trPr>
          <w:trHeight w:val="225"/>
        </w:trPr>
        <w:tc>
          <w:tcPr>
            <w:tcW w:w="6240" w:type="dxa"/>
            <w:vAlign w:val="bottom"/>
          </w:tcPr>
          <w:p>
            <w:pPr>
              <w:jc w:val="center"/>
              <w:ind w:right="3359"/>
              <w:spacing w:after="0"/>
              <w:rPr>
                <w:sz w:val="20"/>
                <w:szCs w:val="20"/>
                <w:color w:val="auto"/>
              </w:rPr>
            </w:pPr>
            <w:r>
              <w:rPr>
                <w:rFonts w:ascii="Arial" w:cs="Arial" w:eastAsia="Arial" w:hAnsi="Arial"/>
                <w:sz w:val="18"/>
                <w:szCs w:val="18"/>
                <w:b w:val="1"/>
                <w:bCs w:val="1"/>
                <w:color w:val="auto"/>
                <w:w w:val="95"/>
              </w:rPr>
              <w:t>Framingham, MA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01701</w:t>
            </w:r>
          </w:p>
        </w:tc>
      </w:tr>
      <w:tr>
        <w:trPr>
          <w:trHeight w:val="186"/>
        </w:trPr>
        <w:tc>
          <w:tcPr>
            <w:tcW w:w="6240" w:type="dxa"/>
            <w:vAlign w:val="bottom"/>
          </w:tcPr>
          <w:p>
            <w:pPr>
              <w:jc w:val="center"/>
              <w:ind w:right="33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6240" w:type="dxa"/>
            <w:vAlign w:val="bottom"/>
          </w:tcPr>
          <w:p>
            <w:pPr>
              <w:jc w:val="center"/>
              <w:ind w:left="1939"/>
              <w:spacing w:after="0"/>
              <w:rPr>
                <w:sz w:val="20"/>
                <w:szCs w:val="20"/>
                <w:color w:val="auto"/>
              </w:rPr>
            </w:pPr>
            <w:r>
              <w:rPr>
                <w:rFonts w:ascii="Arial" w:cs="Arial" w:eastAsia="Arial" w:hAnsi="Arial"/>
                <w:sz w:val="18"/>
                <w:szCs w:val="18"/>
                <w:b w:val="1"/>
                <w:bCs w:val="1"/>
                <w:color w:val="auto"/>
                <w:w w:val="91"/>
              </w:rPr>
              <w:t>Definitive Healthcare Corp. 2023 Inducement Plan</w:t>
            </w:r>
          </w:p>
        </w:tc>
        <w:tc>
          <w:tcPr>
            <w:tcW w:w="1280" w:type="dxa"/>
            <w:vAlign w:val="bottom"/>
          </w:tcPr>
          <w:p>
            <w:pPr>
              <w:spacing w:after="0"/>
              <w:rPr>
                <w:sz w:val="24"/>
                <w:szCs w:val="24"/>
                <w:color w:val="auto"/>
              </w:rPr>
            </w:pPr>
          </w:p>
        </w:tc>
      </w:tr>
      <w:tr>
        <w:trPr>
          <w:trHeight w:val="186"/>
        </w:trPr>
        <w:tc>
          <w:tcPr>
            <w:tcW w:w="6240" w:type="dxa"/>
            <w:vAlign w:val="bottom"/>
          </w:tcPr>
          <w:p>
            <w:pPr>
              <w:jc w:val="center"/>
              <w:ind w:left="1919"/>
              <w:spacing w:after="0"/>
              <w:rPr>
                <w:sz w:val="20"/>
                <w:szCs w:val="20"/>
                <w:color w:val="auto"/>
              </w:rPr>
            </w:pPr>
            <w:r>
              <w:rPr>
                <w:rFonts w:ascii="Arial" w:cs="Arial" w:eastAsia="Arial" w:hAnsi="Arial"/>
                <w:sz w:val="14"/>
                <w:szCs w:val="14"/>
                <w:b w:val="1"/>
                <w:bCs w:val="1"/>
                <w:color w:val="auto"/>
                <w:w w:val="95"/>
              </w:rPr>
              <w:t>(Full Title of Plans)</w:t>
            </w:r>
          </w:p>
        </w:tc>
        <w:tc>
          <w:tcPr>
            <w:tcW w:w="128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W. Ruderman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492 Old Connecticut Path, Suite 401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Framingham, MA 01701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720-4224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Jason Kent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Jean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Julia Boesch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 Hudson Yards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580"/>
        <w:spacing w:after="0" w:line="263" w:lineRule="auto"/>
        <w:rPr>
          <w:sz w:val="20"/>
          <w:szCs w:val="20"/>
          <w:color w:val="auto"/>
        </w:rPr>
      </w:pPr>
      <w:r>
        <w:rPr>
          <w:rFonts w:ascii="Arial" w:cs="Arial" w:eastAsia="Arial" w:hAnsi="Arial"/>
          <w:sz w:val="18"/>
          <w:szCs w:val="18"/>
          <w:color w:val="auto"/>
        </w:rPr>
        <w:t>This Registration Statement on Form S-8 (the “Registration Statement”) is being filed for the purpose of registering 2,100,000 shares of Class A common stock, par value $0.001 per share (the “Common Stock”), reserved and available for issuance under the 2023 Inducement Plan (the “Inducement Plan”) of Definitive Healthcare Corp. (the “Registrant”).</w:t>
      </w:r>
    </w:p>
    <w:p>
      <w:pPr>
        <w:spacing w:after="0" w:line="184"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On September 5, 2023, the Human Capital Management and Compensation Committee of the Registrant’s board of directors adopted the Inducement Plan, pursuant to which the Registrant reserved 2,100,000 shares of Common Stock, to be used exclusively for grants of equity-based awards to individuals who were not previously employees or directors of the Registrant, as an inducement material to the individual’s entry into employment with the Registrant within the meaning of Rule 5635(c)(4) of the Nasdaq Listing Rules.</w:t>
      </w:r>
    </w:p>
    <w:p>
      <w:pPr>
        <w:spacing w:after="0" w:line="187"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The Inducement Plan provides for the grant of equity-based awards in the form of nonstatutory stock options, stock appreciation rights, restricted stock awards, restricted stock unit awards, and dividend equivalent rights. The Inducement Plan was adopted by the Human Capital Management and Compensation Committee without stockholder approval pursuant to Rule 5635(c)(4) of the Nasdaq Listing Rules.</w:t>
      </w:r>
    </w:p>
    <w:p>
      <w:pPr>
        <w:spacing w:after="0" w:line="37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03"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The documents containing the information specified in Item 1 and Item 2 of Part I of Form S-8 will be sent or given to employees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36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The following documents, which have been filed with the Commission by the Registrant, pursuant to the Securities Act, and the Securities Exchange Act of 1934, as amended (the “Exchange Act”), as applicable, are hereby incorporated by reference in, and shall be deemed to be a part of, this Registration Statement:</w:t>
      </w:r>
    </w:p>
    <w:p>
      <w:pPr>
        <w:spacing w:after="0" w:line="76" w:lineRule="exact"/>
        <w:rPr>
          <w:sz w:val="20"/>
          <w:szCs w:val="20"/>
          <w:color w:val="auto"/>
        </w:rPr>
      </w:pPr>
    </w:p>
    <w:p>
      <w:pPr>
        <w:ind w:left="264" w:hanging="264"/>
        <w:spacing w:after="0"/>
        <w:tabs>
          <w:tab w:leader="none" w:pos="26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filed with the Commission on February 27, 2023, as</w:t>
      </w:r>
    </w:p>
    <w:p>
      <w:pPr>
        <w:spacing w:after="0" w:line="46" w:lineRule="exact"/>
        <w:rPr>
          <w:rFonts w:ascii="Arial" w:cs="Arial" w:eastAsia="Arial" w:hAnsi="Arial"/>
          <w:sz w:val="16"/>
          <w:szCs w:val="16"/>
          <w:color w:val="auto"/>
        </w:rPr>
      </w:pPr>
    </w:p>
    <w:p>
      <w:pPr>
        <w:ind w:left="4"/>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amended by the Registrant’s Amendment No. 1 to Form 10-K for the fiscal year ended December 31, 2022 on Form </w:t>
      </w:r>
      <w:hyperlink r:id="rId19">
        <w:r>
          <w:rPr>
            <w:rFonts w:ascii="Arial" w:cs="Arial" w:eastAsia="Arial" w:hAnsi="Arial"/>
            <w:sz w:val="18"/>
            <w:szCs w:val="18"/>
            <w:u w:val="single" w:color="auto"/>
            <w:color w:val="0000EE"/>
          </w:rPr>
          <w:t>10-K/A</w:t>
        </w:r>
      </w:hyperlink>
      <w:r>
        <w:rPr>
          <w:rFonts w:ascii="Arial" w:cs="Arial" w:eastAsia="Arial" w:hAnsi="Arial"/>
          <w:sz w:val="18"/>
          <w:szCs w:val="18"/>
          <w:color w:val="auto"/>
        </w:rPr>
        <w:t>, filed with the Commission on August 14, 2023, which includes audited financial statements for the Registrant’s latest fiscal year.</w:t>
      </w:r>
    </w:p>
    <w:p>
      <w:pPr>
        <w:spacing w:after="0" w:line="77" w:lineRule="exact"/>
        <w:rPr>
          <w:rFonts w:ascii="Arial" w:cs="Arial" w:eastAsia="Arial" w:hAnsi="Arial"/>
          <w:sz w:val="18"/>
          <w:szCs w:val="18"/>
          <w:color w:val="auto"/>
        </w:rPr>
      </w:pPr>
    </w:p>
    <w:p>
      <w:pPr>
        <w:ind w:left="4" w:right="240" w:hanging="4"/>
        <w:spacing w:after="0" w:line="308" w:lineRule="auto"/>
        <w:tabs>
          <w:tab w:leader="none" w:pos="269"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Definitive Proxy Statement on </w:t>
      </w:r>
      <w:hyperlink r:id="rId20">
        <w:r>
          <w:rPr>
            <w:rFonts w:ascii="Arial" w:cs="Arial" w:eastAsia="Arial" w:hAnsi="Arial"/>
            <w:sz w:val="17"/>
            <w:szCs w:val="17"/>
            <w:u w:val="single" w:color="auto"/>
            <w:color w:val="0000EE"/>
          </w:rPr>
          <w:t>Schedule 14A filed with the Commission on April 20,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(but only with respect to information specifically incorporated by reference into the Registrant’s Annual Report on Form 10-K for the year ended December 31, 2022).</w:t>
      </w:r>
    </w:p>
    <w:p>
      <w:pPr>
        <w:spacing w:after="0" w:line="38" w:lineRule="exact"/>
        <w:rPr>
          <w:rFonts w:ascii="Arial" w:cs="Arial" w:eastAsia="Arial" w:hAnsi="Arial"/>
          <w:sz w:val="17"/>
          <w:szCs w:val="17"/>
          <w:color w:val="auto"/>
        </w:rPr>
      </w:pPr>
    </w:p>
    <w:p>
      <w:pPr>
        <w:ind w:left="4" w:right="100" w:hanging="4"/>
        <w:spacing w:after="0" w:line="263"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quarter ended March 31, 2023, filed with the Commission on May 4, 2023, as amended by the Registrant’s Amendment No. 1 to Form 10-Q for the quarter ended March 31, 2023 on </w:t>
      </w:r>
      <w:hyperlink r:id="rId22">
        <w:r>
          <w:rPr>
            <w:rFonts w:ascii="Arial" w:cs="Arial" w:eastAsia="Arial" w:hAnsi="Arial"/>
            <w:sz w:val="18"/>
            <w:szCs w:val="18"/>
            <w:u w:val="single" w:color="auto"/>
            <w:color w:val="0000EE"/>
          </w:rPr>
          <w:t>Form 10-Q/A</w:t>
        </w:r>
      </w:hyperlink>
      <w:r>
        <w:rPr>
          <w:rFonts w:ascii="Arial" w:cs="Arial" w:eastAsia="Arial" w:hAnsi="Arial"/>
          <w:sz w:val="18"/>
          <w:szCs w:val="18"/>
          <w:color w:val="auto"/>
        </w:rPr>
        <w:t>, filed with the Commission on August 14, 2023.</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3">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2023, filed with the Commission on August 14, 2023.</w:t>
      </w:r>
    </w:p>
    <w:p>
      <w:pPr>
        <w:spacing w:after="0" w:line="117" w:lineRule="exact"/>
        <w:rPr>
          <w:rFonts w:ascii="Arial" w:cs="Arial" w:eastAsia="Arial" w:hAnsi="Arial"/>
          <w:sz w:val="18"/>
          <w:szCs w:val="18"/>
          <w:color w:val="auto"/>
        </w:rPr>
      </w:pPr>
    </w:p>
    <w:p>
      <w:pPr>
        <w:ind w:left="4" w:hanging="4"/>
        <w:spacing w:after="0" w:line="263" w:lineRule="auto"/>
        <w:tabs>
          <w:tab w:leader="none" w:pos="24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hyperlink r:id="rId24">
        <w:r>
          <w:rPr>
            <w:rFonts w:ascii="Arial" w:cs="Arial" w:eastAsia="Arial" w:hAnsi="Arial"/>
            <w:sz w:val="18"/>
            <w:szCs w:val="18"/>
            <w:u w:val="single" w:color="auto"/>
            <w:color w:val="0000EE"/>
          </w:rPr>
          <w:t>January 12,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(solely with regard to Item 2.05), </w:t>
      </w:r>
      <w:hyperlink r:id="rId25">
        <w:r>
          <w:rPr>
            <w:rFonts w:ascii="Arial" w:cs="Arial" w:eastAsia="Arial" w:hAnsi="Arial"/>
            <w:sz w:val="18"/>
            <w:szCs w:val="18"/>
            <w:u w:val="single" w:color="auto"/>
            <w:color w:val="0000EE"/>
          </w:rPr>
          <w:t>February 23, 2023</w:t>
        </w:r>
      </w:hyperlink>
      <w:r>
        <w:rPr>
          <w:rFonts w:ascii="Arial" w:cs="Arial" w:eastAsia="Arial" w:hAnsi="Arial"/>
          <w:sz w:val="18"/>
          <w:szCs w:val="18"/>
          <w:color w:val="auto"/>
        </w:rPr>
        <w:t xml:space="preserve"> (solely with regard to Item 5.02 and the exhibits that relate to such item), </w:t>
      </w:r>
      <w:hyperlink r:id="rId26">
        <w:r>
          <w:rPr>
            <w:rFonts w:ascii="Arial" w:cs="Arial" w:eastAsia="Arial" w:hAnsi="Arial"/>
            <w:sz w:val="18"/>
            <w:szCs w:val="18"/>
            <w:u w:val="single" w:color="auto"/>
            <w:color w:val="0000EE"/>
          </w:rPr>
          <w:t>June 5, 2023</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June 8, 2023</w:t>
        </w:r>
      </w:hyperlink>
      <w:r>
        <w:rPr>
          <w:rFonts w:ascii="Arial" w:cs="Arial" w:eastAsia="Arial" w:hAnsi="Arial"/>
          <w:sz w:val="18"/>
          <w:szCs w:val="18"/>
          <w:color w:val="auto"/>
        </w:rPr>
        <w:t xml:space="preserve">, and </w:t>
      </w:r>
      <w:hyperlink r:id="rId28">
        <w:r>
          <w:rPr>
            <w:rFonts w:ascii="Arial" w:cs="Arial" w:eastAsia="Arial" w:hAnsi="Arial"/>
            <w:sz w:val="18"/>
            <w:szCs w:val="18"/>
            <w:u w:val="single" w:color="auto"/>
            <w:color w:val="0000EE"/>
          </w:rPr>
          <w:t>August 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with regard to Items 2.05, 4.02).</w:t>
      </w:r>
    </w:p>
    <w:p>
      <w:pPr>
        <w:sectPr>
          <w:pgSz w:w="11900" w:h="16838" w:orient="portrait"/>
          <w:cols w:equalWidth="0" w:num="1">
            <w:col w:w="10964"/>
          </w:cols>
          <w:pgMar w:left="436" w:top="270" w:right="499" w:bottom="1440" w:gutter="0" w:footer="0" w:header="0"/>
        </w:sectPr>
      </w:pPr>
    </w:p>
    <w:bookmarkStart w:id="2" w:name="page3"/>
    <w:bookmarkEnd w:id="2"/>
    <w:p>
      <w:pPr>
        <w:ind w:left="4" w:right="260" w:hanging="4"/>
        <w:spacing w:after="0" w:line="263" w:lineRule="auto"/>
        <w:tabs>
          <w:tab w:leader="none" w:pos="229"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description of the Registrant’s Class A common stock contained in </w:t>
      </w:r>
      <w:hyperlink r:id="rId30">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Registrant’s Annual Report on Form 10-K for the fiscal year ended December 31, 2021, filed with the Commission on March 15, 2022, including any amendment or report filed for the purpose of updating such description.</w:t>
      </w:r>
    </w:p>
    <w:p>
      <w:pPr>
        <w:spacing w:after="0" w:line="75" w:lineRule="exact"/>
        <w:rPr>
          <w:rFonts w:ascii="Arial" w:cs="Arial" w:eastAsia="Arial" w:hAnsi="Arial"/>
          <w:sz w:val="18"/>
          <w:szCs w:val="18"/>
          <w:color w:val="auto"/>
        </w:rPr>
      </w:pPr>
    </w:p>
    <w:p>
      <w:pPr>
        <w:ind w:left="4" w:hanging="4"/>
        <w:spacing w:after="0" w:line="270" w:lineRule="auto"/>
        <w:tabs>
          <w:tab w:leader="none" w:pos="259"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The Registrant’s amended and restated bylaws authorizes the indemnification of its officers and directors, consistent with Section 145 of the DGCL, as amended. The Registrant has entered into indemnification agreements with each of its directors. These agreements, among other things, require the Registrant to indemnify each director to the fullest extent permitted by Delaware law, including indemnification of expenses such as attorneys’ fees, judgments, fines and settlement amounts incurred by the director in any action or proceeding, including any action or proceeding by or in right of the Registrant, arising out of the person’s services as a director.</w:t>
      </w:r>
    </w:p>
    <w:p>
      <w:pPr>
        <w:sectPr>
          <w:pgSz w:w="11900" w:h="16838" w:orient="portrait"/>
          <w:cols w:equalWidth="0" w:num="1">
            <w:col w:w="11004"/>
          </w:cols>
          <w:pgMar w:left="436" w:top="274" w:right="459" w:bottom="1440" w:gutter="0" w:footer="0" w:header="0"/>
        </w:sectPr>
      </w:pPr>
    </w:p>
    <w:bookmarkStart w:id="3" w:name="page4"/>
    <w:bookmarkEnd w:id="3"/>
    <w:p>
      <w:pPr>
        <w:ind w:left="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76"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exhibits to this Registration Statement are listed in the Exhibit Index below and are incorporated by reference herein.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424" w:hanging="439"/>
        <w:spacing w:after="0" w:line="272" w:lineRule="auto"/>
        <w:tabs>
          <w:tab w:leader="none" w:pos="1424"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424" w:right="140" w:hanging="439"/>
        <w:spacing w:after="0" w:line="277" w:lineRule="auto"/>
        <w:tabs>
          <w:tab w:leader="none" w:pos="142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do not apply if the registration statement is on Form S-8, and the information required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1" w:lineRule="exact"/>
        <w:rPr>
          <w:sz w:val="20"/>
          <w:szCs w:val="20"/>
          <w:color w:val="auto"/>
        </w:rPr>
      </w:pPr>
    </w:p>
    <w:p>
      <w:pPr>
        <w:ind w:left="964" w:hanging="532"/>
        <w:spacing w:after="0" w:line="263"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0984"/>
          </w:cols>
          <w:pgMar w:left="436" w:top="274" w:right="479" w:bottom="1440" w:gutter="0" w:footer="0" w:header="0"/>
        </w:sectPr>
      </w:pPr>
    </w:p>
    <w:bookmarkStart w:id="4" w:name="page5"/>
    <w:bookmarkEnd w:id="4"/>
    <w:p>
      <w:pPr>
        <w:ind w:left="4" w:hanging="4"/>
        <w:spacing w:after="0" w:line="25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left="4" w:hanging="4"/>
        <w:spacing w:after="0" w:line="25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4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8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60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c>
          <w:tcPr>
            <w:tcW w:w="60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884" w:right="780" w:hanging="786"/>
        <w:spacing w:after="0" w:line="308" w:lineRule="auto"/>
        <w:tabs>
          <w:tab w:leader="none" w:pos="864"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34">
        <w:r>
          <w:rPr>
            <w:rFonts w:ascii="Arial" w:cs="Arial" w:eastAsia="Arial" w:hAnsi="Arial"/>
            <w:sz w:val="17"/>
            <w:szCs w:val="17"/>
            <w:u w:val="single" w:color="auto"/>
            <w:color w:val="0000EE"/>
          </w:rPr>
          <w:t>Amended and Restated Certificate of Incorporation of Definitive Healthcare Corp. (incorporated by reference to Exhibit 3.1 to the</w:t>
        </w:r>
      </w:hyperlink>
      <w:r>
        <w:rPr>
          <w:rFonts w:ascii="Arial" w:cs="Arial" w:eastAsia="Arial" w:hAnsi="Arial"/>
          <w:sz w:val="17"/>
          <w:szCs w:val="17"/>
          <w:u w:val="single" w:color="auto"/>
          <w:color w:val="0000EE"/>
        </w:rPr>
        <w:t xml:space="preserve"> </w:t>
      </w:r>
      <w:hyperlink r:id="rId34">
        <w:r>
          <w:rPr>
            <w:rFonts w:ascii="Arial" w:cs="Arial" w:eastAsia="Arial" w:hAnsi="Arial"/>
            <w:sz w:val="17"/>
            <w:szCs w:val="17"/>
            <w:u w:val="single" w:color="auto"/>
            <w:color w:val="0000EE"/>
          </w:rPr>
          <w:t>Company’s Quarterly Report on Form 10-Q (File No. 001-40815) filed with the SEC on November 8, 2021).</w:t>
        </w:r>
      </w:hyperlink>
    </w:p>
    <w:p>
      <w:pPr>
        <w:spacing w:after="0" w:line="38" w:lineRule="exact"/>
        <w:rPr>
          <w:sz w:val="20"/>
          <w:szCs w:val="20"/>
          <w:color w:val="auto"/>
        </w:rPr>
      </w:pPr>
    </w:p>
    <w:p>
      <w:pPr>
        <w:ind w:left="884" w:right="80" w:hanging="786"/>
        <w:spacing w:after="0" w:line="277" w:lineRule="auto"/>
        <w:tabs>
          <w:tab w:leader="none" w:pos="864"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35">
        <w:r>
          <w:rPr>
            <w:rFonts w:ascii="Arial" w:cs="Arial" w:eastAsia="Arial" w:hAnsi="Arial"/>
            <w:sz w:val="18"/>
            <w:szCs w:val="18"/>
            <w:u w:val="single" w:color="auto"/>
            <w:color w:val="0000EE"/>
          </w:rPr>
          <w:t>Amended and Restated Bylaws of Definitive Healthcare Corp. (incorporated by reference to Exhibit 3.2 to the Company’s Quarterly Report</w:t>
        </w:r>
      </w:hyperlink>
      <w:r>
        <w:rPr>
          <w:rFonts w:ascii="Arial" w:cs="Arial" w:eastAsia="Arial" w:hAnsi="Arial"/>
          <w:sz w:val="18"/>
          <w:szCs w:val="18"/>
          <w:u w:val="single" w:color="auto"/>
          <w:color w:val="0000EE"/>
        </w:rPr>
        <w:t xml:space="preserve"> </w:t>
      </w:r>
      <w:hyperlink r:id="rId35">
        <w:r>
          <w:rPr>
            <w:rFonts w:ascii="Arial" w:cs="Arial" w:eastAsia="Arial" w:hAnsi="Arial"/>
            <w:sz w:val="18"/>
            <w:szCs w:val="18"/>
            <w:u w:val="single" w:color="auto"/>
            <w:color w:val="0000EE"/>
          </w:rPr>
          <w:t>on Form 10-Q (File No. 001-40815) filed with the SEC on November 8, 2021).</w:t>
        </w:r>
      </w:hyperlink>
    </w:p>
    <w:p>
      <w:pPr>
        <w:spacing w:after="0" w:line="62" w:lineRule="exact"/>
        <w:rPr>
          <w:sz w:val="20"/>
          <w:szCs w:val="20"/>
          <w:color w:val="auto"/>
        </w:rPr>
      </w:pPr>
    </w:p>
    <w:p>
      <w:pPr>
        <w:ind w:left="84"/>
        <w:spacing w:after="0"/>
        <w:tabs>
          <w:tab w:leader="none" w:pos="86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Legal Opinion of Cooley LLP.</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Deloitte &amp; Touche LLP, Independent Registered Public Accounting Firm</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Cooley LLP (included in Exhibit No. 5.1).</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(included on signature page to this Registration Statement).</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The Definitive Healthcare Corp. 2023 Inducement Plan</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u w:val="single" w:color="auto"/>
          <w:color w:val="0000EE"/>
        </w:rPr>
        <w:t>Form of RSU Award Agreement under 2023 Inducement Plan</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u w:val="single" w:color="auto"/>
          <w:color w:val="0000EE"/>
        </w:rPr>
        <w:t>Form of PSU Award Agreement under 2023 Inducement Plan</w:t>
      </w:r>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u w:val="single" w:color="auto"/>
          <w:color w:val="0000EE"/>
        </w:rPr>
        <w:t>Filing Fee Table</w:t>
      </w:r>
    </w:p>
    <w:p>
      <w:pPr>
        <w:spacing w:after="0" w:line="25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7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Commonwealth of Massachusetts, on September 6,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Booth</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Richard Booth</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PERSONS BY THESE PRESENTS, that each of the undersigned constitutes and appoints each of Robert Musslewhite or Richard Booth, or any of them, each acting alone, his or her true and lawful attorney-in-fact and agent, with full power of substitution and resubstitution, for such person and in his or her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00"/>
          </w:cols>
          <w:pgMar w:left="440" w:top="270"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460" w:type="dxa"/>
            <w:vAlign w:val="bottom"/>
          </w:tcPr>
          <w:p>
            <w:pPr>
              <w:jc w:val="center"/>
              <w:ind w:left="131"/>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ind w:left="29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Musslewhite</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3"/>
              </w:rPr>
              <w:t>Chief Executive Officer and 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2"/>
              </w:rPr>
              <w:t>Robert Musslewhite</w:t>
            </w:r>
          </w:p>
        </w:tc>
        <w:tc>
          <w:tcPr>
            <w:tcW w:w="5460" w:type="dxa"/>
            <w:vAlign w:val="bottom"/>
          </w:tcPr>
          <w:p>
            <w:pPr>
              <w:jc w:val="center"/>
              <w:ind w:left="111"/>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Krantz</w:t>
            </w:r>
          </w:p>
        </w:tc>
        <w:tc>
          <w:tcPr>
            <w:tcW w:w="5460" w:type="dxa"/>
            <w:vAlign w:val="bottom"/>
          </w:tcPr>
          <w:p>
            <w:pPr>
              <w:jc w:val="center"/>
              <w:ind w:left="111"/>
              <w:spacing w:after="0"/>
              <w:rPr>
                <w:sz w:val="20"/>
                <w:szCs w:val="20"/>
                <w:color w:val="auto"/>
              </w:rPr>
            </w:pPr>
            <w:r>
              <w:rPr>
                <w:rFonts w:ascii="Arial" w:cs="Arial" w:eastAsia="Arial" w:hAnsi="Arial"/>
                <w:sz w:val="18"/>
                <w:szCs w:val="18"/>
                <w:color w:val="auto"/>
                <w:w w:val="91"/>
              </w:rPr>
              <w:t>Executive Chairman and 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89"/>
              </w:rPr>
              <w:t>Jason Krantz</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Booth</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2"/>
              </w:rPr>
              <w:t>Richard Booth</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Sastry Chilukuri</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3"/>
              </w:rPr>
              <w:t>Sastry Chilukuri</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Egan</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2"/>
              </w:rPr>
              <w:t>Chris Egan</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Samuel Allen Hamood</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2"/>
              </w:rPr>
              <w:t>Samuel Allen Hamood</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 Haywood</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3"/>
              </w:rPr>
              <w:t>Jeff Haywood</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Jill Larsen</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1"/>
              </w:rPr>
              <w:t>Jill Larsen</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Scott Stephenson</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88"/>
              </w:rPr>
              <w:t>Scott Stephenson</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Kathleen A. Winters</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3"/>
              </w:rPr>
              <w:t>Kathleen A. Winters</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 Young</w:t>
            </w:r>
          </w:p>
        </w:tc>
        <w:tc>
          <w:tcPr>
            <w:tcW w:w="5460" w:type="dxa"/>
            <w:vAlign w:val="bottom"/>
          </w:tcPr>
          <w:p>
            <w:pPr>
              <w:jc w:val="center"/>
              <w:ind w:left="131"/>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292"/>
              <w:spacing w:after="0"/>
              <w:rPr>
                <w:sz w:val="20"/>
                <w:szCs w:val="20"/>
                <w:color w:val="auto"/>
              </w:rPr>
            </w:pPr>
            <w:r>
              <w:rPr>
                <w:rFonts w:ascii="Arial" w:cs="Arial" w:eastAsia="Arial" w:hAnsi="Arial"/>
                <w:sz w:val="18"/>
                <w:szCs w:val="18"/>
                <w:color w:val="auto"/>
                <w:w w:val="88"/>
              </w:rPr>
              <w:t>September 6, 2023</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0"/>
              </w:rPr>
              <w:t>Lauren Young</w:t>
            </w:r>
          </w:p>
        </w:tc>
        <w:tc>
          <w:tcPr>
            <w:tcW w:w="546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820"/>
          </w:cols>
          <w:pgMar w:left="440" w:top="265" w:right="6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Jean Park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T+1 212 479 6131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jpark@cooley.com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492 Old Connecticut Path, Suite 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Framingham, MA 01701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acted as counsel to Definitive Healthcare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of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xml:space="preserve">”), covering the sale of up to 2,100,000 shares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of the Company’s Class A Common Stock, $0.001 par value per share, pursuant to the Company’s 2023 Inducement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this opinion, we have examined and relied upon (a) the Registration Statement and the related prospectus, (b) the Company’s certificate of incorporation and bylaws, each as currently in effect, (c) the Plan and (d)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by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20"/>
          </w:cols>
          <w:pgMar w:left="440" w:top="121" w:right="4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Jean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Jean Park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00"/>
          </w:cols>
          <w:pgMar w:left="440" w:top="1016"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dated February 27, 2023 (August, 14, 2023, as to the effects of the restatement discussed in Note 3 and the effects of the material weakness described in Item 9A, Management’s Report on Internal Controls over Financial Reporting (as revised)) relating to the financial statements of Definitive Healthcare Corp. and the effectiveness of Definitive Healthcare Corp.’s internal control over financial reporting, appearing in the Annual Report on Form 10-K, as amended by Amendment No. 1 to Form 10-K on Form 10-K/A, of Definitive Healthcare Corp. for the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6, 2023</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DEFINITIVE HEALTHCARE CORP. 2023 INDUCEMENT PLAN</w:t>
      </w:r>
    </w:p>
    <w:p>
      <w:pPr>
        <w:spacing w:after="0" w:line="229" w:lineRule="exact"/>
        <w:rPr>
          <w:sz w:val="20"/>
          <w:szCs w:val="20"/>
          <w:color w:val="auto"/>
        </w:rPr>
      </w:pPr>
    </w:p>
    <w:p>
      <w:pPr>
        <w:ind w:left="620" w:hanging="184"/>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Definitive Healthcare Corp. 2023 Inducement Plan is to further align the interests of eligible participants with those of the Company’s stockholders by providing incentive compensation opportunities tied to the performance of the Company and its Common Stock. The Plan is intended to (a) provide an inducement material for certain individuals to enter into employment with the Company within the meaning of Rule 5635(c)(4) of the Nasdaq Marketplace Rules, and (b) advance the interests of the Company and increase stockholder value by attracting, retaining and motivating eligible key personnel upon whose judgment, initiative and effort the successful conduct of the Company’s business is largely dependent.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Eligible Award Recipients</w:t>
      </w:r>
      <w:r>
        <w:rPr>
          <w:rFonts w:ascii="Arial" w:cs="Arial" w:eastAsia="Arial" w:hAnsi="Arial"/>
          <w:sz w:val="16"/>
          <w:szCs w:val="16"/>
          <w:color w:val="auto"/>
        </w:rPr>
        <w:t>. The only persons eligible to receive grants of Awards under this Plan are individuals who satisfy the standards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inducement grants under Nasdaq Marketplace Rule 5635(c)(4) or 5635(c)(3), if applicable, and the related guidance under Nasdaq IM 5635-1. A person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who previously served as an Employee or Director will not be eligible to receive Awards under the Plan, other than following a bona fide period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non-employment. Persons eligible to receive grants of Awards under this Plan are referred to in this Plan as “</w:t>
      </w:r>
      <w:r>
        <w:rPr>
          <w:rFonts w:ascii="Arial" w:cs="Arial" w:eastAsia="Arial" w:hAnsi="Arial"/>
          <w:sz w:val="16"/>
          <w:szCs w:val="16"/>
          <w:i w:val="1"/>
          <w:iCs w:val="1"/>
          <w:color w:val="auto"/>
        </w:rPr>
        <w:t>Eligible Employees</w:t>
      </w:r>
      <w:r>
        <w:rPr>
          <w:rFonts w:ascii="Arial" w:cs="Arial" w:eastAsia="Arial" w:hAnsi="Arial"/>
          <w:sz w:val="16"/>
          <w:szCs w:val="16"/>
          <w:color w:val="auto"/>
        </w:rPr>
        <w:t>.” These Awards must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approved by either a majority of the Company’s “Independent Directors” (as such term is defined in Nasdaq Marketplace Rule 5605(a)(2))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Independent Directors</w:t>
      </w:r>
      <w:r>
        <w:rPr>
          <w:rFonts w:ascii="Arial" w:cs="Arial" w:eastAsia="Arial" w:hAnsi="Arial"/>
          <w:sz w:val="16"/>
          <w:szCs w:val="16"/>
          <w:color w:val="auto"/>
        </w:rPr>
        <w:t>”) or the Company’s compensation committee, provided such committee is comprised solely of Independent Directors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(the “</w:t>
      </w:r>
      <w:r>
        <w:rPr>
          <w:rFonts w:ascii="Arial" w:cs="Arial" w:eastAsia="Arial" w:hAnsi="Arial"/>
          <w:sz w:val="17"/>
          <w:szCs w:val="17"/>
          <w:i w:val="1"/>
          <w:iCs w:val="1"/>
          <w:color w:val="auto"/>
        </w:rPr>
        <w:t>Independent Compensation Committee</w:t>
      </w:r>
      <w:r>
        <w:rPr>
          <w:rFonts w:ascii="Arial" w:cs="Arial" w:eastAsia="Arial" w:hAnsi="Arial"/>
          <w:sz w:val="17"/>
          <w:szCs w:val="17"/>
          <w:color w:val="auto"/>
        </w:rPr>
        <w:t>”) in order to comply with the exemption from the stockholder approval requirement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“inducement grants” provided under Rule 5635(c)(4) of the Nasdaq Marketplace Rules. Nasdaq Marketplace Rule 5635(c)(4) and the related guidance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Nasdaq IM 5635-1 (and any analogous rules or guidance effective after the date hereof) are referred to in the Plan as the “</w:t>
      </w:r>
      <w:r>
        <w:rPr>
          <w:rFonts w:ascii="Arial" w:cs="Arial" w:eastAsia="Arial" w:hAnsi="Arial"/>
          <w:sz w:val="16"/>
          <w:szCs w:val="16"/>
          <w:i w:val="1"/>
          <w:iCs w:val="1"/>
          <w:color w:val="auto"/>
        </w:rPr>
        <w:t>Inducement Award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Rules</w:t>
      </w:r>
      <w:r>
        <w:rPr>
          <w:rFonts w:ascii="Arial" w:cs="Arial" w:eastAsia="Arial" w:hAnsi="Arial"/>
          <w:sz w:val="18"/>
          <w:szCs w:val="18"/>
          <w:color w:val="auto"/>
        </w:rPr>
        <w: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and not otherwise defined herein shall have the meanings set forth below:</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Person, any other Person directly or indirectly controlling, controlled by, or under common control with such first Person.</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a Stock Option, Stock Appreciation Right, Restricted Stock Award, Restricted Stock Unit, or Stock-Based Award granted under the Plan.</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a notice or an agreement entered into between the Company and a Participant or provided by the Company to a Participant setting forth the terms and conditions of an Award granted to a Participant as provided in Section 14.2 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has the meaning set forth in Section 12.2 hereof.</w:t>
      </w:r>
    </w:p>
    <w:p>
      <w:pPr>
        <w:sectPr>
          <w:pgSz w:w="11900" w:h="16838" w:orient="portrait"/>
          <w:cols w:equalWidth="0" w:num="1">
            <w:col w:w="11020"/>
          </w:cols>
          <w:pgMar w:left="440" w:top="121" w:right="439" w:bottom="1440" w:gutter="0" w:footer="0" w:header="0"/>
        </w:sectPr>
      </w:pPr>
    </w:p>
    <w:bookmarkStart w:id="12" w:name="page13"/>
    <w:bookmarkEnd w:id="1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set forth in Section 11.4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a committee of no fewer than two Independent Directors to whom authority has been delegated by the Board in accordance with Section 3.1 hereof.</w:t>
      </w:r>
    </w:p>
    <w:p>
      <w:pPr>
        <w:spacing w:after="0" w:line="170"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Class A common shares of the Company, par value $0.001 per share (and any shares or other securities into which such Common Stock may be converted or into which it may be exchanged).</w:t>
      </w:r>
    </w:p>
    <w:p>
      <w:pPr>
        <w:spacing w:after="0" w:line="170"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Definitive Healthcare Corp., a corporation organized and existing under the laws of the State of Delaware, or any successor thereto.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Consultant</w:t>
      </w:r>
      <w:r>
        <w:rPr>
          <w:rFonts w:ascii="Arial" w:cs="Arial" w:eastAsia="Arial" w:hAnsi="Arial"/>
          <w:sz w:val="16"/>
          <w:szCs w:val="16"/>
          <w:color w:val="auto"/>
        </w:rPr>
        <w:t>” means any natural person who is a consultant or other personal service provider of the Company or any of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Consultants are not eligible to receive Awards under the Plan with respect to their service in such capacity.</w:t>
      </w:r>
    </w:p>
    <w:p>
      <w:pPr>
        <w:spacing w:after="0" w:line="21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 of Grant</w:t>
      </w:r>
      <w:r>
        <w:rPr>
          <w:rFonts w:ascii="Arial" w:cs="Arial" w:eastAsia="Arial" w:hAnsi="Arial"/>
          <w:sz w:val="18"/>
          <w:szCs w:val="18"/>
          <w:color w:val="auto"/>
        </w:rPr>
        <w:t>” means the date on which an Award under the Plan is granted by the Committee or such later date as the Committee may specify to be the effective date of an Award.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Director</w:t>
      </w:r>
      <w:r>
        <w:rPr>
          <w:rFonts w:ascii="Arial" w:cs="Arial" w:eastAsia="Arial" w:hAnsi="Arial"/>
          <w:sz w:val="16"/>
          <w:szCs w:val="16"/>
          <w:color w:val="auto"/>
        </w:rPr>
        <w:t>” means a member of the Board. Directors are not eligible to receive Awards under the Plan with respect to their service in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11" w:lineRule="exact"/>
        <w:rPr>
          <w:sz w:val="20"/>
          <w:szCs w:val="20"/>
          <w:color w:val="auto"/>
        </w:rPr>
      </w:pPr>
    </w:p>
    <w:p>
      <w:pPr>
        <w:ind w:right="11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unless otherwise defined in an Award Agreement, a disability described in Treasury Regulations Section 1.409A-3(i)(4)(i)(A). A Disability shall be deemed to occur at the time of the determination by the Committee of the Disability.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September 5, 2023.</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Employee</w:t>
      </w:r>
      <w:r>
        <w:rPr>
          <w:rFonts w:ascii="Arial" w:cs="Arial" w:eastAsia="Arial" w:hAnsi="Arial"/>
          <w:sz w:val="18"/>
          <w:szCs w:val="18"/>
          <w:color w:val="auto"/>
        </w:rPr>
        <w:t>” shall have the meaning set forth in Section 1.2 hereof.</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 as the same may be amended from time to time.</w:t>
      </w:r>
    </w:p>
    <w:p>
      <w:pPr>
        <w:spacing w:after="0" w:line="170"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w:t>
      </w:r>
      <w:r>
        <w:rPr>
          <w:rFonts w:ascii="Arial" w:cs="Arial" w:eastAsia="Arial" w:hAnsi="Arial"/>
          <w:sz w:val="16"/>
          <w:szCs w:val="16"/>
          <w:i w:val="1"/>
          <w:iCs w:val="1"/>
          <w:color w:val="auto"/>
        </w:rPr>
        <w:t>NASDAQ</w:t>
      </w:r>
      <w:r>
        <w:rPr>
          <w:rFonts w:ascii="Arial" w:cs="Arial" w:eastAsia="Arial" w:hAnsi="Arial"/>
          <w:sz w:val="16"/>
          <w:szCs w:val="16"/>
          <w:color w:val="auto"/>
        </w:rPr>
        <w:t>”), the New York Stock Exchange and the National Market System on the applicable date, the preceding trading day, the next succeeding trading day, or an average of trading days, as determined by the Committee in its discretion. Unless the Committee determines otherwise or unless otherwise specified in an Award Agreement, Fair</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4" w:right="559" w:bottom="1440" w:gutter="0" w:footer="0" w:header="0"/>
        </w:sectPr>
      </w:pPr>
    </w:p>
    <w:bookmarkStart w:id="13" w:name="page14"/>
    <w:bookmarkEnd w:id="13"/>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Compensation Committee</w:t>
      </w:r>
      <w:r>
        <w:rPr>
          <w:rFonts w:ascii="Arial" w:cs="Arial" w:eastAsia="Arial" w:hAnsi="Arial"/>
          <w:sz w:val="18"/>
          <w:szCs w:val="18"/>
          <w:color w:val="auto"/>
        </w:rPr>
        <w:t>” has the meaning set forth in Section 1.2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Directors</w:t>
      </w:r>
      <w:r>
        <w:rPr>
          <w:rFonts w:ascii="Arial" w:cs="Arial" w:eastAsia="Arial" w:hAnsi="Arial"/>
          <w:sz w:val="18"/>
          <w:szCs w:val="18"/>
          <w:color w:val="auto"/>
        </w:rPr>
        <w:t>” has the meaning set forth in Section 1.2 hereof.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Inducement Award Rules</w:t>
      </w:r>
      <w:r>
        <w:rPr>
          <w:rFonts w:ascii="Arial" w:cs="Arial" w:eastAsia="Arial" w:hAnsi="Arial"/>
          <w:sz w:val="18"/>
          <w:szCs w:val="18"/>
          <w:color w:val="auto"/>
        </w:rPr>
        <w:t>” has the meaning set forth in Section 1.2 hereof.</w:t>
      </w:r>
    </w:p>
    <w:p>
      <w:pPr>
        <w:spacing w:after="0" w:line="225"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Non-Employee Director</w:t>
      </w:r>
      <w:r>
        <w:rPr>
          <w:rFonts w:ascii="Arial" w:cs="Arial" w:eastAsia="Arial" w:hAnsi="Arial"/>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7"/>
          <w:szCs w:val="17"/>
          <w:i w:val="1"/>
          <w:iCs w:val="1"/>
          <w:color w:val="auto"/>
        </w:rPr>
        <w:t>Regulation S-K</w:t>
      </w:r>
      <w:r>
        <w:rPr>
          <w:rFonts w:ascii="Arial" w:cs="Arial" w:eastAsia="Arial" w:hAnsi="Arial"/>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any Eligible Employee who holds an outstanding Award under the Plan.</w:t>
      </w:r>
    </w:p>
    <w:p>
      <w:pPr>
        <w:spacing w:after="0" w:line="225" w:lineRule="exact"/>
        <w:rPr>
          <w:sz w:val="20"/>
          <w:szCs w:val="20"/>
          <w:color w:val="auto"/>
        </w:rPr>
      </w:pPr>
    </w:p>
    <w:p>
      <w:pPr>
        <w:ind w:right="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2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the Definitive Healthcare Corp. 2023 Inducement Plan as set forth herein, effective as of the Effective Date and as may be amended from time to time, as provided herein, and includes any sub-plan or appendix that may be created and approved by the Board to allow Eligible Employees of Subsidiaries to participate in the Plan.</w:t>
      </w:r>
    </w:p>
    <w:p>
      <w:pPr>
        <w:spacing w:after="0" w:line="184" w:lineRule="exact"/>
        <w:rPr>
          <w:sz w:val="20"/>
          <w:szCs w:val="20"/>
          <w:color w:val="auto"/>
        </w:rPr>
      </w:pPr>
    </w:p>
    <w:p>
      <w:pPr>
        <w:ind w:right="4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Award</w:t>
      </w:r>
      <w:r>
        <w:rPr>
          <w:rFonts w:ascii="Arial" w:cs="Arial" w:eastAsia="Arial" w:hAnsi="Arial"/>
          <w:sz w:val="18"/>
          <w:szCs w:val="18"/>
          <w:color w:val="auto"/>
        </w:rPr>
        <w:t>” means a grant of shares of Common Stock to an Eligible Employee under Section 8 hereof that are issued subject to such vesting and transfer restrictions as the Committee shall determine, and such other conditions, as are set forth in the Plan and the applicable Award Agreement.</w:t>
      </w:r>
    </w:p>
    <w:p>
      <w:pPr>
        <w:spacing w:after="0" w:line="184"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Stock Unit</w:t>
      </w:r>
      <w:r>
        <w:rPr>
          <w:rFonts w:ascii="Arial" w:cs="Arial" w:eastAsia="Arial" w:hAnsi="Arial"/>
          <w:sz w:val="18"/>
          <w:szCs w:val="18"/>
          <w:color w:val="auto"/>
        </w:rPr>
        <w:t>” means a contractual right granted to an Eligible Employee under Section 9 hereof representing notional unit interests equal in value to a share of Common Stock to be paid or distributed at such times, and subject to such conditions, as set forth in the Plan and the applicable Award Agreement.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14" w:name="page15"/>
    <w:bookmarkEnd w:id="14"/>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 as the same may be amended from time to time.</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w:t>
      </w:r>
      <w:r>
        <w:rPr>
          <w:rFonts w:ascii="Arial" w:cs="Arial" w:eastAsia="Arial" w:hAnsi="Arial"/>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contractual right granted to an Eligible Employee under Section 7 hereof entitling such Eligible Employee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84"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Stock-Based Award</w:t>
      </w:r>
      <w:r>
        <w:rPr>
          <w:rFonts w:ascii="Arial" w:cs="Arial" w:eastAsia="Arial" w:hAnsi="Arial"/>
          <w:sz w:val="18"/>
          <w:szCs w:val="18"/>
          <w:color w:val="auto"/>
        </w:rPr>
        <w:t>” means a grant of shares of Common Stock or any award that is valued by reference to shares of Common Stock to an Eligible Employee under Section 10 hereof.</w:t>
      </w:r>
    </w:p>
    <w:p>
      <w:pPr>
        <w:spacing w:after="0" w:line="170"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Option</w:t>
      </w:r>
      <w:r>
        <w:rPr>
          <w:rFonts w:ascii="Arial" w:cs="Arial" w:eastAsia="Arial" w:hAnsi="Arial"/>
          <w:sz w:val="18"/>
          <w:szCs w:val="18"/>
          <w:color w:val="auto"/>
        </w:rPr>
        <w:t>” means a contractual right granted to an Eligible Employee under Section 6 hereof to purchase shares of Common Stock at such time and price, and subject to such conditions, as are set forth in the Plan and the applicable Award Agreement. No Stock Option granted under the Plan shall qualify as an “incentive stock option” within the meaning of Section 422 of the Code.</w:t>
      </w:r>
    </w:p>
    <w:p>
      <w:pPr>
        <w:spacing w:after="0" w:line="184"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 entity (whether or not a corporation) that is wholly or majority owned or controlled, directly or indirectly, by the Company or any other Affiliate of the Company that is so designated, from time to time, by the Committee, during the period of such Affiliated status.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regulations promulgated by the United States Treasury Department.</w:t>
      </w:r>
    </w:p>
    <w:p>
      <w:pPr>
        <w:spacing w:after="0" w:line="225" w:lineRule="exact"/>
        <w:rPr>
          <w:sz w:val="20"/>
          <w:szCs w:val="20"/>
          <w:color w:val="auto"/>
        </w:rPr>
      </w:pPr>
    </w:p>
    <w:p>
      <w:pPr>
        <w:ind w:left="620" w:hanging="184"/>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Committee Members</w:t>
      </w:r>
      <w:r>
        <w:rPr>
          <w:rFonts w:ascii="Arial" w:cs="Arial" w:eastAsia="Arial" w:hAnsi="Arial"/>
          <w:sz w:val="17"/>
          <w:szCs w:val="17"/>
          <w:color w:val="auto"/>
        </w:rPr>
        <w:t xml:space="preserve">. The Plan shall be administered by the Committee, subject to those constraints set forth in the Plan and the other constraints of the Inducement Award Rules. Each Committee member shall satisfy the requirements for (i) an “independent director” under rules adopted by the NASDAQ or other principal exchange on which the Common Stock is then listed and (ii) a “nonemployee director” within the meaning of Rule 16b-3 under the Exchange Act. The Board may exercise all powers of the Committee hereunder and may directly administer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Awards may only be granted by either (i) a majority of the Company’s Independent Directors or (ii) the Independent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Neither the Company nor any member of the Board or Committee shall be liable for any action or determination made in good faith by the Board or Committee with respect to the Plan or any Award thereunder.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15" w:name="page16"/>
    <w:bookmarkEnd w:id="15"/>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Arial" w:cs="Arial" w:eastAsia="Arial" w:hAnsi="Arial"/>
          <w:sz w:val="16"/>
          <w:szCs w:val="16"/>
          <w:i w:val="1"/>
          <w:iCs w:val="1"/>
          <w:color w:val="auto"/>
        </w:rPr>
        <w:t>Committee Authority</w:t>
      </w:r>
      <w:r>
        <w:rPr>
          <w:rFonts w:ascii="Arial" w:cs="Arial" w:eastAsia="Arial" w:hAnsi="Arial"/>
          <w:sz w:val="16"/>
          <w:szCs w:val="16"/>
          <w:color w:val="auto"/>
        </w:rPr>
        <w:t xml:space="preserve">. Subject to, and within the limitations of, the express provisions of the Plan and the Inducement Award Rules, the Committee shall have all powers and discretion necessary or appropriate to administer the Plan and to control its operation, including, but not limited to, the power to (i) determine the Eligible Employees to whom Awards shall be granted under the Plan; </w:t>
      </w:r>
      <w:r>
        <w:rPr>
          <w:rFonts w:ascii="Arial" w:cs="Arial" w:eastAsia="Arial" w:hAnsi="Arial"/>
          <w:sz w:val="16"/>
          <w:szCs w:val="16"/>
          <w:i w:val="1"/>
          <w:iCs w:val="1"/>
          <w:color w:val="auto"/>
        </w:rPr>
        <w:t>provided, however</w:t>
      </w:r>
      <w:r>
        <w:rPr>
          <w:rFonts w:ascii="Arial" w:cs="Arial" w:eastAsia="Arial" w:hAnsi="Arial"/>
          <w:sz w:val="16"/>
          <w:szCs w:val="16"/>
          <w:color w:val="auto"/>
        </w:rPr>
        <w:t>, that Awards may only be granted by either (a) a majority of the Company’s Independent Directors or (b) the Independent Compensation Committee,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Employees who are foreign nationals or provide services outside of the United States. The Committee’s determinations under the Plan need not be uniform and may be made by the Committee selectively among Participants and Eligible Employees,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17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Rule 16b-3 Compliance</w:t>
      </w:r>
      <w:r>
        <w:rPr>
          <w:rFonts w:ascii="Arial" w:cs="Arial" w:eastAsia="Arial" w:hAnsi="Arial"/>
          <w:sz w:val="17"/>
          <w:szCs w:val="17"/>
          <w:color w:val="auto"/>
        </w:rPr>
        <w:t>. To the extent an Award is intended to qualify for the exemption from Section 16(b) of the Exchange Act that is available under Rule 16b-3 of the Exchange Act, the Award will be granted by a Committee that consists solely of two or more Non-Employee Directors, as determined under Rule 16b-3(b)(3) of the Exchange Act and thereafter any action establishing or modifying the terms of the Award will be approved by a Committee meeting such requirements to the extent necessary for such exemption to remain available.</w:t>
      </w:r>
    </w:p>
    <w:p>
      <w:pPr>
        <w:spacing w:after="0" w:line="171" w:lineRule="exact"/>
        <w:rPr>
          <w:sz w:val="20"/>
          <w:szCs w:val="20"/>
          <w:color w:val="auto"/>
        </w:rPr>
      </w:pPr>
    </w:p>
    <w:p>
      <w:pPr>
        <w:ind w:left="620" w:hanging="18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 Reserved</w:t>
      </w:r>
      <w:r>
        <w:rPr>
          <w:rFonts w:ascii="Arial" w:cs="Arial" w:eastAsia="Arial" w:hAnsi="Arial"/>
          <w:sz w:val="18"/>
          <w:szCs w:val="18"/>
          <w:color w:val="auto"/>
        </w:rPr>
        <w:t>. Subject to adjustment as provided in Section 4.3 hereof, the total number of shares of Common Stock that are available for issuance under the Plan (the “</w:t>
      </w:r>
      <w:r>
        <w:rPr>
          <w:rFonts w:ascii="Arial" w:cs="Arial" w:eastAsia="Arial" w:hAnsi="Arial"/>
          <w:sz w:val="18"/>
          <w:szCs w:val="18"/>
          <w:i w:val="1"/>
          <w:iCs w:val="1"/>
          <w:color w:val="auto"/>
        </w:rPr>
        <w:t>Share Reserve</w:t>
      </w:r>
      <w:r>
        <w:rPr>
          <w:rFonts w:ascii="Arial" w:cs="Arial" w:eastAsia="Arial" w:hAnsi="Arial"/>
          <w:sz w:val="18"/>
          <w:szCs w:val="18"/>
          <w:color w:val="auto"/>
        </w:rPr>
        <w:t>”) shall equal 2,100,000 shares. Each share of Common Stock subject to an Award shall reduce the Share Reserve by one share. Any shares of Common Stock delivered under the Plan shall consist of authorized and unissued shares or treasury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6" w:name="page17"/>
    <w:bookmarkEnd w:id="16"/>
    <w:p>
      <w:pPr>
        <w:ind w:left="4" w:right="26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6"/>
          <w:szCs w:val="16"/>
          <w:i w:val="1"/>
          <w:iCs w:val="1"/>
          <w:color w:val="auto"/>
        </w:rPr>
        <w:t>Share Replenishment</w:t>
      </w:r>
      <w:r>
        <w:rPr>
          <w:rFonts w:ascii="Arial" w:cs="Arial" w:eastAsia="Arial" w:hAnsi="Arial"/>
          <w:sz w:val="16"/>
          <w:szCs w:val="16"/>
          <w:color w:val="auto"/>
        </w:rPr>
        <w:t>. Following the Effective Date, to the extent that an Award granted under this Plan is canceled, expired, repurchased, forfeited, surrendered, exchanged for cash, settled in cash or by delivery of fewer shares of Common Stock than the number underlying the Award, or otherwise terminated without delivery of the shares of Common Stock to the Participant under the Plan, the unissued shares of Common Stock will</w:t>
      </w:r>
    </w:p>
    <w:p>
      <w:pPr>
        <w:spacing w:after="0" w:line="2" w:lineRule="exact"/>
        <w:rPr>
          <w:sz w:val="20"/>
          <w:szCs w:val="20"/>
          <w:color w:val="auto"/>
        </w:rPr>
      </w:pPr>
    </w:p>
    <w:p>
      <w:pPr>
        <w:ind w:left="4" w:right="80" w:hanging="4"/>
        <w:spacing w:after="0" w:line="252" w:lineRule="auto"/>
        <w:tabs>
          <w:tab w:leader="none" w:pos="2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this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 by the Company on the open market with the proceeds of a Stock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92"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Adjustments</w:t>
      </w:r>
      <w:r>
        <w:rPr>
          <w:rFonts w:ascii="Arial" w:cs="Arial" w:eastAsia="Arial" w:hAnsi="Arial"/>
          <w:sz w:val="16"/>
          <w:szCs w:val="16"/>
          <w:color w:val="auto"/>
        </w:rPr>
        <w:t>.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 4.1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any such adjustments shall, to the extent necessary to avoid additional taxes, be made in a manner consistent with the requirements of Section 409A of the Code, unless otherwise determined by the Committee.</w:t>
      </w:r>
    </w:p>
    <w:p>
      <w:pPr>
        <w:spacing w:after="0" w:line="168" w:lineRule="exact"/>
        <w:rPr>
          <w:sz w:val="20"/>
          <w:szCs w:val="20"/>
          <w:color w:val="auto"/>
        </w:rPr>
      </w:pPr>
    </w:p>
    <w:p>
      <w:pPr>
        <w:ind w:left="624" w:hanging="184"/>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Eligibility and Awards</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Designation of Participants</w:t>
      </w:r>
      <w:r>
        <w:rPr>
          <w:rFonts w:ascii="Arial" w:cs="Arial" w:eastAsia="Arial" w:hAnsi="Arial"/>
          <w:sz w:val="16"/>
          <w:szCs w:val="16"/>
          <w:color w:val="auto"/>
        </w:rPr>
        <w:t>. Awards may only be granted to persons who are Eligible Employees described in Section 1.1 of the Plan, where the Award is an inducement material to the individual’s entering into employment with the Company or an Affiliate within the meaning of Rule 5635(c)</w:t>
      </w:r>
    </w:p>
    <w:p>
      <w:pPr>
        <w:ind w:left="4" w:hanging="4"/>
        <w:spacing w:after="0" w:line="270"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of the Nasdaq Marketplace Rules or is otherwise permitted pursuant to Rule 5635(c) of the Nasdaq Marketplace Rules The Committee has the authority, in its discretion, to determine and designate from time to time those Eligible Employees who are to be granted Awards, the types of Awards to be granted, the number of shares of Common Stock or units subject to Awards to be granted and the terms and conditions of such Awards consistent with the terms of the Plan; </w:t>
      </w:r>
      <w:r>
        <w:rPr>
          <w:rFonts w:ascii="Arial" w:cs="Arial" w:eastAsia="Arial" w:hAnsi="Arial"/>
          <w:sz w:val="17"/>
          <w:szCs w:val="17"/>
          <w:i w:val="1"/>
          <w:iCs w:val="1"/>
          <w:color w:val="auto"/>
        </w:rPr>
        <w:t>provided, however</w:t>
      </w:r>
      <w:r>
        <w:rPr>
          <w:rFonts w:ascii="Arial" w:cs="Arial" w:eastAsia="Arial" w:hAnsi="Arial"/>
          <w:sz w:val="17"/>
          <w:szCs w:val="17"/>
          <w:color w:val="auto"/>
        </w:rPr>
        <w:t>, that Awards may only be granted by either (a) a majority of the Company’s Independent Directors or (b) the Independent Compensation Committee. In selecting Eligible Employees to be Participants, and in determining the type and amount of Awards to be granted under the Plan, the Committee shall consider any and all factors that it deems relevant or appropriate.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17" w:name="page18"/>
    <w:bookmarkEnd w:id="17"/>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i w:val="1"/>
          <w:iCs w:val="1"/>
          <w:color w:val="auto"/>
        </w:rPr>
        <w:t>Determination of Awards</w:t>
      </w:r>
      <w:r>
        <w:rPr>
          <w:rFonts w:ascii="Arial" w:cs="Arial" w:eastAsia="Arial" w:hAnsi="Arial"/>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84"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i w:val="1"/>
          <w:iCs w:val="1"/>
          <w:color w:val="auto"/>
        </w:rPr>
        <w:t>Award Agreements</w:t>
      </w:r>
      <w:r>
        <w:rPr>
          <w:rFonts w:ascii="Arial" w:cs="Arial" w:eastAsia="Arial" w:hAnsi="Arial"/>
          <w:sz w:val="17"/>
          <w:szCs w:val="17"/>
          <w:color w:val="auto"/>
        </w:rPr>
        <w:t>. Each Award granted to an Eligible Employee shall be represented by an Award Agreement. The terms of the Award, as determined by the Committee, will be set forth in the applicable Award Agreements as described in Section 14.2 hereof.</w:t>
      </w:r>
    </w:p>
    <w:p>
      <w:pPr>
        <w:spacing w:after="0" w:line="14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Limitations on Stock Options and Stock Appreciation Rights</w:t>
      </w:r>
      <w:r>
        <w:rPr>
          <w:rFonts w:ascii="Arial" w:cs="Arial" w:eastAsia="Arial" w:hAnsi="Arial"/>
          <w:sz w:val="18"/>
          <w:szCs w:val="18"/>
          <w:color w:val="auto"/>
        </w:rPr>
        <w:t>. Stock Options and Stock Appreciation Rights may not be granted to Employees unless the stock underlying such Awards is treated as “service recipient stock” under Section 409A of the Code or unless such Awards otherwise comply with the requirements of Section 409A of the Code.</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Approval Requirements</w:t>
      </w:r>
      <w:r>
        <w:rPr>
          <w:rFonts w:ascii="Arial" w:cs="Arial" w:eastAsia="Arial" w:hAnsi="Arial"/>
          <w:sz w:val="18"/>
          <w:szCs w:val="18"/>
          <w:color w:val="auto"/>
        </w:rPr>
        <w:t>. All Awards must be granted either by a majority of the Company’s Independent Directors or the Independent Compensation Committee.</w:t>
      </w:r>
    </w:p>
    <w:p>
      <w:pPr>
        <w:spacing w:after="0" w:line="170" w:lineRule="exact"/>
        <w:rPr>
          <w:sz w:val="20"/>
          <w:szCs w:val="20"/>
          <w:color w:val="auto"/>
        </w:rPr>
      </w:pPr>
    </w:p>
    <w:p>
      <w:pPr>
        <w:ind w:left="620" w:hanging="184"/>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 of Stock Options</w:t>
      </w:r>
      <w:r>
        <w:rPr>
          <w:rFonts w:ascii="Arial" w:cs="Arial" w:eastAsia="Arial" w:hAnsi="Arial"/>
          <w:sz w:val="17"/>
          <w:szCs w:val="17"/>
          <w:color w:val="auto"/>
        </w:rPr>
        <w:t>. A Stock Option may be granted to any Eligible Employee selected by the Committee. All Stock Options granted under the Plan are intended to comply with or be exempt from the requirements of Section 409A of the Code, to the extent applicable.</w:t>
      </w:r>
    </w:p>
    <w:p>
      <w:pPr>
        <w:spacing w:after="0" w:line="14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Exercise Price.</w:t>
      </w:r>
      <w:r>
        <w:rPr>
          <w:rFonts w:ascii="Arial" w:cs="Arial" w:eastAsia="Arial" w:hAnsi="Arial"/>
          <w:sz w:val="18"/>
          <w:szCs w:val="18"/>
          <w:color w:val="auto"/>
        </w:rPr>
        <w:t xml:space="preserve"> Unless otherwise determined by the Committee, the exercise price per share of a Stock Option (other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Vesting of Stock Options</w:t>
      </w:r>
      <w:r>
        <w:rPr>
          <w:rFonts w:ascii="Arial" w:cs="Arial" w:eastAsia="Arial" w:hAnsi="Arial"/>
          <w:sz w:val="18"/>
          <w:szCs w:val="18"/>
          <w:color w:val="auto"/>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88"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Stock Options</w:t>
      </w:r>
      <w:r>
        <w:rPr>
          <w:rFonts w:ascii="Arial" w:cs="Arial" w:eastAsia="Arial" w:hAnsi="Arial"/>
          <w:sz w:val="18"/>
          <w:szCs w:val="18"/>
          <w:color w:val="auto"/>
        </w:rPr>
        <w:t xml:space="preserve">. The Committee shall in its discretion prescribe in an Award Agreement the period during which a vested Stock Option may be exercised;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maximum term of a Stock Option shall be ten (10) years from the Date of Grant. If the Fair Market Value of a share of Common Stock exceeds the Exercise Price on the last day that the Stock Option may be exercised under an Award Agreement, the affected Participant shall be deemed to have exercised the vested portion of such Stock Option in a net exercise under Section 6.5(ii)(C) below and net share withholding for taxes (unless otherwise agreed) without the requirement of any further action. The Committee may provide that a Stock Option will cease to be exercisable upon or at the end of a specified time period following a termination of Service for any reason as set forth in the Award Agreement or otherwise. A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8" w:name="page19"/>
    <w:bookmarkEnd w:id="18"/>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spacing w:after="0" w:line="17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Stock Option Exercise; Tax Withholding</w:t>
      </w:r>
      <w:r>
        <w:rPr>
          <w:rFonts w:ascii="Arial" w:cs="Arial" w:eastAsia="Arial" w:hAnsi="Arial"/>
          <w:sz w:val="17"/>
          <w:szCs w:val="17"/>
          <w:color w:val="auto"/>
        </w:rPr>
        <w:t>. Subject to such terms and conditions as specified in an Award 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7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Limited Transferability of Stock Options</w:t>
      </w:r>
      <w:r>
        <w:rPr>
          <w:rFonts w:ascii="Arial" w:cs="Arial" w:eastAsia="Arial" w:hAnsi="Arial"/>
          <w:sz w:val="17"/>
          <w:szCs w:val="17"/>
          <w:color w:val="auto"/>
        </w:rPr>
        <w:t>. All Stock Options shall be nontransferable except (i) upon the Participant’s death, in accordance with Section 14.3 hereof or (ii)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Stock Option may be subject to such terms and conditions as the Committee may in its discretion impose from time to time. Subsequent transfers of a Stock Option shall be prohibited other than in accordance with Section 14.3 hereof.</w:t>
      </w:r>
    </w:p>
    <w:p>
      <w:pPr>
        <w:spacing w:after="0" w:line="17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Repricing Prohibited.</w:t>
      </w:r>
      <w:r>
        <w:rPr>
          <w:rFonts w:ascii="Arial" w:cs="Arial" w:eastAsia="Arial" w:hAnsi="Arial"/>
          <w:sz w:val="16"/>
          <w:szCs w:val="16"/>
          <w:color w:val="auto"/>
        </w:rPr>
        <w:t xml:space="preserve"> Subject to the adjustment provisions contained in Section 4.3 hereof and other than in 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 w:name="page20"/>
    <w:bookmarkEnd w:id="19"/>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Arial" w:cs="Arial" w:eastAsia="Arial" w:hAnsi="Arial"/>
          <w:sz w:val="18"/>
          <w:szCs w:val="18"/>
          <w:i w:val="1"/>
          <w:iCs w:val="1"/>
          <w:color w:val="auto"/>
        </w:rPr>
        <w:t>No Rights as Stockholder</w:t>
      </w:r>
      <w:r>
        <w:rPr>
          <w:rFonts w:ascii="Arial" w:cs="Arial" w:eastAsia="Arial" w:hAnsi="Arial"/>
          <w:sz w:val="18"/>
          <w:szCs w:val="18"/>
          <w:color w:val="auto"/>
        </w:rPr>
        <w:t>. The Participant shall not have any rights as a stockholder with respect to the shares underlying a Stock Option until such time as shares or Common Stock are delivered to the Participant pursuant to the terms of the Award Agreement.</w:t>
      </w:r>
    </w:p>
    <w:p>
      <w:pPr>
        <w:spacing w:after="0" w:line="170" w:lineRule="exact"/>
        <w:rPr>
          <w:sz w:val="20"/>
          <w:szCs w:val="20"/>
          <w:color w:val="auto"/>
        </w:rPr>
      </w:pPr>
    </w:p>
    <w:p>
      <w:pPr>
        <w:ind w:left="620" w:hanging="184"/>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Stock Appreciation Rights</w:t>
      </w:r>
      <w:r>
        <w:rPr>
          <w:rFonts w:ascii="Arial" w:cs="Arial" w:eastAsia="Arial" w:hAnsi="Arial"/>
          <w:sz w:val="18"/>
          <w:szCs w:val="18"/>
          <w:color w:val="auto"/>
        </w:rPr>
        <w:t>. Stock Appreciation Rights may be granted to any Eligible Employee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spacing w:after="0" w:line="18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i w:val="1"/>
          <w:iCs w:val="1"/>
          <w:color w:val="auto"/>
        </w:rPr>
        <w:t>Terms of Stock Appreciation Rights</w:t>
      </w:r>
      <w:r>
        <w:rPr>
          <w:rFonts w:ascii="Arial" w:cs="Arial" w:eastAsia="Arial" w:hAnsi="Arial"/>
          <w:sz w:val="17"/>
          <w:szCs w:val="17"/>
          <w:color w:val="auto"/>
        </w:rPr>
        <w:t xml:space="preserve">. The Committee shall in its discretion provide in an Award Agreement the time or times at which or the conditions upon which, a Stock Appreciation Right or portion thereof shall become vested and/or exercisable. If the Fair Market Value of a share of Common Stock exceeds the base price on the last day that the Stock Appreciation Right may be exercised under an Award Agreement, the affected Participant shall be deemed to have exercised the vested portion of such Stock Appreciation Right and net share withholding for taxes (unless otherwise agreed) without the requirement of any further action.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base price per share shall not be less than one hundred percent (100%) of the Fair Market Value of a share of Common Stock on the Date of Grant (other than with respect to a Stock Appreciation Right substituted or assumed under Section 14.10).</w:t>
      </w:r>
    </w:p>
    <w:p>
      <w:pPr>
        <w:spacing w:after="0" w:line="182"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i w:val="1"/>
          <w:iCs w:val="1"/>
          <w:color w:val="auto"/>
        </w:rPr>
        <w:t>Payment of Stock Appreciation Rights</w:t>
      </w:r>
      <w:r>
        <w:rPr>
          <w:rFonts w:ascii="Arial" w:cs="Arial" w:eastAsia="Arial" w:hAnsi="Arial"/>
          <w:sz w:val="17"/>
          <w:szCs w:val="17"/>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ind w:right="8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Arial" w:cs="Arial" w:eastAsia="Arial" w:hAnsi="Arial"/>
          <w:sz w:val="18"/>
          <w:szCs w:val="18"/>
          <w:i w:val="1"/>
          <w:iCs w:val="1"/>
          <w:color w:val="auto"/>
        </w:rPr>
        <w:t>Repricing Prohibited</w:t>
      </w:r>
      <w:r>
        <w:rPr>
          <w:rFonts w:ascii="Arial" w:cs="Arial" w:eastAsia="Arial" w:hAnsi="Arial"/>
          <w:sz w:val="18"/>
          <w:szCs w:val="18"/>
          <w:color w:val="auto"/>
        </w:rPr>
        <w:t>. Subject to the adjustment provisions contained in Section 4.3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9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No Rights as Stockholder</w:t>
      </w:r>
      <w:r>
        <w:rPr>
          <w:rFonts w:ascii="Arial" w:cs="Arial" w:eastAsia="Arial" w:hAnsi="Arial"/>
          <w:sz w:val="16"/>
          <w:szCs w:val="16"/>
          <w:color w:val="auto"/>
        </w:rPr>
        <w:t>. The Participant shall not have any rights as a stockholder with respect to the shares underlying a Stock Appreciation Right unless and until such time as shares or Common Stock are delivered to the Participant pursuant to the terms of the Award Agreement.</w:t>
      </w:r>
    </w:p>
    <w:p>
      <w:pPr>
        <w:spacing w:after="0" w:line="124" w:lineRule="exact"/>
        <w:rPr>
          <w:sz w:val="20"/>
          <w:szCs w:val="20"/>
          <w:color w:val="auto"/>
        </w:rPr>
      </w:pPr>
    </w:p>
    <w:p>
      <w:pPr>
        <w:ind w:left="620" w:hanging="184"/>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225"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Restricted Stock Awards</w:t>
      </w:r>
      <w:r>
        <w:rPr>
          <w:rFonts w:ascii="Arial" w:cs="Arial" w:eastAsia="Arial" w:hAnsi="Arial"/>
          <w:sz w:val="16"/>
          <w:szCs w:val="16"/>
          <w:color w:val="auto"/>
        </w:rPr>
        <w:t>. A Restricted Stock Award may be granted to any Eligible Employee selected by the Committee. The Committee may require the payment by the Participant of a specified purchase price in connection with any Restricted Stock Award.</w:t>
      </w:r>
    </w:p>
    <w:p>
      <w:pPr>
        <w:spacing w:after="0" w:line="124"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Vesting Requirements</w:t>
      </w:r>
      <w:r>
        <w:rPr>
          <w:rFonts w:ascii="Arial" w:cs="Arial" w:eastAsia="Arial" w:hAnsi="Arial"/>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Transfer Restrictions</w:t>
      </w:r>
      <w:r>
        <w:rPr>
          <w:rFonts w:ascii="Arial" w:cs="Arial" w:eastAsia="Arial" w:hAnsi="Arial"/>
          <w:sz w:val="17"/>
          <w:szCs w:val="17"/>
          <w:color w:val="auto"/>
        </w:rPr>
        <w:t>. Shares granted under any Restricted Stock Award may not be transferred, assigned or subject to any encumbrance, pledge or charge until all applicable restrictions are removed or have expired, except as provided in Section 14.3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1" w:name="page22"/>
    <w:bookmarkEnd w:id="21"/>
    <w:p>
      <w:pPr>
        <w:ind w:right="4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 </w:t>
      </w:r>
      <w:r>
        <w:rPr>
          <w:rFonts w:ascii="Arial" w:cs="Arial" w:eastAsia="Arial" w:hAnsi="Arial"/>
          <w:sz w:val="17"/>
          <w:szCs w:val="17"/>
          <w:i w:val="1"/>
          <w:iCs w:val="1"/>
          <w:color w:val="auto"/>
        </w:rPr>
        <w:t>Rights as Stockholder</w:t>
      </w:r>
      <w:r>
        <w:rPr>
          <w:rFonts w:ascii="Arial" w:cs="Arial" w:eastAsia="Arial" w:hAnsi="Arial"/>
          <w:sz w:val="17"/>
          <w:szCs w:val="17"/>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Arial" w:cs="Arial" w:eastAsia="Arial" w:hAnsi="Arial"/>
          <w:sz w:val="17"/>
          <w:szCs w:val="17"/>
          <w:i w:val="1"/>
          <w:iCs w:val="1"/>
          <w:color w:val="auto"/>
        </w:rPr>
        <w:t>Restriction Period</w:t>
      </w:r>
      <w:r>
        <w:rPr>
          <w:rFonts w:ascii="Arial" w:cs="Arial" w:eastAsia="Arial" w:hAnsi="Arial"/>
          <w:sz w:val="17"/>
          <w:szCs w:val="17"/>
          <w:color w:val="auto"/>
        </w:rPr>
        <w:t xml:space="preserve">”), and have the right to receive dividends on the Restricted Stock Award during the Restriction Period (and, if so, on what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Participant has the right to receive dividends paid with respect to the Restricted Stock Award, such dividends shall be subject to the same vesting terms as the related Restricted Stock Award.</w:t>
      </w:r>
    </w:p>
    <w:p>
      <w:pPr>
        <w:spacing w:after="0" w:line="17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Section 83(b) Election</w:t>
      </w:r>
      <w:r>
        <w:rPr>
          <w:rFonts w:ascii="Arial" w:cs="Arial" w:eastAsia="Arial" w:hAnsi="Arial"/>
          <w:sz w:val="16"/>
          <w:szCs w:val="16"/>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57" w:lineRule="exact"/>
        <w:rPr>
          <w:sz w:val="20"/>
          <w:szCs w:val="20"/>
          <w:color w:val="auto"/>
        </w:rPr>
      </w:pPr>
    </w:p>
    <w:p>
      <w:pPr>
        <w:ind w:left="620" w:hanging="184"/>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Grant of Restricted Stock Units</w:t>
      </w:r>
      <w:r>
        <w:rPr>
          <w:rFonts w:ascii="Arial" w:cs="Arial" w:eastAsia="Arial" w:hAnsi="Arial"/>
          <w:sz w:val="18"/>
          <w:szCs w:val="18"/>
          <w:color w:val="auto"/>
        </w:rPr>
        <w:t>. A Restricted Stock Unit may be granted to any Eligible Employee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spacing w:after="0" w:line="187" w:lineRule="exact"/>
        <w:rPr>
          <w:sz w:val="20"/>
          <w:szCs w:val="20"/>
          <w:color w:val="auto"/>
        </w:rPr>
      </w:pPr>
    </w:p>
    <w:p>
      <w:pPr>
        <w:jc w:val="both"/>
        <w:ind w:right="60" w:firstLine="440"/>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Vesting of Restricted Stock Units</w:t>
      </w:r>
      <w:r>
        <w:rPr>
          <w:rFonts w:ascii="Arial" w:cs="Arial" w:eastAsia="Arial" w:hAnsi="Arial"/>
          <w:sz w:val="18"/>
          <w:szCs w:val="18"/>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18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Payment of Restricted Stock Units</w:t>
      </w:r>
      <w:r>
        <w:rPr>
          <w:rFonts w:ascii="Arial" w:cs="Arial" w:eastAsia="Arial" w:hAnsi="Arial"/>
          <w:sz w:val="17"/>
          <w:szCs w:val="17"/>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2" w:name="page23"/>
    <w:bookmarkEnd w:id="22"/>
    <w:p>
      <w:pPr>
        <w:ind w:left="4" w:right="1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Arial" w:cs="Arial" w:eastAsia="Arial" w:hAnsi="Arial"/>
          <w:sz w:val="16"/>
          <w:szCs w:val="16"/>
          <w:i w:val="1"/>
          <w:iCs w:val="1"/>
          <w:color w:val="auto"/>
        </w:rPr>
        <w:t>Dividend Equivalent Rights.</w:t>
      </w:r>
      <w:r>
        <w:rPr>
          <w:rFonts w:ascii="Arial" w:cs="Arial" w:eastAsia="Arial" w:hAnsi="Arial"/>
          <w:sz w:val="16"/>
          <w:szCs w:val="16"/>
          <w:color w:val="auto"/>
        </w:rPr>
        <w:t xml:space="preserve"> Dividends shall not be paid with respect to Restricted Stock Units. Dividend 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w:t>
      </w:r>
    </w:p>
    <w:p>
      <w:pPr>
        <w:spacing w:after="0" w:line="149" w:lineRule="exact"/>
        <w:rPr>
          <w:sz w:val="20"/>
          <w:szCs w:val="20"/>
          <w:color w:val="auto"/>
        </w:rPr>
      </w:pPr>
    </w:p>
    <w:p>
      <w:pPr>
        <w:ind w:left="4" w:right="320" w:firstLine="440"/>
        <w:spacing w:after="0" w:line="34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No Rights as Stockholder</w:t>
      </w:r>
      <w:r>
        <w:rPr>
          <w:rFonts w:ascii="Arial" w:cs="Arial" w:eastAsia="Arial" w:hAnsi="Arial"/>
          <w:sz w:val="16"/>
          <w:szCs w:val="16"/>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24" w:lineRule="exact"/>
        <w:rPr>
          <w:sz w:val="20"/>
          <w:szCs w:val="20"/>
          <w:color w:val="auto"/>
        </w:rPr>
      </w:pPr>
    </w:p>
    <w:p>
      <w:pPr>
        <w:ind w:left="704" w:hanging="264"/>
        <w:spacing w:after="0"/>
        <w:tabs>
          <w:tab w:leader="none" w:pos="70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Stock-Based Awards</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Stock-Based Awards</w:t>
      </w:r>
      <w:r>
        <w:rPr>
          <w:rFonts w:ascii="Arial" w:cs="Arial" w:eastAsia="Arial" w:hAnsi="Arial"/>
          <w:sz w:val="18"/>
          <w:szCs w:val="18"/>
          <w:color w:val="auto"/>
        </w:rPr>
        <w:t>. A Stock-Based Award may be granted to any Eligible Employee selected by the Committee. A Stock-Based Award may be granted for past 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spacing w:after="0" w:line="18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Rights as Stockholder</w:t>
      </w:r>
      <w:r>
        <w:rPr>
          <w:rFonts w:ascii="Arial" w:cs="Arial" w:eastAsia="Arial" w:hAnsi="Arial"/>
          <w:sz w:val="16"/>
          <w:szCs w:val="16"/>
          <w:color w:val="auto"/>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spacing w:after="0" w:line="157" w:lineRule="exact"/>
        <w:rPr>
          <w:sz w:val="20"/>
          <w:szCs w:val="20"/>
          <w:color w:val="auto"/>
        </w:rPr>
      </w:pPr>
    </w:p>
    <w:p>
      <w:pPr>
        <w:ind w:left="704" w:hanging="264"/>
        <w:spacing w:after="0"/>
        <w:tabs>
          <w:tab w:leader="none" w:pos="70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Effect on Awards</w:t>
      </w:r>
      <w:r>
        <w:rPr>
          <w:rFonts w:ascii="Arial" w:cs="Arial" w:eastAsia="Arial" w:hAnsi="Arial"/>
          <w:sz w:val="16"/>
          <w:szCs w:val="16"/>
          <w:color w:val="auto"/>
        </w:rPr>
        <w:t>. 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(i) for any completed performance period, based on actual performance, or</w:t>
      </w:r>
    </w:p>
    <w:p>
      <w:pPr>
        <w:spacing w:after="0" w:line="4" w:lineRule="exact"/>
        <w:rPr>
          <w:sz w:val="20"/>
          <w:szCs w:val="20"/>
          <w:color w:val="auto"/>
        </w:rPr>
      </w:pPr>
    </w:p>
    <w:p>
      <w:pPr>
        <w:ind w:left="4" w:right="300" w:hanging="4"/>
        <w:spacing w:after="0" w:line="260"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partial or future performance period, at the greater of the target level or actual performance, in each case as determined by the Committee (with the Award remaining subject only to time vesting), unless otherwise provided in an Award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3" w:name="page24"/>
    <w:bookmarkEnd w:id="23"/>
    <w:p>
      <w:pPr>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Arial" w:cs="Arial" w:eastAsia="Arial" w:hAnsi="Arial"/>
          <w:sz w:val="17"/>
          <w:szCs w:val="17"/>
          <w:i w:val="1"/>
          <w:iCs w:val="1"/>
          <w:color w:val="auto"/>
        </w:rPr>
        <w:t>Certain Adjustments</w:t>
      </w:r>
      <w:r>
        <w:rPr>
          <w:rFonts w:ascii="Arial" w:cs="Arial" w:eastAsia="Arial" w:hAnsi="Arial"/>
          <w:sz w:val="17"/>
          <w:szCs w:val="17"/>
          <w:color w:val="auto"/>
        </w:rPr>
        <w:t>. Notwithstanding Section 11.1, to the extent that outstanding Awards are not continued, assumed or substituted pursuant to Section 11.1 upon the occurrence of a Change in Control, the Committee is authorized (but not obligated) to make adjustments in the terms and conditions of outstanding Awards, including without limitation the following (or any combination thereof):</w:t>
      </w:r>
    </w:p>
    <w:p>
      <w:pPr>
        <w:spacing w:after="0" w:line="165" w:lineRule="exact"/>
        <w:rPr>
          <w:sz w:val="20"/>
          <w:szCs w:val="20"/>
          <w:color w:val="auto"/>
        </w:rPr>
      </w:pPr>
    </w:p>
    <w:p>
      <w:pPr>
        <w:ind w:right="20" w:firstLine="987"/>
        <w:spacing w:after="0" w:line="277"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acceleration of exercisability, vesting and/or payment of outstanding Awards immediately prior to the occurrence of such event or upon or following such event;</w:t>
      </w:r>
    </w:p>
    <w:p>
      <w:pPr>
        <w:spacing w:after="0" w:line="170" w:lineRule="exact"/>
        <w:rPr>
          <w:rFonts w:ascii="Arial" w:cs="Arial" w:eastAsia="Arial" w:hAnsi="Arial"/>
          <w:sz w:val="18"/>
          <w:szCs w:val="18"/>
          <w:color w:val="auto"/>
        </w:rPr>
      </w:pPr>
    </w:p>
    <w:p>
      <w:pPr>
        <w:ind w:right="280" w:firstLine="987"/>
        <w:spacing w:after="0" w:line="259" w:lineRule="auto"/>
        <w:tabs>
          <w:tab w:leader="none" w:pos="12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86" w:lineRule="exact"/>
        <w:rPr>
          <w:rFonts w:ascii="Arial" w:cs="Arial" w:eastAsia="Arial" w:hAnsi="Arial"/>
          <w:sz w:val="18"/>
          <w:szCs w:val="18"/>
          <w:color w:val="auto"/>
        </w:rPr>
      </w:pPr>
    </w:p>
    <w:p>
      <w:pPr>
        <w:ind w:right="120" w:firstLine="987"/>
        <w:spacing w:after="0" w:line="271" w:lineRule="auto"/>
        <w:tabs>
          <w:tab w:leader="none" w:pos="12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cancellation of all or any portion of outstanding Awards for fair value (in the form of cash, Common Shares, other property or any combination thereof) as determined in the sole discretion of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color w:val="auto"/>
        </w:rPr>
        <w:t>Certain Terminations of Service</w:t>
      </w:r>
      <w:r>
        <w:rPr>
          <w:rFonts w:ascii="Arial" w:cs="Arial" w:eastAsia="Arial" w:hAnsi="Arial"/>
          <w:sz w:val="16"/>
          <w:szCs w:val="16"/>
          <w:color w:val="auto"/>
        </w:rPr>
        <w:t>. Notwithstanding the provisions of Section 11.1, if a Participant’s Service with the Company and its Subsidiaries is terminated upon or within twenty four (24) months following a Change in Control by the Company without Cause or upon such other circumstances as determined by the Committee,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Committee, unless otherwise provided in an Award Agreement.</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Definition of Change in Control.</w:t>
      </w:r>
      <w:r>
        <w:rPr>
          <w:rFonts w:ascii="Arial" w:cs="Arial" w:eastAsia="Arial" w:hAnsi="Arial"/>
          <w:sz w:val="18"/>
          <w:szCs w:val="18"/>
          <w:color w:val="auto"/>
        </w:rPr>
        <w:t xml:space="preserve"> Unless otherwise defined in an Award Agreement or other written agreement approved by the Committee, “Change in Control” means, and shall occur, if: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 w:name="page25"/>
    <w:bookmarkEnd w:id="24"/>
    <w:p>
      <w:pPr>
        <w:ind w:firstLine="987"/>
        <w:spacing w:after="0" w:line="279" w:lineRule="auto"/>
        <w:tabs>
          <w:tab w:leader="none" w:pos="1236"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w:t>
      </w:r>
    </w:p>
    <w:p>
      <w:pPr>
        <w:spacing w:after="0" w:line="171" w:lineRule="exact"/>
        <w:rPr>
          <w:rFonts w:ascii="Arial" w:cs="Arial" w:eastAsia="Arial" w:hAnsi="Arial"/>
          <w:sz w:val="17"/>
          <w:szCs w:val="17"/>
          <w:color w:val="auto"/>
        </w:rPr>
      </w:pPr>
    </w:p>
    <w:p>
      <w:pPr>
        <w:ind w:right="20" w:firstLine="987"/>
        <w:spacing w:after="0" w:line="272" w:lineRule="auto"/>
        <w:tabs>
          <w:tab w:leader="none" w:pos="12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during any period of two consecutive years (the “</w:t>
      </w:r>
      <w:r>
        <w:rPr>
          <w:rFonts w:ascii="Arial" w:cs="Arial" w:eastAsia="Arial" w:hAnsi="Arial"/>
          <w:sz w:val="17"/>
          <w:szCs w:val="17"/>
          <w:i w:val="1"/>
          <w:iCs w:val="1"/>
          <w:color w:val="auto"/>
        </w:rPr>
        <w:t>Board Measurement Period</w:t>
      </w:r>
      <w:r>
        <w:rPr>
          <w:rFonts w:ascii="Arial" w:cs="Arial" w:eastAsia="Arial" w:hAnsi="Arial"/>
          <w:sz w:val="17"/>
          <w:szCs w:val="17"/>
          <w:color w:val="auto"/>
        </w:rPr>
        <w:t>”)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77" w:lineRule="exact"/>
        <w:rPr>
          <w:rFonts w:ascii="Arial" w:cs="Arial" w:eastAsia="Arial" w:hAnsi="Arial"/>
          <w:sz w:val="17"/>
          <w:szCs w:val="17"/>
          <w:color w:val="auto"/>
        </w:rPr>
      </w:pPr>
    </w:p>
    <w:p>
      <w:pPr>
        <w:ind w:right="40" w:firstLine="987"/>
        <w:spacing w:after="0" w:line="293" w:lineRule="auto"/>
        <w:tabs>
          <w:tab w:leader="none" w:pos="12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spacing w:after="0" w:line="164" w:lineRule="exact"/>
        <w:rPr>
          <w:rFonts w:ascii="Arial" w:cs="Arial" w:eastAsia="Arial" w:hAnsi="Arial"/>
          <w:sz w:val="16"/>
          <w:szCs w:val="16"/>
          <w:color w:val="auto"/>
        </w:rPr>
      </w:pPr>
    </w:p>
    <w:p>
      <w:pPr>
        <w:ind w:right="80" w:firstLine="987"/>
        <w:spacing w:after="0" w:line="301" w:lineRule="auto"/>
        <w:tabs>
          <w:tab w:leader="none" w:pos="12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stockholders of the Company approve 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5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5" w:name="page26"/>
    <w:bookmarkEnd w:id="25"/>
    <w:p>
      <w:pPr>
        <w:ind w:left="704" w:hanging="264"/>
        <w:spacing w:after="0"/>
        <w:tabs>
          <w:tab w:leader="none" w:pos="70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 Events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General</w:t>
      </w:r>
      <w:r>
        <w:rPr>
          <w:rFonts w:ascii="Arial" w:cs="Arial" w:eastAsia="Arial" w:hAnsi="Arial"/>
          <w:sz w:val="18"/>
          <w:szCs w:val="18"/>
          <w:color w:val="auto"/>
        </w:rPr>
        <w:t>.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 Company clawback policy relating to financial restatement, or other conduct by the Participant that is detrimental to the business or reputation of the Company.</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Termination for Cause</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68" w:lineRule="auto"/>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i w:val="1"/>
          <w:iCs w:val="1"/>
          <w:color w:val="auto"/>
        </w:rPr>
        <w:t>Treatment of Awards</w:t>
      </w:r>
      <w:r>
        <w:rPr>
          <w:rFonts w:ascii="Arial" w:cs="Arial" w:eastAsia="Arial" w:hAnsi="Arial"/>
          <w:sz w:val="17"/>
          <w:szCs w:val="17"/>
          <w:color w:val="auto"/>
        </w:rPr>
        <w:t>. Unless otherwise provided by the Committee and set forth in an Award Agreement, if (i) a Participant’s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 (2) 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spacing w:after="0" w:line="184" w:lineRule="exact"/>
        <w:rPr>
          <w:rFonts w:ascii="Arial" w:cs="Arial" w:eastAsia="Arial" w:hAnsi="Arial"/>
          <w:sz w:val="17"/>
          <w:szCs w:val="17"/>
          <w:color w:val="auto"/>
        </w:rPr>
      </w:pPr>
    </w:p>
    <w:p>
      <w:pPr>
        <w:ind w:left="4" w:right="40" w:firstLine="987"/>
        <w:spacing w:after="0" w:line="284" w:lineRule="auto"/>
        <w:tabs>
          <w:tab w:leader="none" w:pos="1250"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Definition of Cause</w:t>
      </w:r>
      <w:r>
        <w:rPr>
          <w:rFonts w:ascii="Arial" w:cs="Arial" w:eastAsia="Arial" w:hAnsi="Arial"/>
          <w:sz w:val="16"/>
          <w:szCs w:val="16"/>
          <w:color w:val="auto"/>
        </w:rPr>
        <w:t>. “</w:t>
      </w:r>
      <w:r>
        <w:rPr>
          <w:rFonts w:ascii="Arial" w:cs="Arial" w:eastAsia="Arial" w:hAnsi="Arial"/>
          <w:sz w:val="16"/>
          <w:szCs w:val="16"/>
          <w:i w:val="1"/>
          <w:iCs w:val="1"/>
          <w:color w:val="auto"/>
        </w:rPr>
        <w:t>Cause</w:t>
      </w:r>
      <w:r>
        <w:rPr>
          <w:rFonts w:ascii="Arial" w:cs="Arial" w:eastAsia="Arial" w:hAnsi="Arial"/>
          <w:sz w:val="16"/>
          <w:szCs w:val="16"/>
          <w:color w:val="auto"/>
        </w:rPr>
        <w:t>” means with respect to a Participant’s termination of Service, the following: (a) in the case where there is</w:t>
      </w:r>
      <w:r>
        <w:rPr>
          <w:rFonts w:ascii="Arial" w:cs="Arial" w:eastAsia="Arial" w:hAnsi="Arial"/>
          <w:sz w:val="16"/>
          <w:szCs w:val="16"/>
          <w:i w:val="1"/>
          <w:iCs w:val="1"/>
          <w:color w:val="auto"/>
        </w:rPr>
        <w:t xml:space="preserve"> </w:t>
      </w:r>
      <w:r>
        <w:rPr>
          <w:rFonts w:ascii="Arial" w:cs="Arial" w:eastAsia="Arial" w:hAnsi="Arial"/>
          <w:sz w:val="16"/>
          <w:szCs w:val="16"/>
          <w:color w:val="auto"/>
        </w:rPr>
        <w:t>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Participant, or any Company policy (including, without limitation, with respect to harassment); or</w:t>
      </w:r>
    </w:p>
    <w:p>
      <w:pPr>
        <w:ind w:left="4" w:hanging="4"/>
        <w:spacing w:after="0" w:line="260"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conduct, acts or omissions that, in the good faith judgment of the Company, are likely to materially injure the reputation, business or a business relationship of the Company or any of its Affiliates; or (b) in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26" w:name="page27"/>
    <w:bookmarkEnd w:id="26"/>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law. Any voluntary termination of Service by the Participant in anticipation of an involuntary termination of the Participant’s Service for Cause shall be deemed to be a termination for Cause.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Right of Recapture</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If at any time within one year (or such longer time specified in an Award Agreement or other agreement with a Participant or</w:t>
      </w:r>
      <w:r>
        <w:rPr>
          <w:rFonts w:ascii="Arial" w:cs="Arial" w:eastAsia="Arial" w:hAnsi="Arial"/>
          <w:sz w:val="17"/>
          <w:szCs w:val="17"/>
          <w:i w:val="1"/>
          <w:iCs w:val="1"/>
          <w:color w:val="auto"/>
        </w:rPr>
        <w:t xml:space="preserve"> </w:t>
      </w:r>
      <w:r>
        <w:rPr>
          <w:rFonts w:ascii="Arial" w:cs="Arial" w:eastAsia="Arial" w:hAnsi="Arial"/>
          <w:sz w:val="17"/>
          <w:szCs w:val="17"/>
          <w:color w:val="auto"/>
        </w:rPr>
        <w:t>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181" w:lineRule="exact"/>
        <w:rPr>
          <w:rFonts w:ascii="Arial" w:cs="Arial" w:eastAsia="Arial" w:hAnsi="Arial"/>
          <w:sz w:val="17"/>
          <w:szCs w:val="17"/>
          <w:color w:val="auto"/>
        </w:rPr>
      </w:pPr>
    </w:p>
    <w:p>
      <w:pPr>
        <w:ind w:firstLine="987"/>
        <w:spacing w:after="0" w:line="269" w:lineRule="auto"/>
        <w:tabs>
          <w:tab w:leader="none" w:pos="1246"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Accounting Restatement</w:t>
      </w:r>
      <w:r>
        <w:rPr>
          <w:rFonts w:ascii="Arial" w:cs="Arial" w:eastAsia="Arial" w:hAnsi="Arial"/>
          <w:sz w:val="17"/>
          <w:szCs w:val="17"/>
          <w:color w:val="auto"/>
        </w:rPr>
        <w:t>. If a Participant receives compensation pursuant to an Award under the Plan based on financial statements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Arial" w:cs="Arial" w:eastAsia="Arial" w:hAnsi="Arial"/>
          <w:sz w:val="17"/>
          <w:szCs w:val="17"/>
          <w:i w:val="1"/>
          <w:iCs w:val="1"/>
          <w:color w:val="auto"/>
        </w:rPr>
        <w:t>Policy</w:t>
      </w:r>
      <w:r>
        <w:rPr>
          <w:rFonts w:ascii="Arial" w:cs="Arial" w:eastAsia="Arial" w:hAnsi="Arial"/>
          <w:sz w:val="17"/>
          <w:szCs w:val="17"/>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ind w:firstLine="436"/>
        <w:spacing w:after="0" w:line="275" w:lineRule="auto"/>
        <w:tabs>
          <w:tab w:leader="none" w:pos="71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Leave of Absence, Etc</w:t>
      </w:r>
      <w:r>
        <w:rPr>
          <w:rFonts w:ascii="Arial" w:cs="Arial" w:eastAsia="Arial" w:hAnsi="Arial"/>
          <w:sz w:val="17"/>
          <w:szCs w:val="17"/>
          <w:color w:val="auto"/>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Participant’s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76" w:lineRule="exact"/>
        <w:rPr>
          <w:rFonts w:ascii="Arial" w:cs="Arial" w:eastAsia="Arial" w:hAnsi="Arial"/>
          <w:sz w:val="17"/>
          <w:szCs w:val="17"/>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Status of Plan</w:t>
      </w:r>
      <w:r>
        <w:rPr>
          <w:rFonts w:ascii="Arial" w:cs="Arial" w:eastAsia="Arial" w:hAnsi="Arial"/>
          <w:sz w:val="18"/>
          <w:szCs w:val="18"/>
          <w:color w:val="auto"/>
        </w:rPr>
        <w:t>. The Committee may authorize the creation of trusts or other arrangements to meet the Company’s obligations to deliver shares of Common Stock or make payments with respect to Awards.</w:t>
      </w:r>
    </w:p>
    <w:p>
      <w:pPr>
        <w:spacing w:after="0" w:line="170"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i w:val="1"/>
          <w:iCs w:val="1"/>
          <w:color w:val="auto"/>
        </w:rPr>
        <w:t>Award Agreement</w:t>
      </w:r>
      <w:r>
        <w:rPr>
          <w:rFonts w:ascii="Arial" w:cs="Arial" w:eastAsia="Arial" w:hAnsi="Arial"/>
          <w:sz w:val="17"/>
          <w:szCs w:val="17"/>
          <w:color w:val="auto"/>
        </w:rPr>
        <w:t>.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179" w:lineRule="exact"/>
        <w:rPr>
          <w:sz w:val="20"/>
          <w:szCs w:val="20"/>
          <w:color w:val="auto"/>
        </w:rPr>
      </w:pPr>
    </w:p>
    <w:p>
      <w:pPr>
        <w:jc w:val="both"/>
        <w:ind w:right="100" w:firstLine="440"/>
        <w:spacing w:after="0" w:line="287"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No Assignment or Transfer; Beneficiaries</w:t>
      </w:r>
      <w:r>
        <w:rPr>
          <w:rFonts w:ascii="Arial" w:cs="Arial" w:eastAsia="Arial" w:hAnsi="Arial"/>
          <w:sz w:val="16"/>
          <w:szCs w:val="16"/>
          <w:color w:val="auto"/>
        </w:rPr>
        <w:t>. Except as provided in Section 6.6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w:t>
      </w:r>
    </w:p>
    <w:p>
      <w:pPr>
        <w:spacing w:after="0" w:line="2"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Notwithstanding the foregoing, in the event of the death of a Participant, except as otherwise provided by the Committee, an outstanding Award may be exercised by or shall become payable to the Participant’s beneficiary as determined under the Company 401(k) retirement plan or other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 w:name="page29"/>
    <w:bookmarkEnd w:id="28"/>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spacing w:after="0" w:line="16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No Right to Employment or Continued Service</w:t>
      </w:r>
      <w:r>
        <w:rPr>
          <w:rFonts w:ascii="Arial" w:cs="Arial" w:eastAsia="Arial" w:hAnsi="Arial"/>
          <w:sz w:val="18"/>
          <w:szCs w:val="18"/>
          <w:color w:val="auto"/>
        </w:rPr>
        <w:t>. Nothing in the Plan, in the grant of any Award or in any Award Agreement shall confer upon any Eligible Employee or any Participant any right to continue in the Service of the Company or any of its Subsidiaries or interfere in any way with the right of the Company or any of its Subsidiaries to terminate the employment or other service relationship of an Eligible Employee or a Participant for any reason or no reason at any time.</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i w:val="1"/>
          <w:iCs w:val="1"/>
          <w:color w:val="auto"/>
        </w:rPr>
        <w:t>Rights as Stockholder</w:t>
      </w:r>
      <w:r>
        <w:rPr>
          <w:rFonts w:ascii="Arial" w:cs="Arial" w:eastAsia="Arial" w:hAnsi="Arial"/>
          <w:sz w:val="17"/>
          <w:szCs w:val="17"/>
          <w:color w:val="auto"/>
        </w:rPr>
        <w:t>. A Participant shall have no rights as a holder of shares of Common Stock with respect to any unissued securities covered by an Award until the date the Participant becomes the holder of record of such securities. Except as provided in Section 4.3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181"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i w:val="1"/>
          <w:iCs w:val="1"/>
          <w:color w:val="auto"/>
        </w:rPr>
        <w:t>Trading Policy and Other Restrictions</w:t>
      </w:r>
      <w:r>
        <w:rPr>
          <w:rFonts w:ascii="Arial" w:cs="Arial" w:eastAsia="Arial" w:hAnsi="Arial"/>
          <w:sz w:val="17"/>
          <w:szCs w:val="17"/>
          <w:color w:val="auto"/>
        </w:rPr>
        <w:t>. Transactions involving Awards under the Plan shall be subject to the Company’s insider trading and other restrictions, terms, conditions and policies, established by the Committee from time to time or by applicable law.</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40" w:top="274" w:right="559" w:bottom="1440" w:gutter="0" w:footer="0" w:header="0"/>
        </w:sectPr>
      </w:pPr>
    </w:p>
    <w:bookmarkStart w:id="29" w:name="page30"/>
    <w:bookmarkEnd w:id="29"/>
    <w:p>
      <w:pPr>
        <w:ind w:left="4"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14.7 </w:t>
      </w:r>
      <w:r>
        <w:rPr>
          <w:rFonts w:ascii="Arial" w:cs="Arial" w:eastAsia="Arial" w:hAnsi="Arial"/>
          <w:sz w:val="16"/>
          <w:szCs w:val="16"/>
          <w:i w:val="1"/>
          <w:iCs w:val="1"/>
          <w:color w:val="auto"/>
        </w:rPr>
        <w:t>Section 409A Compliance</w:t>
      </w:r>
      <w:r>
        <w:rPr>
          <w:rFonts w:ascii="Arial" w:cs="Arial" w:eastAsia="Arial" w:hAnsi="Arial"/>
          <w:sz w:val="16"/>
          <w:szCs w:val="16"/>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w:t>
      </w:r>
    </w:p>
    <w:p>
      <w:pPr>
        <w:spacing w:after="0" w:line="1" w:lineRule="exact"/>
        <w:rPr>
          <w:sz w:val="20"/>
          <w:szCs w:val="20"/>
          <w:color w:val="auto"/>
        </w:rPr>
      </w:pPr>
    </w:p>
    <w:p>
      <w:pPr>
        <w:ind w:left="4" w:right="20" w:hanging="4"/>
        <w:spacing w:after="0" w:line="267" w:lineRule="auto"/>
        <w:tabs>
          <w:tab w:leader="none" w:pos="319"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Common Shares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180"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i w:val="1"/>
          <w:iCs w:val="1"/>
          <w:color w:val="auto"/>
        </w:rPr>
        <w:t>Section 457A Compliance.</w:t>
      </w:r>
      <w:r>
        <w:rPr>
          <w:rFonts w:ascii="Arial" w:cs="Arial" w:eastAsia="Arial" w:hAnsi="Arial"/>
          <w:sz w:val="17"/>
          <w:szCs w:val="17"/>
          <w:color w:val="auto"/>
        </w:rPr>
        <w:t xml:space="preserve"> In the event any Award is subject to Section 457A of the Code (“</w:t>
      </w:r>
      <w:r>
        <w:rPr>
          <w:rFonts w:ascii="Arial" w:cs="Arial" w:eastAsia="Arial" w:hAnsi="Arial"/>
          <w:sz w:val="17"/>
          <w:szCs w:val="17"/>
          <w:i w:val="1"/>
          <w:iCs w:val="1"/>
          <w:color w:val="auto"/>
        </w:rPr>
        <w:t>Section 457A</w:t>
      </w:r>
      <w:r>
        <w:rPr>
          <w:rFonts w:ascii="Arial" w:cs="Arial" w:eastAsia="Arial" w:hAnsi="Arial"/>
          <w:sz w:val="17"/>
          <w:szCs w:val="17"/>
          <w:color w:val="auto"/>
        </w:rPr>
        <w:t>”),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17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Securities Law Compliance</w:t>
      </w:r>
      <w:r>
        <w:rPr>
          <w:rFonts w:ascii="Arial" w:cs="Arial" w:eastAsia="Arial" w:hAnsi="Arial"/>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0" w:name="page31"/>
    <w:bookmarkEnd w:id="3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188"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i w:val="1"/>
          <w:iCs w:val="1"/>
          <w:color w:val="auto"/>
        </w:rPr>
        <w:t>Substitution or Assumption of Awards in Corporate Transactions</w:t>
      </w:r>
      <w:r>
        <w:rPr>
          <w:rFonts w:ascii="Arial" w:cs="Arial" w:eastAsia="Arial" w:hAnsi="Arial"/>
          <w:sz w:val="17"/>
          <w:szCs w:val="17"/>
          <w:color w:val="auto"/>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Employee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Common Shares are listed, any such substituted or assumed awards shall not reduce the Share Reserve.</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i w:val="1"/>
          <w:iCs w:val="1"/>
          <w:color w:val="auto"/>
        </w:rPr>
        <w:t>Tax Withholding</w:t>
      </w:r>
      <w:r>
        <w:rPr>
          <w:rFonts w:ascii="Arial" w:cs="Arial" w:eastAsia="Arial" w:hAnsi="Arial"/>
          <w:sz w:val="17"/>
          <w:szCs w:val="17"/>
          <w:color w:val="auto"/>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Securities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18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Unfunded Plan</w:t>
      </w:r>
      <w:r>
        <w:rPr>
          <w:rFonts w:ascii="Arial" w:cs="Arial" w:eastAsia="Arial" w:hAnsi="Arial"/>
          <w:sz w:val="18"/>
          <w:szCs w:val="18"/>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1" w:name="page32"/>
    <w:bookmarkEnd w:id="31"/>
    <w:p>
      <w:pPr>
        <w:ind w:right="2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14.13 </w:t>
      </w:r>
      <w:r>
        <w:rPr>
          <w:rFonts w:ascii="Arial" w:cs="Arial" w:eastAsia="Arial" w:hAnsi="Arial"/>
          <w:sz w:val="17"/>
          <w:szCs w:val="17"/>
          <w:i w:val="1"/>
          <w:iCs w:val="1"/>
          <w:color w:val="auto"/>
        </w:rPr>
        <w:t>Other Compensation and Benefit Plans</w:t>
      </w:r>
      <w:r>
        <w:rPr>
          <w:rFonts w:ascii="Arial" w:cs="Arial" w:eastAsia="Arial" w:hAnsi="Arial"/>
          <w:sz w:val="17"/>
          <w:szCs w:val="17"/>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78"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i w:val="1"/>
          <w:iCs w:val="1"/>
          <w:color w:val="auto"/>
        </w:rPr>
        <w:t>Plan Binding on Transferees</w:t>
      </w:r>
      <w:r>
        <w:rPr>
          <w:rFonts w:ascii="Arial" w:cs="Arial" w:eastAsia="Arial" w:hAnsi="Arial"/>
          <w:sz w:val="18"/>
          <w:szCs w:val="18"/>
          <w:color w:val="auto"/>
        </w:rPr>
        <w:t>. The Plan shall be binding upon the Company, its transferees and assigns, and the Participant, the Participant’s executor, administrator and permitted transferees and beneficiaries.</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14.16 </w:t>
      </w:r>
      <w:r>
        <w:rPr>
          <w:rFonts w:ascii="Arial" w:cs="Arial" w:eastAsia="Arial" w:hAnsi="Arial"/>
          <w:sz w:val="16"/>
          <w:szCs w:val="16"/>
          <w:i w:val="1"/>
          <w:iCs w:val="1"/>
          <w:color w:val="auto"/>
        </w:rPr>
        <w:t>Governing Law</w:t>
      </w:r>
      <w:r>
        <w:rPr>
          <w:rFonts w:ascii="Arial" w:cs="Arial" w:eastAsia="Arial" w:hAnsi="Arial"/>
          <w:sz w:val="16"/>
          <w:szCs w:val="16"/>
          <w:color w:val="auto"/>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14.17 </w:t>
      </w:r>
      <w:r>
        <w:rPr>
          <w:rFonts w:ascii="Arial" w:cs="Arial" w:eastAsia="Arial" w:hAnsi="Arial"/>
          <w:sz w:val="18"/>
          <w:szCs w:val="18"/>
          <w:i w:val="1"/>
          <w:iCs w:val="1"/>
          <w:color w:val="auto"/>
        </w:rPr>
        <w:t>No Fractional Shares</w:t>
      </w:r>
      <w:r>
        <w:rPr>
          <w:rFonts w:ascii="Arial" w:cs="Arial" w:eastAsia="Arial" w:hAnsi="Arial"/>
          <w:sz w:val="18"/>
          <w:szCs w:val="18"/>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14.18 </w:t>
      </w:r>
      <w:r>
        <w:rPr>
          <w:rFonts w:ascii="Arial" w:cs="Arial" w:eastAsia="Arial" w:hAnsi="Arial"/>
          <w:sz w:val="18"/>
          <w:szCs w:val="18"/>
          <w:i w:val="1"/>
          <w:iCs w:val="1"/>
          <w:color w:val="auto"/>
        </w:rPr>
        <w:t>No Guarantees Regarding Tax Treatment</w:t>
      </w:r>
      <w:r>
        <w:rPr>
          <w:rFonts w:ascii="Arial" w:cs="Arial" w:eastAsia="Arial" w:hAnsi="Arial"/>
          <w:sz w:val="18"/>
          <w:szCs w:val="18"/>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32" w:name="page33"/>
    <w:bookmarkEnd w:id="32"/>
    <w:p>
      <w:pPr>
        <w:ind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14.19 </w:t>
      </w:r>
      <w:r>
        <w:rPr>
          <w:rFonts w:ascii="Arial" w:cs="Arial" w:eastAsia="Arial" w:hAnsi="Arial"/>
          <w:sz w:val="16"/>
          <w:szCs w:val="16"/>
          <w:i w:val="1"/>
          <w:iCs w:val="1"/>
          <w:color w:val="auto"/>
        </w:rPr>
        <w:t>Data Protection</w:t>
      </w:r>
      <w:r>
        <w:rPr>
          <w:rFonts w:ascii="Arial" w:cs="Arial" w:eastAsia="Arial" w:hAnsi="Arial"/>
          <w:sz w:val="16"/>
          <w:szCs w:val="16"/>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spacing w:after="0" w:line="14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14.20 </w:t>
      </w:r>
      <w:r>
        <w:rPr>
          <w:rFonts w:ascii="Arial" w:cs="Arial" w:eastAsia="Arial" w:hAnsi="Arial"/>
          <w:sz w:val="18"/>
          <w:szCs w:val="18"/>
          <w:i w:val="1"/>
          <w:iCs w:val="1"/>
          <w:color w:val="auto"/>
        </w:rPr>
        <w:t>Awards to Non-U.S. Participants.</w:t>
      </w:r>
      <w:r>
        <w:rPr>
          <w:rFonts w:ascii="Arial" w:cs="Arial" w:eastAsia="Arial" w:hAnsi="Arial"/>
          <w:sz w:val="18"/>
          <w:szCs w:val="18"/>
          <w:color w:val="auto"/>
        </w:rPr>
        <w:t xml:space="preserve"> To comply with the laws in countries other than the United States in which the Company or any of its Subsidiaries or Affiliates operates or has Eligible Employees,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spacing w:after="0" w:line="195" w:lineRule="exact"/>
        <w:rPr>
          <w:sz w:val="20"/>
          <w:szCs w:val="20"/>
          <w:color w:val="auto"/>
        </w:rPr>
      </w:pPr>
    </w:p>
    <w:p>
      <w:pPr>
        <w:ind w:left="700" w:hanging="26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 Amendment and Termination; Stockholder Approval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Term</w:t>
      </w:r>
      <w:r>
        <w:rPr>
          <w:rFonts w:ascii="Arial" w:cs="Arial" w:eastAsia="Arial" w:hAnsi="Arial"/>
          <w:sz w:val="18"/>
          <w:szCs w:val="18"/>
          <w:color w:val="auto"/>
        </w:rPr>
        <w:t>. The Board has adopted this plan and the Plan shall be effective as of the Effective Date.</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i w:val="1"/>
          <w:iCs w:val="1"/>
          <w:color w:val="auto"/>
        </w:rPr>
        <w:t>Amendment and Termination</w:t>
      </w:r>
      <w:r>
        <w:rPr>
          <w:rFonts w:ascii="Arial" w:cs="Arial" w:eastAsia="Arial" w:hAnsi="Arial"/>
          <w:sz w:val="17"/>
          <w:szCs w:val="17"/>
          <w:color w:val="auto"/>
        </w:rPr>
        <w:t xml:space="preserve">. The Board may from time to time and in any respect, amend, modify, suspend or terminate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2023 Inducement Plan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(Time-Based)</w:t>
      </w:r>
    </w:p>
    <w:p>
      <w:pPr>
        <w:spacing w:after="0" w:line="211"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This Restricted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Definitive Healthcare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 effective as of _______, 20__ (the “</w:t>
      </w:r>
      <w:r>
        <w:rPr>
          <w:rFonts w:ascii="Arial" w:cs="Arial" w:eastAsia="Arial" w:hAnsi="Arial"/>
          <w:sz w:val="18"/>
          <w:szCs w:val="18"/>
          <w:u w:val="single" w:color="auto"/>
          <w:color w:val="auto"/>
        </w:rPr>
        <w:t>Date of Grant</w:t>
      </w:r>
      <w:r>
        <w:rPr>
          <w:rFonts w:ascii="Arial" w:cs="Arial" w:eastAsia="Arial" w:hAnsi="Arial"/>
          <w:sz w:val="18"/>
          <w:szCs w:val="18"/>
          <w:color w:val="auto"/>
        </w:rPr>
        <w: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 w:right="120" w:firstLine="99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Definitive Healthcare Corp. 2023 Inducement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is incorporated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and made a part of this Agreement. Capitalized terms not otherwise defined in this Agreement shall have the meanings ascribed to those terms in the Plan; and</w:t>
      </w:r>
    </w:p>
    <w:p>
      <w:pPr>
        <w:spacing w:after="0" w:line="176" w:lineRule="exact"/>
        <w:rPr>
          <w:sz w:val="20"/>
          <w:szCs w:val="20"/>
          <w:color w:val="auto"/>
        </w:rPr>
      </w:pPr>
    </w:p>
    <w:p>
      <w:pPr>
        <w:ind w:left="4" w:right="300"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authorized and approved the grant of an Award to the Participant that will provide the Participant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receive shares of Common Stock upon the settlement of restricted stock units on the terms and conditions set forth in the Plan and this Agreement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as a material inducement to the Participant entering into employment with the Company in compliance with NASDAQ Listing Rule 5635(c)(4).</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mutual covenants set forth in this Agreement, the parties agree as follows:</w:t>
      </w:r>
    </w:p>
    <w:p>
      <w:pPr>
        <w:spacing w:after="0" w:line="146" w:lineRule="exact"/>
        <w:rPr>
          <w:sz w:val="20"/>
          <w:szCs w:val="20"/>
          <w:color w:val="auto"/>
        </w:rPr>
      </w:pPr>
    </w:p>
    <w:p>
      <w:pPr>
        <w:ind w:left="544" w:right="240" w:hanging="544"/>
        <w:spacing w:after="0" w:line="263" w:lineRule="auto"/>
        <w:tabs>
          <w:tab w:leader="none" w:pos="5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The Company hereby grants to the Participant, effective as of the Date of Grant, _______ Restricted Stock Units on the terms and conditions set forth in the Plan and this Agreement. This Award is granted in compliance with NASDAQ Listing Rule 5635(c)(4) as a material inducement to the Participant entering into employment with the Company.</w:t>
      </w:r>
    </w:p>
    <w:p>
      <w:pPr>
        <w:spacing w:after="0" w:line="89" w:lineRule="exact"/>
        <w:rPr>
          <w:rFonts w:ascii="Arial" w:cs="Arial" w:eastAsia="Arial" w:hAnsi="Arial"/>
          <w:sz w:val="18"/>
          <w:szCs w:val="18"/>
          <w:color w:val="auto"/>
        </w:rPr>
      </w:pPr>
    </w:p>
    <w:p>
      <w:pPr>
        <w:ind w:left="544" w:right="460" w:hanging="544"/>
        <w:spacing w:after="0" w:line="277" w:lineRule="auto"/>
        <w:tabs>
          <w:tab w:leader="none" w:pos="5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 Subject to the terms and conditions set forth in the Plan and this Agreement, the Restricted Stock Units shall vest as follows: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[_______]</w:t>
      </w:r>
    </w:p>
    <w:p>
      <w:pPr>
        <w:spacing w:after="0" w:line="130" w:lineRule="exact"/>
        <w:rPr>
          <w:rFonts w:ascii="Arial" w:cs="Arial" w:eastAsia="Arial" w:hAnsi="Arial"/>
          <w:sz w:val="18"/>
          <w:szCs w:val="18"/>
          <w:color w:val="auto"/>
        </w:rPr>
      </w:pPr>
    </w:p>
    <w:p>
      <w:pPr>
        <w:ind w:left="1184" w:right="40" w:hanging="644"/>
        <w:spacing w:after="0" w:line="293" w:lineRule="auto"/>
        <w:tabs>
          <w:tab w:leader="none" w:pos="118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Termination of Service; Breach</w:t>
      </w:r>
      <w:r>
        <w:rPr>
          <w:rFonts w:ascii="Arial" w:cs="Arial" w:eastAsia="Arial" w:hAnsi="Arial"/>
          <w:sz w:val="16"/>
          <w:szCs w:val="16"/>
          <w:color w:val="auto"/>
        </w:rPr>
        <w:t>. Except as set forth in Section 11.3 of the Plan which shall apply upon termination of the Participant’s Service without Cause or for Good Reason (as defined in the Participant’s then-current employment agreement with the Company or its Affiliate, if any; if no such agreement or no such definition, Good Reason shall not apply), upon termination of the Participant’s Service for any other reason or no reason, any then unvested Restricted Stock Units will be forfeited immediately, automatically and without consideration. If the Participant breaches Section 4, Section 5, or any other restrictive covenant with the Company or its Affiliate, any vested or unvested Restricted Stock Units will be forfeited immediately, automatically and without consideration.</w:t>
      </w:r>
    </w:p>
    <w:p>
      <w:pPr>
        <w:sectPr>
          <w:pgSz w:w="11900" w:h="16838" w:orient="portrait"/>
          <w:cols w:equalWidth="0" w:num="1">
            <w:col w:w="11024"/>
          </w:cols>
          <w:pgMar w:left="436" w:top="121" w:right="439" w:bottom="1440" w:gutter="0" w:footer="0" w:header="0"/>
        </w:sectPr>
      </w:pPr>
    </w:p>
    <w:bookmarkStart w:id="34" w:name="page35"/>
    <w:bookmarkEnd w:id="34"/>
    <w:p>
      <w:pPr>
        <w:ind w:left="544" w:hanging="544"/>
        <w:spacing w:after="0"/>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w:t>
      </w:r>
    </w:p>
    <w:p>
      <w:pPr>
        <w:spacing w:after="0" w:line="130" w:lineRule="exact"/>
        <w:rPr>
          <w:rFonts w:ascii="Arial" w:cs="Arial" w:eastAsia="Arial" w:hAnsi="Arial"/>
          <w:sz w:val="18"/>
          <w:szCs w:val="18"/>
          <w:color w:val="auto"/>
        </w:rPr>
      </w:pPr>
    </w:p>
    <w:p>
      <w:pPr>
        <w:ind w:left="1184" w:hanging="644"/>
        <w:spacing w:after="0" w:line="273" w:lineRule="auto"/>
        <w:tabs>
          <w:tab w:leader="none" w:pos="118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The Company shall deliver to the Participant within thirty (30) days following each Time-Vesting Date or vesting date under Section 11.3 of the Plan and 2(b) of the Agreement, as applicable, a number of shares of Common Stock equal to the number of Restricted Stock Units that vested pursuant to Section 2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83" w:lineRule="exact"/>
        <w:rPr>
          <w:rFonts w:ascii="Arial" w:cs="Arial" w:eastAsia="Arial" w:hAnsi="Arial"/>
          <w:sz w:val="17"/>
          <w:szCs w:val="17"/>
          <w:color w:val="auto"/>
        </w:rPr>
      </w:pPr>
    </w:p>
    <w:p>
      <w:pPr>
        <w:ind w:left="1184" w:right="280" w:hanging="644"/>
        <w:spacing w:after="0" w:line="257" w:lineRule="auto"/>
        <w:tabs>
          <w:tab w:leader="none" w:pos="118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Unless the Committee determines to require or permit the Participant to satisfy the withholding requirements set forth in this Section 3(b) in any other manner allowed by Section 14 of the Plan, the Company shall automatically withhold cash or shares of Common Stock that are otherwise deliverable to the Participant under this Agreement, in an amount necessary to satisfy all federal, state and local taxes required to be withheld in connection with the settlement of the Restricted Stock Units.</w:t>
      </w:r>
    </w:p>
    <w:p>
      <w:pPr>
        <w:spacing w:after="0" w:line="93" w:lineRule="exact"/>
        <w:rPr>
          <w:rFonts w:ascii="Arial" w:cs="Arial" w:eastAsia="Arial" w:hAnsi="Arial"/>
          <w:sz w:val="18"/>
          <w:szCs w:val="18"/>
          <w:color w:val="auto"/>
        </w:rPr>
      </w:pPr>
    </w:p>
    <w:p>
      <w:pPr>
        <w:ind w:left="544" w:hanging="544"/>
        <w:spacing w:after="0"/>
        <w:tabs>
          <w:tab w:leader="none" w:pos="5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Non-Disclosure and Non-Use of the Company’s Trade Secrets or Confidential Information</w:t>
      </w:r>
    </w:p>
    <w:p>
      <w:pPr>
        <w:spacing w:after="0" w:line="130" w:lineRule="exact"/>
        <w:rPr>
          <w:rFonts w:ascii="Arial" w:cs="Arial" w:eastAsia="Arial" w:hAnsi="Arial"/>
          <w:sz w:val="18"/>
          <w:szCs w:val="18"/>
          <w:color w:val="auto"/>
        </w:rPr>
      </w:pPr>
    </w:p>
    <w:p>
      <w:pPr>
        <w:ind w:left="1184" w:right="40" w:hanging="644"/>
        <w:spacing w:after="0" w:line="268" w:lineRule="auto"/>
        <w:tabs>
          <w:tab w:leader="none" w:pos="1184" w:val="left"/>
        </w:tabs>
        <w:numPr>
          <w:ilvl w:val="1"/>
          <w:numId w:val="30"/>
        </w:numPr>
        <w:rPr>
          <w:rFonts w:ascii="Arial" w:cs="Arial" w:eastAsia="Arial" w:hAnsi="Arial"/>
          <w:sz w:val="17"/>
          <w:szCs w:val="17"/>
          <w:color w:val="auto"/>
        </w:rPr>
      </w:pPr>
      <w:r>
        <w:rPr>
          <w:rFonts w:ascii="Arial" w:cs="Arial" w:eastAsia="Arial" w:hAnsi="Arial"/>
          <w:sz w:val="17"/>
          <w:szCs w:val="17"/>
          <w:color w:val="auto"/>
        </w:rPr>
        <w:t>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(A) as required in connection with the performance of such Participant’s duties to the Company, (B) as required to be included in any report, statement or testimony requested by any municipal, state or national regulatory body having jurisdiction over Participant or any Covered Entity which is Controlled by Participant, (C) as required in response to any summons or subpoena or in connection with any litigation, (D) to the extent necessary in order to comply with any law, order, regulation, ruling or governmental request applicable to Participant or any Covered Entity which is Controlled by Participant, (E) as required in connection with an audit by any taxing authority, or (F) as permitted by the express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5" w:name="page36"/>
    <w:bookmarkEnd w:id="35"/>
    <w:p>
      <w:pPr>
        <w:ind w:left="66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76" w:lineRule="exact"/>
        <w:rPr>
          <w:sz w:val="20"/>
          <w:szCs w:val="20"/>
          <w:color w:val="auto"/>
        </w:rPr>
      </w:pPr>
    </w:p>
    <w:p>
      <w:pPr>
        <w:ind w:left="644" w:right="40" w:hanging="644"/>
        <w:spacing w:after="0" w:line="254" w:lineRule="auto"/>
        <w:tabs>
          <w:tab w:leader="none" w:pos="6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Participant’s confidentiality obligations set forth in this Section 4,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97"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Arial" w:cs="Arial" w:eastAsia="Arial" w:hAnsi="Arial"/>
          <w:sz w:val="17"/>
          <w:szCs w:val="17"/>
          <w:u w:val="single" w:color="auto"/>
          <w:color w:val="auto"/>
        </w:rPr>
        <w:t>Government Agency</w:t>
      </w:r>
      <w:r>
        <w:rPr>
          <w:rFonts w:ascii="Arial" w:cs="Arial" w:eastAsia="Arial" w:hAnsi="Arial"/>
          <w:sz w:val="17"/>
          <w:szCs w:val="17"/>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111"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44"/>
          </w:cols>
          <w:pgMar w:left="976" w:top="274" w:right="479" w:bottom="1440" w:gutter="0" w:footer="0" w:header="0"/>
        </w:sectPr>
      </w:pPr>
    </w:p>
    <w:bookmarkStart w:id="36" w:name="page37"/>
    <w:bookmarkEnd w:id="36"/>
    <w:p>
      <w:pPr>
        <w:ind w:left="544" w:hanging="544"/>
        <w:spacing w:after="0" w:line="263" w:lineRule="auto"/>
        <w:tabs>
          <w:tab w:leader="none" w:pos="5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Non-Competition and Non-Solicitation</w:t>
      </w:r>
      <w:r>
        <w:rPr>
          <w:rFonts w:ascii="Arial" w:cs="Arial" w:eastAsia="Arial" w:hAnsi="Arial"/>
          <w:sz w:val="18"/>
          <w:szCs w:val="18"/>
          <w:color w:val="auto"/>
        </w:rPr>
        <w:t>. In consideration of the Restricted Stock Units granted which Participant and the Company agree is mutually agreed upon consideration, during the term of Participant’s Service and for 12 months following the termination of Participant’s Service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184" w:right="40" w:hanging="644"/>
        <w:spacing w:after="0" w:line="289" w:lineRule="auto"/>
        <w:tabs>
          <w:tab w:leader="none" w:pos="1184" w:val="left"/>
        </w:tabs>
        <w:numPr>
          <w:ilvl w:val="1"/>
          <w:numId w:val="32"/>
        </w:numPr>
        <w:rPr>
          <w:rFonts w:ascii="Arial" w:cs="Arial" w:eastAsia="Arial" w:hAnsi="Arial"/>
          <w:sz w:val="16"/>
          <w:szCs w:val="16"/>
          <w:color w:val="auto"/>
        </w:rPr>
      </w:pPr>
      <w:r>
        <w:rPr>
          <w:rFonts w:ascii="Arial" w:cs="Arial" w:eastAsia="Arial" w:hAnsi="Arial"/>
          <w:sz w:val="16"/>
          <w:szCs w:val="16"/>
          <w:color w:val="auto"/>
        </w:rPr>
        <w:t>Participant will not, directly or indirectly, individually or as a consultant to, or an Participant,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Arial" w:cs="Arial" w:eastAsia="Arial" w:hAnsi="Arial"/>
          <w:sz w:val="16"/>
          <w:szCs w:val="16"/>
          <w:u w:val="single" w:color="auto"/>
          <w:color w:val="auto"/>
        </w:rPr>
        <w:t>Competing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Business</w:t>
      </w:r>
      <w:r>
        <w:rPr>
          <w:rFonts w:ascii="Arial" w:cs="Arial" w:eastAsia="Arial" w:hAnsi="Arial"/>
          <w:sz w:val="16"/>
          <w:szCs w:val="16"/>
          <w:color w:val="auto"/>
        </w:rPr>
        <w:t>”), during the Participant’s employment, anywhere in the United States or anywhere else in the world in which Participant provided services for the Company or had a material presence or influence, during any time within the last two years prior to the termination of Participant’s Service to the Company.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spacing w:after="0" w:line="71" w:lineRule="exact"/>
        <w:rPr>
          <w:rFonts w:ascii="Arial" w:cs="Arial" w:eastAsia="Arial" w:hAnsi="Arial"/>
          <w:sz w:val="16"/>
          <w:szCs w:val="16"/>
          <w:color w:val="auto"/>
        </w:rPr>
      </w:pPr>
    </w:p>
    <w:p>
      <w:pPr>
        <w:ind w:left="1184" w:right="20" w:hanging="644"/>
        <w:spacing w:after="0" w:line="275" w:lineRule="auto"/>
        <w:tabs>
          <w:tab w:leader="none" w:pos="1184"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81" w:lineRule="exact"/>
        <w:rPr>
          <w:rFonts w:ascii="Arial" w:cs="Arial" w:eastAsia="Arial" w:hAnsi="Arial"/>
          <w:sz w:val="17"/>
          <w:szCs w:val="17"/>
          <w:color w:val="auto"/>
        </w:rPr>
      </w:pPr>
    </w:p>
    <w:p>
      <w:pPr>
        <w:ind w:left="1184" w:right="20" w:hanging="644"/>
        <w:spacing w:after="0" w:line="257" w:lineRule="auto"/>
        <w:tabs>
          <w:tab w:leader="none" w:pos="118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7" w:name="page38"/>
    <w:bookmarkEnd w:id="37"/>
    <w:p>
      <w:pPr>
        <w:ind w:left="544" w:right="20" w:hanging="544"/>
        <w:spacing w:after="0" w:line="283" w:lineRule="auto"/>
        <w:tabs>
          <w:tab w:leader="none" w:pos="54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Remedies</w:t>
      </w:r>
      <w:r>
        <w:rPr>
          <w:rFonts w:ascii="Arial" w:cs="Arial" w:eastAsia="Arial" w:hAnsi="Arial"/>
          <w:sz w:val="16"/>
          <w:szCs w:val="16"/>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w:t>
      </w:r>
      <w:r>
        <w:rPr>
          <w:rFonts w:ascii="Arial" w:cs="Arial" w:eastAsia="Arial" w:hAnsi="Arial"/>
          <w:sz w:val="16"/>
          <w:szCs w:val="16"/>
          <w:u w:val="single" w:color="auto"/>
          <w:color w:val="auto"/>
        </w:rPr>
        <w:t>Fairness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w:t>
      </w:r>
      <w:r>
        <w:rPr>
          <w:rFonts w:ascii="Arial" w:cs="Arial" w:eastAsia="Arial" w:hAnsi="Arial"/>
          <w:sz w:val="16"/>
          <w:szCs w:val="16"/>
          <w:color w:val="auto"/>
        </w:rPr>
        <w:t>”). If Participant resides or works in Massachusetts, the Fairness Extension will only apply to the restrictions in Section 5(b) and</w:t>
      </w:r>
    </w:p>
    <w:p>
      <w:pPr>
        <w:ind w:left="544" w:right="80" w:hanging="4"/>
        <w:spacing w:after="0" w:line="260" w:lineRule="auto"/>
        <w:tabs>
          <w:tab w:leader="none" w:pos="7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and will only apply to the non-competition restriction in Section 5(a) if Participant breaches their fiduciary duty and/or has unlawfully taken, physically or electronically, any Company records.</w:t>
      </w:r>
    </w:p>
    <w:p>
      <w:pPr>
        <w:spacing w:after="0" w:line="90" w:lineRule="exact"/>
        <w:rPr>
          <w:rFonts w:ascii="Arial" w:cs="Arial" w:eastAsia="Arial" w:hAnsi="Arial"/>
          <w:sz w:val="18"/>
          <w:szCs w:val="18"/>
          <w:color w:val="auto"/>
        </w:rPr>
      </w:pPr>
    </w:p>
    <w:p>
      <w:pPr>
        <w:ind w:left="544" w:hanging="544"/>
        <w:spacing w:after="0"/>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hanging="644"/>
        <w:spacing w:after="0" w:line="287" w:lineRule="auto"/>
        <w:tabs>
          <w:tab w:leader="none" w:pos="1184"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8" w:name="page39"/>
    <w:bookmarkEnd w:id="38"/>
    <w:p>
      <w:pPr>
        <w:ind w:left="1184" w:right="40" w:hanging="644"/>
        <w:spacing w:after="0" w:line="259" w:lineRule="auto"/>
        <w:tabs>
          <w:tab w:leader="none" w:pos="1184"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92" w:lineRule="exact"/>
        <w:rPr>
          <w:rFonts w:ascii="Arial" w:cs="Arial" w:eastAsia="Arial" w:hAnsi="Arial"/>
          <w:sz w:val="18"/>
          <w:szCs w:val="18"/>
          <w:color w:val="auto"/>
        </w:rPr>
      </w:pPr>
    </w:p>
    <w:p>
      <w:pPr>
        <w:ind w:left="1184" w:hanging="644"/>
        <w:spacing w:after="0" w:line="271" w:lineRule="auto"/>
        <w:tabs>
          <w:tab w:leader="none" w:pos="1184" w:val="left"/>
        </w:tabs>
        <w:numPr>
          <w:ilvl w:val="1"/>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83" w:lineRule="exact"/>
        <w:rPr>
          <w:rFonts w:ascii="Arial" w:cs="Arial" w:eastAsia="Arial" w:hAnsi="Arial"/>
          <w:sz w:val="17"/>
          <w:szCs w:val="17"/>
          <w:color w:val="auto"/>
        </w:rPr>
      </w:pPr>
    </w:p>
    <w:p>
      <w:pPr>
        <w:ind w:left="1184" w:hanging="644"/>
        <w:spacing w:after="0" w:line="254" w:lineRule="auto"/>
        <w:tabs>
          <w:tab w:leader="none" w:pos="11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97" w:lineRule="exact"/>
        <w:rPr>
          <w:rFonts w:ascii="Arial" w:cs="Arial" w:eastAsia="Arial" w:hAnsi="Arial"/>
          <w:sz w:val="18"/>
          <w:szCs w:val="18"/>
          <w:color w:val="auto"/>
        </w:rPr>
      </w:pPr>
    </w:p>
    <w:p>
      <w:pPr>
        <w:ind w:left="544" w:hanging="544"/>
        <w:spacing w:after="0"/>
        <w:tabs>
          <w:tab w:leader="none" w:pos="5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130" w:lineRule="exact"/>
        <w:rPr>
          <w:rFonts w:ascii="Arial" w:cs="Arial" w:eastAsia="Arial" w:hAnsi="Arial"/>
          <w:sz w:val="18"/>
          <w:szCs w:val="18"/>
          <w:color w:val="auto"/>
        </w:rPr>
      </w:pPr>
    </w:p>
    <w:p>
      <w:pPr>
        <w:ind w:left="1184" w:hanging="644"/>
        <w:spacing w:after="0" w:line="296" w:lineRule="auto"/>
        <w:tabs>
          <w:tab w:leader="none" w:pos="1184"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Rights of a Shareholder; Dividend Equivalents</w:t>
      </w:r>
      <w:r>
        <w:rPr>
          <w:rFonts w:ascii="Arial" w:cs="Arial" w:eastAsia="Arial" w:hAnsi="Arial"/>
          <w:sz w:val="16"/>
          <w:szCs w:val="16"/>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the time of settlement of the Restricted Stock Units.</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9" w:name="page40"/>
    <w:bookmarkEnd w:id="39"/>
    <w:p>
      <w:pPr>
        <w:ind w:left="644" w:right="20" w:hanging="644"/>
        <w:spacing w:after="0" w:line="255"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Restrictions</w:t>
      </w:r>
      <w:r>
        <w:rPr>
          <w:rFonts w:ascii="Arial" w:cs="Arial" w:eastAsia="Arial" w:hAnsi="Arial"/>
          <w:sz w:val="18"/>
          <w:szCs w:val="18"/>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97" w:lineRule="exact"/>
        <w:rPr>
          <w:rFonts w:ascii="Arial" w:cs="Arial" w:eastAsia="Arial" w:hAnsi="Arial"/>
          <w:sz w:val="18"/>
          <w:szCs w:val="18"/>
          <w:color w:val="auto"/>
        </w:rPr>
      </w:pPr>
    </w:p>
    <w:p>
      <w:pPr>
        <w:ind w:left="644" w:right="80" w:hanging="644"/>
        <w:spacing w:after="0" w:line="296" w:lineRule="auto"/>
        <w:tabs>
          <w:tab w:leader="none" w:pos="64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66" w:lineRule="exact"/>
        <w:rPr>
          <w:rFonts w:ascii="Arial" w:cs="Arial" w:eastAsia="Arial" w:hAnsi="Arial"/>
          <w:sz w:val="16"/>
          <w:szCs w:val="16"/>
          <w:color w:val="auto"/>
        </w:rPr>
      </w:pPr>
    </w:p>
    <w:p>
      <w:pPr>
        <w:ind w:left="644" w:right="220" w:hanging="644"/>
        <w:spacing w:after="0" w:line="277"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change with respect to the outstanding shares of Common Stock contemplated by Section 4.3 of the Plan, the Restricted Stock Units may be adjusted in accordance with Section 4.3 of the Plan.</w:t>
      </w:r>
    </w:p>
    <w:p>
      <w:pPr>
        <w:spacing w:after="0" w:line="75" w:lineRule="exact"/>
        <w:rPr>
          <w:rFonts w:ascii="Arial" w:cs="Arial" w:eastAsia="Arial" w:hAnsi="Arial"/>
          <w:sz w:val="18"/>
          <w:szCs w:val="18"/>
          <w:color w:val="auto"/>
        </w:rPr>
      </w:pPr>
    </w:p>
    <w:p>
      <w:pPr>
        <w:jc w:val="both"/>
        <w:ind w:left="644" w:right="40" w:hanging="644"/>
        <w:spacing w:after="0" w:line="259"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92" w:lineRule="exact"/>
        <w:rPr>
          <w:rFonts w:ascii="Arial" w:cs="Arial" w:eastAsia="Arial" w:hAnsi="Arial"/>
          <w:sz w:val="18"/>
          <w:szCs w:val="18"/>
          <w:color w:val="auto"/>
        </w:rPr>
      </w:pPr>
    </w:p>
    <w:p>
      <w:pPr>
        <w:ind w:left="644" w:hanging="644"/>
        <w:spacing w:after="0" w:line="301" w:lineRule="auto"/>
        <w:tabs>
          <w:tab w:leader="none" w:pos="64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62" w:lineRule="exact"/>
        <w:rPr>
          <w:rFonts w:ascii="Arial" w:cs="Arial" w:eastAsia="Arial" w:hAnsi="Arial"/>
          <w:sz w:val="16"/>
          <w:szCs w:val="16"/>
          <w:color w:val="auto"/>
        </w:rPr>
      </w:pPr>
    </w:p>
    <w:p>
      <w:pPr>
        <w:ind w:left="644" w:right="700" w:hanging="644"/>
        <w:spacing w:after="0" w:line="342" w:lineRule="auto"/>
        <w:tabs>
          <w:tab w:leader="none" w:pos="64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5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44"/>
          </w:cols>
          <w:pgMar w:left="976" w:top="274" w:right="479" w:bottom="1440" w:gutter="0" w:footer="0" w:header="0"/>
        </w:sectPr>
      </w:pPr>
    </w:p>
    <w:bookmarkStart w:id="40" w:name="page41"/>
    <w:bookmarkEnd w:id="40"/>
    <w:p>
      <w:pPr>
        <w:ind w:left="644" w:right="500" w:hanging="644"/>
        <w:spacing w:after="0" w:line="277"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Arial" w:cs="Arial" w:eastAsia="Arial" w:hAnsi="Arial"/>
          <w:sz w:val="18"/>
          <w:szCs w:val="18"/>
          <w:color w:val="auto"/>
        </w:rPr>
        <w:t>. Except as otherwise provided in the Plan, this Agreement will not be amended unless the amendment is agreed to in writing by both the Participant and the Company.</w:t>
      </w:r>
    </w:p>
    <w:p>
      <w:pPr>
        <w:spacing w:after="0" w:line="75" w:lineRule="exact"/>
        <w:rPr>
          <w:rFonts w:ascii="Arial" w:cs="Arial" w:eastAsia="Arial" w:hAnsi="Arial"/>
          <w:sz w:val="18"/>
          <w:szCs w:val="18"/>
          <w:color w:val="auto"/>
        </w:rPr>
      </w:pPr>
    </w:p>
    <w:p>
      <w:pPr>
        <w:ind w:left="644" w:right="120" w:hanging="644"/>
        <w:spacing w:after="0" w:line="257"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Choice of Law; Jurisdiction</w:t>
      </w:r>
      <w:r>
        <w:rPr>
          <w:rFonts w:ascii="Arial" w:cs="Arial" w:eastAsia="Arial" w:hAnsi="Arial"/>
          <w:sz w:val="18"/>
          <w:szCs w:val="18"/>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 and for those employees the Agreement will be governed by Massachusetts law.</w:t>
      </w:r>
    </w:p>
    <w:p>
      <w:pPr>
        <w:spacing w:after="0" w:line="93" w:lineRule="exact"/>
        <w:rPr>
          <w:rFonts w:ascii="Arial" w:cs="Arial" w:eastAsia="Arial" w:hAnsi="Arial"/>
          <w:sz w:val="18"/>
          <w:szCs w:val="18"/>
          <w:color w:val="auto"/>
        </w:rPr>
      </w:pPr>
    </w:p>
    <w:p>
      <w:pPr>
        <w:ind w:left="644" w:right="20" w:hanging="644"/>
        <w:spacing w:after="0" w:line="275" w:lineRule="auto"/>
        <w:tabs>
          <w:tab w:leader="none" w:pos="6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Other Restrictive Covenants</w:t>
      </w:r>
      <w:r>
        <w:rPr>
          <w:rFonts w:ascii="Arial" w:cs="Arial" w:eastAsia="Arial" w:hAnsi="Arial"/>
          <w:sz w:val="17"/>
          <w:szCs w:val="17"/>
          <w:color w:val="auto"/>
        </w:rPr>
        <w:t>. Notwithstanding any other language in the Agreement, this Agreement does not preclude the enforceability of any restrictive covenant provision contained in any prior or subsequent agreement entered into by the Participant (any such covenant, an “</w:t>
      </w:r>
      <w:r>
        <w:rPr>
          <w:rFonts w:ascii="Arial" w:cs="Arial" w:eastAsia="Arial" w:hAnsi="Arial"/>
          <w:sz w:val="17"/>
          <w:szCs w:val="17"/>
          <w:u w:val="single" w:color="auto"/>
          <w:color w:val="auto"/>
        </w:rPr>
        <w:t>Other Covenant</w:t>
      </w:r>
      <w:r>
        <w:rPr>
          <w:rFonts w:ascii="Arial" w:cs="Arial" w:eastAsia="Arial" w:hAnsi="Arial"/>
          <w:sz w:val="17"/>
          <w:szCs w:val="17"/>
          <w:color w:val="auto"/>
        </w:rPr>
        <w:t>”). Further, no Other Covenant precludes the enforceability of any provision contained in this Agreement. No subsequent agreement entered into by the Participant may amend, supersede, or override the covenants contained herein unless such subsequent agreement specifically references Section 5 of this Agreement.</w:t>
      </w:r>
    </w:p>
    <w:p>
      <w:pPr>
        <w:spacing w:after="0" w:line="81" w:lineRule="exact"/>
        <w:rPr>
          <w:rFonts w:ascii="Arial" w:cs="Arial" w:eastAsia="Arial" w:hAnsi="Arial"/>
          <w:sz w:val="17"/>
          <w:szCs w:val="17"/>
          <w:color w:val="auto"/>
        </w:rPr>
      </w:pPr>
    </w:p>
    <w:p>
      <w:pPr>
        <w:ind w:left="644" w:right="40" w:hanging="644"/>
        <w:spacing w:after="0" w:line="277"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manually or electronically, each of which will be an original, with the same effect as if the signatures to each were upon the same instrument.</w:t>
      </w:r>
    </w:p>
    <w:p>
      <w:pPr>
        <w:spacing w:after="0" w:line="75" w:lineRule="exact"/>
        <w:rPr>
          <w:rFonts w:ascii="Arial" w:cs="Arial" w:eastAsia="Arial" w:hAnsi="Arial"/>
          <w:sz w:val="18"/>
          <w:szCs w:val="18"/>
          <w:color w:val="auto"/>
        </w:rPr>
      </w:pPr>
    </w:p>
    <w:p>
      <w:pPr>
        <w:ind w:left="644" w:right="40" w:hanging="644"/>
        <w:spacing w:after="0" w:line="279" w:lineRule="auto"/>
        <w:tabs>
          <w:tab w:leader="none" w:pos="6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76" w:lineRule="exact"/>
        <w:rPr>
          <w:rFonts w:ascii="Arial" w:cs="Arial" w:eastAsia="Arial" w:hAnsi="Arial"/>
          <w:sz w:val="17"/>
          <w:szCs w:val="17"/>
          <w:color w:val="auto"/>
        </w:rPr>
      </w:pPr>
    </w:p>
    <w:p>
      <w:pPr>
        <w:ind w:left="644" w:hanging="644"/>
        <w:spacing w:after="0" w:line="255" w:lineRule="auto"/>
        <w:tabs>
          <w:tab w:leader="none" w:pos="64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that prior to signing this Agreement they have a right to consult with counsel and have been afforded the opportunity to consult with an attorney to the extent they wish to do so.</w:t>
      </w:r>
    </w:p>
    <w:p>
      <w:pPr>
        <w:spacing w:after="0" w:line="192" w:lineRule="exact"/>
        <w:rPr>
          <w:sz w:val="20"/>
          <w:szCs w:val="20"/>
          <w:color w:val="auto"/>
        </w:rPr>
      </w:pPr>
    </w:p>
    <w:p>
      <w:pPr>
        <w:jc w:val="center"/>
        <w:ind w:right="516"/>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4"/>
          </w:cols>
          <w:pgMar w:left="976" w:top="274" w:right="459" w:bottom="1440" w:gutter="0" w:footer="0" w:header="0"/>
        </w:sectPr>
      </w:pPr>
    </w:p>
    <w:bookmarkStart w:id="41" w:name="page42"/>
    <w:bookmarkEnd w:id="41"/>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Restricted Stock Unit Award Agreement as of the dates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3160" w:type="dxa"/>
            <w:vAlign w:val="bottom"/>
          </w:tcPr>
          <w:p>
            <w:pPr>
              <w:spacing w:after="0"/>
              <w:rPr>
                <w:sz w:val="20"/>
                <w:szCs w:val="20"/>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DEFINITIVE HEALTHCARE CORP.</w:t>
            </w:r>
          </w:p>
        </w:tc>
      </w:tr>
      <w:tr>
        <w:trPr>
          <w:trHeight w:val="432"/>
        </w:trPr>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439"/>
        </w:trPr>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980" w:type="dxa"/>
            <w:vAlign w:val="bottom"/>
            <w:gridSpan w:val="3"/>
          </w:tcPr>
          <w:p>
            <w:pPr>
              <w:ind w:left="820"/>
              <w:spacing w:after="0"/>
              <w:rPr>
                <w:sz w:val="20"/>
                <w:szCs w:val="20"/>
                <w:color w:val="auto"/>
              </w:rPr>
            </w:pPr>
            <w:r>
              <w:rPr>
                <w:rFonts w:ascii="Arial" w:cs="Arial" w:eastAsia="Arial" w:hAnsi="Arial"/>
                <w:sz w:val="18"/>
                <w:szCs w:val="18"/>
                <w:i w:val="1"/>
                <w:iCs w:val="1"/>
                <w:color w:val="auto"/>
              </w:rPr>
              <w:t>[Signature Page – Restricted Stock Unit (Time-Based) Award Agreement]</w:t>
            </w:r>
          </w:p>
        </w:tc>
      </w:tr>
    </w:tbl>
    <w:p>
      <w:pPr>
        <w:sectPr>
          <w:pgSz w:w="11900" w:h="16838" w:orient="portrait"/>
          <w:cols w:equalWidth="0" w:num="1">
            <w:col w:w="11020"/>
          </w:cols>
          <w:pgMar w:left="440" w:top="274"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2023 Inducement Plan</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(Performance-Based)</w:t>
      </w:r>
    </w:p>
    <w:p>
      <w:pPr>
        <w:spacing w:after="0" w:line="211"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This Restricted Stock Unit Award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between Definitive Healthcare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 effective as of _______, 20__ (the “</w:t>
      </w:r>
      <w:r>
        <w:rPr>
          <w:rFonts w:ascii="Arial" w:cs="Arial" w:eastAsia="Arial" w:hAnsi="Arial"/>
          <w:sz w:val="18"/>
          <w:szCs w:val="18"/>
          <w:u w:val="single" w:color="auto"/>
          <w:color w:val="auto"/>
        </w:rPr>
        <w:t>Date of Grant</w:t>
      </w:r>
      <w:r>
        <w:rPr>
          <w:rFonts w:ascii="Arial" w:cs="Arial" w:eastAsia="Arial" w:hAnsi="Arial"/>
          <w:sz w:val="18"/>
          <w:szCs w:val="18"/>
          <w:color w:val="auto"/>
        </w:rPr>
        <w: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 w:right="120" w:firstLine="99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adopted the Definitive Healthcare Corp. 2023 Inducement Plan (the “</w:t>
      </w:r>
      <w:r>
        <w:rPr>
          <w:rFonts w:ascii="Arial" w:cs="Arial" w:eastAsia="Arial" w:hAnsi="Arial"/>
          <w:sz w:val="18"/>
          <w:szCs w:val="18"/>
          <w:u w:val="single" w:color="auto"/>
          <w:color w:val="auto"/>
        </w:rPr>
        <w:t>Plan</w:t>
      </w:r>
      <w:r>
        <w:rPr>
          <w:rFonts w:ascii="Arial" w:cs="Arial" w:eastAsia="Arial" w:hAnsi="Arial"/>
          <w:sz w:val="18"/>
          <w:szCs w:val="18"/>
          <w:color w:val="auto"/>
        </w:rPr>
        <w:t>”), which is incorporated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by reference and made a part of this Agreement. Capitalized terms not otherwise defined in this Agreement shall have the meanings ascribed to those terms in the Plan; and</w:t>
      </w:r>
    </w:p>
    <w:p>
      <w:pPr>
        <w:spacing w:after="0" w:line="176" w:lineRule="exact"/>
        <w:rPr>
          <w:sz w:val="20"/>
          <w:szCs w:val="20"/>
          <w:color w:val="auto"/>
        </w:rPr>
      </w:pPr>
    </w:p>
    <w:p>
      <w:pPr>
        <w:ind w:left="4" w:right="120"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Committee has authorized and approved the grant of an Award to the Participant that will provide the Participant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receive shares of Common Stock upon the settlement of performance-based restricted stock units on the terms and conditions set forth in the Plan and this Agreement (“</w:t>
      </w:r>
      <w:r>
        <w:rPr>
          <w:rFonts w:ascii="Arial" w:cs="Arial" w:eastAsia="Arial" w:hAnsi="Arial"/>
          <w:sz w:val="18"/>
          <w:szCs w:val="18"/>
          <w:u w:val="single" w:color="auto"/>
          <w:color w:val="auto"/>
        </w:rPr>
        <w:t>PSUs</w:t>
      </w:r>
      <w:r>
        <w:rPr>
          <w:rFonts w:ascii="Arial" w:cs="Arial" w:eastAsia="Arial" w:hAnsi="Arial"/>
          <w:sz w:val="18"/>
          <w:szCs w:val="18"/>
          <w:color w:val="auto"/>
        </w:rPr>
        <w:t>”) as a material inducement to the Participant entering into employment with the Company in compliance with NASDAQ Listing Rule 5635(c)(4).</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mutual covenants set forth in this Agreement, the parties agree as follows:</w:t>
      </w:r>
    </w:p>
    <w:p>
      <w:pPr>
        <w:spacing w:after="0" w:line="146" w:lineRule="exact"/>
        <w:rPr>
          <w:sz w:val="20"/>
          <w:szCs w:val="20"/>
          <w:color w:val="auto"/>
        </w:rPr>
      </w:pPr>
    </w:p>
    <w:p>
      <w:pPr>
        <w:ind w:left="424" w:right="200" w:hanging="424"/>
        <w:spacing w:after="0" w:line="286" w:lineRule="auto"/>
        <w:tabs>
          <w:tab w:leader="none" w:pos="42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Grant of Award</w:t>
      </w:r>
      <w:r>
        <w:rPr>
          <w:rFonts w:ascii="Arial" w:cs="Arial" w:eastAsia="Arial" w:hAnsi="Arial"/>
          <w:sz w:val="17"/>
          <w:szCs w:val="17"/>
          <w:color w:val="auto"/>
        </w:rPr>
        <w:t>. The Company hereby grants to the Participant, effective as of the Date of Grant, _______ PSUs (the “</w:t>
      </w:r>
      <w:r>
        <w:rPr>
          <w:rFonts w:ascii="Arial" w:cs="Arial" w:eastAsia="Arial" w:hAnsi="Arial"/>
          <w:sz w:val="17"/>
          <w:szCs w:val="17"/>
          <w:u w:val="single" w:color="auto"/>
          <w:color w:val="auto"/>
        </w:rPr>
        <w:t>Target PSUs</w:t>
      </w:r>
      <w:r>
        <w:rPr>
          <w:rFonts w:ascii="Arial" w:cs="Arial" w:eastAsia="Arial" w:hAnsi="Arial"/>
          <w:sz w:val="17"/>
          <w:szCs w:val="17"/>
          <w:color w:val="auto"/>
        </w:rPr>
        <w:t>”), which are subject to vesting on the terms and conditions set forth in the Plan and this Agreement. This Award is granted in compliance with NASDAQ Listing Rule 5635(c)(4) as a material inducement to the Participant entering into employment with the Company.</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Vesting and Forfeiture</w:t>
      </w:r>
      <w:r>
        <w:rPr>
          <w:rFonts w:ascii="Arial" w:cs="Arial" w:eastAsia="Arial" w:hAnsi="Arial"/>
          <w:sz w:val="18"/>
          <w:szCs w:val="18"/>
          <w:color w:val="auto"/>
        </w:rPr>
        <w:t>. Subject to the terms and conditions set forth in the Plan and this Agreement, the PSUs shall vest as follows: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[_______]. Any Earned PSUs shall be settled as set forth in Section 3(a) of this Agreement.</w:t>
      </w:r>
    </w:p>
    <w:p>
      <w:pPr>
        <w:spacing w:after="0" w:line="130" w:lineRule="exact"/>
        <w:rPr>
          <w:rFonts w:ascii="Arial" w:cs="Arial" w:eastAsia="Arial" w:hAnsi="Arial"/>
          <w:sz w:val="18"/>
          <w:szCs w:val="18"/>
          <w:color w:val="auto"/>
        </w:rPr>
      </w:pPr>
    </w:p>
    <w:p>
      <w:pPr>
        <w:ind w:left="964" w:right="120" w:hanging="532"/>
        <w:spacing w:after="0" w:line="271" w:lineRule="auto"/>
        <w:tabs>
          <w:tab w:leader="none" w:pos="964"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Termination of Service; Breach</w:t>
      </w:r>
      <w:r>
        <w:rPr>
          <w:rFonts w:ascii="Arial" w:cs="Arial" w:eastAsia="Arial" w:hAnsi="Arial"/>
          <w:sz w:val="17"/>
          <w:szCs w:val="17"/>
          <w:color w:val="auto"/>
        </w:rPr>
        <w:t xml:space="preserve">. Except as set forth in Section 11.3 of the Plan which shall apply upon termination of the Participant’s Service without Cause or for Good Reason (as defined in the Participant’s then-current employment agreement with the Company or its Affiliate, if any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if no such Employment Agreement or no such definition, Good Reason shall not apply), or as set forth in the Participant’s Employment Agreement (to the extent that such Employment Agreement specifies terms in connection with a termination of the Participant’s Service that govern the PSUs), upon termination of the Participant’s Service for any other reason or no reason, any then unvested PSUs will be forfeited immediately, automatically and without consideration. If the Participant breaches Section 4, Section 5, or any other restrictive covenant with the Company or its Affiliate, any vested or unvested PSUs will be forfeited immediately, automatically and without consideration.</w:t>
      </w:r>
    </w:p>
    <w:p>
      <w:pPr>
        <w:sectPr>
          <w:pgSz w:w="11900" w:h="16838" w:orient="portrait"/>
          <w:cols w:equalWidth="0" w:num="1">
            <w:col w:w="11024"/>
          </w:cols>
          <w:pgMar w:left="436" w:top="121" w:right="439" w:bottom="1440" w:gutter="0" w:footer="0" w:header="0"/>
        </w:sectPr>
      </w:pPr>
    </w:p>
    <w:bookmarkStart w:id="43" w:name="page44"/>
    <w:bookmarkEnd w:id="43"/>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w:t>
      </w:r>
    </w:p>
    <w:p>
      <w:pPr>
        <w:spacing w:after="0" w:line="130" w:lineRule="exact"/>
        <w:rPr>
          <w:rFonts w:ascii="Arial" w:cs="Arial" w:eastAsia="Arial" w:hAnsi="Arial"/>
          <w:sz w:val="18"/>
          <w:szCs w:val="18"/>
          <w:color w:val="auto"/>
        </w:rPr>
      </w:pPr>
    </w:p>
    <w:p>
      <w:pPr>
        <w:ind w:left="964" w:right="100" w:hanging="532"/>
        <w:spacing w:after="0" w:line="273" w:lineRule="auto"/>
        <w:tabs>
          <w:tab w:leader="none" w:pos="964"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The Company shall deliver to the Participant within thirty (30) days following each Performance-Vesting Date or vesting date under Section 11.3 of the Plan and Section 2(b) of this Agreement, as applicable, a number of shares of Common Stock equal to the number of Earned PSUs that vested pursuant to Section 2(a)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Earned PSUs, registered in the name of the Participant.</w:t>
      </w:r>
    </w:p>
    <w:p>
      <w:pPr>
        <w:spacing w:after="0" w:line="83" w:lineRule="exact"/>
        <w:rPr>
          <w:rFonts w:ascii="Arial" w:cs="Arial" w:eastAsia="Arial" w:hAnsi="Arial"/>
          <w:sz w:val="17"/>
          <w:szCs w:val="17"/>
          <w:color w:val="auto"/>
        </w:rPr>
      </w:pPr>
    </w:p>
    <w:p>
      <w:pPr>
        <w:ind w:left="964" w:right="140" w:hanging="532"/>
        <w:spacing w:after="0" w:line="279" w:lineRule="auto"/>
        <w:tabs>
          <w:tab w:leader="none" w:pos="964"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Unless the Committee determines to require or permit the Participant to satisfy the withholding requirements set forth in this Section 3(b) in any other manner allowed by Section 14 of the Plan, the Company shall automatically withhold cash or shares of Common Stock that are otherwise deliverable to the Participant under this Agreement, in an amount necessary to satisfy all federal, state and local taxes required to be withheld in connection with the settlement of the Earned PSUs.</w:t>
      </w:r>
    </w:p>
    <w:p>
      <w:pPr>
        <w:spacing w:after="0" w:line="76" w:lineRule="exact"/>
        <w:rPr>
          <w:rFonts w:ascii="Arial" w:cs="Arial" w:eastAsia="Arial" w:hAnsi="Arial"/>
          <w:sz w:val="17"/>
          <w:szCs w:val="17"/>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Non-Disclosure and Non-Use of the Company’s Trade Secrets or Confidential Information</w:t>
      </w:r>
    </w:p>
    <w:p>
      <w:pPr>
        <w:spacing w:after="0" w:line="130" w:lineRule="exact"/>
        <w:rPr>
          <w:rFonts w:ascii="Arial" w:cs="Arial" w:eastAsia="Arial" w:hAnsi="Arial"/>
          <w:sz w:val="18"/>
          <w:szCs w:val="18"/>
          <w:color w:val="auto"/>
        </w:rPr>
      </w:pPr>
    </w:p>
    <w:p>
      <w:pPr>
        <w:ind w:left="964" w:hanging="532"/>
        <w:spacing w:after="0" w:line="269" w:lineRule="auto"/>
        <w:tabs>
          <w:tab w:leader="none" w:pos="96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(A) as required in connection with the performance of such Participant’s duties to the Company, (B) as required to be included in any report, statement or testimony requested by any municipal, state or national regulatory body having jurisdiction over Participant or any Covered Entity which is Controlled by Participant, (C) as required in response to any summons or subpoena or in</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4" w:name="page45"/>
    <w:bookmarkEnd w:id="44"/>
    <w:p>
      <w:pPr>
        <w:ind w:left="560"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any litigation, (D) to the extent necessary in order to comply with any law, order, regulation, ruling or governmental request applicable to Participant or any Covered Entity which is Controlled by Participant, (E) as required in connection with an audit by any taxing authority, or (F)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97" w:lineRule="exact"/>
        <w:rPr>
          <w:sz w:val="20"/>
          <w:szCs w:val="20"/>
          <w:color w:val="auto"/>
        </w:rPr>
      </w:pPr>
    </w:p>
    <w:p>
      <w:pPr>
        <w:ind w:left="540" w:right="80" w:hanging="532"/>
        <w:spacing w:after="0" w:line="25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Participant’s confidentiality obligations set forth in this Section 4,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97"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60" w:top="274" w:right="459" w:bottom="1440" w:gutter="0" w:footer="0" w:header="0"/>
        </w:sectPr>
      </w:pPr>
    </w:p>
    <w:bookmarkStart w:id="45" w:name="page46"/>
    <w:bookmarkEnd w:id="45"/>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proceeding that may be conducted or managed by any Government Agency, including by providing documents or other information, or</w:t>
      </w:r>
    </w:p>
    <w:p>
      <w:pPr>
        <w:spacing w:after="0" w:line="46" w:lineRule="exact"/>
        <w:rPr>
          <w:sz w:val="20"/>
          <w:szCs w:val="20"/>
          <w:color w:val="auto"/>
        </w:rPr>
      </w:pPr>
    </w:p>
    <w:p>
      <w:pPr>
        <w:ind w:left="984" w:right="40" w:firstLine="1"/>
        <w:spacing w:after="0" w:line="253" w:lineRule="auto"/>
        <w:tabs>
          <w:tab w:leader="none" w:pos="1299" w:val="left"/>
        </w:tabs>
        <w:numPr>
          <w:ilvl w:val="3"/>
          <w:numId w:val="42"/>
        </w:numPr>
        <w:rPr>
          <w:rFonts w:ascii="Arial" w:cs="Arial" w:eastAsia="Arial" w:hAnsi="Arial"/>
          <w:sz w:val="18"/>
          <w:szCs w:val="18"/>
          <w:color w:val="auto"/>
        </w:rPr>
      </w:pPr>
      <w:r>
        <w:rPr>
          <w:rFonts w:ascii="Arial" w:cs="Arial" w:eastAsia="Arial" w:hAnsi="Arial"/>
          <w:sz w:val="18"/>
          <w:szCs w:val="18"/>
          <w:color w:val="auto"/>
        </w:rPr>
        <w:t>filing a charge or complaint with a Government Agency. For purposes of this Agreement, “</w:t>
      </w:r>
      <w:r>
        <w:rPr>
          <w:rFonts w:ascii="Arial" w:cs="Arial" w:eastAsia="Arial" w:hAnsi="Arial"/>
          <w:sz w:val="18"/>
          <w:szCs w:val="18"/>
          <w:u w:val="single" w:color="auto"/>
          <w:color w:val="auto"/>
        </w:rPr>
        <w:t>Government Agency</w:t>
      </w:r>
      <w:r>
        <w:rPr>
          <w:rFonts w:ascii="Arial" w:cs="Arial" w:eastAsia="Arial" w:hAnsi="Arial"/>
          <w:sz w:val="18"/>
          <w:szCs w:val="18"/>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98"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 In consideration of the PSUs granted which Participant and the Company agree is mutually agreed upon consideration, during the term of Participant’s Service and for 12 months following the termination of Participant’s Service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hanging="532"/>
        <w:spacing w:after="0" w:line="284" w:lineRule="auto"/>
        <w:tabs>
          <w:tab w:leader="none" w:pos="9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Participant will not, directly or indirectly, individually or as a consultant to, or an Participant,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Arial" w:cs="Arial" w:eastAsia="Arial" w:hAnsi="Arial"/>
          <w:sz w:val="16"/>
          <w:szCs w:val="16"/>
          <w:u w:val="single" w:color="auto"/>
          <w:color w:val="auto"/>
        </w:rPr>
        <w:t>Competing Business</w:t>
      </w:r>
      <w:r>
        <w:rPr>
          <w:rFonts w:ascii="Arial" w:cs="Arial" w:eastAsia="Arial" w:hAnsi="Arial"/>
          <w:sz w:val="16"/>
          <w:szCs w:val="16"/>
          <w:color w:val="auto"/>
        </w:rPr>
        <w:t>”), during the Participant’s employment, anywhere in the United States or anywhere else in the world in which Participant provided services for the Company or had a material presence or influence, during any time within the last two years prior to the termination of Participant’s Service to the Company. Notwithstanding the foregoing, the Participant’s (x) discretionary ownership of less than three percent (3%) and</w:t>
      </w:r>
    </w:p>
    <w:p>
      <w:pPr>
        <w:spacing w:after="0" w:line="2" w:lineRule="exact"/>
        <w:rPr>
          <w:rFonts w:ascii="Arial" w:cs="Arial" w:eastAsia="Arial" w:hAnsi="Arial"/>
          <w:sz w:val="16"/>
          <w:szCs w:val="16"/>
          <w:color w:val="auto"/>
        </w:rPr>
      </w:pPr>
    </w:p>
    <w:p>
      <w:pPr>
        <w:ind w:left="964" w:right="400" w:firstLine="8"/>
        <w:spacing w:after="0" w:line="290" w:lineRule="auto"/>
        <w:tabs>
          <w:tab w:leader="none" w:pos="1219" w:val="left"/>
        </w:tabs>
        <w:numPr>
          <w:ilvl w:val="2"/>
          <w:numId w:val="43"/>
        </w:numPr>
        <w:rPr>
          <w:rFonts w:ascii="Arial" w:cs="Arial" w:eastAsia="Arial" w:hAnsi="Arial"/>
          <w:sz w:val="17"/>
          <w:szCs w:val="17"/>
          <w:color w:val="auto"/>
        </w:rPr>
      </w:pPr>
      <w:r>
        <w:rPr>
          <w:rFonts w:ascii="Arial" w:cs="Arial" w:eastAsia="Arial" w:hAnsi="Arial"/>
          <w:sz w:val="17"/>
          <w:szCs w:val="17"/>
          <w:color w:val="auto"/>
        </w:rPr>
        <w:t>non-discretionary (for example through a mutual fund or other investment vehicle not controlled by Participant) ownership of the outstanding stock of any publicly-traded corporation shall not be deemed a violation of this Section 5(a);</w:t>
      </w:r>
    </w:p>
    <w:p>
      <w:pPr>
        <w:spacing w:after="0" w:line="66" w:lineRule="exact"/>
        <w:rPr>
          <w:rFonts w:ascii="Arial" w:cs="Arial" w:eastAsia="Arial" w:hAnsi="Arial"/>
          <w:sz w:val="17"/>
          <w:szCs w:val="17"/>
          <w:color w:val="auto"/>
        </w:rPr>
      </w:pPr>
    </w:p>
    <w:p>
      <w:pPr>
        <w:ind w:left="964" w:right="60" w:hanging="532"/>
        <w:spacing w:after="0" w:line="275" w:lineRule="auto"/>
        <w:tabs>
          <w:tab w:leader="none" w:pos="964"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81" w:lineRule="exact"/>
        <w:rPr>
          <w:rFonts w:ascii="Arial" w:cs="Arial" w:eastAsia="Arial" w:hAnsi="Arial"/>
          <w:sz w:val="17"/>
          <w:szCs w:val="17"/>
          <w:color w:val="auto"/>
        </w:rPr>
      </w:pPr>
    </w:p>
    <w:p>
      <w:pPr>
        <w:ind w:left="964" w:right="100" w:hanging="532"/>
        <w:spacing w:after="0" w:line="301" w:lineRule="auto"/>
        <w:tabs>
          <w:tab w:leader="none" w:pos="964"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9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46" w:name="page47"/>
    <w:bookmarkEnd w:id="46"/>
    <w:p>
      <w:pPr>
        <w:ind w:left="424" w:hanging="424"/>
        <w:spacing w:after="0" w:line="267"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 Remedies</w:t>
      </w:r>
      <w:r>
        <w:rPr>
          <w:rFonts w:ascii="Arial" w:cs="Arial" w:eastAsia="Arial" w:hAnsi="Arial"/>
          <w:sz w:val="17"/>
          <w:szCs w:val="17"/>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w:t>
      </w:r>
      <w:r>
        <w:rPr>
          <w:rFonts w:ascii="Arial" w:cs="Arial" w:eastAsia="Arial" w:hAnsi="Arial"/>
          <w:sz w:val="17"/>
          <w:szCs w:val="17"/>
          <w:u w:val="single" w:color="auto"/>
          <w:color w:val="auto"/>
        </w:rPr>
        <w:t>Fairness Extension</w:t>
      </w:r>
      <w:r>
        <w:rPr>
          <w:rFonts w:ascii="Arial" w:cs="Arial" w:eastAsia="Arial" w:hAnsi="Arial"/>
          <w:sz w:val="17"/>
          <w:szCs w:val="17"/>
          <w:color w:val="auto"/>
        </w:rPr>
        <w:t>”). If Participant resides or works in Massachusetts, the Fairness Extension will only apply to the restrictions in Section 5(b) and (c) and will only apply to the non-competition restriction in Section 5(a) if Participant breaches their fiduciary duty and/or has unlawfully taken, physically or electronically, any Company records.</w:t>
      </w:r>
    </w:p>
    <w:p>
      <w:pPr>
        <w:spacing w:after="0" w:line="96" w:lineRule="exact"/>
        <w:rPr>
          <w:rFonts w:ascii="Arial" w:cs="Arial" w:eastAsia="Arial" w:hAnsi="Arial"/>
          <w:sz w:val="17"/>
          <w:szCs w:val="17"/>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80" w:hanging="532"/>
        <w:spacing w:after="0" w:line="269" w:lineRule="auto"/>
        <w:tabs>
          <w:tab w:leader="none" w:pos="964" w:val="left"/>
        </w:tabs>
        <w:numPr>
          <w:ilvl w:val="1"/>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47" w:name="page48"/>
    <w:bookmarkEnd w:id="47"/>
    <w:p>
      <w:pPr>
        <w:ind w:left="964" w:hanging="532"/>
        <w:spacing w:after="0" w:line="259"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92" w:lineRule="exact"/>
        <w:rPr>
          <w:rFonts w:ascii="Arial" w:cs="Arial" w:eastAsia="Arial" w:hAnsi="Arial"/>
          <w:sz w:val="18"/>
          <w:szCs w:val="18"/>
          <w:color w:val="auto"/>
        </w:rPr>
      </w:pPr>
    </w:p>
    <w:p>
      <w:pPr>
        <w:ind w:left="964" w:right="40" w:hanging="532"/>
        <w:spacing w:after="0" w:line="271" w:lineRule="auto"/>
        <w:tabs>
          <w:tab w:leader="none" w:pos="964" w:val="left"/>
        </w:tabs>
        <w:numPr>
          <w:ilvl w:val="1"/>
          <w:numId w:val="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83" w:lineRule="exact"/>
        <w:rPr>
          <w:rFonts w:ascii="Arial" w:cs="Arial" w:eastAsia="Arial" w:hAnsi="Arial"/>
          <w:sz w:val="17"/>
          <w:szCs w:val="17"/>
          <w:color w:val="auto"/>
        </w:rPr>
      </w:pPr>
    </w:p>
    <w:p>
      <w:pPr>
        <w:ind w:left="964" w:right="80" w:hanging="532"/>
        <w:spacing w:after="0" w:line="254" w:lineRule="auto"/>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97"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130" w:lineRule="exact"/>
        <w:rPr>
          <w:rFonts w:ascii="Arial" w:cs="Arial" w:eastAsia="Arial" w:hAnsi="Arial"/>
          <w:sz w:val="18"/>
          <w:szCs w:val="18"/>
          <w:color w:val="auto"/>
        </w:rPr>
      </w:pPr>
    </w:p>
    <w:p>
      <w:pPr>
        <w:ind w:left="964" w:right="60" w:hanging="532"/>
        <w:spacing w:after="0" w:line="25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Rights of a Shareholder; Dividend Equivalents</w:t>
      </w:r>
      <w:r>
        <w:rPr>
          <w:rFonts w:ascii="Arial" w:cs="Arial" w:eastAsia="Arial" w:hAnsi="Arial"/>
          <w:sz w:val="18"/>
          <w:szCs w:val="18"/>
          <w:color w:val="auto"/>
        </w:rPr>
        <w:t>. Prior to settlement of the Earned PSUs in shares of Common Stock, neither the Participant nor the Participant’s representative will have any rights as a shareholder of the Company with respect to any shares of Common Stock underlying the PSUs. If cash dividends or other cash distributions are paid in respect of the shares of Common Stock underlying unvested PSUs, then a dividend equivalent equal to the amount paid in respect of one Share shall accumulate and be paid with respect to each unvested PSU at the time of settlement of any Earned PSUs.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8" w:name="page49"/>
    <w:bookmarkEnd w:id="48"/>
    <w:p>
      <w:pPr>
        <w:ind w:left="540" w:right="20" w:hanging="532"/>
        <w:spacing w:after="0" w:line="296"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Restrictions</w:t>
      </w:r>
      <w:r>
        <w:rPr>
          <w:rFonts w:ascii="Arial" w:cs="Arial" w:eastAsia="Arial" w:hAnsi="Arial"/>
          <w:sz w:val="16"/>
          <w:szCs w:val="16"/>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66" w:lineRule="exact"/>
        <w:rPr>
          <w:rFonts w:ascii="Arial" w:cs="Arial" w:eastAsia="Arial" w:hAnsi="Arial"/>
          <w:sz w:val="16"/>
          <w:szCs w:val="16"/>
          <w:color w:val="auto"/>
        </w:rPr>
      </w:pPr>
    </w:p>
    <w:p>
      <w:pPr>
        <w:ind w:left="540" w:right="100" w:hanging="532"/>
        <w:spacing w:after="0" w:line="296"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66" w:lineRule="exact"/>
        <w:rPr>
          <w:rFonts w:ascii="Arial" w:cs="Arial" w:eastAsia="Arial" w:hAnsi="Arial"/>
          <w:sz w:val="16"/>
          <w:szCs w:val="16"/>
          <w:color w:val="auto"/>
        </w:rPr>
      </w:pPr>
    </w:p>
    <w:p>
      <w:pPr>
        <w:ind w:left="540" w:right="60" w:hanging="532"/>
        <w:spacing w:after="0" w:line="27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change with respect to the outstanding shares of Common Stock contemplated by Section 4.3 of the Plan, the PSUs may be adjusted in accordance with Section 4.3 of the Plan.</w:t>
      </w:r>
    </w:p>
    <w:p>
      <w:pPr>
        <w:spacing w:after="0" w:line="75"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92" w:lineRule="exact"/>
        <w:rPr>
          <w:rFonts w:ascii="Arial" w:cs="Arial" w:eastAsia="Arial" w:hAnsi="Arial"/>
          <w:sz w:val="18"/>
          <w:szCs w:val="18"/>
          <w:color w:val="auto"/>
        </w:rPr>
      </w:pPr>
    </w:p>
    <w:p>
      <w:pPr>
        <w:ind w:left="540" w:hanging="532"/>
        <w:spacing w:after="0" w:line="279"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76" w:lineRule="exact"/>
        <w:rPr>
          <w:rFonts w:ascii="Arial" w:cs="Arial" w:eastAsia="Arial" w:hAnsi="Arial"/>
          <w:sz w:val="17"/>
          <w:szCs w:val="17"/>
          <w:color w:val="auto"/>
        </w:rPr>
      </w:pPr>
    </w:p>
    <w:p>
      <w:pPr>
        <w:ind w:left="540" w:right="200" w:hanging="532"/>
        <w:spacing w:after="0" w:line="27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49" w:name="page50"/>
    <w:bookmarkEnd w:id="49"/>
    <w:p>
      <w:pPr>
        <w:ind w:left="540" w:right="140" w:hanging="532"/>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w:t>
      </w:r>
      <w:r>
        <w:rPr>
          <w:rFonts w:ascii="Arial" w:cs="Arial" w:eastAsia="Arial" w:hAnsi="Arial"/>
          <w:sz w:val="18"/>
          <w:szCs w:val="18"/>
          <w:color w:val="auto"/>
        </w:rPr>
        <w:t>. Except as otherwise provided in the Plan, this Agreement will not be amended unless the amendment is agreed to in writing by both the Participant and the Company.</w:t>
      </w:r>
    </w:p>
    <w:p>
      <w:pPr>
        <w:spacing w:after="0" w:line="75" w:lineRule="exact"/>
        <w:rPr>
          <w:rFonts w:ascii="Arial" w:cs="Arial" w:eastAsia="Arial" w:hAnsi="Arial"/>
          <w:sz w:val="18"/>
          <w:szCs w:val="18"/>
          <w:color w:val="auto"/>
        </w:rPr>
      </w:pPr>
    </w:p>
    <w:p>
      <w:pPr>
        <w:ind w:left="540" w:right="60" w:hanging="532"/>
        <w:spacing w:after="0" w:line="25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Choice of Law; Jurisdiction</w:t>
      </w:r>
      <w:r>
        <w:rPr>
          <w:rFonts w:ascii="Arial" w:cs="Arial" w:eastAsia="Arial" w:hAnsi="Arial"/>
          <w:sz w:val="18"/>
          <w:szCs w:val="18"/>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 and for those employees the Agreement will be governed by Massachusetts law.</w:t>
      </w:r>
    </w:p>
    <w:p>
      <w:pPr>
        <w:spacing w:after="0" w:line="93" w:lineRule="exact"/>
        <w:rPr>
          <w:rFonts w:ascii="Arial" w:cs="Arial" w:eastAsia="Arial" w:hAnsi="Arial"/>
          <w:sz w:val="18"/>
          <w:szCs w:val="18"/>
          <w:color w:val="auto"/>
        </w:rPr>
      </w:pPr>
    </w:p>
    <w:p>
      <w:pPr>
        <w:ind w:left="540" w:right="20" w:hanging="532"/>
        <w:spacing w:after="0" w:line="275"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Other Restrictive Covenants</w:t>
      </w:r>
      <w:r>
        <w:rPr>
          <w:rFonts w:ascii="Arial" w:cs="Arial" w:eastAsia="Arial" w:hAnsi="Arial"/>
          <w:sz w:val="17"/>
          <w:szCs w:val="17"/>
          <w:color w:val="auto"/>
        </w:rPr>
        <w:t>. Notwithstanding any other language in the Agreement, this Agreement does not preclude the enforceability of any restrictive covenant provision contained in any prior or subsequent agreement entered into by the Participant (any such covenant, an “</w:t>
      </w:r>
      <w:r>
        <w:rPr>
          <w:rFonts w:ascii="Arial" w:cs="Arial" w:eastAsia="Arial" w:hAnsi="Arial"/>
          <w:sz w:val="17"/>
          <w:szCs w:val="17"/>
          <w:u w:val="single" w:color="auto"/>
          <w:color w:val="auto"/>
        </w:rPr>
        <w:t>Other Covenant</w:t>
      </w:r>
      <w:r>
        <w:rPr>
          <w:rFonts w:ascii="Arial" w:cs="Arial" w:eastAsia="Arial" w:hAnsi="Arial"/>
          <w:sz w:val="17"/>
          <w:szCs w:val="17"/>
          <w:color w:val="auto"/>
        </w:rPr>
        <w:t>”). Further, no Other Covenant precludes the enforceability of any provision contained in this Agreement. No subsequent agreement entered into by the Participant may amend, supersede, or override the covenants contained herein unless such subsequent agreement specifically references Section 5 of this Agreement.</w:t>
      </w:r>
    </w:p>
    <w:p>
      <w:pPr>
        <w:spacing w:after="0" w:line="81" w:lineRule="exact"/>
        <w:rPr>
          <w:rFonts w:ascii="Arial" w:cs="Arial" w:eastAsia="Arial" w:hAnsi="Arial"/>
          <w:sz w:val="17"/>
          <w:szCs w:val="17"/>
          <w:color w:val="auto"/>
        </w:rPr>
      </w:pPr>
    </w:p>
    <w:p>
      <w:pPr>
        <w:ind w:left="540" w:right="260" w:hanging="532"/>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manually or electronically, each of which will be an original, with the same effect as if the signatures to each were upon the same instrument.</w:t>
      </w:r>
    </w:p>
    <w:p>
      <w:pPr>
        <w:spacing w:after="0" w:line="75" w:lineRule="exact"/>
        <w:rPr>
          <w:rFonts w:ascii="Arial" w:cs="Arial" w:eastAsia="Arial" w:hAnsi="Arial"/>
          <w:sz w:val="18"/>
          <w:szCs w:val="18"/>
          <w:color w:val="auto"/>
        </w:rPr>
      </w:pPr>
    </w:p>
    <w:p>
      <w:pPr>
        <w:ind w:left="540" w:right="260" w:hanging="532"/>
        <w:spacing w:after="0" w:line="279"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76" w:lineRule="exact"/>
        <w:rPr>
          <w:rFonts w:ascii="Arial" w:cs="Arial" w:eastAsia="Arial" w:hAnsi="Arial"/>
          <w:sz w:val="17"/>
          <w:szCs w:val="17"/>
          <w:color w:val="auto"/>
        </w:rPr>
      </w:pPr>
    </w:p>
    <w:p>
      <w:pPr>
        <w:ind w:left="540" w:hanging="532"/>
        <w:spacing w:after="0" w:line="272"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Code Section 409A Compliance</w:t>
      </w:r>
      <w:r>
        <w:rPr>
          <w:rFonts w:ascii="Arial" w:cs="Arial" w:eastAsia="Arial" w:hAnsi="Arial"/>
          <w:sz w:val="17"/>
          <w:szCs w:val="17"/>
          <w:color w:val="auto"/>
        </w:rPr>
        <w:t>. The PSUs are intended to be exempt from, or in the alternative, to comply with, the requirements of Code Section 409A, and this Agreement shall be interpreted accordingly. Notwithstanding any provision of the Plan or this Agreement to the contrary, to the extent that the Committee determines that any portion of the PSUs granted under this Agreement is subject to the requirements of Code Section 409A, the Committee reserves the right to amend, restructure, terminate or replace such portion of the PSUs in order to cause such portion of the PSUs to either not be subject to Code Section 409A or to comply with the applicable provisions of such section. To the extent necessary to cause the PSUs to remain exempt from Code Section 409A, any Earned PSUs will be settled by no later than March 15 of the year following the year in which such Earned PSUs vest.</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50" w:name="page51"/>
    <w:bookmarkEnd w:id="50"/>
    <w:p>
      <w:pPr>
        <w:ind w:left="540" w:hanging="532"/>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Acceptance</w:t>
      </w:r>
      <w:r>
        <w:rPr>
          <w:rFonts w:ascii="Arial" w:cs="Arial" w:eastAsia="Arial" w:hAnsi="Arial"/>
          <w:sz w:val="18"/>
          <w:szCs w:val="18"/>
          <w:color w:val="auto"/>
        </w:rPr>
        <w:t>. The Participant hereby acknowledges receipt of a copy of the Plan and this Agreement. The Participant has read and understands the terms and provisions of the Plan and this Agreement, and accepts the PSUs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that prior to signing this Agreement they have a right to consult with counsel and have been afforded the opportunity to consult with an attorney to the extent they wish to do so.</w:t>
      </w:r>
    </w:p>
    <w:p>
      <w:pPr>
        <w:spacing w:after="0" w:line="192"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60" w:top="274" w:right="479" w:bottom="1440" w:gutter="0" w:footer="0" w:header="0"/>
        </w:sectPr>
      </w:pPr>
    </w:p>
    <w:bookmarkStart w:id="51" w:name="page52"/>
    <w:bookmarkEnd w:id="5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Restricted Stock Unit Award Agreement as of the dates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2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80" w:type="dxa"/>
            <w:vAlign w:val="bottom"/>
            <w:gridSpan w:val="6"/>
          </w:tcPr>
          <w:p>
            <w:pPr>
              <w:ind w:left="860"/>
              <w:spacing w:after="0"/>
              <w:rPr>
                <w:sz w:val="20"/>
                <w:szCs w:val="20"/>
                <w:color w:val="auto"/>
              </w:rPr>
            </w:pPr>
            <w:r>
              <w:rPr>
                <w:rFonts w:ascii="Arial" w:cs="Arial" w:eastAsia="Arial" w:hAnsi="Arial"/>
                <w:sz w:val="18"/>
                <w:szCs w:val="18"/>
                <w:b w:val="1"/>
                <w:bCs w:val="1"/>
                <w:color w:val="auto"/>
              </w:rPr>
              <w:t>DEFINITIVE HEALTHCARE CORP.</w:t>
            </w:r>
          </w:p>
        </w:tc>
        <w:tc>
          <w:tcPr>
            <w:tcW w:w="140" w:type="dxa"/>
            <w:vAlign w:val="bottom"/>
          </w:tcPr>
          <w:p>
            <w:pPr>
              <w:spacing w:after="0"/>
              <w:rPr>
                <w:sz w:val="20"/>
                <w:szCs w:val="20"/>
                <w:color w:val="auto"/>
              </w:rPr>
            </w:pPr>
          </w:p>
        </w:tc>
      </w:tr>
      <w:tr>
        <w:trPr>
          <w:trHeight w:val="392"/>
        </w:trPr>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80" w:type="dxa"/>
            <w:vAlign w:val="bottom"/>
            <w:gridSpan w:val="6"/>
          </w:tcPr>
          <w:p>
            <w:pPr>
              <w:ind w:left="86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412"/>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0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gridSpan w:val="3"/>
          </w:tcPr>
          <w:p>
            <w:pPr>
              <w:ind w:left="860"/>
              <w:spacing w:after="0"/>
              <w:rPr>
                <w:sz w:val="20"/>
                <w:szCs w:val="20"/>
                <w:color w:val="auto"/>
              </w:rPr>
            </w:pPr>
            <w:r>
              <w:rPr>
                <w:rFonts w:ascii="Arial" w:cs="Arial" w:eastAsia="Arial" w:hAnsi="Arial"/>
                <w:sz w:val="18"/>
                <w:szCs w:val="18"/>
                <w:color w:val="auto"/>
                <w:w w:val="97"/>
              </w:rPr>
              <w:t>Date:</w:t>
            </w:r>
          </w:p>
        </w:tc>
        <w:tc>
          <w:tcPr>
            <w:tcW w:w="338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96"/>
        </w:trPr>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60" w:type="dxa"/>
            <w:vAlign w:val="bottom"/>
            <w:gridSpan w:val="3"/>
          </w:tcPr>
          <w:p>
            <w:pPr>
              <w:spacing w:after="0"/>
              <w:rPr>
                <w:sz w:val="17"/>
                <w:szCs w:val="17"/>
                <w:color w:val="auto"/>
              </w:rPr>
            </w:pPr>
          </w:p>
        </w:tc>
        <w:tc>
          <w:tcPr>
            <w:tcW w:w="44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3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r>
      <w:tr>
        <w:trPr>
          <w:trHeight w:val="453"/>
        </w:trPr>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80" w:type="dxa"/>
            <w:vAlign w:val="bottom"/>
            <w:gridSpan w:val="8"/>
          </w:tcPr>
          <w:p>
            <w:pPr>
              <w:ind w:left="1080"/>
              <w:spacing w:after="0"/>
              <w:rPr>
                <w:sz w:val="20"/>
                <w:szCs w:val="20"/>
                <w:color w:val="auto"/>
              </w:rPr>
            </w:pPr>
            <w:r>
              <w:rPr>
                <w:rFonts w:ascii="Arial" w:cs="Arial" w:eastAsia="Arial" w:hAnsi="Arial"/>
                <w:sz w:val="18"/>
                <w:szCs w:val="18"/>
                <w:i w:val="1"/>
                <w:iCs w:val="1"/>
                <w:color w:val="auto"/>
              </w:rPr>
              <w:t>[Signature Page – Restricted Stock Unit (Performance-Based) Award Agreement]</w:t>
            </w:r>
          </w:p>
        </w:tc>
        <w:tc>
          <w:tcPr>
            <w:tcW w:w="140" w:type="dxa"/>
            <w:vAlign w:val="bottom"/>
          </w:tcPr>
          <w:p>
            <w:pPr>
              <w:spacing w:after="0"/>
              <w:rPr>
                <w:sz w:val="24"/>
                <w:szCs w:val="24"/>
                <w:color w:val="auto"/>
              </w:rPr>
            </w:pPr>
          </w:p>
        </w:tc>
      </w:tr>
    </w:tbl>
    <w:p>
      <w:pPr>
        <w:sectPr>
          <w:pgSz w:w="11900" w:h="16838" w:orient="portrait"/>
          <w:cols w:equalWidth="0" w:num="1">
            <w:col w:w="10820"/>
          </w:cols>
          <w:pgMar w:left="440" w:top="274" w:right="6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Definitive Healthcare Corp.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00" w:lineRule="exact"/>
        <w:rPr>
          <w:sz w:val="20"/>
          <w:szCs w:val="20"/>
          <w:color w:val="auto"/>
        </w:rPr>
      </w:pPr>
    </w:p>
    <w:p>
      <w:pPr>
        <w:spacing w:after="0" w:line="303" w:lineRule="exact"/>
        <w:rPr>
          <w:sz w:val="20"/>
          <w:szCs w:val="20"/>
          <w:color w:val="auto"/>
        </w:rPr>
      </w:pPr>
    </w:p>
    <w:tbl>
      <w:tblPr>
        <w:tblLayout w:type="fixed"/>
        <w:tblInd w:w="1334" w:type="dxa"/>
        <w:tblCellMar>
          <w:top w:w="0" w:type="dxa"/>
          <w:left w:w="0" w:type="dxa"/>
          <w:bottom w:w="0" w:type="dxa"/>
          <w:right w:w="0" w:type="dxa"/>
        </w:tblCellMar>
      </w:tblPr>
      <w:tr>
        <w:trPr>
          <w:trHeight w:val="148"/>
        </w:trPr>
        <w:tc>
          <w:tcPr>
            <w:tcW w:w="1540" w:type="dxa"/>
            <w:vAlign w:val="bottom"/>
            <w:tcBorders>
              <w:top w:val="single" w:sz="8" w:color="auto"/>
              <w:left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10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r>
      <w:tr>
        <w:trPr>
          <w:trHeight w:val="135"/>
        </w:trPr>
        <w:tc>
          <w:tcPr>
            <w:tcW w:w="154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35"/>
        </w:trPr>
        <w:tc>
          <w:tcPr>
            <w:tcW w:w="154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r>
      <w:tr>
        <w:trPr>
          <w:trHeight w:val="135"/>
        </w:trPr>
        <w:tc>
          <w:tcPr>
            <w:tcW w:w="1540" w:type="dxa"/>
            <w:vAlign w:val="bottom"/>
            <w:tcBorders>
              <w:left w:val="single" w:sz="8" w:color="auto"/>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Class</w:t>
            </w:r>
          </w:p>
        </w:tc>
        <w:tc>
          <w:tcPr>
            <w:tcW w:w="60" w:type="dxa"/>
            <w:vAlign w:val="bottom"/>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0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r>
      <w:tr>
        <w:trPr>
          <w:trHeight w:val="176"/>
        </w:trPr>
        <w:tc>
          <w:tcPr>
            <w:tcW w:w="154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3"/>
                <w:szCs w:val="13"/>
                <w:color w:val="auto"/>
                <w:w w:val="88"/>
              </w:rPr>
              <w:t>Security Type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9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5"/>
              </w:rPr>
              <w:t>Registered</w:t>
            </w:r>
            <w:r>
              <w:rPr>
                <w:rFonts w:ascii="Arial" w:cs="Arial" w:eastAsia="Arial" w:hAnsi="Arial"/>
                <w:sz w:val="18"/>
                <w:szCs w:val="18"/>
                <w:color w:val="auto"/>
                <w:w w:val="85"/>
                <w:vertAlign w:val="superscript"/>
              </w:rPr>
              <w:t>(1)</w:t>
            </w:r>
          </w:p>
        </w:tc>
        <w:tc>
          <w:tcPr>
            <w:tcW w:w="6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4"/>
              </w:rPr>
              <w:t>Unit</w:t>
            </w:r>
            <w:r>
              <w:rPr>
                <w:rFonts w:ascii="Arial" w:cs="Arial" w:eastAsia="Arial" w:hAnsi="Arial"/>
                <w:sz w:val="18"/>
                <w:szCs w:val="18"/>
                <w:color w:val="auto"/>
                <w:w w:val="84"/>
                <w:vertAlign w:val="superscript"/>
              </w:rPr>
              <w:t>(2)</w:t>
            </w: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5"/>
              </w:rPr>
              <w:t>Price</w:t>
            </w:r>
            <w:r>
              <w:rPr>
                <w:rFonts w:ascii="Arial" w:cs="Arial" w:eastAsia="Arial" w:hAnsi="Arial"/>
                <w:sz w:val="18"/>
                <w:szCs w:val="18"/>
                <w:color w:val="auto"/>
                <w:w w:val="85"/>
                <w:vertAlign w:val="superscript"/>
              </w:rPr>
              <w:t>(2)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r>
      <w:tr>
        <w:trPr>
          <w:trHeight w:val="209"/>
        </w:trPr>
        <w:tc>
          <w:tcPr>
            <w:tcW w:w="1540" w:type="dxa"/>
            <w:vAlign w:val="bottom"/>
            <w:tcBorders>
              <w:left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A</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par value $0.001</w:t>
            </w:r>
          </w:p>
        </w:tc>
        <w:tc>
          <w:tcPr>
            <w:tcW w:w="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2,100,000</w:t>
            </w:r>
          </w:p>
        </w:tc>
        <w:tc>
          <w:tcPr>
            <w:tcW w:w="66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4"/>
        </w:trPr>
        <w:tc>
          <w:tcPr>
            <w:tcW w:w="1540" w:type="dxa"/>
            <w:vAlign w:val="bottom"/>
            <w:tcBorders>
              <w:left w:val="single" w:sz="8" w:color="auto"/>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per share</w:t>
            </w:r>
          </w:p>
        </w:tc>
        <w:tc>
          <w:tcPr>
            <w:tcW w:w="60" w:type="dxa"/>
            <w:vAlign w:val="bottom"/>
            <w:tcBorders>
              <w:bottom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92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2"/>
              </w:rPr>
              <w:t>shares</w:t>
            </w:r>
            <w:r>
              <w:rPr>
                <w:rFonts w:ascii="Arial" w:cs="Arial" w:eastAsia="Arial" w:hAnsi="Arial"/>
                <w:sz w:val="26"/>
                <w:szCs w:val="26"/>
                <w:color w:val="auto"/>
                <w:w w:val="82"/>
                <w:vertAlign w:val="superscript"/>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$9.40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$19,740,000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0.00011020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$2,175.35</w:t>
            </w:r>
          </w:p>
        </w:tc>
      </w:tr>
      <w:tr>
        <w:trPr>
          <w:trHeight w:val="230"/>
        </w:trPr>
        <w:tc>
          <w:tcPr>
            <w:tcW w:w="1540" w:type="dxa"/>
            <w:vAlign w:val="bottom"/>
            <w:tcBorders>
              <w:left w:val="single" w:sz="8" w:color="auto"/>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right="430"/>
              <w:spacing w:after="0"/>
              <w:rPr>
                <w:sz w:val="20"/>
                <w:szCs w:val="20"/>
                <w:color w:val="auto"/>
              </w:rPr>
            </w:pPr>
            <w:r>
              <w:rPr>
                <w:rFonts w:ascii="Arial" w:cs="Arial" w:eastAsia="Arial" w:hAnsi="Arial"/>
                <w:sz w:val="18"/>
                <w:szCs w:val="18"/>
                <w:color w:val="auto"/>
                <w:w w:val="93"/>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$19,740,000</w:t>
            </w: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$2,175.35</w:t>
            </w:r>
          </w:p>
        </w:tc>
      </w:tr>
      <w:tr>
        <w:trPr>
          <w:trHeight w:val="237"/>
        </w:trPr>
        <w:tc>
          <w:tcPr>
            <w:tcW w:w="154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138"/>
              <w:spacing w:after="0"/>
              <w:rPr>
                <w:sz w:val="20"/>
                <w:szCs w:val="20"/>
                <w:color w:val="auto"/>
              </w:rPr>
            </w:pPr>
            <w:r>
              <w:rPr>
                <w:rFonts w:ascii="Arial" w:cs="Arial" w:eastAsia="Arial" w:hAnsi="Arial"/>
                <w:sz w:val="18"/>
                <w:szCs w:val="18"/>
                <w:color w:val="auto"/>
                <w:w w:val="89"/>
              </w:rPr>
              <w:t>Total Fee Offsets</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6"/>
        </w:trPr>
        <w:tc>
          <w:tcPr>
            <w:tcW w:w="1540" w:type="dxa"/>
            <w:vAlign w:val="bottom"/>
            <w:tcBorders>
              <w:left w:val="single" w:sz="8" w:color="auto"/>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8"/>
                <w:szCs w:val="18"/>
                <w:color w:val="auto"/>
                <w:w w:val="88"/>
              </w:rPr>
              <w:t>Net Fee Due</w:t>
            </w:r>
          </w:p>
        </w:tc>
        <w:tc>
          <w:tcPr>
            <w:tcW w:w="7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$2,175.35</w:t>
            </w:r>
          </w:p>
        </w:tc>
      </w:tr>
    </w:tbl>
    <w:p>
      <w:pPr>
        <w:spacing w:after="0" w:line="200" w:lineRule="exact"/>
        <w:rPr>
          <w:sz w:val="20"/>
          <w:szCs w:val="20"/>
          <w:color w:val="auto"/>
        </w:rPr>
      </w:pPr>
    </w:p>
    <w:p>
      <w:pPr>
        <w:spacing w:after="0" w:line="290" w:lineRule="exact"/>
        <w:rPr>
          <w:sz w:val="20"/>
          <w:szCs w:val="20"/>
          <w:color w:val="auto"/>
        </w:rPr>
      </w:pPr>
    </w:p>
    <w:p>
      <w:pPr>
        <w:ind w:left="424" w:right="180" w:hanging="424"/>
        <w:spacing w:after="0" w:line="278" w:lineRule="auto"/>
        <w:tabs>
          <w:tab w:leader="none" w:pos="4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additional shares of the Registrant’s Class A common stock, par value $0.001 per share (“Common Stock”), which become issuable under the Registrant’s 2023 Inducement Plan (the “2023 Plan”) by reason of any stock split, stock dividend, recapitalization, or other similar transaction.</w:t>
      </w:r>
    </w:p>
    <w:p>
      <w:pPr>
        <w:spacing w:after="0" w:line="184" w:lineRule="exact"/>
        <w:rPr>
          <w:rFonts w:ascii="Arial" w:cs="Arial" w:eastAsia="Arial" w:hAnsi="Arial"/>
          <w:sz w:val="16"/>
          <w:szCs w:val="16"/>
          <w:color w:val="auto"/>
        </w:rPr>
      </w:pPr>
    </w:p>
    <w:p>
      <w:pPr>
        <w:ind w:left="424" w:right="60" w:hanging="424"/>
        <w:spacing w:after="0" w:line="293" w:lineRule="auto"/>
        <w:tabs>
          <w:tab w:leader="none" w:pos="4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Estimated in accordance with Rule 457(h) and Rule 457(c). The price per share and aggregate offering price are based upon the average of the high and low prices of the Registrant’s Common Stock on September 1, 2023 as reported on the Nasdaq Global Select Market.</w:t>
      </w:r>
    </w:p>
    <w:p>
      <w:pPr>
        <w:spacing w:after="0" w:line="171" w:lineRule="exact"/>
        <w:rPr>
          <w:rFonts w:ascii="Arial" w:cs="Arial" w:eastAsia="Arial" w:hAnsi="Arial"/>
          <w:sz w:val="16"/>
          <w:szCs w:val="16"/>
          <w:color w:val="auto"/>
        </w:rPr>
      </w:pPr>
    </w:p>
    <w:p>
      <w:pPr>
        <w:ind w:left="424" w:hanging="424"/>
        <w:spacing w:after="0"/>
        <w:tabs>
          <w:tab w:leader="none" w:pos="4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number of shares of Common Stock available for issuance under the Registrant’s 2023 Inducement Plan.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lowerLetter"/>
      <w:start w:val="1"/>
    </w:lvl>
  </w:abstractNum>
  <w:abstractNum w:abstractNumId="1">
    <w:nsid w:val="B03E0C6"/>
    <w:multiLevelType w:val="hybridMultilevel"/>
    <w:lvl w:ilvl="0">
      <w:lvlJc w:val="left"/>
      <w:lvlText w:val="(%1)"/>
      <w:numFmt w:val="lowerLetter"/>
      <w:start w:val="6"/>
    </w:lvl>
  </w:abstractNum>
  <w:abstractNum w:abstractNumId="2">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lowerLetter"/>
      <w:start w:val="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3"/>
    </w:lvl>
  </w:abstractNum>
  <w:abstractNum w:abstractNumId="8">
    <w:nsid w:val="3A95F874"/>
    <w:multiLevelType w:val="hybridMultilevel"/>
    <w:lvl w:ilvl="0">
      <w:lvlJc w:val="left"/>
      <w:lvlText w:val="%1."/>
      <w:numFmt w:val="decimal"/>
      <w:start w:val="4"/>
    </w:lvl>
  </w:abstractNum>
  <w:abstractNum w:abstractNumId="9">
    <w:nsid w:val="8138641"/>
    <w:multiLevelType w:val="hybridMultilevel"/>
    <w:lvl w:ilvl="0">
      <w:lvlJc w:val="left"/>
      <w:lvlText w:val="(%1)"/>
      <w:numFmt w:val="lowerRoman"/>
      <w:start w:val="1"/>
    </w:lvl>
  </w:abstractNum>
  <w:abstractNum w:abstractNumId="10">
    <w:nsid w:val="1E7FF521"/>
    <w:multiLevelType w:val="hybridMultilevel"/>
    <w:lvl w:ilvl="0">
      <w:lvlJc w:val="left"/>
      <w:lvlText w:val="%1."/>
      <w:numFmt w:val="decimal"/>
      <w:start w:val="5"/>
    </w:lvl>
  </w:abstractNum>
  <w:abstractNum w:abstractNumId="11">
    <w:nsid w:val="7C3DBD3D"/>
    <w:multiLevelType w:val="hybridMultilevel"/>
    <w:lvl w:ilvl="0">
      <w:lvlJc w:val="left"/>
      <w:lvlText w:val="(%1)"/>
      <w:numFmt w:val="decimal"/>
      <w:start w:val="4"/>
    </w:lvl>
  </w:abstractNum>
  <w:abstractNum w:abstractNumId="12">
    <w:nsid w:val="737B8DDC"/>
    <w:multiLevelType w:val="hybridMultilevel"/>
    <w:lvl w:ilvl="0">
      <w:lvlJc w:val="left"/>
      <w:lvlText w:val="%1."/>
      <w:numFmt w:val="decimal"/>
      <w:start w:val="6"/>
    </w:lvl>
  </w:abstractNum>
  <w:abstractNum w:abstractNumId="13">
    <w:nsid w:val="6CEAF087"/>
    <w:multiLevelType w:val="hybridMultilevel"/>
    <w:lvl w:ilvl="0">
      <w:lvlJc w:val="left"/>
      <w:lvlText w:val="%1."/>
      <w:numFmt w:val="decimal"/>
      <w:start w:val="7"/>
    </w:lvl>
  </w:abstractNum>
  <w:abstractNum w:abstractNumId="14">
    <w:nsid w:val="22221A70"/>
    <w:multiLevelType w:val="hybridMultilevel"/>
    <w:lvl w:ilvl="0">
      <w:lvlJc w:val="left"/>
      <w:lvlText w:val="%1."/>
      <w:numFmt w:val="decimal"/>
      <w:start w:val="8"/>
    </w:lvl>
  </w:abstractNum>
  <w:abstractNum w:abstractNumId="15">
    <w:nsid w:val="4516DDE9"/>
    <w:multiLevelType w:val="hybridMultilevel"/>
    <w:lvl w:ilvl="0">
      <w:lvlJc w:val="left"/>
      <w:lvlText w:val="%1."/>
      <w:numFmt w:val="decimal"/>
      <w:start w:val="9"/>
    </w:lvl>
  </w:abstractNum>
  <w:abstractNum w:abstractNumId="16">
    <w:nsid w:val="3006C83E"/>
    <w:multiLevelType w:val="hybridMultilevel"/>
    <w:lvl w:ilvl="0">
      <w:lvlJc w:val="left"/>
      <w:lvlText w:val="%1."/>
      <w:numFmt w:val="decimal"/>
      <w:start w:val="10"/>
    </w:lvl>
  </w:abstractNum>
  <w:abstractNum w:abstractNumId="17">
    <w:nsid w:val="614FD4A1"/>
    <w:multiLevelType w:val="hybridMultilevel"/>
    <w:lvl w:ilvl="0">
      <w:lvlJc w:val="left"/>
      <w:lvlText w:val="%1."/>
      <w:numFmt w:val="decimal"/>
      <w:start w:val="11"/>
    </w:lvl>
  </w:abstractNum>
  <w:abstractNum w:abstractNumId="18">
    <w:nsid w:val="419AC241"/>
    <w:multiLevelType w:val="hybridMultilevel"/>
    <w:lvl w:ilvl="0">
      <w:lvlJc w:val="left"/>
      <w:lvlText w:val="(%1)"/>
      <w:numFmt w:val="lowerRoman"/>
      <w:start w:val="2"/>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1"/>
    </w:lvl>
  </w:abstractNum>
  <w:abstractNum w:abstractNumId="21">
    <w:nsid w:val="5072367"/>
    <w:multiLevelType w:val="hybridMultilevel"/>
    <w:lvl w:ilvl="0">
      <w:lvlJc w:val="left"/>
      <w:lvlText w:val="%1."/>
      <w:numFmt w:val="decimal"/>
      <w:start w:val="12"/>
    </w:lvl>
  </w:abstractNum>
  <w:abstractNum w:abstractNumId="22">
    <w:nsid w:val="3804823E"/>
    <w:multiLevelType w:val="hybridMultilevel"/>
    <w:lvl w:ilvl="0">
      <w:lvlJc w:val="left"/>
      <w:lvlText w:val="%1"/>
      <w:numFmt w:val="decimal"/>
      <w:start w:val="1"/>
    </w:lvl>
    <w:lvl w:ilvl="1">
      <w:lvlJc w:val="left"/>
      <w:lvlText w:val="(%2)"/>
      <w:numFmt w:val="lowerLetter"/>
      <w:start w:val="1"/>
    </w:lvl>
  </w:abstractNum>
  <w:abstractNum w:abstractNumId="23">
    <w:nsid w:val="77465F01"/>
    <w:multiLevelType w:val="hybridMultilevel"/>
    <w:lvl w:ilvl="0">
      <w:lvlJc w:val="left"/>
      <w:lvlText w:val="(%1)"/>
      <w:numFmt w:val="decimal"/>
      <w:start w:val="6"/>
    </w:lvl>
    <w:lvl w:ilvl="1">
      <w:lvlJc w:val="left"/>
      <w:lvlText w:val="%2"/>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decimal"/>
      <w:start w:val="13"/>
    </w:lvl>
  </w:abstractNum>
  <w:abstractNum w:abstractNumId="26">
    <w:nsid w:val="2463B9EA"/>
    <w:multiLevelType w:val="hybridMultilevel"/>
    <w:lvl w:ilvl="0">
      <w:lvlJc w:val="left"/>
      <w:lvlText w:val="(%1)"/>
      <w:numFmt w:val="lowerRoman"/>
      <w:start w:val="3"/>
    </w:lvl>
  </w:abstractNum>
  <w:abstractNum w:abstractNumId="27">
    <w:nsid w:val="5E884ADC"/>
    <w:multiLevelType w:val="hybridMultilevel"/>
    <w:lvl w:ilvl="0">
      <w:lvlJc w:val="left"/>
      <w:lvlText w:val="%1."/>
      <w:numFmt w:val="decimal"/>
      <w:start w:val="15"/>
    </w:lvl>
  </w:abstractNum>
  <w:abstractNum w:abstractNumId="28">
    <w:nsid w:val="51EAD36B"/>
    <w:multiLevelType w:val="hybridMultilevel"/>
    <w:lvl w:ilvl="0">
      <w:lvlJc w:val="left"/>
      <w:lvlText w:val="%1."/>
      <w:numFmt w:val="decimal"/>
      <w:start w:val="1"/>
    </w:lvl>
    <w:lvl w:ilvl="1">
      <w:lvlJc w:val="left"/>
      <w:lvlText w:val="(%2)"/>
      <w:numFmt w:val="lowerLetter"/>
      <w:start w:val="1"/>
    </w:lvl>
  </w:abstractNum>
  <w:abstractNum w:abstractNumId="29">
    <w:nsid w:val="2D517796"/>
    <w:multiLevelType w:val="hybridMultilevel"/>
    <w:lvl w:ilvl="0">
      <w:lvlJc w:val="left"/>
      <w:lvlText w:val="%1."/>
      <w:numFmt w:val="decimal"/>
      <w:start w:val="3"/>
    </w:lvl>
    <w:lvl w:ilvl="1">
      <w:lvlJc w:val="left"/>
      <w:lvlText w:val="(%2)"/>
      <w:numFmt w:val="lowerLetter"/>
      <w:start w:val="1"/>
    </w:lvl>
  </w:abstractNum>
  <w:abstractNum w:abstractNumId="30">
    <w:nsid w:val="580BD78F"/>
    <w:multiLevelType w:val="hybridMultilevel"/>
    <w:lvl w:ilvl="0">
      <w:lvlJc w:val="left"/>
      <w:lvlText w:val="(%1)"/>
      <w:numFmt w:val="lowerLetter"/>
      <w:start w:val="2"/>
    </w:lvl>
  </w:abstractNum>
  <w:abstractNum w:abstractNumId="31">
    <w:nsid w:val="153EA438"/>
    <w:multiLevelType w:val="hybridMultilevel"/>
    <w:lvl w:ilvl="0">
      <w:lvlJc w:val="left"/>
      <w:lvlText w:val="%1."/>
      <w:numFmt w:val="decimal"/>
      <w:start w:val="5"/>
    </w:lvl>
    <w:lvl w:ilvl="1">
      <w:lvlJc w:val="left"/>
      <w:lvlText w:val="(%2)"/>
      <w:numFmt w:val="lowerLetter"/>
      <w:start w:val="1"/>
    </w:lvl>
  </w:abstractNum>
  <w:abstractNum w:abstractNumId="32">
    <w:nsid w:val="3855585C"/>
    <w:multiLevelType w:val="hybridMultilevel"/>
    <w:lvl w:ilvl="0">
      <w:lvlJc w:val="left"/>
      <w:lvlText w:val="%1."/>
      <w:numFmt w:val="decimal"/>
      <w:start w:val="6"/>
    </w:lvl>
    <w:lvl w:ilvl="1">
      <w:lvlJc w:val="left"/>
      <w:lvlText w:val="(%2)"/>
      <w:numFmt w:val="lowerLetter"/>
      <w:start w:val="3"/>
    </w:lvl>
  </w:abstractNum>
  <w:abstractNum w:abstractNumId="33">
    <w:nsid w:val="70A64E2A"/>
    <w:multiLevelType w:val="hybridMultilevel"/>
    <w:lvl w:ilvl="0">
      <w:lvlJc w:val="left"/>
      <w:lvlText w:val="%1"/>
      <w:numFmt w:val="decimal"/>
      <w:start w:val="1"/>
    </w:lvl>
    <w:lvl w:ilvl="1">
      <w:lvlJc w:val="left"/>
      <w:lvlText w:val="(%2)"/>
      <w:numFmt w:val="lowerLetter"/>
      <w:start w:val="1"/>
    </w:lvl>
  </w:abstractNum>
  <w:abstractNum w:abstractNumId="34">
    <w:nsid w:val="6A2342EC"/>
    <w:multiLevelType w:val="hybridMultilevel"/>
    <w:lvl w:ilvl="0">
      <w:lvlJc w:val="left"/>
      <w:lvlText w:val="%1"/>
      <w:numFmt w:val="decimal"/>
      <w:start w:val="1"/>
    </w:lvl>
    <w:lvl w:ilvl="1">
      <w:lvlJc w:val="left"/>
      <w:lvlText w:val="(%2)"/>
      <w:numFmt w:val="lowerLetter"/>
      <w:start w:val="2"/>
    </w:lvl>
  </w:abstractNum>
  <w:abstractNum w:abstractNumId="35">
    <w:nsid w:val="2A487CB0"/>
    <w:multiLevelType w:val="hybridMultilevel"/>
    <w:lvl w:ilvl="0">
      <w:lvlJc w:val="left"/>
      <w:lvlText w:val="%1."/>
      <w:numFmt w:val="decimal"/>
      <w:start w:val="8"/>
    </w:lvl>
    <w:lvl w:ilvl="1">
      <w:lvlJc w:val="left"/>
      <w:lvlText w:val="(%2)"/>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Letter"/>
      <w:start w:val="8"/>
    </w:lvl>
  </w:abstractNum>
  <w:abstractNum w:abstractNumId="38">
    <w:nsid w:val="2CD89A32"/>
    <w:multiLevelType w:val="hybridMultilevel"/>
    <w:lvl w:ilvl="0">
      <w:lvlJc w:val="left"/>
      <w:lvlText w:val="%1."/>
      <w:numFmt w:val="decimal"/>
      <w:start w:val="1"/>
    </w:lvl>
    <w:lvl w:ilvl="1">
      <w:lvlJc w:val="left"/>
      <w:lvlText w:val="(%2)"/>
      <w:numFmt w:val="lowerLetter"/>
      <w:start w:val="1"/>
    </w:lvl>
  </w:abstractNum>
  <w:abstractNum w:abstractNumId="39">
    <w:nsid w:val="57E4CCAF"/>
    <w:multiLevelType w:val="hybridMultilevel"/>
    <w:lvl w:ilvl="0">
      <w:lvlJc w:val="left"/>
      <w:lvlText w:val="%1."/>
      <w:numFmt w:val="decimal"/>
      <w:start w:val="3"/>
    </w:lvl>
    <w:lvl w:ilvl="1">
      <w:lvlJc w:val="left"/>
      <w:lvlText w:val="(%2)"/>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abstractNum>
  <w:abstractNum w:abstractNumId="42">
    <w:nsid w:val="542289E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5"/>
    </w:lvl>
    <w:lvl w:ilvl="3">
      <w:lvlJc w:val="left"/>
      <w:lvlText w:val="%4"/>
      <w:numFmt w:val="lowerLetter"/>
      <w:start w:val="1"/>
    </w:lvl>
  </w:abstractNum>
  <w:abstractNum w:abstractNumId="43">
    <w:nsid w:val="6DE91B18"/>
    <w:multiLevelType w:val="hybridMultilevel"/>
    <w:lvl w:ilvl="0">
      <w:lvlJc w:val="left"/>
      <w:lvlText w:val="%1."/>
      <w:numFmt w:val="decimal"/>
      <w:start w:val="6"/>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2"/>
    </w:lvl>
  </w:abstractNum>
  <w:abstractNum w:abstractNumId="45">
    <w:nsid w:val="7644A45C"/>
    <w:multiLevelType w:val="hybridMultilevel"/>
    <w:lvl w:ilvl="0">
      <w:lvlJc w:val="left"/>
      <w:lvlText w:val="%1."/>
      <w:numFmt w:val="decimal"/>
      <w:start w:val="8"/>
    </w:lvl>
    <w:lvl w:ilvl="1">
      <w:lvlJc w:val="left"/>
      <w:lvlText w:val="(%2)"/>
      <w:numFmt w:val="lowerLetter"/>
      <w:start w:val="1"/>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lowerLetter"/>
      <w:start w:val="8"/>
    </w:lvl>
  </w:abstractNum>
  <w:abstractNum w:abstractNumId="48">
    <w:nsid w:val="579478FE"/>
    <w:multiLevelType w:val="hybridMultilevel"/>
    <w:lvl w:ilvl="0">
      <w:lvlJc w:val="left"/>
      <w:lvlText w:val="(%1)"/>
      <w:numFmt w:val="lowerLetter"/>
      <w:start w:val="14"/>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jpe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18" Type="http://schemas.openxmlformats.org/officeDocument/2006/relationships/hyperlink" Target="http://www.sec.gov/ix?doc=/Archives/edgar/data/1861795/000095017023004643/dh-20221231.htm" TargetMode="External"/><Relationship Id="rId19" Type="http://schemas.openxmlformats.org/officeDocument/2006/relationships/hyperlink" Target="http://www.sec.gov/ix?doc=/Archives/edgar/data/1861795/000095017023042369/dh-20221231.htm" TargetMode="External"/><Relationship Id="rId20" Type="http://schemas.openxmlformats.org/officeDocument/2006/relationships/hyperlink" Target="http://www.sec.gov/ix?doc=/Archives/edgar/data/0001861795/000119312523108358/d404457ddef14a.htm" TargetMode="External"/><Relationship Id="rId21" Type="http://schemas.openxmlformats.org/officeDocument/2006/relationships/hyperlink" Target="http://www.sec.gov/ix?doc=/Archives/edgar/data/1861795/000095017023017923/dh-20230331.htm" TargetMode="External"/><Relationship Id="rId22" Type="http://schemas.openxmlformats.org/officeDocument/2006/relationships/hyperlink" Target="http://www.sec.gov/ix?doc=/Archives/edgar/data/1861795/000095017023042388/dh-20230331.htm" TargetMode="External"/><Relationship Id="rId23" Type="http://schemas.openxmlformats.org/officeDocument/2006/relationships/hyperlink" Target="http://www.sec.gov/ix?doc=/Archives/edgar/data/1861795/000095017023042435/dh-20230630.htm" TargetMode="External"/><Relationship Id="rId24" Type="http://schemas.openxmlformats.org/officeDocument/2006/relationships/hyperlink" Target="http://www.sec.gov/ix?doc=/Archives/edgar/data/1861795/000119312523006944/d354891d8k.htm" TargetMode="External"/><Relationship Id="rId25" Type="http://schemas.openxmlformats.org/officeDocument/2006/relationships/hyperlink" Target="http://www.sec.gov/ix?doc=/Archives/edgar/data/1861795/000095017023004128/dh-20230216.htm" TargetMode="External"/><Relationship Id="rId26" Type="http://schemas.openxmlformats.org/officeDocument/2006/relationships/hyperlink" Target="http://www.sec.gov/ix?doc=/Archives/edgar/data/1861795/000095017023026360/dh-20230601.htm" TargetMode="External"/><Relationship Id="rId27" Type="http://schemas.openxmlformats.org/officeDocument/2006/relationships/hyperlink" Target="http://www.sec.gov/ix?doc=/Archives/edgar/data/1861795/000095017023027023/dh-20230608.htm" TargetMode="External"/><Relationship Id="rId28" Type="http://schemas.openxmlformats.org/officeDocument/2006/relationships/hyperlink" Target="http://www.sec.gov/ix?doc=/Archives/edgar/data/1861795/000095017023036178/dh-20230727.htm" TargetMode="External"/><Relationship Id="rId30" Type="http://schemas.openxmlformats.org/officeDocument/2006/relationships/hyperlink" Target="http://www.sec.gov/Archives/edgar/data/1861795/000095017022003770/dh-ex4_1.htm" TargetMode="External"/><Relationship Id="rId34" Type="http://schemas.openxmlformats.org/officeDocument/2006/relationships/hyperlink" Target="http://www.sec.gov/Archives/edgar/data/1861795/000095017021003484/dh-ex3_1.htm" TargetMode="External"/><Relationship Id="rId35" Type="http://schemas.openxmlformats.org/officeDocument/2006/relationships/hyperlink" Target="http://www.sec.gov/Archives/edgar/data/1861795/000095017021003484/dh-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2023-09-06T15:23:46Z</dcterms:created>
  <dcterms:modified xsi:type="dcterms:W3CDTF">2023-09-06T15:23:46Z</dcterms:modified>
</cp:coreProperties>
</file>