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SCHEDULE 13G</w:t>
      </w:r>
    </w:p>
    <w:p>
      <w:pPr>
        <w:spacing w:after="0" w:line="229"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(Amendment No. )</w:t>
      </w:r>
    </w:p>
    <w:p>
      <w:pPr>
        <w:spacing w:after="0" w:line="200" w:lineRule="exact"/>
        <w:rPr>
          <w:sz w:val="24"/>
          <w:szCs w:val="24"/>
          <w:color w:val="auto"/>
        </w:rPr>
      </w:pPr>
    </w:p>
    <w:p>
      <w:pPr>
        <w:spacing w:after="0" w:line="227"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Definitive Healthcare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40"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Class A 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40"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24477E103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40"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180" w:firstLine="4"/>
        <w:spacing w:after="0" w:line="563" w:lineRule="auto"/>
        <w:tabs>
          <w:tab w:leader="none" w:pos="15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[_] Rule 13d-1(c)</w:t>
      </w:r>
    </w:p>
    <w:p>
      <w:pPr>
        <w:ind w:left="1300"/>
        <w:spacing w:after="0"/>
        <w:rPr>
          <w:rFonts w:ascii="Arial" w:cs="Arial" w:eastAsia="Arial" w:hAnsi="Arial"/>
          <w:sz w:val="16"/>
          <w:szCs w:val="16"/>
          <w:color w:val="auto"/>
        </w:rPr>
      </w:pPr>
      <w:r>
        <w:rPr>
          <w:rFonts w:ascii="Arial" w:cs="Arial" w:eastAsia="Arial" w:hAnsi="Arial"/>
          <w:sz w:val="18"/>
          <w:szCs w:val="18"/>
          <w:color w:val="auto"/>
        </w:rPr>
        <w:t>[_] Rule 13d-1(d)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__________</w:t>
      </w:r>
    </w:p>
    <w:p>
      <w:pPr>
        <w:spacing w:after="0" w:line="225"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445" w:right="7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CUSIP No</w:t>
            </w:r>
          </w:p>
        </w:tc>
        <w:tc>
          <w:tcPr>
            <w:tcW w:w="3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24477E103</w:t>
            </w:r>
          </w:p>
        </w:tc>
      </w:tr>
    </w:tbl>
    <w:p>
      <w:pPr>
        <w:spacing w:after="0" w:line="202" w:lineRule="exact"/>
        <w:rPr>
          <w:sz w:val="20"/>
          <w:szCs w:val="20"/>
          <w:color w:val="auto"/>
        </w:rPr>
      </w:pPr>
    </w:p>
    <w:p>
      <w:pPr>
        <w:ind w:left="1020" w:hanging="10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20" w:right="402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Echo Street Capital Management LLC</w:t>
      </w:r>
    </w:p>
    <w:p>
      <w:pPr>
        <w:spacing w:after="0" w:line="1" w:lineRule="exact"/>
        <w:rPr>
          <w:rFonts w:ascii="Arial" w:cs="Arial" w:eastAsia="Arial" w:hAnsi="Arial"/>
          <w:sz w:val="18"/>
          <w:szCs w:val="18"/>
          <w:color w:val="auto"/>
        </w:rPr>
      </w:pPr>
    </w:p>
    <w:p>
      <w:pPr>
        <w:ind w:left="1020" w:hanging="10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11" w:lineRule="exact"/>
        <w:rPr>
          <w:sz w:val="20"/>
          <w:szCs w:val="20"/>
          <w:color w:val="auto"/>
        </w:rPr>
      </w:pPr>
    </w:p>
    <w:p>
      <w:pPr>
        <w:ind w:left="1020" w:hanging="10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20" w:hanging="10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20" w:right="7740" w:hanging="1015"/>
        <w:spacing w:after="0" w:line="50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020" w:right="7480" w:hanging="1015"/>
        <w:spacing w:after="0" w:line="50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5,751,074</w:t>
      </w:r>
    </w:p>
    <w:p>
      <w:pPr>
        <w:spacing w:after="0" w:line="1" w:lineRule="exact"/>
        <w:rPr>
          <w:rFonts w:ascii="Arial" w:cs="Arial" w:eastAsia="Arial" w:hAnsi="Arial"/>
          <w:sz w:val="18"/>
          <w:szCs w:val="18"/>
          <w:color w:val="auto"/>
        </w:rPr>
      </w:pPr>
    </w:p>
    <w:p>
      <w:pPr>
        <w:ind w:left="1020" w:right="7340" w:hanging="1015"/>
        <w:spacing w:after="0" w:line="50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020" w:right="7080" w:hanging="1015"/>
        <w:spacing w:after="0" w:line="50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5,751,074</w:t>
      </w:r>
    </w:p>
    <w:p>
      <w:pPr>
        <w:spacing w:after="0" w:line="1" w:lineRule="exact"/>
        <w:rPr>
          <w:rFonts w:ascii="Arial" w:cs="Arial" w:eastAsia="Arial" w:hAnsi="Arial"/>
          <w:sz w:val="18"/>
          <w:szCs w:val="18"/>
          <w:color w:val="auto"/>
        </w:rPr>
      </w:pPr>
    </w:p>
    <w:p>
      <w:pPr>
        <w:ind w:left="1020" w:right="3040" w:hanging="1015"/>
        <w:spacing w:after="0" w:line="50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5,751,074</w:t>
      </w:r>
    </w:p>
    <w:p>
      <w:pPr>
        <w:spacing w:after="0" w:line="1" w:lineRule="exact"/>
        <w:rPr>
          <w:rFonts w:ascii="Arial" w:cs="Arial" w:eastAsia="Arial" w:hAnsi="Arial"/>
          <w:sz w:val="18"/>
          <w:szCs w:val="18"/>
          <w:color w:val="auto"/>
        </w:rPr>
      </w:pPr>
    </w:p>
    <w:p>
      <w:pPr>
        <w:ind w:left="1020" w:hanging="10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340"/>
        <w:spacing w:after="0"/>
        <w:rPr>
          <w:sz w:val="20"/>
          <w:szCs w:val="20"/>
          <w:color w:val="auto"/>
        </w:rPr>
      </w:pPr>
      <w:r>
        <w:rPr>
          <w:rFonts w:ascii="Arial" w:cs="Arial" w:eastAsia="Arial" w:hAnsi="Arial"/>
          <w:sz w:val="18"/>
          <w:szCs w:val="18"/>
          <w:color w:val="auto"/>
        </w:rPr>
        <w:t>[_]</w:t>
      </w:r>
    </w:p>
    <w:p>
      <w:pPr>
        <w:spacing w:after="0" w:line="200" w:lineRule="exact"/>
        <w:rPr>
          <w:sz w:val="20"/>
          <w:szCs w:val="20"/>
          <w:color w:val="auto"/>
        </w:rPr>
      </w:pPr>
    </w:p>
    <w:p>
      <w:pPr>
        <w:spacing w:after="0" w:line="227" w:lineRule="exact"/>
        <w:rPr>
          <w:sz w:val="20"/>
          <w:szCs w:val="20"/>
          <w:color w:val="auto"/>
        </w:rPr>
      </w:pPr>
    </w:p>
    <w:p>
      <w:pPr>
        <w:ind w:left="1020" w:right="4540" w:hanging="1015"/>
        <w:spacing w:after="0" w:line="500"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5.5%</w:t>
      </w:r>
    </w:p>
    <w:p>
      <w:pPr>
        <w:spacing w:after="0" w:line="1" w:lineRule="exact"/>
        <w:rPr>
          <w:rFonts w:ascii="Arial" w:cs="Arial" w:eastAsia="Arial" w:hAnsi="Arial"/>
          <w:sz w:val="18"/>
          <w:szCs w:val="18"/>
          <w:color w:val="auto"/>
        </w:rPr>
      </w:pPr>
    </w:p>
    <w:p>
      <w:pPr>
        <w:ind w:left="1020" w:right="5260" w:hanging="1015"/>
        <w:spacing w:after="0" w:line="52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143510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420" w:top="908" w:right="8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CUSIP No</w:t>
            </w:r>
          </w:p>
        </w:tc>
        <w:tc>
          <w:tcPr>
            <w:tcW w:w="3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24477E103</w:t>
            </w:r>
          </w:p>
        </w:tc>
      </w:tr>
    </w:tbl>
    <w:p>
      <w:pPr>
        <w:spacing w:after="0" w:line="202" w:lineRule="exact"/>
        <w:rPr>
          <w:sz w:val="20"/>
          <w:szCs w:val="20"/>
          <w:color w:val="auto"/>
        </w:rPr>
      </w:pPr>
    </w:p>
    <w:p>
      <w:pPr>
        <w:ind w:left="1020" w:hanging="101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20" w:right="402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Greg Poole</w:t>
      </w:r>
    </w:p>
    <w:p>
      <w:pPr>
        <w:spacing w:after="0" w:line="1" w:lineRule="exact"/>
        <w:rPr>
          <w:rFonts w:ascii="Arial" w:cs="Arial" w:eastAsia="Arial" w:hAnsi="Arial"/>
          <w:sz w:val="18"/>
          <w:szCs w:val="18"/>
          <w:color w:val="auto"/>
        </w:rPr>
      </w:pPr>
    </w:p>
    <w:p>
      <w:pPr>
        <w:ind w:left="1020" w:hanging="101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11" w:lineRule="exact"/>
        <w:rPr>
          <w:sz w:val="20"/>
          <w:szCs w:val="20"/>
          <w:color w:val="auto"/>
        </w:rPr>
      </w:pPr>
    </w:p>
    <w:p>
      <w:pPr>
        <w:ind w:left="1020" w:hanging="101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20" w:hanging="101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20" w:right="7740" w:hanging="1015"/>
        <w:spacing w:after="0" w:line="500"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020" w:right="7480" w:hanging="1015"/>
        <w:spacing w:after="0" w:line="500"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 5,751,074</w:t>
      </w:r>
    </w:p>
    <w:p>
      <w:pPr>
        <w:spacing w:after="0" w:line="1" w:lineRule="exact"/>
        <w:rPr>
          <w:rFonts w:ascii="Arial" w:cs="Arial" w:eastAsia="Arial" w:hAnsi="Arial"/>
          <w:sz w:val="18"/>
          <w:szCs w:val="18"/>
          <w:color w:val="auto"/>
        </w:rPr>
      </w:pPr>
    </w:p>
    <w:p>
      <w:pPr>
        <w:ind w:left="1020" w:right="7340" w:hanging="1015"/>
        <w:spacing w:after="0" w:line="500"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020" w:right="7080" w:hanging="1015"/>
        <w:spacing w:after="0" w:line="500"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5,751,074</w:t>
      </w:r>
    </w:p>
    <w:p>
      <w:pPr>
        <w:spacing w:after="0" w:line="1" w:lineRule="exact"/>
        <w:rPr>
          <w:rFonts w:ascii="Arial" w:cs="Arial" w:eastAsia="Arial" w:hAnsi="Arial"/>
          <w:sz w:val="18"/>
          <w:szCs w:val="18"/>
          <w:color w:val="auto"/>
        </w:rPr>
      </w:pPr>
    </w:p>
    <w:p>
      <w:pPr>
        <w:ind w:left="1020" w:right="3040" w:hanging="1015"/>
        <w:spacing w:after="0" w:line="500"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5,751,074</w:t>
      </w:r>
    </w:p>
    <w:p>
      <w:pPr>
        <w:spacing w:after="0" w:line="1" w:lineRule="exact"/>
        <w:rPr>
          <w:rFonts w:ascii="Arial" w:cs="Arial" w:eastAsia="Arial" w:hAnsi="Arial"/>
          <w:sz w:val="18"/>
          <w:szCs w:val="18"/>
          <w:color w:val="auto"/>
        </w:rPr>
      </w:pPr>
    </w:p>
    <w:p>
      <w:pPr>
        <w:ind w:left="1020" w:hanging="10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340"/>
        <w:spacing w:after="0"/>
        <w:rPr>
          <w:sz w:val="20"/>
          <w:szCs w:val="20"/>
          <w:color w:val="auto"/>
        </w:rPr>
      </w:pPr>
      <w:r>
        <w:rPr>
          <w:rFonts w:ascii="Arial" w:cs="Arial" w:eastAsia="Arial" w:hAnsi="Arial"/>
          <w:sz w:val="18"/>
          <w:szCs w:val="18"/>
          <w:color w:val="auto"/>
        </w:rPr>
        <w:t>[_]</w:t>
      </w:r>
    </w:p>
    <w:p>
      <w:pPr>
        <w:spacing w:after="0" w:line="200" w:lineRule="exact"/>
        <w:rPr>
          <w:sz w:val="20"/>
          <w:szCs w:val="20"/>
          <w:color w:val="auto"/>
        </w:rPr>
      </w:pPr>
    </w:p>
    <w:p>
      <w:pPr>
        <w:spacing w:after="0" w:line="227" w:lineRule="exact"/>
        <w:rPr>
          <w:sz w:val="20"/>
          <w:szCs w:val="20"/>
          <w:color w:val="auto"/>
        </w:rPr>
      </w:pPr>
    </w:p>
    <w:p>
      <w:pPr>
        <w:ind w:left="1020" w:right="4540" w:hanging="1015"/>
        <w:spacing w:after="0" w:line="500"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5.5%</w:t>
      </w:r>
    </w:p>
    <w:p>
      <w:pPr>
        <w:spacing w:after="0" w:line="1" w:lineRule="exact"/>
        <w:rPr>
          <w:rFonts w:ascii="Arial" w:cs="Arial" w:eastAsia="Arial" w:hAnsi="Arial"/>
          <w:sz w:val="18"/>
          <w:szCs w:val="18"/>
          <w:color w:val="auto"/>
        </w:rPr>
      </w:pPr>
    </w:p>
    <w:p>
      <w:pPr>
        <w:ind w:left="1020" w:right="5260" w:hanging="1015"/>
        <w:spacing w:after="0" w:line="52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143510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420" w:top="908" w:right="8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000" w:type="dxa"/>
            <w:vAlign w:val="bottom"/>
          </w:tcPr>
          <w:p>
            <w:pPr>
              <w:ind w:left="100"/>
              <w:spacing w:after="0"/>
              <w:rPr>
                <w:sz w:val="20"/>
                <w:szCs w:val="20"/>
                <w:color w:val="auto"/>
              </w:rPr>
            </w:pPr>
            <w:r>
              <w:rPr>
                <w:rFonts w:ascii="Arial" w:cs="Arial" w:eastAsia="Arial" w:hAnsi="Arial"/>
                <w:sz w:val="18"/>
                <w:szCs w:val="18"/>
                <w:color w:val="auto"/>
              </w:rPr>
              <w:t>CUSIP No</w:t>
            </w:r>
          </w:p>
        </w:tc>
        <w:tc>
          <w:tcPr>
            <w:tcW w:w="240" w:type="dxa"/>
            <w:vAlign w:val="bottom"/>
          </w:tcPr>
          <w:p>
            <w:pPr>
              <w:spacing w:after="0"/>
              <w:rPr>
                <w:sz w:val="20"/>
                <w:szCs w:val="20"/>
                <w:color w:val="auto"/>
              </w:rPr>
            </w:pPr>
          </w:p>
        </w:tc>
        <w:tc>
          <w:tcPr>
            <w:tcW w:w="9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3"/>
              </w:rPr>
              <w:t>24477E103</w:t>
            </w:r>
          </w:p>
        </w:tc>
        <w:tc>
          <w:tcPr>
            <w:tcW w:w="2180" w:type="dxa"/>
            <w:vAlign w:val="bottom"/>
            <w:tcBorders>
              <w:bottom w:val="single" w:sz="8" w:color="auto"/>
            </w:tcBorders>
          </w:tcPr>
          <w:p>
            <w:pPr>
              <w:spacing w:after="0"/>
              <w:rPr>
                <w:sz w:val="20"/>
                <w:szCs w:val="20"/>
                <w:color w:val="auto"/>
              </w:rPr>
            </w:pPr>
          </w:p>
        </w:tc>
        <w:tc>
          <w:tcPr>
            <w:tcW w:w="57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26"/>
        </w:trPr>
        <w:tc>
          <w:tcPr>
            <w:tcW w:w="1000" w:type="dxa"/>
            <w:vAlign w:val="bottom"/>
          </w:tcPr>
          <w:p>
            <w:pPr>
              <w:ind w:left="100"/>
              <w:spacing w:after="0"/>
              <w:rPr>
                <w:sz w:val="20"/>
                <w:szCs w:val="20"/>
                <w:color w:val="auto"/>
              </w:rPr>
            </w:pPr>
            <w:r>
              <w:rPr>
                <w:rFonts w:ascii="Arial" w:cs="Arial" w:eastAsia="Arial" w:hAnsi="Arial"/>
                <w:sz w:val="18"/>
                <w:szCs w:val="18"/>
                <w:color w:val="auto"/>
              </w:rPr>
              <w:t>Item 1.</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9660" w:type="dxa"/>
            <w:vAlign w:val="bottom"/>
            <w:gridSpan w:val="4"/>
          </w:tcPr>
          <w:p>
            <w:pPr>
              <w:ind w:left="100"/>
              <w:spacing w:after="0"/>
              <w:rPr>
                <w:sz w:val="20"/>
                <w:szCs w:val="20"/>
                <w:color w:val="auto"/>
              </w:rPr>
            </w:pPr>
            <w:r>
              <w:rPr>
                <w:rFonts w:ascii="Arial" w:cs="Arial" w:eastAsia="Arial" w:hAnsi="Arial"/>
                <w:sz w:val="18"/>
                <w:szCs w:val="18"/>
                <w:color w:val="auto"/>
              </w:rPr>
              <w:t>Name of Issuer:</w:t>
            </w:r>
          </w:p>
        </w:tc>
      </w:tr>
      <w:tr>
        <w:trPr>
          <w:trHeight w:val="432"/>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5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Definitive Healthcare Corp.</w:t>
            </w:r>
          </w:p>
        </w:tc>
        <w:tc>
          <w:tcPr>
            <w:tcW w:w="1120" w:type="dxa"/>
            <w:vAlign w:val="bottom"/>
          </w:tcPr>
          <w:p>
            <w:pPr>
              <w:spacing w:after="0"/>
              <w:rPr>
                <w:sz w:val="24"/>
                <w:szCs w:val="24"/>
                <w:color w:val="auto"/>
              </w:rPr>
            </w:pPr>
          </w:p>
        </w:tc>
      </w:tr>
      <w:tr>
        <w:trPr>
          <w:trHeight w:val="426"/>
        </w:trPr>
        <w:tc>
          <w:tcPr>
            <w:tcW w:w="1000" w:type="dxa"/>
            <w:vAlign w:val="bottom"/>
          </w:tcPr>
          <w:p>
            <w:pPr>
              <w:spacing w:after="0"/>
              <w:rPr>
                <w:sz w:val="24"/>
                <w:szCs w:val="24"/>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(b).</w:t>
            </w:r>
          </w:p>
        </w:tc>
        <w:tc>
          <w:tcPr>
            <w:tcW w:w="9660" w:type="dxa"/>
            <w:vAlign w:val="bottom"/>
            <w:gridSpan w:val="4"/>
          </w:tcPr>
          <w:p>
            <w:pPr>
              <w:ind w:left="10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4"/>
          </w:tcPr>
          <w:p>
            <w:pPr>
              <w:ind w:left="100"/>
              <w:spacing w:after="0"/>
              <w:rPr>
                <w:sz w:val="20"/>
                <w:szCs w:val="20"/>
                <w:color w:val="auto"/>
              </w:rPr>
            </w:pPr>
            <w:r>
              <w:rPr>
                <w:rFonts w:ascii="Arial" w:cs="Arial" w:eastAsia="Arial" w:hAnsi="Arial"/>
                <w:sz w:val="18"/>
                <w:szCs w:val="18"/>
                <w:color w:val="auto"/>
              </w:rPr>
              <w:t>492 Old Connecticut Path, Suite 401</w:t>
            </w:r>
          </w:p>
        </w:tc>
      </w:tr>
      <w:tr>
        <w:trPr>
          <w:trHeight w:val="230"/>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5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Framingham, Massachussetts 01701</w:t>
            </w:r>
          </w:p>
        </w:tc>
        <w:tc>
          <w:tcPr>
            <w:tcW w:w="1120" w:type="dxa"/>
            <w:vAlign w:val="bottom"/>
          </w:tcPr>
          <w:p>
            <w:pPr>
              <w:spacing w:after="0"/>
              <w:rPr>
                <w:sz w:val="20"/>
                <w:szCs w:val="20"/>
                <w:color w:val="auto"/>
              </w:rPr>
            </w:pPr>
          </w:p>
        </w:tc>
      </w:tr>
      <w:tr>
        <w:trPr>
          <w:trHeight w:val="426"/>
        </w:trPr>
        <w:tc>
          <w:tcPr>
            <w:tcW w:w="1000" w:type="dxa"/>
            <w:vAlign w:val="bottom"/>
          </w:tcPr>
          <w:p>
            <w:pPr>
              <w:ind w:left="100"/>
              <w:spacing w:after="0"/>
              <w:rPr>
                <w:sz w:val="20"/>
                <w:szCs w:val="20"/>
                <w:color w:val="auto"/>
              </w:rPr>
            </w:pPr>
            <w:r>
              <w:rPr>
                <w:rFonts w:ascii="Arial" w:cs="Arial" w:eastAsia="Arial" w:hAnsi="Arial"/>
                <w:sz w:val="18"/>
                <w:szCs w:val="18"/>
                <w:color w:val="auto"/>
              </w:rPr>
              <w:t>Item 2.</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9660" w:type="dxa"/>
            <w:vAlign w:val="bottom"/>
            <w:gridSpan w:val="4"/>
          </w:tcPr>
          <w:p>
            <w:pPr>
              <w:ind w:left="100"/>
              <w:spacing w:after="0"/>
              <w:rPr>
                <w:sz w:val="20"/>
                <w:szCs w:val="20"/>
                <w:color w:val="auto"/>
              </w:rPr>
            </w:pPr>
            <w:r>
              <w:rPr>
                <w:rFonts w:ascii="Arial" w:cs="Arial" w:eastAsia="Arial" w:hAnsi="Arial"/>
                <w:sz w:val="18"/>
                <w:szCs w:val="18"/>
                <w:color w:val="auto"/>
              </w:rPr>
              <w:t>Name of persons filing:</w:t>
            </w:r>
          </w:p>
        </w:tc>
      </w:tr>
      <w:tr>
        <w:trPr>
          <w:trHeight w:val="418"/>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4"/>
          </w:tcPr>
          <w:p>
            <w:pPr>
              <w:ind w:left="100"/>
              <w:spacing w:after="0"/>
              <w:rPr>
                <w:sz w:val="20"/>
                <w:szCs w:val="20"/>
                <w:color w:val="auto"/>
              </w:rPr>
            </w:pPr>
            <w:r>
              <w:rPr>
                <w:rFonts w:ascii="Arial" w:cs="Arial" w:eastAsia="Arial" w:hAnsi="Arial"/>
                <w:sz w:val="18"/>
                <w:szCs w:val="18"/>
                <w:color w:val="auto"/>
              </w:rPr>
              <w:t>Echo Street Capital Management LLC</w:t>
            </w:r>
          </w:p>
        </w:tc>
      </w:tr>
      <w:tr>
        <w:trPr>
          <w:trHeight w:val="230"/>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5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Greg Poole</w:t>
            </w:r>
          </w:p>
        </w:tc>
        <w:tc>
          <w:tcPr>
            <w:tcW w:w="1120" w:type="dxa"/>
            <w:vAlign w:val="bottom"/>
          </w:tcPr>
          <w:p>
            <w:pPr>
              <w:spacing w:after="0"/>
              <w:rPr>
                <w:sz w:val="20"/>
                <w:szCs w:val="20"/>
                <w:color w:val="auto"/>
              </w:rPr>
            </w:pPr>
          </w:p>
        </w:tc>
      </w:tr>
      <w:tr>
        <w:trPr>
          <w:trHeight w:val="426"/>
        </w:trPr>
        <w:tc>
          <w:tcPr>
            <w:tcW w:w="1000" w:type="dxa"/>
            <w:vAlign w:val="bottom"/>
          </w:tcPr>
          <w:p>
            <w:pPr>
              <w:spacing w:after="0"/>
              <w:rPr>
                <w:sz w:val="24"/>
                <w:szCs w:val="24"/>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(b).</w:t>
            </w:r>
          </w:p>
        </w:tc>
        <w:tc>
          <w:tcPr>
            <w:tcW w:w="9660" w:type="dxa"/>
            <w:vAlign w:val="bottom"/>
            <w:gridSpan w:val="4"/>
          </w:tcPr>
          <w:p>
            <w:pPr>
              <w:ind w:left="100"/>
              <w:spacing w:after="0"/>
              <w:rPr>
                <w:sz w:val="20"/>
                <w:szCs w:val="20"/>
                <w:color w:val="auto"/>
              </w:rPr>
            </w:pPr>
            <w:r>
              <w:rPr>
                <w:rFonts w:ascii="Arial" w:cs="Arial" w:eastAsia="Arial" w:hAnsi="Arial"/>
                <w:sz w:val="18"/>
                <w:szCs w:val="18"/>
                <w:color w:val="auto"/>
              </w:rPr>
              <w:t>Address or principal business office or, if none, residence:</w:t>
            </w:r>
          </w:p>
        </w:tc>
      </w:tr>
      <w:tr>
        <w:trPr>
          <w:trHeight w:val="418"/>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4"/>
          </w:tcPr>
          <w:p>
            <w:pPr>
              <w:ind w:left="100"/>
              <w:spacing w:after="0"/>
              <w:rPr>
                <w:sz w:val="20"/>
                <w:szCs w:val="20"/>
                <w:color w:val="auto"/>
              </w:rPr>
            </w:pPr>
            <w:r>
              <w:rPr>
                <w:rFonts w:ascii="Arial" w:cs="Arial" w:eastAsia="Arial" w:hAnsi="Arial"/>
                <w:sz w:val="18"/>
                <w:szCs w:val="18"/>
                <w:color w:val="auto"/>
              </w:rPr>
              <w:t>12 E. 49th Street, 44th Floor</w:t>
            </w:r>
          </w:p>
        </w:tc>
      </w:tr>
      <w:tr>
        <w:trPr>
          <w:trHeight w:val="230"/>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5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New York, NY 10017</w:t>
            </w:r>
          </w:p>
        </w:tc>
        <w:tc>
          <w:tcPr>
            <w:tcW w:w="1120" w:type="dxa"/>
            <w:vAlign w:val="bottom"/>
          </w:tcPr>
          <w:p>
            <w:pPr>
              <w:spacing w:after="0"/>
              <w:rPr>
                <w:sz w:val="20"/>
                <w:szCs w:val="20"/>
                <w:color w:val="auto"/>
              </w:rPr>
            </w:pPr>
          </w:p>
        </w:tc>
      </w:tr>
      <w:tr>
        <w:trPr>
          <w:trHeight w:val="426"/>
        </w:trPr>
        <w:tc>
          <w:tcPr>
            <w:tcW w:w="1000" w:type="dxa"/>
            <w:vAlign w:val="bottom"/>
          </w:tcPr>
          <w:p>
            <w:pPr>
              <w:spacing w:after="0"/>
              <w:rPr>
                <w:sz w:val="24"/>
                <w:szCs w:val="24"/>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9660" w:type="dxa"/>
            <w:vAlign w:val="bottom"/>
            <w:gridSpan w:val="4"/>
          </w:tcPr>
          <w:p>
            <w:pPr>
              <w:ind w:left="100"/>
              <w:spacing w:after="0"/>
              <w:rPr>
                <w:sz w:val="20"/>
                <w:szCs w:val="20"/>
                <w:color w:val="auto"/>
              </w:rPr>
            </w:pPr>
            <w:r>
              <w:rPr>
                <w:rFonts w:ascii="Arial" w:cs="Arial" w:eastAsia="Arial" w:hAnsi="Arial"/>
                <w:sz w:val="18"/>
                <w:szCs w:val="18"/>
                <w:color w:val="auto"/>
              </w:rPr>
              <w:t>Citizenship:</w:t>
            </w:r>
          </w:p>
        </w:tc>
      </w:tr>
      <w:tr>
        <w:trPr>
          <w:trHeight w:val="418"/>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4"/>
          </w:tcPr>
          <w:p>
            <w:pPr>
              <w:ind w:left="100"/>
              <w:spacing w:after="0"/>
              <w:rPr>
                <w:sz w:val="20"/>
                <w:szCs w:val="20"/>
                <w:color w:val="auto"/>
              </w:rPr>
            </w:pPr>
            <w:r>
              <w:rPr>
                <w:rFonts w:ascii="Arial" w:cs="Arial" w:eastAsia="Arial" w:hAnsi="Arial"/>
                <w:sz w:val="18"/>
                <w:szCs w:val="18"/>
                <w:color w:val="auto"/>
              </w:rPr>
              <w:t>Echo Street Capital Management LLC – Delaware</w:t>
            </w:r>
          </w:p>
        </w:tc>
      </w:tr>
      <w:tr>
        <w:trPr>
          <w:trHeight w:val="230"/>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5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Greg Poole – Canada</w:t>
            </w:r>
          </w:p>
        </w:tc>
        <w:tc>
          <w:tcPr>
            <w:tcW w:w="1120" w:type="dxa"/>
            <w:vAlign w:val="bottom"/>
          </w:tcPr>
          <w:p>
            <w:pPr>
              <w:spacing w:after="0"/>
              <w:rPr>
                <w:sz w:val="20"/>
                <w:szCs w:val="20"/>
                <w:color w:val="auto"/>
              </w:rPr>
            </w:pPr>
          </w:p>
        </w:tc>
      </w:tr>
      <w:tr>
        <w:trPr>
          <w:trHeight w:val="426"/>
        </w:trPr>
        <w:tc>
          <w:tcPr>
            <w:tcW w:w="1000" w:type="dxa"/>
            <w:vAlign w:val="bottom"/>
          </w:tcPr>
          <w:p>
            <w:pPr>
              <w:spacing w:after="0"/>
              <w:rPr>
                <w:sz w:val="24"/>
                <w:szCs w:val="24"/>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(d).</w:t>
            </w:r>
          </w:p>
        </w:tc>
        <w:tc>
          <w:tcPr>
            <w:tcW w:w="9660" w:type="dxa"/>
            <w:vAlign w:val="bottom"/>
            <w:gridSpan w:val="4"/>
          </w:tcPr>
          <w:p>
            <w:pPr>
              <w:ind w:left="10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5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Class A Common Stock, $0.001 par value</w:t>
            </w:r>
          </w:p>
        </w:tc>
        <w:tc>
          <w:tcPr>
            <w:tcW w:w="1120" w:type="dxa"/>
            <w:vAlign w:val="bottom"/>
          </w:tcPr>
          <w:p>
            <w:pPr>
              <w:spacing w:after="0"/>
              <w:rPr>
                <w:sz w:val="24"/>
                <w:szCs w:val="24"/>
                <w:color w:val="auto"/>
              </w:rPr>
            </w:pPr>
          </w:p>
        </w:tc>
      </w:tr>
      <w:tr>
        <w:trPr>
          <w:trHeight w:val="425"/>
        </w:trPr>
        <w:tc>
          <w:tcPr>
            <w:tcW w:w="1000" w:type="dxa"/>
            <w:vAlign w:val="bottom"/>
          </w:tcPr>
          <w:p>
            <w:pPr>
              <w:spacing w:after="0"/>
              <w:rPr>
                <w:sz w:val="24"/>
                <w:szCs w:val="24"/>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9660" w:type="dxa"/>
            <w:vAlign w:val="bottom"/>
            <w:gridSpan w:val="4"/>
          </w:tcPr>
          <w:p>
            <w:pPr>
              <w:ind w:left="100"/>
              <w:spacing w:after="0"/>
              <w:rPr>
                <w:sz w:val="20"/>
                <w:szCs w:val="20"/>
                <w:color w:val="auto"/>
              </w:rPr>
            </w:pPr>
            <w:r>
              <w:rPr>
                <w:rFonts w:ascii="Arial" w:cs="Arial" w:eastAsia="Arial" w:hAnsi="Arial"/>
                <w:sz w:val="18"/>
                <w:szCs w:val="18"/>
                <w:color w:val="auto"/>
              </w:rPr>
              <w:t>CUSIP No.:</w:t>
            </w:r>
          </w:p>
        </w:tc>
      </w:tr>
      <w:tr>
        <w:trPr>
          <w:trHeight w:val="432"/>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5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24477E103</w:t>
            </w:r>
          </w:p>
        </w:tc>
        <w:tc>
          <w:tcPr>
            <w:tcW w:w="1120" w:type="dxa"/>
            <w:vAlign w:val="bottom"/>
          </w:tcPr>
          <w:p>
            <w:pPr>
              <w:spacing w:after="0"/>
              <w:rPr>
                <w:sz w:val="24"/>
                <w:szCs w:val="24"/>
                <w:color w:val="auto"/>
              </w:rPr>
            </w:pPr>
          </w:p>
        </w:tc>
      </w:tr>
      <w:tr>
        <w:trPr>
          <w:trHeight w:val="426"/>
        </w:trPr>
        <w:tc>
          <w:tcPr>
            <w:tcW w:w="1000" w:type="dxa"/>
            <w:vAlign w:val="bottom"/>
          </w:tcPr>
          <w:p>
            <w:pPr>
              <w:ind w:left="100"/>
              <w:spacing w:after="0"/>
              <w:rPr>
                <w:sz w:val="20"/>
                <w:szCs w:val="20"/>
                <w:color w:val="auto"/>
              </w:rPr>
            </w:pPr>
            <w:r>
              <w:rPr>
                <w:rFonts w:ascii="Arial" w:cs="Arial" w:eastAsia="Arial" w:hAnsi="Arial"/>
                <w:sz w:val="18"/>
                <w:szCs w:val="18"/>
                <w:color w:val="auto"/>
              </w:rPr>
              <w:t>Item 3.</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4"/>
          </w:tcPr>
          <w:p>
            <w:pPr>
              <w:ind w:left="100"/>
              <w:spacing w:after="0"/>
              <w:rPr>
                <w:sz w:val="20"/>
                <w:szCs w:val="20"/>
                <w:color w:val="auto"/>
              </w:rPr>
            </w:pPr>
            <w:r>
              <w:rPr>
                <w:rFonts w:ascii="Arial" w:cs="Arial" w:eastAsia="Arial" w:hAnsi="Arial"/>
                <w:sz w:val="18"/>
                <w:szCs w:val="18"/>
                <w:color w:val="auto"/>
              </w:rPr>
              <w:t>If This Statement is filed pursuant to §§.240.13d-1(b) or 240.13d-2(b), or (c), check whether the person filing is a</w:t>
            </w:r>
          </w:p>
        </w:tc>
      </w:tr>
      <w:tr>
        <w:trPr>
          <w:trHeight w:val="432"/>
        </w:trPr>
        <w:tc>
          <w:tcPr>
            <w:tcW w:w="1000" w:type="dxa"/>
            <w:vAlign w:val="bottom"/>
          </w:tcPr>
          <w:p>
            <w:pPr>
              <w:spacing w:after="0"/>
              <w:rPr>
                <w:sz w:val="24"/>
                <w:szCs w:val="24"/>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640" w:type="dxa"/>
            <w:vAlign w:val="bottom"/>
          </w:tcPr>
          <w:p>
            <w:pPr>
              <w:ind w:left="100"/>
              <w:spacing w:after="0"/>
              <w:rPr>
                <w:sz w:val="20"/>
                <w:szCs w:val="20"/>
                <w:color w:val="auto"/>
              </w:rPr>
            </w:pPr>
            <w:r>
              <w:rPr>
                <w:rFonts w:ascii="Arial" w:cs="Arial" w:eastAsia="Arial" w:hAnsi="Arial"/>
                <w:sz w:val="18"/>
                <w:szCs w:val="18"/>
                <w:color w:val="auto"/>
              </w:rPr>
              <w:t>[_]</w:t>
            </w:r>
          </w:p>
        </w:tc>
        <w:tc>
          <w:tcPr>
            <w:tcW w:w="9020" w:type="dxa"/>
            <w:vAlign w:val="bottom"/>
            <w:gridSpan w:val="3"/>
          </w:tcPr>
          <w:p>
            <w:pPr>
              <w:ind w:left="4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432"/>
        </w:trPr>
        <w:tc>
          <w:tcPr>
            <w:tcW w:w="1000" w:type="dxa"/>
            <w:vAlign w:val="bottom"/>
          </w:tcPr>
          <w:p>
            <w:pPr>
              <w:spacing w:after="0"/>
              <w:rPr>
                <w:sz w:val="24"/>
                <w:szCs w:val="24"/>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(b)</w:t>
            </w:r>
          </w:p>
        </w:tc>
        <w:tc>
          <w:tcPr>
            <w:tcW w:w="640" w:type="dxa"/>
            <w:vAlign w:val="bottom"/>
          </w:tcPr>
          <w:p>
            <w:pPr>
              <w:ind w:left="100"/>
              <w:spacing w:after="0"/>
              <w:rPr>
                <w:sz w:val="20"/>
                <w:szCs w:val="20"/>
                <w:color w:val="auto"/>
              </w:rPr>
            </w:pPr>
            <w:r>
              <w:rPr>
                <w:rFonts w:ascii="Arial" w:cs="Arial" w:eastAsia="Arial" w:hAnsi="Arial"/>
                <w:sz w:val="18"/>
                <w:szCs w:val="18"/>
                <w:color w:val="auto"/>
              </w:rPr>
              <w:t>[_]</w:t>
            </w:r>
          </w:p>
        </w:tc>
        <w:tc>
          <w:tcPr>
            <w:tcW w:w="9020" w:type="dxa"/>
            <w:vAlign w:val="bottom"/>
            <w:gridSpan w:val="3"/>
          </w:tcPr>
          <w:p>
            <w:pPr>
              <w:ind w:left="40"/>
              <w:spacing w:after="0"/>
              <w:rPr>
                <w:sz w:val="20"/>
                <w:szCs w:val="20"/>
                <w:color w:val="auto"/>
              </w:rPr>
            </w:pPr>
            <w:r>
              <w:rPr>
                <w:rFonts w:ascii="Arial" w:cs="Arial" w:eastAsia="Arial" w:hAnsi="Arial"/>
                <w:sz w:val="18"/>
                <w:szCs w:val="18"/>
                <w:color w:val="auto"/>
              </w:rPr>
              <w:t>Bank as defined in section 3(a)(6) of the Act (15 U.S.C. 78c).</w:t>
            </w:r>
          </w:p>
        </w:tc>
      </w:tr>
      <w:tr>
        <w:trPr>
          <w:trHeight w:val="432"/>
        </w:trPr>
        <w:tc>
          <w:tcPr>
            <w:tcW w:w="1000" w:type="dxa"/>
            <w:vAlign w:val="bottom"/>
          </w:tcPr>
          <w:p>
            <w:pPr>
              <w:spacing w:after="0"/>
              <w:rPr>
                <w:sz w:val="24"/>
                <w:szCs w:val="24"/>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640" w:type="dxa"/>
            <w:vAlign w:val="bottom"/>
          </w:tcPr>
          <w:p>
            <w:pPr>
              <w:ind w:left="100"/>
              <w:spacing w:after="0"/>
              <w:rPr>
                <w:sz w:val="20"/>
                <w:szCs w:val="20"/>
                <w:color w:val="auto"/>
              </w:rPr>
            </w:pPr>
            <w:r>
              <w:rPr>
                <w:rFonts w:ascii="Arial" w:cs="Arial" w:eastAsia="Arial" w:hAnsi="Arial"/>
                <w:sz w:val="18"/>
                <w:szCs w:val="18"/>
                <w:color w:val="auto"/>
              </w:rPr>
              <w:t>[_]</w:t>
            </w:r>
          </w:p>
        </w:tc>
        <w:tc>
          <w:tcPr>
            <w:tcW w:w="9020" w:type="dxa"/>
            <w:vAlign w:val="bottom"/>
            <w:gridSpan w:val="3"/>
          </w:tcPr>
          <w:p>
            <w:pPr>
              <w:ind w:left="4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432"/>
        </w:trPr>
        <w:tc>
          <w:tcPr>
            <w:tcW w:w="1000" w:type="dxa"/>
            <w:vAlign w:val="bottom"/>
          </w:tcPr>
          <w:p>
            <w:pPr>
              <w:spacing w:after="0"/>
              <w:rPr>
                <w:sz w:val="24"/>
                <w:szCs w:val="24"/>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(d)</w:t>
            </w:r>
          </w:p>
        </w:tc>
        <w:tc>
          <w:tcPr>
            <w:tcW w:w="640" w:type="dxa"/>
            <w:vAlign w:val="bottom"/>
          </w:tcPr>
          <w:p>
            <w:pPr>
              <w:ind w:left="100"/>
              <w:spacing w:after="0"/>
              <w:rPr>
                <w:sz w:val="20"/>
                <w:szCs w:val="20"/>
                <w:color w:val="auto"/>
              </w:rPr>
            </w:pPr>
            <w:r>
              <w:rPr>
                <w:rFonts w:ascii="Arial" w:cs="Arial" w:eastAsia="Arial" w:hAnsi="Arial"/>
                <w:sz w:val="18"/>
                <w:szCs w:val="18"/>
                <w:color w:val="auto"/>
              </w:rPr>
              <w:t>[_]</w:t>
            </w:r>
          </w:p>
        </w:tc>
        <w:tc>
          <w:tcPr>
            <w:tcW w:w="9020" w:type="dxa"/>
            <w:vAlign w:val="bottom"/>
            <w:gridSpan w:val="3"/>
          </w:tcPr>
          <w:p>
            <w:pPr>
              <w:ind w:left="40"/>
              <w:spacing w:after="0"/>
              <w:rPr>
                <w:sz w:val="20"/>
                <w:szCs w:val="20"/>
                <w:color w:val="auto"/>
              </w:rPr>
            </w:pPr>
            <w:r>
              <w:rPr>
                <w:rFonts w:ascii="Arial" w:cs="Arial" w:eastAsia="Arial" w:hAnsi="Arial"/>
                <w:sz w:val="18"/>
                <w:szCs w:val="18"/>
                <w:color w:val="auto"/>
              </w:rPr>
              <w:t>Investment company registered under section 8 of the Investment Company Act of 1940 (15 U.S.C. 80a-8).</w:t>
            </w:r>
          </w:p>
        </w:tc>
      </w:tr>
      <w:tr>
        <w:trPr>
          <w:trHeight w:val="432"/>
        </w:trPr>
        <w:tc>
          <w:tcPr>
            <w:tcW w:w="1000" w:type="dxa"/>
            <w:vAlign w:val="bottom"/>
          </w:tcPr>
          <w:p>
            <w:pPr>
              <w:spacing w:after="0"/>
              <w:rPr>
                <w:sz w:val="24"/>
                <w:szCs w:val="24"/>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640" w:type="dxa"/>
            <w:vAlign w:val="bottom"/>
          </w:tcPr>
          <w:p>
            <w:pPr>
              <w:ind w:left="100"/>
              <w:spacing w:after="0"/>
              <w:rPr>
                <w:sz w:val="20"/>
                <w:szCs w:val="20"/>
                <w:color w:val="auto"/>
              </w:rPr>
            </w:pPr>
            <w:r>
              <w:rPr>
                <w:rFonts w:ascii="Arial" w:cs="Arial" w:eastAsia="Arial" w:hAnsi="Arial"/>
                <w:sz w:val="18"/>
                <w:szCs w:val="18"/>
                <w:color w:val="auto"/>
              </w:rPr>
              <w:t>[X]</w:t>
            </w:r>
          </w:p>
        </w:tc>
        <w:tc>
          <w:tcPr>
            <w:tcW w:w="9020" w:type="dxa"/>
            <w:vAlign w:val="bottom"/>
            <w:gridSpan w:val="3"/>
          </w:tcPr>
          <w:p>
            <w:pPr>
              <w:ind w:left="40"/>
              <w:spacing w:after="0"/>
              <w:rPr>
                <w:sz w:val="20"/>
                <w:szCs w:val="20"/>
                <w:color w:val="auto"/>
              </w:rPr>
            </w:pPr>
            <w:r>
              <w:rPr>
                <w:rFonts w:ascii="Arial" w:cs="Arial" w:eastAsia="Arial" w:hAnsi="Arial"/>
                <w:sz w:val="18"/>
                <w:szCs w:val="18"/>
                <w:color w:val="auto"/>
              </w:rPr>
              <w:t>An investment adviser in accordance with § 240.13d-1(b)(1)(ii)(E);</w:t>
            </w:r>
          </w:p>
        </w:tc>
      </w:tr>
      <w:tr>
        <w:trPr>
          <w:trHeight w:val="432"/>
        </w:trPr>
        <w:tc>
          <w:tcPr>
            <w:tcW w:w="1000" w:type="dxa"/>
            <w:vAlign w:val="bottom"/>
          </w:tcPr>
          <w:p>
            <w:pPr>
              <w:spacing w:after="0"/>
              <w:rPr>
                <w:sz w:val="24"/>
                <w:szCs w:val="24"/>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(f)</w:t>
            </w:r>
          </w:p>
        </w:tc>
        <w:tc>
          <w:tcPr>
            <w:tcW w:w="640" w:type="dxa"/>
            <w:vAlign w:val="bottom"/>
          </w:tcPr>
          <w:p>
            <w:pPr>
              <w:ind w:left="100"/>
              <w:spacing w:after="0"/>
              <w:rPr>
                <w:sz w:val="20"/>
                <w:szCs w:val="20"/>
                <w:color w:val="auto"/>
              </w:rPr>
            </w:pPr>
            <w:r>
              <w:rPr>
                <w:rFonts w:ascii="Arial" w:cs="Arial" w:eastAsia="Arial" w:hAnsi="Arial"/>
                <w:sz w:val="18"/>
                <w:szCs w:val="18"/>
                <w:color w:val="auto"/>
              </w:rPr>
              <w:t>[_]</w:t>
            </w:r>
          </w:p>
        </w:tc>
        <w:tc>
          <w:tcPr>
            <w:tcW w:w="9020" w:type="dxa"/>
            <w:vAlign w:val="bottom"/>
            <w:gridSpan w:val="3"/>
          </w:tcPr>
          <w:p>
            <w:pPr>
              <w:ind w:left="40"/>
              <w:spacing w:after="0"/>
              <w:rPr>
                <w:sz w:val="20"/>
                <w:szCs w:val="20"/>
                <w:color w:val="auto"/>
              </w:rPr>
            </w:pPr>
            <w:r>
              <w:rPr>
                <w:rFonts w:ascii="Arial" w:cs="Arial" w:eastAsia="Arial" w:hAnsi="Arial"/>
                <w:sz w:val="18"/>
                <w:szCs w:val="18"/>
                <w:color w:val="auto"/>
              </w:rPr>
              <w:t>An employee benefit plan or endowment fund in accordance with § 240.13d-1(b)(1)(ii)(F);</w:t>
            </w:r>
          </w:p>
        </w:tc>
      </w:tr>
      <w:tr>
        <w:trPr>
          <w:trHeight w:val="432"/>
        </w:trPr>
        <w:tc>
          <w:tcPr>
            <w:tcW w:w="1000" w:type="dxa"/>
            <w:vAlign w:val="bottom"/>
          </w:tcPr>
          <w:p>
            <w:pPr>
              <w:spacing w:after="0"/>
              <w:rPr>
                <w:sz w:val="24"/>
                <w:szCs w:val="24"/>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(g)</w:t>
            </w:r>
          </w:p>
        </w:tc>
        <w:tc>
          <w:tcPr>
            <w:tcW w:w="640" w:type="dxa"/>
            <w:vAlign w:val="bottom"/>
          </w:tcPr>
          <w:p>
            <w:pPr>
              <w:ind w:left="100"/>
              <w:spacing w:after="0"/>
              <w:rPr>
                <w:sz w:val="20"/>
                <w:szCs w:val="20"/>
                <w:color w:val="auto"/>
              </w:rPr>
            </w:pPr>
            <w:r>
              <w:rPr>
                <w:rFonts w:ascii="Arial" w:cs="Arial" w:eastAsia="Arial" w:hAnsi="Arial"/>
                <w:sz w:val="18"/>
                <w:szCs w:val="18"/>
                <w:color w:val="auto"/>
              </w:rPr>
              <w:t>[X]</w:t>
            </w:r>
          </w:p>
        </w:tc>
        <w:tc>
          <w:tcPr>
            <w:tcW w:w="9020" w:type="dxa"/>
            <w:vAlign w:val="bottom"/>
            <w:gridSpan w:val="3"/>
          </w:tcPr>
          <w:p>
            <w:pPr>
              <w:ind w:left="40"/>
              <w:spacing w:after="0"/>
              <w:rPr>
                <w:sz w:val="20"/>
                <w:szCs w:val="20"/>
                <w:color w:val="auto"/>
              </w:rPr>
            </w:pPr>
            <w:r>
              <w:rPr>
                <w:rFonts w:ascii="Arial" w:cs="Arial" w:eastAsia="Arial" w:hAnsi="Arial"/>
                <w:sz w:val="18"/>
                <w:szCs w:val="18"/>
                <w:color w:val="auto"/>
              </w:rPr>
              <w:t>A parent holding company or control person in accordance with §240.13d-1(b)(1)(ii)(G);</w:t>
            </w:r>
          </w:p>
        </w:tc>
      </w:tr>
      <w:tr>
        <w:trPr>
          <w:trHeight w:val="432"/>
        </w:trPr>
        <w:tc>
          <w:tcPr>
            <w:tcW w:w="1000" w:type="dxa"/>
            <w:vAlign w:val="bottom"/>
          </w:tcPr>
          <w:p>
            <w:pPr>
              <w:spacing w:after="0"/>
              <w:rPr>
                <w:sz w:val="24"/>
                <w:szCs w:val="24"/>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(h)</w:t>
            </w:r>
          </w:p>
        </w:tc>
        <w:tc>
          <w:tcPr>
            <w:tcW w:w="640" w:type="dxa"/>
            <w:vAlign w:val="bottom"/>
          </w:tcPr>
          <w:p>
            <w:pPr>
              <w:ind w:left="100"/>
              <w:spacing w:after="0"/>
              <w:rPr>
                <w:sz w:val="20"/>
                <w:szCs w:val="20"/>
                <w:color w:val="auto"/>
              </w:rPr>
            </w:pPr>
            <w:r>
              <w:rPr>
                <w:rFonts w:ascii="Arial" w:cs="Arial" w:eastAsia="Arial" w:hAnsi="Arial"/>
                <w:sz w:val="18"/>
                <w:szCs w:val="18"/>
                <w:color w:val="auto"/>
              </w:rPr>
              <w:t>[_]</w:t>
            </w:r>
          </w:p>
        </w:tc>
        <w:tc>
          <w:tcPr>
            <w:tcW w:w="9020" w:type="dxa"/>
            <w:vAlign w:val="bottom"/>
            <w:gridSpan w:val="3"/>
          </w:tcPr>
          <w:p>
            <w:pPr>
              <w:ind w:left="40"/>
              <w:spacing w:after="0"/>
              <w:rPr>
                <w:sz w:val="20"/>
                <w:szCs w:val="20"/>
                <w:color w:val="auto"/>
              </w:rPr>
            </w:pPr>
            <w:r>
              <w:rPr>
                <w:rFonts w:ascii="Arial" w:cs="Arial" w:eastAsia="Arial" w:hAnsi="Arial"/>
                <w:sz w:val="18"/>
                <w:szCs w:val="18"/>
                <w:color w:val="auto"/>
              </w:rPr>
              <w:t>A savings association as defined in Section 3(b) of the Federal Deposit Insurance Act (12 U.S.C.1813);</w:t>
            </w:r>
          </w:p>
        </w:tc>
      </w:tr>
      <w:tr>
        <w:trPr>
          <w:trHeight w:val="418"/>
        </w:trPr>
        <w:tc>
          <w:tcPr>
            <w:tcW w:w="1000" w:type="dxa"/>
            <w:vAlign w:val="bottom"/>
          </w:tcPr>
          <w:p>
            <w:pPr>
              <w:spacing w:after="0"/>
              <w:rPr>
                <w:sz w:val="24"/>
                <w:szCs w:val="24"/>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(i)</w:t>
            </w:r>
          </w:p>
        </w:tc>
        <w:tc>
          <w:tcPr>
            <w:tcW w:w="640" w:type="dxa"/>
            <w:vAlign w:val="bottom"/>
          </w:tcPr>
          <w:p>
            <w:pPr>
              <w:ind w:left="100"/>
              <w:spacing w:after="0"/>
              <w:rPr>
                <w:sz w:val="20"/>
                <w:szCs w:val="20"/>
                <w:color w:val="auto"/>
              </w:rPr>
            </w:pPr>
            <w:r>
              <w:rPr>
                <w:rFonts w:ascii="Arial" w:cs="Arial" w:eastAsia="Arial" w:hAnsi="Arial"/>
                <w:sz w:val="18"/>
                <w:szCs w:val="18"/>
                <w:color w:val="auto"/>
              </w:rPr>
              <w:t>[_]</w:t>
            </w:r>
          </w:p>
        </w:tc>
        <w:tc>
          <w:tcPr>
            <w:tcW w:w="9020" w:type="dxa"/>
            <w:vAlign w:val="bottom"/>
            <w:gridSpan w:val="3"/>
          </w:tcPr>
          <w:p>
            <w:pPr>
              <w:ind w:left="40"/>
              <w:spacing w:after="0"/>
              <w:rPr>
                <w:sz w:val="20"/>
                <w:szCs w:val="20"/>
                <w:color w:val="auto"/>
              </w:rPr>
            </w:pPr>
            <w:r>
              <w:rPr>
                <w:rFonts w:ascii="Arial" w:cs="Arial" w:eastAsia="Arial" w:hAnsi="Arial"/>
                <w:sz w:val="18"/>
                <w:szCs w:val="18"/>
                <w:color w:val="auto"/>
                <w:w w:val="96"/>
              </w:rPr>
              <w:t>A church plan that is excluded from the definition of an investment company under section 3(c)(14) of the Investment</w:t>
            </w:r>
          </w:p>
        </w:tc>
      </w:tr>
      <w:tr>
        <w:trPr>
          <w:trHeight w:val="230"/>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20" w:type="dxa"/>
            <w:vAlign w:val="bottom"/>
            <w:gridSpan w:val="3"/>
          </w:tcPr>
          <w:p>
            <w:pPr>
              <w:ind w:left="40"/>
              <w:spacing w:after="0"/>
              <w:rPr>
                <w:sz w:val="20"/>
                <w:szCs w:val="20"/>
                <w:color w:val="auto"/>
              </w:rPr>
            </w:pPr>
            <w:r>
              <w:rPr>
                <w:rFonts w:ascii="Arial" w:cs="Arial" w:eastAsia="Arial" w:hAnsi="Arial"/>
                <w:sz w:val="18"/>
                <w:szCs w:val="18"/>
                <w:color w:val="auto"/>
              </w:rPr>
              <w:t>Company Act of 1940 (15 U.S.C. 80a-3);</w:t>
            </w:r>
          </w:p>
        </w:tc>
      </w:tr>
      <w:tr>
        <w:trPr>
          <w:trHeight w:val="432"/>
        </w:trPr>
        <w:tc>
          <w:tcPr>
            <w:tcW w:w="1000" w:type="dxa"/>
            <w:vAlign w:val="bottom"/>
          </w:tcPr>
          <w:p>
            <w:pPr>
              <w:spacing w:after="0"/>
              <w:rPr>
                <w:sz w:val="24"/>
                <w:szCs w:val="24"/>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(j)</w:t>
            </w:r>
          </w:p>
        </w:tc>
        <w:tc>
          <w:tcPr>
            <w:tcW w:w="640" w:type="dxa"/>
            <w:vAlign w:val="bottom"/>
          </w:tcPr>
          <w:p>
            <w:pPr>
              <w:ind w:left="100"/>
              <w:spacing w:after="0"/>
              <w:rPr>
                <w:sz w:val="20"/>
                <w:szCs w:val="20"/>
                <w:color w:val="auto"/>
              </w:rPr>
            </w:pPr>
            <w:r>
              <w:rPr>
                <w:rFonts w:ascii="Arial" w:cs="Arial" w:eastAsia="Arial" w:hAnsi="Arial"/>
                <w:sz w:val="18"/>
                <w:szCs w:val="18"/>
                <w:color w:val="auto"/>
              </w:rPr>
              <w:t>[_]</w:t>
            </w:r>
          </w:p>
        </w:tc>
        <w:tc>
          <w:tcPr>
            <w:tcW w:w="9020" w:type="dxa"/>
            <w:vAlign w:val="bottom"/>
            <w:gridSpan w:val="3"/>
          </w:tcPr>
          <w:p>
            <w:pPr>
              <w:ind w:left="40"/>
              <w:spacing w:after="0"/>
              <w:rPr>
                <w:sz w:val="20"/>
                <w:szCs w:val="20"/>
                <w:color w:val="auto"/>
              </w:rPr>
            </w:pPr>
            <w:r>
              <w:rPr>
                <w:rFonts w:ascii="Arial" w:cs="Arial" w:eastAsia="Arial" w:hAnsi="Arial"/>
                <w:sz w:val="18"/>
                <w:szCs w:val="18"/>
                <w:color w:val="auto"/>
              </w:rPr>
              <w:t>A non-U.S. institution in accordance with §240.13d-1(b)(1)(ii)(J);</w:t>
            </w:r>
          </w:p>
        </w:tc>
      </w:tr>
      <w:tr>
        <w:trPr>
          <w:trHeight w:val="418"/>
        </w:trPr>
        <w:tc>
          <w:tcPr>
            <w:tcW w:w="1000" w:type="dxa"/>
            <w:vAlign w:val="bottom"/>
          </w:tcPr>
          <w:p>
            <w:pPr>
              <w:spacing w:after="0"/>
              <w:rPr>
                <w:sz w:val="24"/>
                <w:szCs w:val="24"/>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(k)</w:t>
            </w:r>
          </w:p>
        </w:tc>
        <w:tc>
          <w:tcPr>
            <w:tcW w:w="640" w:type="dxa"/>
            <w:vAlign w:val="bottom"/>
          </w:tcPr>
          <w:p>
            <w:pPr>
              <w:ind w:left="100"/>
              <w:spacing w:after="0"/>
              <w:rPr>
                <w:sz w:val="20"/>
                <w:szCs w:val="20"/>
                <w:color w:val="auto"/>
              </w:rPr>
            </w:pPr>
            <w:r>
              <w:rPr>
                <w:rFonts w:ascii="Arial" w:cs="Arial" w:eastAsia="Arial" w:hAnsi="Arial"/>
                <w:sz w:val="18"/>
                <w:szCs w:val="18"/>
                <w:color w:val="auto"/>
              </w:rPr>
              <w:t>[_]</w:t>
            </w:r>
          </w:p>
        </w:tc>
        <w:tc>
          <w:tcPr>
            <w:tcW w:w="9020" w:type="dxa"/>
            <w:vAlign w:val="bottom"/>
            <w:gridSpan w:val="3"/>
          </w:tcPr>
          <w:p>
            <w:pPr>
              <w:ind w:left="40"/>
              <w:spacing w:after="0"/>
              <w:rPr>
                <w:sz w:val="20"/>
                <w:szCs w:val="20"/>
                <w:color w:val="auto"/>
              </w:rPr>
            </w:pPr>
            <w:r>
              <w:rPr>
                <w:rFonts w:ascii="Arial" w:cs="Arial" w:eastAsia="Arial" w:hAnsi="Arial"/>
                <w:sz w:val="18"/>
                <w:szCs w:val="18"/>
                <w:color w:val="auto"/>
                <w:w w:val="94"/>
              </w:rPr>
              <w:t>Group, in accordance with §240.13d-1(b)(1)(ii)(K). If filing as a non-U.S. institution in accordance with §240.13d-1(b)(1)</w:t>
            </w:r>
          </w:p>
        </w:tc>
      </w:tr>
      <w:tr>
        <w:trPr>
          <w:trHeight w:val="230"/>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20" w:type="dxa"/>
            <w:vAlign w:val="bottom"/>
            <w:gridSpan w:val="3"/>
          </w:tcPr>
          <w:p>
            <w:pPr>
              <w:ind w:left="40"/>
              <w:spacing w:after="0"/>
              <w:rPr>
                <w:sz w:val="20"/>
                <w:szCs w:val="20"/>
                <w:color w:val="auto"/>
              </w:rPr>
            </w:pPr>
            <w:r>
              <w:rPr>
                <w:rFonts w:ascii="Arial" w:cs="Arial" w:eastAsia="Arial" w:hAnsi="Arial"/>
                <w:sz w:val="18"/>
                <w:szCs w:val="18"/>
                <w:color w:val="auto"/>
              </w:rPr>
              <w:t>(ii)(J), please specify the type of institution:</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57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689"/>
        </w:trPr>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 w:name="page5"/>
    <w:bookmarkEnd w:id="4"/>
    <w:p>
      <w:pPr>
        <w:spacing w:after="0"/>
        <w:tabs>
          <w:tab w:leader="none" w:pos="10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020" w:right="20"/>
        <w:spacing w:after="0" w:line="277"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ectPr>
          <w:pgSz w:w="11900" w:h="16838" w:orient="portrait"/>
          <w:cols w:equalWidth="0" w:num="1">
            <w:col w:w="10960"/>
          </w:cols>
          <w:pgMar w:left="420" w:top="692" w:right="519" w:bottom="1440" w:gutter="0" w:footer="0" w:header="0"/>
        </w:sectPr>
      </w:pPr>
    </w:p>
    <w:p>
      <w:pPr>
        <w:spacing w:after="0" w:line="170" w:lineRule="exact"/>
        <w:rPr>
          <w:sz w:val="20"/>
          <w:szCs w:val="20"/>
          <w:color w:val="auto"/>
        </w:rPr>
      </w:pPr>
    </w:p>
    <w:p>
      <w:pPr>
        <w:ind w:left="1580" w:hanging="562"/>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580" w:right="3540"/>
        <w:spacing w:after="0" w:line="277" w:lineRule="auto"/>
        <w:rPr>
          <w:rFonts w:ascii="Arial" w:cs="Arial" w:eastAsia="Arial" w:hAnsi="Arial"/>
          <w:sz w:val="18"/>
          <w:szCs w:val="18"/>
          <w:color w:val="auto"/>
        </w:rPr>
      </w:pPr>
      <w:r>
        <w:rPr>
          <w:rFonts w:ascii="Arial" w:cs="Arial" w:eastAsia="Arial" w:hAnsi="Arial"/>
          <w:sz w:val="18"/>
          <w:szCs w:val="18"/>
          <w:color w:val="auto"/>
        </w:rPr>
        <w:t>Echo Street Capital Management LLC – 5,751,074 shares Greg Poole – 5,751,074 shares</w:t>
      </w:r>
    </w:p>
    <w:p>
      <w:pPr>
        <w:spacing w:after="0" w:line="183" w:lineRule="exact"/>
        <w:rPr>
          <w:rFonts w:ascii="Arial" w:cs="Arial" w:eastAsia="Arial" w:hAnsi="Arial"/>
          <w:sz w:val="18"/>
          <w:szCs w:val="18"/>
          <w:color w:val="auto"/>
        </w:rPr>
      </w:pPr>
    </w:p>
    <w:p>
      <w:pPr>
        <w:ind w:left="1580" w:hanging="562"/>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580" w:right="4380"/>
        <w:spacing w:after="0" w:line="277" w:lineRule="auto"/>
        <w:rPr>
          <w:rFonts w:ascii="Arial" w:cs="Arial" w:eastAsia="Arial" w:hAnsi="Arial"/>
          <w:sz w:val="18"/>
          <w:szCs w:val="18"/>
          <w:color w:val="auto"/>
        </w:rPr>
      </w:pPr>
      <w:r>
        <w:rPr>
          <w:rFonts w:ascii="Arial" w:cs="Arial" w:eastAsia="Arial" w:hAnsi="Arial"/>
          <w:sz w:val="18"/>
          <w:szCs w:val="18"/>
          <w:color w:val="auto"/>
        </w:rPr>
        <w:t>Echo Street Capital Management LLC – 5.5% Greg Poole – 5.5%</w:t>
      </w:r>
    </w:p>
    <w:p>
      <w:pPr>
        <w:spacing w:after="0" w:line="183" w:lineRule="exact"/>
        <w:rPr>
          <w:rFonts w:ascii="Arial" w:cs="Arial" w:eastAsia="Arial" w:hAnsi="Arial"/>
          <w:sz w:val="18"/>
          <w:szCs w:val="18"/>
          <w:color w:val="auto"/>
        </w:rPr>
      </w:pPr>
    </w:p>
    <w:p>
      <w:pPr>
        <w:ind w:left="1580" w:hanging="562"/>
        <w:spacing w:after="0"/>
        <w:tabs>
          <w:tab w:leader="none" w:pos="1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Number of shares as to which Echo Street Capital Management LLC has:</w:t>
      </w:r>
    </w:p>
    <w:p>
      <w:pPr>
        <w:spacing w:after="0" w:line="248" w:lineRule="exact"/>
        <w:rPr>
          <w:rFonts w:ascii="Arial" w:cs="Arial" w:eastAsia="Arial" w:hAnsi="Arial"/>
          <w:sz w:val="16"/>
          <w:szCs w:val="16"/>
          <w:color w:val="auto"/>
        </w:rPr>
      </w:pPr>
    </w:p>
    <w:p>
      <w:pPr>
        <w:ind w:left="2160" w:hanging="575"/>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8" w:lineRule="exact"/>
        <w:rPr>
          <w:rFonts w:ascii="Arial" w:cs="Arial" w:eastAsia="Arial" w:hAnsi="Arial"/>
          <w:sz w:val="18"/>
          <w:szCs w:val="18"/>
          <w:color w:val="auto"/>
        </w:rPr>
      </w:pPr>
    </w:p>
    <w:p>
      <w:pPr>
        <w:ind w:left="2160" w:hanging="575"/>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8" w:lineRule="exact"/>
        <w:rPr>
          <w:rFonts w:ascii="Arial" w:cs="Arial" w:eastAsia="Arial" w:hAnsi="Arial"/>
          <w:sz w:val="18"/>
          <w:szCs w:val="18"/>
          <w:color w:val="auto"/>
        </w:rPr>
      </w:pPr>
    </w:p>
    <w:p>
      <w:pPr>
        <w:ind w:left="2160" w:hanging="575"/>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8" w:lineRule="exact"/>
        <w:rPr>
          <w:rFonts w:ascii="Arial" w:cs="Arial" w:eastAsia="Arial" w:hAnsi="Arial"/>
          <w:sz w:val="18"/>
          <w:szCs w:val="18"/>
          <w:color w:val="auto"/>
        </w:rPr>
      </w:pPr>
    </w:p>
    <w:p>
      <w:pPr>
        <w:ind w:left="2160" w:hanging="575"/>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-2084705</wp:posOffset>
            </wp:positionV>
            <wp:extent cx="61290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9020" cy="8890"/>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-1390650</wp:posOffset>
            </wp:positionV>
            <wp:extent cx="61290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90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580" w:hanging="562"/>
        <w:spacing w:after="0"/>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Greg Poole has:</w:t>
      </w:r>
    </w:p>
    <w:p>
      <w:pPr>
        <w:spacing w:after="0" w:line="225" w:lineRule="exact"/>
        <w:rPr>
          <w:rFonts w:ascii="Arial" w:cs="Arial" w:eastAsia="Arial" w:hAnsi="Arial"/>
          <w:sz w:val="18"/>
          <w:szCs w:val="18"/>
          <w:color w:val="auto"/>
        </w:rPr>
      </w:pPr>
    </w:p>
    <w:p>
      <w:pPr>
        <w:ind w:left="2160" w:hanging="575"/>
        <w:spacing w:after="0"/>
        <w:tabs>
          <w:tab w:leader="none" w:pos="2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8" w:lineRule="exact"/>
        <w:rPr>
          <w:rFonts w:ascii="Arial" w:cs="Arial" w:eastAsia="Arial" w:hAnsi="Arial"/>
          <w:sz w:val="18"/>
          <w:szCs w:val="18"/>
          <w:color w:val="auto"/>
        </w:rPr>
      </w:pPr>
    </w:p>
    <w:p>
      <w:pPr>
        <w:ind w:left="2160" w:hanging="575"/>
        <w:spacing w:after="0"/>
        <w:tabs>
          <w:tab w:leader="none" w:pos="2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8" w:lineRule="exact"/>
        <w:rPr>
          <w:rFonts w:ascii="Arial" w:cs="Arial" w:eastAsia="Arial" w:hAnsi="Arial"/>
          <w:sz w:val="18"/>
          <w:szCs w:val="18"/>
          <w:color w:val="auto"/>
        </w:rPr>
      </w:pPr>
    </w:p>
    <w:p>
      <w:pPr>
        <w:ind w:left="2160" w:hanging="575"/>
        <w:spacing w:after="0"/>
        <w:tabs>
          <w:tab w:leader="none" w:pos="2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8" w:lineRule="exact"/>
        <w:rPr>
          <w:rFonts w:ascii="Arial" w:cs="Arial" w:eastAsia="Arial" w:hAnsi="Arial"/>
          <w:sz w:val="18"/>
          <w:szCs w:val="18"/>
          <w:color w:val="auto"/>
        </w:rPr>
      </w:pPr>
    </w:p>
    <w:p>
      <w:pPr>
        <w:ind w:left="2160" w:hanging="575"/>
        <w:spacing w:after="0"/>
        <w:tabs>
          <w:tab w:leader="none" w:pos="2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20"/>
        <w:spacing w:after="0"/>
        <w:tabs>
          <w:tab w:leader="none" w:pos="900" w:val="left"/>
        </w:tabs>
        <w:rPr>
          <w:sz w:val="20"/>
          <w:szCs w:val="20"/>
          <w:color w:val="auto"/>
        </w:rPr>
      </w:pPr>
      <w:r>
        <w:rPr>
          <w:rFonts w:ascii="Arial" w:cs="Arial" w:eastAsia="Arial" w:hAnsi="Arial"/>
          <w:sz w:val="13"/>
          <w:szCs w:val="13"/>
          <w:color w:val="auto"/>
        </w:rPr>
        <w:t>0</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51435</wp:posOffset>
            </wp:positionV>
            <wp:extent cx="15601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276" w:lineRule="exact"/>
        <w:rPr>
          <w:sz w:val="20"/>
          <w:szCs w:val="20"/>
          <w:color w:val="auto"/>
        </w:rPr>
      </w:pPr>
    </w:p>
    <w:p>
      <w:pPr>
        <w:jc w:val="both"/>
        <w:spacing w:after="0"/>
        <w:tabs>
          <w:tab w:leader="none" w:pos="900" w:val="left"/>
        </w:tabs>
        <w:rPr>
          <w:sz w:val="20"/>
          <w:szCs w:val="20"/>
          <w:color w:val="auto"/>
        </w:rPr>
      </w:pPr>
      <w:r>
        <w:rPr>
          <w:rFonts w:ascii="Arial" w:cs="Arial" w:eastAsia="Arial" w:hAnsi="Arial"/>
          <w:sz w:val="18"/>
          <w:szCs w:val="18"/>
          <w:color w:val="auto"/>
        </w:rPr>
        <w:t>5,751,074</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14605</wp:posOffset>
            </wp:positionV>
            <wp:extent cx="15601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19" w:lineRule="exact"/>
        <w:rPr>
          <w:sz w:val="20"/>
          <w:szCs w:val="20"/>
          <w:color w:val="auto"/>
        </w:rPr>
      </w:pPr>
    </w:p>
    <w:p>
      <w:pPr>
        <w:ind w:left="620"/>
        <w:spacing w:after="0"/>
        <w:tabs>
          <w:tab w:leader="none" w:pos="900" w:val="left"/>
        </w:tabs>
        <w:rPr>
          <w:sz w:val="20"/>
          <w:szCs w:val="20"/>
          <w:color w:val="auto"/>
        </w:rPr>
      </w:pPr>
      <w:r>
        <w:rPr>
          <w:rFonts w:ascii="Arial" w:cs="Arial" w:eastAsia="Arial" w:hAnsi="Arial"/>
          <w:sz w:val="13"/>
          <w:szCs w:val="13"/>
          <w:color w:val="auto"/>
        </w:rPr>
        <w:t>0</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51435</wp:posOffset>
            </wp:positionV>
            <wp:extent cx="1560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76"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5,751,074</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51435</wp:posOffset>
            </wp:positionV>
            <wp:extent cx="15601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20"/>
        <w:spacing w:after="0"/>
        <w:tabs>
          <w:tab w:leader="none" w:pos="900" w:val="left"/>
        </w:tabs>
        <w:rPr>
          <w:sz w:val="20"/>
          <w:szCs w:val="20"/>
          <w:color w:val="auto"/>
        </w:rPr>
      </w:pPr>
      <w:r>
        <w:rPr>
          <w:rFonts w:ascii="Arial" w:cs="Arial" w:eastAsia="Arial" w:hAnsi="Arial"/>
          <w:sz w:val="13"/>
          <w:szCs w:val="13"/>
          <w:color w:val="auto"/>
        </w:rPr>
        <w:t>0</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51435</wp:posOffset>
            </wp:positionV>
            <wp:extent cx="15601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276" w:lineRule="exact"/>
        <w:rPr>
          <w:sz w:val="20"/>
          <w:szCs w:val="20"/>
          <w:color w:val="auto"/>
        </w:rPr>
      </w:pPr>
    </w:p>
    <w:p>
      <w:pPr>
        <w:jc w:val="both"/>
        <w:spacing w:after="0"/>
        <w:tabs>
          <w:tab w:leader="none" w:pos="900" w:val="left"/>
        </w:tabs>
        <w:rPr>
          <w:sz w:val="20"/>
          <w:szCs w:val="20"/>
          <w:color w:val="auto"/>
        </w:rPr>
      </w:pPr>
      <w:r>
        <w:rPr>
          <w:rFonts w:ascii="Arial" w:cs="Arial" w:eastAsia="Arial" w:hAnsi="Arial"/>
          <w:sz w:val="18"/>
          <w:szCs w:val="18"/>
          <w:color w:val="auto"/>
        </w:rPr>
        <w:t>5,751,074</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14605</wp:posOffset>
            </wp:positionV>
            <wp:extent cx="15601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219" w:lineRule="exact"/>
        <w:rPr>
          <w:sz w:val="20"/>
          <w:szCs w:val="20"/>
          <w:color w:val="auto"/>
        </w:rPr>
      </w:pPr>
    </w:p>
    <w:p>
      <w:pPr>
        <w:ind w:left="620"/>
        <w:spacing w:after="0"/>
        <w:tabs>
          <w:tab w:leader="none" w:pos="900" w:val="left"/>
        </w:tabs>
        <w:rPr>
          <w:sz w:val="20"/>
          <w:szCs w:val="20"/>
          <w:color w:val="auto"/>
        </w:rPr>
      </w:pPr>
      <w:r>
        <w:rPr>
          <w:rFonts w:ascii="Arial" w:cs="Arial" w:eastAsia="Arial" w:hAnsi="Arial"/>
          <w:sz w:val="13"/>
          <w:szCs w:val="13"/>
          <w:color w:val="auto"/>
        </w:rPr>
        <w:t>0</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51435</wp:posOffset>
            </wp:positionV>
            <wp:extent cx="15601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76"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5,751,074</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51435</wp:posOffset>
            </wp:positionV>
            <wp:extent cx="15601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57" w:lineRule="exact"/>
        <w:rPr>
          <w:sz w:val="20"/>
          <w:szCs w:val="20"/>
          <w:color w:val="auto"/>
        </w:rPr>
      </w:pPr>
    </w:p>
    <w:p>
      <w:pPr>
        <w:sectPr>
          <w:pgSz w:w="11900" w:h="16838" w:orient="portrait"/>
          <w:cols w:equalWidth="0" w:num="2">
            <w:col w:w="9280" w:space="720"/>
            <w:col w:w="960"/>
          </w:cols>
          <w:pgMar w:left="420" w:top="692" w:right="519" w:bottom="1440" w:gutter="0" w:footer="0" w:header="0"/>
          <w:type w:val="continuous"/>
        </w:sectPr>
      </w:pPr>
    </w:p>
    <w:p>
      <w:pPr>
        <w:spacing w:after="0" w:line="25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Instruction: For computations regarding securities which represent a right to acquire an underlying security see §240.13d-3(d)(1).</w:t>
      </w:r>
    </w:p>
    <w:p>
      <w:pPr>
        <w:spacing w:after="0" w:line="24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020" w:right="3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14605</wp:posOffset>
            </wp:positionV>
            <wp:extent cx="64890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323215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20" w:top="692" w:right="519" w:bottom="1440" w:gutter="0" w:footer="0" w:header="0"/>
          <w:type w:val="continuous"/>
        </w:sectPr>
      </w:pPr>
    </w:p>
    <w:bookmarkStart w:id="5" w:name="page6"/>
    <w:bookmarkEnd w:id="5"/>
    <w:p>
      <w:pPr>
        <w:spacing w:after="0"/>
        <w:tabs>
          <w:tab w:leader="none" w:pos="10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1020" w:right="80"/>
        <w:spacing w:after="0" w:line="301" w:lineRule="auto"/>
        <w:rPr>
          <w:sz w:val="20"/>
          <w:szCs w:val="20"/>
          <w:color w:val="auto"/>
        </w:rPr>
      </w:pPr>
      <w:r>
        <w:rPr>
          <w:rFonts w:ascii="Arial" w:cs="Arial" w:eastAsia="Arial" w:hAnsi="Arial"/>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All of the securities reported in this Schedule 13G are owned by advisory clients of Echo Street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14605</wp:posOffset>
            </wp:positionV>
            <wp:extent cx="64890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20" w:right="320" w:hanging="1012"/>
        <w:spacing w:after="0" w:line="277" w:lineRule="auto"/>
        <w:tabs>
          <w:tab w:leader="none" w:pos="10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jc w:val="both"/>
        <w:ind w:left="1020" w:right="100"/>
        <w:spacing w:after="0" w:line="311" w:lineRule="auto"/>
        <w:rPr>
          <w:sz w:val="20"/>
          <w:szCs w:val="20"/>
          <w:color w:val="auto"/>
        </w:rPr>
      </w:pPr>
      <w:r>
        <w:rPr>
          <w:rFonts w:ascii="Arial" w:cs="Arial" w:eastAsia="Arial" w:hAnsi="Arial"/>
          <w:sz w:val="16"/>
          <w:szCs w:val="16"/>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4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See Exhibit B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14605</wp:posOffset>
            </wp:positionV>
            <wp:extent cx="64890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020" w:right="20"/>
        <w:spacing w:after="0" w:line="263"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18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14605</wp:posOffset>
            </wp:positionV>
            <wp:extent cx="64890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020" w:right="60"/>
        <w:spacing w:after="0" w:line="342" w:lineRule="auto"/>
        <w:rPr>
          <w:sz w:val="20"/>
          <w:szCs w:val="20"/>
          <w:color w:val="auto"/>
        </w:rPr>
      </w:pPr>
      <w:r>
        <w:rPr>
          <w:rFonts w:ascii="Arial" w:cs="Arial" w:eastAsia="Arial" w:hAnsi="Arial"/>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2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14605</wp:posOffset>
            </wp:positionV>
            <wp:extent cx="64890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jc w:val="both"/>
        <w:ind w:left="1020"/>
        <w:spacing w:after="0" w:line="279"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280670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692" w:right="4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February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Echo Street Capital Management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Greg Poole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802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Greg Poole,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 Poole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Greg Poole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undersigned agree that this Schedule 13G dated February 13, 2023 relating to the Class A Common Stock, $0.001 par value of Definitive Healthcare Corp. shall be filed on behalf of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Echo Street Capital Management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Greg Poole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802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Greg Poole,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 Poole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Greg Poole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725805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Echo Street Capital Management LLC is the relevant entity for which Greg Poole may be considered a control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4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1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3"/>
    </w:lvl>
  </w:abstractNum>
  <w:abstractNum w:abstractNumId="7">
    <w:nsid w:val="12200854"/>
    <w:multiLevelType w:val="hybridMultilevel"/>
    <w:lvl w:ilvl="0">
      <w:lvlJc w:val="left"/>
      <w:lvlText w:val="%1."/>
      <w:numFmt w:val="decimal"/>
      <w:start w:val="5"/>
    </w:lvl>
  </w:abstractNum>
  <w:abstractNum w:abstractNumId="8">
    <w:nsid w:val="4DB127F8"/>
    <w:multiLevelType w:val="hybridMultilevel"/>
    <w:lvl w:ilvl="0">
      <w:lvlJc w:val="left"/>
      <w:lvlText w:val="%1."/>
      <w:numFmt w:val="decimal"/>
      <w:start w:val="11"/>
    </w:lvl>
  </w:abstractNum>
  <w:abstractNum w:abstractNumId="9">
    <w:nsid w:val="216231B"/>
    <w:multiLevelType w:val="hybridMultilevel"/>
    <w:lvl w:ilvl="0">
      <w:lvlJc w:val="left"/>
      <w:lvlText w:val="(%1)"/>
      <w:numFmt w:val="lowerLetter"/>
      <w:start w:val="1"/>
    </w:lvl>
    <w:lvl w:ilvl="1">
      <w:lvlJc w:val="left"/>
      <w:lvlText w:val="(%2)"/>
      <w:numFmt w:val="lowerRoman"/>
      <w:start w:val="1"/>
    </w:lvl>
  </w:abstractNum>
  <w:abstractNum w:abstractNumId="10">
    <w:nsid w:val="1F16E9E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2023-02-14T05:32:24Z</dcterms:created>
  <dcterms:modified xsi:type="dcterms:W3CDTF">2023-02-14T05:32:24Z</dcterms:modified>
</cp:coreProperties>
</file>