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4519930</wp:posOffset>
            </wp:positionH>
            <wp:positionV relativeFrom="page">
              <wp:posOffset>157480</wp:posOffset>
            </wp:positionV>
            <wp:extent cx="275145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51455" cy="240030"/>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7,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Matthew Crispino</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Staff Attorney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20549-3561</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Definitive Healthcare Corp.</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Filed August 27, 2021</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Registration No. 333-258990</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Crispino:</w:t>
      </w:r>
    </w:p>
    <w:p>
      <w:pPr>
        <w:spacing w:after="0" w:line="225" w:lineRule="exact"/>
        <w:rPr>
          <w:sz w:val="24"/>
          <w:szCs w:val="24"/>
          <w:color w:val="auto"/>
        </w:rPr>
      </w:pPr>
    </w:p>
    <w:p>
      <w:pPr>
        <w:jc w:val="both"/>
        <w:ind w:left="4" w:right="20" w:firstLine="440"/>
        <w:spacing w:after="0" w:line="257" w:lineRule="auto"/>
        <w:rPr>
          <w:sz w:val="20"/>
          <w:szCs w:val="20"/>
          <w:color w:val="auto"/>
        </w:rPr>
      </w:pPr>
      <w:r>
        <w:rPr>
          <w:rFonts w:ascii="Arial" w:cs="Arial" w:eastAsia="Arial" w:hAnsi="Arial"/>
          <w:sz w:val="18"/>
          <w:szCs w:val="18"/>
          <w:color w:val="auto"/>
        </w:rPr>
        <w:t>On behalf of our client, Definitive Healthcare Corp., a Delaware corporation (the “Company”), set forth below are the Company’s responses to the comments of the Staff communicated in its letter addressed to the Company, dated September 1, 2021. In connection with such responses, the Company will be submitting, electronically via EDGAR, a Registration Statement on Form S-1 of the Company (Registration No. 333-258990) (the “Registration Statement”). We will send to the Staff under separate cover courtesy copies of the Registration Statement, including copies marked to show the changes effected by the Registration Statement.</w:t>
      </w:r>
    </w:p>
    <w:p>
      <w:pPr>
        <w:spacing w:after="0" w:line="188" w:lineRule="exact"/>
        <w:rPr>
          <w:sz w:val="24"/>
          <w:szCs w:val="24"/>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For ease of reference, each of the Staff’s comments is reproduced below in bold and is followed by the Company’s response. In addition, unless otherwise indicated, all references to page numbers in such responses are to page numbers in the Registration Statement. Capitalized terms used in this letter but not otherwise defined herein shall have the meaning ascribed to such term in the Registration Statement.</w:t>
      </w:r>
    </w:p>
    <w:p>
      <w:pPr>
        <w:spacing w:after="0" w:line="269"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 No. 1 to Form S-1 filed August 27, 2021</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Unaudited Pro Forma Consolidated Financial Information</w:t>
      </w:r>
    </w:p>
    <w:p>
      <w:pPr>
        <w:spacing w:after="0" w:line="117" w:lineRule="exact"/>
        <w:rPr>
          <w:sz w:val="24"/>
          <w:szCs w:val="24"/>
          <w:color w:val="auto"/>
        </w:rPr>
      </w:pPr>
    </w:p>
    <w:p>
      <w:pPr>
        <w:ind w:left="4" w:right="40"/>
        <w:spacing w:after="0" w:line="282" w:lineRule="auto"/>
        <w:rPr>
          <w:sz w:val="20"/>
          <w:szCs w:val="20"/>
          <w:color w:val="auto"/>
        </w:rPr>
      </w:pPr>
      <w:r>
        <w:rPr>
          <w:rFonts w:ascii="Arial" w:cs="Arial" w:eastAsia="Arial" w:hAnsi="Arial"/>
          <w:sz w:val="18"/>
          <w:szCs w:val="18"/>
          <w:b w:val="1"/>
          <w:bCs w:val="1"/>
          <w:u w:val="single" w:color="auto"/>
          <w:color w:val="auto"/>
        </w:rPr>
        <w:t>Notes to Unaudited Pro Forma Consolidated Financial Information (Year Ended December 31, 2020 and six months ended June 30, 2021), page 87</w:t>
      </w:r>
    </w:p>
    <w:p>
      <w:pPr>
        <w:spacing w:after="0" w:line="67" w:lineRule="exact"/>
        <w:rPr>
          <w:sz w:val="24"/>
          <w:szCs w:val="24"/>
          <w:color w:val="auto"/>
        </w:rPr>
      </w:pPr>
    </w:p>
    <w:p>
      <w:pPr>
        <w:ind w:left="424" w:right="160" w:hanging="424"/>
        <w:spacing w:after="0" w:line="314" w:lineRule="auto"/>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Refer to Note (4). Please disclose the remaining unrecognized compensation expense resulting from the modification of the performance-based awards (page 70) and other equity awards under the 2019 Equity Incentive Plan which will be recorded in accordance with their respective vesting criteria after the IPO. Also, provide a forward-looking discussion of the future expense amounts in MD&amp;A.</w:t>
      </w:r>
    </w:p>
    <w:p>
      <w:pPr>
        <w:sectPr>
          <w:pgSz w:w="11900" w:h="16838" w:orient="portrait"/>
          <w:cols w:equalWidth="0" w:num="1">
            <w:col w:w="11024"/>
          </w:cols>
          <w:pgMar w:left="436" w:top="827"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Matthew Crispino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5580380</wp:posOffset>
            </wp:positionH>
            <wp:positionV relativeFrom="paragraph">
              <wp:posOffset>-121920</wp:posOffset>
            </wp:positionV>
            <wp:extent cx="141478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0287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7, 2021</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71"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The Company acknowledges the Staff’s comment and respectfully advises the Staff that it has revised Note (4) of its Notes to Unaudited Pro Forma Consolidated Financial Information on page 88 of the Registration Statement to disclose the remaining unrecognized expense resulting from the modification of the performance-based awards as well other equity awards under the 2019 Equity Incentive Plan which will be recorded with their respective vesting criteria after the IPO. The Company has also added a forward-looking discussion of the future expense amounts within the “Management’s Discussion and Analysis of Financial Condition and Results of Operations” section on page 101 of the Registration Statement.</w:t>
      </w:r>
    </w:p>
    <w:p>
      <w:pPr>
        <w:spacing w:after="0" w:line="265" w:lineRule="exact"/>
        <w:rPr>
          <w:sz w:val="20"/>
          <w:szCs w:val="20"/>
          <w:color w:val="auto"/>
        </w:rPr>
      </w:pPr>
    </w:p>
    <w:p>
      <w:pPr>
        <w:ind w:left="4" w:right="260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Operating Expenses General and Administrative, page 101</w:t>
      </w:r>
    </w:p>
    <w:p>
      <w:pPr>
        <w:spacing w:after="0" w:line="1" w:lineRule="exact"/>
        <w:rPr>
          <w:sz w:val="20"/>
          <w:szCs w:val="20"/>
          <w:color w:val="auto"/>
        </w:rPr>
      </w:pPr>
    </w:p>
    <w:p>
      <w:pPr>
        <w:ind w:left="424" w:right="180" w:hanging="424"/>
        <w:spacing w:after="0" w:line="282"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state, if true, that general and administrative costs will significantly increase relative to prior periods due to the incremental costs arising from higher stock-based compensation, in addition to the other costs that you cited.</w:t>
      </w:r>
    </w:p>
    <w:p>
      <w:pPr>
        <w:spacing w:after="0" w:line="166"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Company acknowledges the Staff’s comment and respectfully advises the Staff that it has revised the General and Administrative section on page 102 of the Registration Statement to state that general and administrative costs will significantly increase relative to prior periods due to the incremental costs arising from higher stock-based compensation.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Executive and Director Compensation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Summary Compensation Table, page 152</w:t>
      </w:r>
    </w:p>
    <w:p>
      <w:pPr>
        <w:spacing w:after="0" w:line="131" w:lineRule="exact"/>
        <w:rPr>
          <w:sz w:val="20"/>
          <w:szCs w:val="20"/>
          <w:color w:val="auto"/>
        </w:rPr>
      </w:pPr>
    </w:p>
    <w:p>
      <w:pPr>
        <w:ind w:left="424" w:hanging="424"/>
        <w:spacing w:after="0" w:line="303" w:lineRule="auto"/>
        <w:tabs>
          <w:tab w:leader="none" w:pos="42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in footnote (1) you indicate that Mr. Shone served as your Chief Financial Officer from April 24, 2018 until March 15, 2021, when he transitioned to the position of Chief Administrative Officer. Tell us how you evaluated the significance of the change in Mr. Shone’s level of service as required under the original award relative to the level of service expected of his new position and the probability of vesting of his original award as of his transition date. Based on your analysis, please address a resulting financial statement impact, if any.</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Matthew Crispino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5580380</wp:posOffset>
            </wp:positionH>
            <wp:positionV relativeFrom="paragraph">
              <wp:posOffset>-121920</wp:posOffset>
            </wp:positionV>
            <wp:extent cx="141478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0287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7, 2021</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71"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Company acknowledges the Staff’s comment and respectfully advises the Staff that the Company evaluated the significance of the change in level of service as required under the original award relative to the level of service expected of Mr. Shone’s new position and determined based on the analysis below that the level of service was not significantly reduced. However, if this were to be considered a modification, at the time of the transition the vesting on the performance awards was still considered improbable and the financial impact would be limited to 113,750 unvested time-vesting Class B units which had a grant date fair value of $3.65 and a fair value at the transition date of $4.93, which the Company determined is not material. In determining the significance of any changes in level of service, the Company’s management considered the following:</w:t>
      </w:r>
    </w:p>
    <w:p>
      <w:pPr>
        <w:spacing w:after="0" w:line="70" w:lineRule="exact"/>
        <w:rPr>
          <w:sz w:val="20"/>
          <w:szCs w:val="20"/>
          <w:color w:val="auto"/>
        </w:rPr>
      </w:pPr>
    </w:p>
    <w:p>
      <w:pPr>
        <w:ind w:left="964" w:right="300" w:hanging="532"/>
        <w:spacing w:after="0" w:line="25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was no written agreement formalizing Mr. Shone’s transition from Chief Financial Officer to Chief Administrative Officer. However, due to Mr. Shone’s historical knowledge of the Company history and strategy, it was critical to retain Mr. Shone in a C-suite executive role and continue in his responsibilities of providing oversight to operational finance, legal and human resources support, described below, while his successor focused on the new requirements of the pending transition to a public entity and Up-C structure, along with the underwriting and refinancing process.</w:t>
      </w:r>
    </w:p>
    <w:p>
      <w:pPr>
        <w:spacing w:after="0" w:line="93" w:lineRule="exact"/>
        <w:rPr>
          <w:rFonts w:ascii="Arial" w:cs="Arial" w:eastAsia="Arial" w:hAnsi="Arial"/>
          <w:sz w:val="18"/>
          <w:szCs w:val="18"/>
          <w:color w:val="auto"/>
        </w:rPr>
      </w:pPr>
    </w:p>
    <w:p>
      <w:pPr>
        <w:ind w:left="964" w:right="200" w:hanging="532"/>
        <w:spacing w:after="0" w:line="291" w:lineRule="auto"/>
        <w:tabs>
          <w:tab w:leader="none" w:pos="96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taking on new administrative and operational responsibilities, which included overseeing the building out of new office space, integration of the acquired Monocl entity, and providing oversight to the preparation of the tax returns and distribution of the associated members Schedule K-1 forms, certain responsibilities of the Chief Financial Officer and General Counsel remained with Mr. Shone until replacements were identified and the roles were fully transitioned. Such responsibilities included oversight of the initial public offering registration process, annual external audit, coordination and review of the Company’s 409A valuations, performing or participating in various diligence sessions, and serving or participating on various management committees, including the IPO Steering Committee, Audit Committee, and Disclosure Committee, as well as providing oversight of legal matters and external counsel.</w:t>
      </w:r>
    </w:p>
    <w:p>
      <w:pPr>
        <w:spacing w:after="0" w:line="71" w:lineRule="exact"/>
        <w:rPr>
          <w:rFonts w:ascii="Arial" w:cs="Arial" w:eastAsia="Arial" w:hAnsi="Arial"/>
          <w:sz w:val="16"/>
          <w:szCs w:val="16"/>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Shone continues to be a direct report to the Chief Executive Officer.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was no change in Mr. Shone’s compensation in his new role.</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Shone’s Class B unit awards were granted along with and were equal to the awards granted for other C-level executives that report to the Chief Executive Officer at that grant date.</w:t>
      </w:r>
    </w:p>
    <w:p>
      <w:pPr>
        <w:spacing w:after="0" w:line="170" w:lineRule="exact"/>
        <w:rPr>
          <w:sz w:val="20"/>
          <w:szCs w:val="20"/>
          <w:color w:val="auto"/>
        </w:rPr>
      </w:pPr>
    </w:p>
    <w:p>
      <w:pPr>
        <w:jc w:val="both"/>
        <w:ind w:left="4" w:right="440" w:firstLine="440"/>
        <w:spacing w:after="0" w:line="263" w:lineRule="auto"/>
        <w:rPr>
          <w:sz w:val="20"/>
          <w:szCs w:val="20"/>
          <w:color w:val="auto"/>
        </w:rPr>
      </w:pPr>
      <w:r>
        <w:rPr>
          <w:rFonts w:ascii="Arial" w:cs="Arial" w:eastAsia="Arial" w:hAnsi="Arial"/>
          <w:sz w:val="18"/>
          <w:szCs w:val="18"/>
          <w:color w:val="auto"/>
        </w:rPr>
        <w:t>The Company’s management determined that although Mr. Shone’s role has changed, his new responsibilities were commensurate with the responsibilities of other C-level executive management. Based on the above, the Company’s management concluded that there was no substantive change to the level of service required for the award to vest.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Executive Severance, page 172</w:t>
      </w:r>
    </w:p>
    <w:p>
      <w:pPr>
        <w:spacing w:after="0" w:line="131" w:lineRule="exact"/>
        <w:rPr>
          <w:sz w:val="20"/>
          <w:szCs w:val="20"/>
          <w:color w:val="auto"/>
        </w:rPr>
      </w:pPr>
    </w:p>
    <w:p>
      <w:pPr>
        <w:ind w:left="424" w:right="20" w:hanging="424"/>
        <w:spacing w:after="0" w:line="266"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total aggregate cost of the benefits payable to Mr. Shone in connection with his separation. Also, explain to us how you will measure and recognize incremental compensation expense in light of his notice of retirement. Further, please clarify if he will forfeit any of the outstanding unvested Class B units attributed to him on page 157.</w:t>
      </w:r>
    </w:p>
    <w:p>
      <w:pPr>
        <w:sectPr>
          <w:pgSz w:w="11900" w:h="16838" w:orient="portrait"/>
          <w:cols w:equalWidth="0" w:num="1">
            <w:col w:w="10944"/>
          </w:cols>
          <w:pgMar w:left="436" w:top="274" w:right="5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Matthew Crispino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5580380</wp:posOffset>
            </wp:positionH>
            <wp:positionV relativeFrom="paragraph">
              <wp:posOffset>-121920</wp:posOffset>
            </wp:positionV>
            <wp:extent cx="141478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10287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7, 2021</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71" w:lineRule="exact"/>
        <w:rPr>
          <w:sz w:val="20"/>
          <w:szCs w:val="20"/>
          <w:color w:val="auto"/>
        </w:rPr>
      </w:pPr>
    </w:p>
    <w:p>
      <w:pPr>
        <w:jc w:val="both"/>
        <w:ind w:left="4" w:right="660" w:firstLine="440"/>
        <w:spacing w:after="0" w:line="263" w:lineRule="auto"/>
        <w:rPr>
          <w:sz w:val="20"/>
          <w:szCs w:val="20"/>
          <w:color w:val="auto"/>
        </w:rPr>
      </w:pPr>
      <w:r>
        <w:rPr>
          <w:rFonts w:ascii="Arial" w:cs="Arial" w:eastAsia="Arial" w:hAnsi="Arial"/>
          <w:sz w:val="18"/>
          <w:szCs w:val="18"/>
          <w:color w:val="auto"/>
        </w:rPr>
        <w:t>The Company acknowledges the Staff’s comment and respectfully advises the Staff that, in light of Mr. Shone’s notice of retirement, the Company’s management will measure and recognize incremental compensation expense in accordance with ASC 710-10 and ASC 718-20. The Company accrues for estimated bonuses quarterly based on financial performance and forecasts.</w:t>
      </w:r>
    </w:p>
    <w:p>
      <w:pPr>
        <w:spacing w:after="0" w:line="18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As Mr. Shone has advised us that he intends to retire from the Company after the IPO but no later than October 31, 2021, in connection with his retirement, the Company intends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IPO. A revaluation of the awards will be performed in accordance with GAAP as if granted on the date of the modification. The Company estimates that incremental compensation expense of approximately $1.3 million will be recorded during the third quarter 2021. Upon separation, Mr. Shone will forfeit 37,917 of his remaining unvested time-based Class B units and 75,833 of his remaining unvested performance-based Class B units. The Company has added additional disclosure to page 157 of the Registration Statement discussing</w:t>
      </w:r>
    </w:p>
    <w:p>
      <w:pPr>
        <w:spacing w:after="0" w:line="5"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Shone’s forfeited units.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Should any questions arise in connection with the filing or this response letter, please contact the undersigned at (212) 310-8971.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Alexander D.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Alexander D. Lynch</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Weil, Gotshal &amp; Manges LLP</w:t>
      </w:r>
    </w:p>
    <w:p>
      <w:pPr>
        <w:spacing w:after="0" w:line="25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23" w:lineRule="exact"/>
        <w:rPr>
          <w:rFonts w:ascii="Arial" w:cs="Arial" w:eastAsia="Arial" w:hAnsi="Arial"/>
          <w:sz w:val="18"/>
          <w:szCs w:val="18"/>
          <w:color w:val="auto"/>
        </w:rPr>
      </w:pPr>
    </w:p>
    <w:p>
      <w:pPr>
        <w:ind w:left="444" w:right="8560"/>
        <w:spacing w:after="0" w:line="323" w:lineRule="auto"/>
        <w:rPr>
          <w:rFonts w:ascii="Arial" w:cs="Arial" w:eastAsia="Arial" w:hAnsi="Arial"/>
          <w:sz w:val="18"/>
          <w:szCs w:val="18"/>
          <w:color w:val="auto"/>
        </w:rPr>
      </w:pPr>
      <w:r>
        <w:rPr>
          <w:rFonts w:ascii="Arial" w:cs="Arial" w:eastAsia="Arial" w:hAnsi="Arial"/>
          <w:sz w:val="16"/>
          <w:szCs w:val="16"/>
          <w:color w:val="auto"/>
        </w:rPr>
        <w:t>Chief Executive Officer Definitive Healthcare Corp.</w:t>
      </w:r>
    </w:p>
    <w:p>
      <w:pPr>
        <w:spacing w:after="0" w:line="165" w:lineRule="exact"/>
        <w:rPr>
          <w:sz w:val="20"/>
          <w:szCs w:val="20"/>
          <w:color w:val="auto"/>
        </w:rPr>
      </w:pPr>
    </w:p>
    <w:p>
      <w:pPr>
        <w:ind w:left="444" w:right="9160" w:hanging="444"/>
        <w:spacing w:after="0" w:line="271" w:lineRule="auto"/>
        <w:tabs>
          <w:tab w:leader="none" w:pos="436"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Cathy A. Birkeland Senet Bischoff Alexa Berlin</w:t>
      </w:r>
    </w:p>
    <w:p>
      <w:pPr>
        <w:ind w:left="444"/>
        <w:spacing w:after="0"/>
        <w:rPr>
          <w:rFonts w:ascii="Arial" w:cs="Arial" w:eastAsia="Arial" w:hAnsi="Arial"/>
          <w:sz w:val="17"/>
          <w:szCs w:val="17"/>
          <w:color w:val="auto"/>
        </w:rPr>
      </w:pPr>
      <w:r>
        <w:rPr>
          <w:rFonts w:ascii="Arial" w:cs="Arial" w:eastAsia="Arial" w:hAnsi="Arial"/>
          <w:sz w:val="18"/>
          <w:szCs w:val="18"/>
          <w:color w:val="auto"/>
        </w:rPr>
        <w:t>Latham &amp; Watkins LLP</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29"/>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2022-03-08T21:55:31Z</dcterms:created>
  <dcterms:modified xsi:type="dcterms:W3CDTF">2022-03-08T21:55:31Z</dcterms:modified>
</cp:coreProperties>
</file>