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Krantz Jason Ronald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6"/>
                <w:szCs w:val="6"/>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13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3300" w:type="dxa"/>
            <w:vAlign w:val="bottom"/>
            <w:gridSpan w:val="3"/>
            <w:vMerge w:val="restart"/>
          </w:tcPr>
          <w:p>
            <w:pPr>
              <w:ind w:left="94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12/14/2023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2,649</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414,104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450,000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beneficially owned in trust by DH Holdings (fka Jason R. Krantz 2009 Trust), of which the reporting person is the beneficiary.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12/18/2023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2023-12-18T15:37:15Z</dcterms:created>
  <dcterms:modified xsi:type="dcterms:W3CDTF">2023-12-18T15:37:15Z</dcterms:modified>
</cp:coreProperties>
</file>