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dh-20250807.htm"/>
      <w:bookmarkStart w:id="1" w:name="ksdh20250807"/>
      <w:bookmarkEnd w:id="0"/>
      <w:bookmarkEnd w:id="1"/>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bidi w:val="0"/>
        <w:spacing w:before="120" w:after="283"/>
        <w:jc w:val="center"/>
        <w:rPr>
          <w:rFonts w:ascii="Times New Roman" w:hAnsi="Times New Roman"/>
          <w:b/>
          <w:color w:val="000000"/>
          <w:sz w:val="34"/>
        </w:rPr>
      </w:pPr>
      <w:r>
        <w:rPr>
          <w:rFonts w:ascii="Times New Roman" w:hAnsi="Times New Roman"/>
          <w:b/>
          <w:color w:val="000000"/>
          <w:sz w:val="34"/>
        </w:rPr>
        <w:t>FORM 8-K</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w:t>
      </w:r>
    </w:p>
    <w:p>
      <w:pPr>
        <w:pStyle w:val="TextBody"/>
        <w:bidi w:val="0"/>
        <w:jc w:val="center"/>
        <w:rPr>
          <w:rFonts w:ascii="Times New Roman" w:hAnsi="Times New Roman"/>
          <w:b/>
          <w:color w:val="000000"/>
          <w:sz w:val="24"/>
        </w:rPr>
      </w:pPr>
      <w:r>
        <w:rPr>
          <w:rFonts w:ascii="Times New Roman" w:hAnsi="Times New Roman"/>
          <w:b/>
          <w:color w:val="000000"/>
          <w:sz w:val="24"/>
        </w:rPr>
        <w:t>August 7, 2025</w:t>
      </w:r>
    </w:p>
    <w:p>
      <w:pPr>
        <w:pStyle w:val="TextBody"/>
        <w:pBdr>
          <w:top w:val="single" w:sz="6" w:space="1" w:color="000000"/>
        </w:pBdr>
        <w:bidi w:val="0"/>
        <w:spacing w:before="240" w:after="283"/>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Definitive Healthcare Corp.</w:t>
      </w:r>
    </w:p>
    <w:p>
      <w:pPr>
        <w:pStyle w:val="TextBody"/>
        <w:bidi w:val="0"/>
        <w:jc w:val="center"/>
        <w:rPr>
          <w:rFonts w:ascii="Times New Roman" w:hAnsi="Times New Roman"/>
          <w:b/>
          <w:color w:val="000000"/>
          <w:sz w:val="15"/>
        </w:rPr>
      </w:pPr>
      <w:r>
        <w:rPr>
          <w:rFonts w:ascii="Times New Roman" w:hAnsi="Times New Roman"/>
          <w:b/>
          <w:color w:val="000000"/>
          <w:sz w:val="15"/>
        </w:rPr>
        <w:t>(Exact name of Registrant as Specified in Its Charter)</w:t>
      </w:r>
    </w:p>
    <w:tbl>
      <w:tblPr>
        <w:tblW w:w="6108" w:type="dxa"/>
        <w:jc w:val="left"/>
        <w:tblInd w:w="0" w:type="dxa"/>
        <w:tblLayout w:type="fixed"/>
        <w:tblCellMar>
          <w:top w:w="28" w:type="dxa"/>
          <w:left w:w="28" w:type="dxa"/>
          <w:bottom w:w="28" w:type="dxa"/>
          <w:right w:w="28" w:type="dxa"/>
        </w:tblCellMar>
      </w:tblPr>
      <w:tblGrid>
        <w:gridCol w:w="1636"/>
        <w:gridCol w:w="3136"/>
        <w:gridCol w:w="1336"/>
      </w:tblGrid>
      <w:tr>
        <w:trPr/>
        <w:tc>
          <w:tcPr>
            <w:tcW w:w="163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610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Commission File Number 001-40815</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86-3988281</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of Incorporation)</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492 Old Connecticut Path, Suite 401</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Framingham, Massachusetts</w:t>
            </w:r>
            <w:r>
              <w:rPr>
                <w:rFonts w:ascii="Times New Roman" w:hAnsi="Times New Roman"/>
                <w:color w:val="000000"/>
                <w:sz w:val="20"/>
              </w:rPr>
              <w:t xml:space="preserve"> </w:t>
            </w:r>
            <w:r>
              <w:rPr>
                <w:rFonts w:ascii="Times New Roman" w:hAnsi="Times New Roman"/>
                <w:b/>
                <w:color w:val="000000"/>
                <w:sz w:val="20"/>
              </w:rPr>
              <w:t>01701</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5"/>
              </w:rPr>
              <w:t>(Address of Principal Executive Offices)</w:t>
            </w:r>
            <w:r>
              <w:rPr>
                <w:rFonts w:ascii="Times New Roman" w:hAnsi="Times New Roman"/>
                <w:color w:val="000000"/>
                <w:sz w:val="20"/>
              </w:rPr>
              <w:t xml:space="preserve">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bl>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283"/>
              <w:jc w:val="left"/>
              <w:rPr>
                <w:sz w:val="4"/>
                <w:szCs w:val="4"/>
              </w:rPr>
            </w:pPr>
            <w:r>
              <w:rPr>
                <w:sz w:val="4"/>
                <w:szCs w:val="4"/>
              </w:rPr>
            </w:r>
          </w:p>
        </w:tc>
      </w:tr>
      <w:tr>
        <w:trP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508</w:t>
            </w:r>
            <w:r>
              <w:rPr>
                <w:rFonts w:ascii="Times New Roman" w:hAnsi="Times New Roman"/>
                <w:color w:val="000000"/>
                <w:sz w:val="20"/>
              </w:rPr>
              <w:t xml:space="preserve"> </w:t>
            </w:r>
            <w:r>
              <w:rPr>
                <w:rFonts w:ascii="Times New Roman" w:hAnsi="Times New Roman"/>
                <w:b/>
                <w:color w:val="000000"/>
                <w:sz w:val="20"/>
              </w:rPr>
              <w:t>720-4224</w:t>
            </w:r>
          </w:p>
        </w:tc>
      </w:tr>
      <w:tr>
        <w:trP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Registrant’s telephone number, including area code</w:t>
            </w:r>
          </w:p>
        </w:tc>
      </w:tr>
    </w:tbl>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6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0" w:after="6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0" w:after="6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0" w:after="6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00" w:after="16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586" w:type="dxa"/>
        <w:jc w:val="left"/>
        <w:tblInd w:w="0" w:type="dxa"/>
        <w:tblLayout w:type="fixed"/>
        <w:tblCellMar>
          <w:top w:w="28" w:type="dxa"/>
          <w:left w:w="28" w:type="dxa"/>
          <w:bottom w:w="28" w:type="dxa"/>
          <w:right w:w="28" w:type="dxa"/>
        </w:tblCellMar>
      </w:tblPr>
      <w:tblGrid>
        <w:gridCol w:w="3601"/>
        <w:gridCol w:w="109"/>
        <w:gridCol w:w="646"/>
        <w:gridCol w:w="109"/>
        <w:gridCol w:w="3121"/>
      </w:tblGrid>
      <w:tr>
        <w:trPr/>
        <w:tc>
          <w:tcPr>
            <w:tcW w:w="3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Trading</w:t>
              <w:br/>
              <w:t>Symbol</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 Common Stock, $0.001 par value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DH</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sz w:val="20"/>
        </w:rPr>
      </w:pPr>
      <w:r>
        <w:rPr>
          <w:rFonts w:ascii="Times New Roman" w:hAnsi="Times New Roman"/>
          <w:color w:val="000000"/>
          <w:sz w:val="2"/>
        </w:rPr>
        <w:br/>
      </w:r>
      <w:r>
        <w:rPr>
          <w:rFonts w:ascii="Times New Roman" w:hAnsi="Times New Roman"/>
          <w:color w:val="000000"/>
          <w:sz w:val="20"/>
        </w:rPr>
        <w:t> </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August 7, 2025, Definitive Healthcare Corp. (the “Company”) issued a press release announcing its financial results for the second quarter ended June 30, 2025. A copy of the press release is furnished as Exhibit 99.1 to this Current Report on Form 8-K and is incorporated by reference herein.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information furnished in this Item 2.02 on this Current Report on Form 8-K, including Exhibit 99.1, shall not be deemed “filed” for the purposes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regardless of any general incorporation language in such filing.</w:t>
      </w:r>
    </w:p>
    <w:p>
      <w:pPr>
        <w:pStyle w:val="TextBody"/>
        <w:bidi w:val="0"/>
        <w:spacing w:before="120" w:after="240"/>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Exhibits.</w:t>
      </w:r>
    </w:p>
    <w:tbl>
      <w:tblPr>
        <w:tblW w:w="7127" w:type="dxa"/>
        <w:jc w:val="left"/>
        <w:tblInd w:w="0" w:type="dxa"/>
        <w:tblLayout w:type="fixed"/>
        <w:tblCellMar>
          <w:top w:w="28" w:type="dxa"/>
          <w:left w:w="28" w:type="dxa"/>
          <w:bottom w:w="28" w:type="dxa"/>
          <w:right w:w="28" w:type="dxa"/>
        </w:tblCellMar>
      </w:tblPr>
      <w:tblGrid>
        <w:gridCol w:w="481"/>
        <w:gridCol w:w="6646"/>
      </w:tblGrid>
      <w:tr>
        <w:trPr/>
        <w:tc>
          <w:tcPr>
            <w:tcW w:w="481"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dh-ex99_1.htm">
              <w:r>
                <w:rPr>
                  <w:rStyle w:val="InternetLink"/>
                  <w:rFonts w:ascii="Times New Roman" w:hAnsi="Times New Roman"/>
                  <w:color w:val="0000FF"/>
                  <w:sz w:val="20"/>
                  <w:u w:val="single"/>
                </w:rPr>
                <w:t>Press Release Dated August 7, 2025 (furnished herewith pursuant to Item 2.02)</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3150" w:type="dxa"/>
        <w:jc w:val="left"/>
        <w:tblInd w:w="0" w:type="dxa"/>
        <w:tblLayout w:type="fixed"/>
        <w:tblCellMar>
          <w:top w:w="28" w:type="dxa"/>
          <w:left w:w="28" w:type="dxa"/>
          <w:bottom w:w="28" w:type="dxa"/>
          <w:right w:w="28" w:type="dxa"/>
        </w:tblCellMar>
      </w:tblPr>
      <w:tblGrid>
        <w:gridCol w:w="726"/>
        <w:gridCol w:w="2210"/>
        <w:gridCol w:w="214"/>
      </w:tblGrid>
      <w:tr>
        <w:trPr/>
        <w:tc>
          <w:tcPr>
            <w:tcW w:w="726"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HEALTHCARE CORP.</w:t>
            </w:r>
          </w:p>
        </w:tc>
      </w:tr>
      <w:tr>
        <w:trPr/>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0"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21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Casey Heller</w:t>
            </w:r>
          </w:p>
        </w:tc>
        <w:tc>
          <w:tcPr>
            <w:tcW w:w="21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2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Casey Heller</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2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0"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2"/>
        </w:rPr>
      </w:pPr>
      <w:bookmarkStart w:id="2" w:name="dh-ex99_1.htm"/>
      <w:bookmarkStart w:id="3" w:name="ksdhex99_1"/>
      <w:bookmarkEnd w:id="2"/>
      <w:bookmarkEnd w:id="3"/>
      <w:r>
        <w:rPr>
          <w:rFonts w:ascii="Arial" w:hAnsi="Arial"/>
          <w:b/>
          <w:color w:val="000000"/>
          <w:sz w:val="22"/>
        </w:rPr>
        <w:t>Exhibit 99.1</w:t>
      </w:r>
      <w:r>
        <w:br w:type="page"/>
      </w:r>
    </w:p>
    <w:p>
      <w:pPr>
        <w:pStyle w:val="TextBody"/>
        <w:bidi w:val="0"/>
        <w:jc w:val="right"/>
        <w:rPr/>
      </w:pPr>
      <w:r>
        <w:rPr/>
        <w:t> </w:t>
      </w:r>
    </w:p>
    <w:p>
      <w:pPr>
        <w:pStyle w:val="TextBody"/>
        <w:bidi w:val="0"/>
        <w:jc w:val="center"/>
        <w:rPr/>
      </w:pPr>
      <w:r>
        <w:rPr/>
        <w:t> </w:t>
      </w:r>
    </w:p>
    <w:p>
      <w:pPr>
        <w:pStyle w:val="TextBody"/>
        <w:bidi w:val="0"/>
        <w:spacing w:before="0" w:after="240"/>
        <w:jc w:val="center"/>
        <w:rPr>
          <w:rFonts w:ascii="Arial" w:hAnsi="Arial"/>
          <w:b/>
          <w:color w:val="000000"/>
          <w:sz w:val="22"/>
        </w:rPr>
      </w:pPr>
      <w:r>
        <w:rPr>
          <w:rFonts w:ascii="Arial" w:hAnsi="Arial"/>
          <w:b/>
          <w:color w:val="000000"/>
          <w:sz w:val="22"/>
        </w:rPr>
        <w:t>Definitive Healthcare Reports Financial Results for Second Quarter Fiscal Year 2025</w:t>
      </w:r>
    </w:p>
    <w:p>
      <w:pPr>
        <w:pStyle w:val="TextBody"/>
        <w:bidi w:val="0"/>
        <w:spacing w:before="0" w:after="120"/>
        <w:jc w:val="center"/>
        <w:rPr>
          <w:rFonts w:ascii="Arial" w:hAnsi="Arial"/>
          <w:i/>
          <w:color w:val="000000"/>
          <w:sz w:val="22"/>
        </w:rPr>
      </w:pPr>
      <w:r>
        <w:rPr>
          <w:rFonts w:ascii="Arial" w:hAnsi="Arial"/>
          <w:i/>
          <w:color w:val="000000"/>
          <w:sz w:val="22"/>
        </w:rPr>
        <w:t>Second Quarter Revenue Exceeded Guidance</w:t>
      </w:r>
    </w:p>
    <w:p>
      <w:pPr>
        <w:pStyle w:val="TextBody"/>
        <w:bidi w:val="0"/>
        <w:spacing w:before="0" w:after="120"/>
        <w:jc w:val="left"/>
        <w:rPr>
          <w:rFonts w:ascii="Times New Roman" w:hAnsi="Times New Roman"/>
          <w:sz w:val="20"/>
        </w:rPr>
      </w:pPr>
      <w:r>
        <w:rPr>
          <w:rFonts w:ascii="Arial" w:hAnsi="Arial"/>
          <w:b/>
          <w:color w:val="000000"/>
          <w:sz w:val="22"/>
        </w:rPr>
        <w:t>Framingham, MA (August 7, 2025)</w:t>
      </w:r>
      <w:r>
        <w:rPr>
          <w:rFonts w:ascii="Times New Roman" w:hAnsi="Times New Roman"/>
          <w:color w:val="000000"/>
          <w:sz w:val="20"/>
        </w:rPr>
        <w:t xml:space="preserve"> – </w:t>
      </w:r>
      <w:r>
        <w:rPr>
          <w:rFonts w:ascii="Arial" w:hAnsi="Arial"/>
          <w:color w:val="000000"/>
          <w:sz w:val="22"/>
        </w:rPr>
        <w:t>Definitive Healthcare Corp. (“Definitive Healthcare” or the “Company”) (Nasdaq: DH), an industry leader in healthcare commercial intelligence, today announced financial results for the quarter ended June 30, 2025.</w:t>
      </w:r>
    </w:p>
    <w:p>
      <w:pPr>
        <w:pStyle w:val="TextBody"/>
        <w:bidi w:val="0"/>
        <w:jc w:val="both"/>
        <w:rPr>
          <w:rFonts w:ascii="Arial" w:hAnsi="Arial"/>
          <w:b/>
          <w:color w:val="000000"/>
          <w:sz w:val="22"/>
        </w:rPr>
      </w:pPr>
      <w:r>
        <w:rPr>
          <w:rFonts w:ascii="Arial" w:hAnsi="Arial"/>
          <w:b/>
          <w:color w:val="000000"/>
          <w:sz w:val="22"/>
        </w:rPr>
        <w:t>Second Quarter 2025 Financial Highlights: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Arial" w:hAnsi="Arial"/>
          <w:b/>
          <w:color w:val="000000"/>
          <w:sz w:val="22"/>
        </w:rPr>
        <w:t>Revenue</w:t>
      </w:r>
      <w:r>
        <w:rPr>
          <w:color w:val="000000"/>
        </w:rPr>
        <w:t xml:space="preserve"> </w:t>
      </w:r>
      <w:r>
        <w:rPr>
          <w:rFonts w:ascii="Arial" w:hAnsi="Arial"/>
          <w:color w:val="000000"/>
          <w:sz w:val="22"/>
        </w:rPr>
        <w:t>was $60.8 million, a decrease of 5% from $63.7 million in Q2 2024.</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Net Loss</w:t>
      </w:r>
      <w:r>
        <w:rPr>
          <w:color w:val="000000"/>
        </w:rPr>
        <w:t xml:space="preserve"> </w:t>
      </w:r>
      <w:r>
        <w:rPr>
          <w:rFonts w:ascii="Arial" w:hAnsi="Arial"/>
          <w:color w:val="000000"/>
          <w:sz w:val="22"/>
        </w:rPr>
        <w:t>was $(9.3) million, or (15)% of revenue, compared to $(306.2) million in Q2 2024, inclusive of goodwill impairment charges of $363.6 million, or (480)% of revenue.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Adjusted Net Income </w:t>
      </w:r>
      <w:r>
        <w:rPr>
          <w:rFonts w:ascii="Arial" w:hAnsi="Arial"/>
          <w:color w:val="000000"/>
          <w:sz w:val="22"/>
        </w:rPr>
        <w:t>was $9.7 million, compared to $14.2 million in Q2 2024.</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Adjusted EBITDA </w:t>
      </w:r>
      <w:r>
        <w:rPr>
          <w:rFonts w:ascii="Arial" w:hAnsi="Arial"/>
          <w:color w:val="000000"/>
          <w:sz w:val="22"/>
        </w:rPr>
        <w:t>was $18.7 million, or 31% of revenue, compared to $20.9 million, or 33% of revenue in Q2 2024.</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Cash Flow from Operations </w:t>
      </w:r>
      <w:r>
        <w:rPr>
          <w:rFonts w:ascii="Arial" w:hAnsi="Arial"/>
          <w:color w:val="000000"/>
          <w:sz w:val="22"/>
        </w:rPr>
        <w:t>was $9.3 million in the quarter.</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Unlevered Free Cash Flow </w:t>
      </w:r>
      <w:r>
        <w:rPr>
          <w:rFonts w:ascii="Arial" w:hAnsi="Arial"/>
          <w:color w:val="000000"/>
          <w:sz w:val="22"/>
        </w:rPr>
        <w:t>was $11.5 million in the quarter.</w:t>
      </w:r>
    </w:p>
    <w:p>
      <w:pPr>
        <w:pStyle w:val="TextBody"/>
        <w:bidi w:val="0"/>
        <w:spacing w:before="0" w:after="120"/>
        <w:jc w:val="left"/>
        <w:rPr/>
      </w:pPr>
      <w:r>
        <w:rPr/>
        <w:t> </w:t>
      </w:r>
    </w:p>
    <w:p>
      <w:pPr>
        <w:pStyle w:val="TextBody"/>
        <w:bidi w:val="0"/>
        <w:spacing w:before="120" w:after="120"/>
        <w:jc w:val="left"/>
        <w:rPr>
          <w:color w:val="000000"/>
        </w:rPr>
      </w:pPr>
      <w:r>
        <w:rPr>
          <w:color w:val="000000"/>
        </w:rPr>
        <w:t>“</w:t>
      </w:r>
      <w:r>
        <w:rPr>
          <w:rFonts w:ascii="Arial" w:hAnsi="Arial"/>
          <w:color w:val="000000"/>
          <w:sz w:val="22"/>
        </w:rPr>
        <w:t>Overall, we continue to make progress on our strategic priorities. While there is still more that needs to be done, our conviction that we are taking the right steps to improve the business has increased.” said Kevin Coop, CEO of Definitive Healthcare. “As a result of our progress in the first half of the year, we are increasing the midpoint of our revenue guidance and raising our adjusted EBITDA outlook for the year.”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both"/>
        <w:rPr>
          <w:rFonts w:ascii="Arial" w:hAnsi="Arial"/>
          <w:b/>
          <w:color w:val="000000"/>
          <w:sz w:val="22"/>
        </w:rPr>
      </w:pPr>
      <w:r>
        <w:rPr>
          <w:rFonts w:ascii="Arial" w:hAnsi="Arial"/>
          <w:b/>
          <w:color w:val="000000"/>
          <w:sz w:val="22"/>
        </w:rPr>
        <w:t>Recent Business and Operating Highlights:</w:t>
      </w:r>
    </w:p>
    <w:p>
      <w:pPr>
        <w:pStyle w:val="TextBody"/>
        <w:bidi w:val="0"/>
        <w:spacing w:before="360" w:after="283"/>
        <w:jc w:val="both"/>
        <w:rPr>
          <w:rFonts w:ascii="Arial" w:hAnsi="Arial"/>
          <w:b/>
          <w:color w:val="000000"/>
          <w:sz w:val="22"/>
        </w:rPr>
      </w:pPr>
      <w:r>
        <w:rPr>
          <w:rFonts w:ascii="Arial" w:hAnsi="Arial"/>
          <w:b/>
          <w:color w:val="000000"/>
          <w:sz w:val="22"/>
        </w:rPr>
        <w:t>Customer Wins</w:t>
      </w:r>
    </w:p>
    <w:p>
      <w:pPr>
        <w:pStyle w:val="TextBody"/>
        <w:bidi w:val="0"/>
        <w:spacing w:before="240" w:after="120"/>
        <w:jc w:val="left"/>
        <w:rPr>
          <w:rFonts w:ascii="Arial" w:hAnsi="Arial"/>
          <w:color w:val="000000"/>
          <w:sz w:val="22"/>
        </w:rPr>
      </w:pPr>
      <w:r>
        <w:rPr>
          <w:rFonts w:ascii="Arial" w:hAnsi="Arial"/>
          <w:color w:val="000000"/>
          <w:sz w:val="22"/>
        </w:rPr>
        <w:t>In the second quarter, Definitive Healthcare continued to win new logos and expansion opportunities across all end-markets, by providing the data, insights and integrations that drive their critical business use cases. Customer wins for the quarter included:</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A healthcare revenue cycle management firm selected Definitive Healthcare to improve their go-to-market execution after struggling with poor data quality from a competitor. The superiority of Definitive Healthcare’s data, including up-to-date information on revenue cycle executives, organizational charts, contact data, payer mix, and claims analytics, as well as our ability to integrate with HubSpot and the hands-on support from our integration team, were instrumental in winning this competitive displacement.</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A digital health organization returned to Definitive Healthcare after non-renewing in 2022. Our custom reporting capabilities, especially around Medicaid claims activity—including active, rejected, and reversed transactions—were critical in delivering the physician-level market intelligence they required.</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A healthcare focused private equity firm expanded their relationship with Definitive Healthcare as a key part of their diligence strategy as they shifted their focus from providers toward technology and therapy companies. Population Insights dashboards from our Populi platform proved to be a strong fit and quickly resonated.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left"/>
        <w:rPr>
          <w:rFonts w:ascii="Arial" w:hAnsi="Arial"/>
          <w:b/>
          <w:color w:val="000000"/>
          <w:sz w:val="22"/>
        </w:rPr>
      </w:pPr>
      <w:r>
        <w:rPr>
          <w:rFonts w:ascii="Arial" w:hAnsi="Arial"/>
          <w:b/>
          <w:color w:val="000000"/>
          <w:sz w:val="22"/>
        </w:rPr>
        <w:t>Business Outlook</w:t>
      </w:r>
    </w:p>
    <w:p>
      <w:pPr>
        <w:pStyle w:val="TextBody"/>
        <w:bidi w:val="0"/>
        <w:spacing w:before="120" w:after="283"/>
        <w:jc w:val="both"/>
        <w:rPr>
          <w:rFonts w:ascii="Arial" w:hAnsi="Arial"/>
          <w:color w:val="000000"/>
          <w:sz w:val="22"/>
        </w:rPr>
      </w:pPr>
      <w:r>
        <w:rPr>
          <w:rFonts w:ascii="Arial" w:hAnsi="Arial"/>
          <w:color w:val="000000"/>
          <w:sz w:val="22"/>
        </w:rPr>
        <w:t>Based on information as of August 7, 2025, the Company is issuing the following financial guidance.</w:t>
      </w:r>
    </w:p>
    <w:p>
      <w:pPr>
        <w:pStyle w:val="TextBody"/>
        <w:bidi w:val="0"/>
        <w:spacing w:before="120" w:after="283"/>
        <w:jc w:val="both"/>
        <w:rPr>
          <w:rFonts w:ascii="Arial" w:hAnsi="Arial"/>
          <w:b/>
          <w:color w:val="000000"/>
          <w:sz w:val="22"/>
        </w:rPr>
      </w:pPr>
      <w:r>
        <w:rPr>
          <w:rFonts w:ascii="Arial" w:hAnsi="Arial"/>
          <w:b/>
          <w:color w:val="000000"/>
          <w:sz w:val="22"/>
        </w:rPr>
        <w:t>Third Quarter 2025:</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Arial" w:hAnsi="Arial"/>
          <w:b/>
          <w:color w:val="000000"/>
          <w:sz w:val="22"/>
        </w:rPr>
        <w:t>Revenue</w:t>
      </w:r>
      <w:r>
        <w:rPr>
          <w:color w:val="000000"/>
        </w:rPr>
        <w:t xml:space="preserve"> </w:t>
      </w:r>
      <w:r>
        <w:rPr>
          <w:rFonts w:ascii="Arial" w:hAnsi="Arial"/>
          <w:color w:val="000000"/>
          <w:sz w:val="22"/>
        </w:rPr>
        <w:t xml:space="preserve">is expected to be in the range of $59.0 – $60.0 million.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Adjusted Operating Income</w:t>
      </w:r>
      <w:r>
        <w:rPr>
          <w:color w:val="000000"/>
        </w:rPr>
        <w:t xml:space="preserve"> </w:t>
      </w:r>
      <w:r>
        <w:rPr>
          <w:rFonts w:ascii="Arial" w:hAnsi="Arial"/>
          <w:color w:val="000000"/>
          <w:sz w:val="22"/>
        </w:rPr>
        <w:t xml:space="preserve">is expected to be in the range of $12.5 – $13.5 million.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Adjusted EBITDA</w:t>
      </w:r>
      <w:r>
        <w:rPr>
          <w:color w:val="000000"/>
        </w:rPr>
        <w:t xml:space="preserve"> </w:t>
      </w:r>
      <w:r>
        <w:rPr>
          <w:rFonts w:ascii="Arial" w:hAnsi="Arial"/>
          <w:color w:val="000000"/>
          <w:sz w:val="22"/>
        </w:rPr>
        <w:t xml:space="preserve">is expected to be in the range of $15.5 – $16.5 million, and 26 – 28% adjusted EBITDA margin.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Adjusted Net Income</w:t>
      </w:r>
      <w:r>
        <w:rPr>
          <w:color w:val="000000"/>
        </w:rPr>
        <w:t xml:space="preserve"> </w:t>
      </w:r>
      <w:r>
        <w:rPr>
          <w:rFonts w:ascii="Arial" w:hAnsi="Arial"/>
          <w:color w:val="000000"/>
          <w:sz w:val="22"/>
        </w:rPr>
        <w:t xml:space="preserve">is expected to be $7.5 – $8.5 million.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Adjusted Net Income Per Diluted Share</w:t>
      </w:r>
      <w:r>
        <w:rPr>
          <w:color w:val="000000"/>
        </w:rPr>
        <w:t xml:space="preserve"> </w:t>
      </w:r>
      <w:r>
        <w:rPr>
          <w:rFonts w:ascii="Arial" w:hAnsi="Arial"/>
          <w:color w:val="000000"/>
          <w:sz w:val="22"/>
        </w:rPr>
        <w:t>is expected to be $0.05 to $0.06 per share on approximately 146.1 million weighted-average shares outstanding.</w:t>
      </w:r>
    </w:p>
    <w:p>
      <w:pPr>
        <w:pStyle w:val="TextBody"/>
        <w:bidi w:val="0"/>
        <w:spacing w:before="120" w:after="283"/>
        <w:jc w:val="both"/>
        <w:rPr>
          <w:rFonts w:ascii="Arial" w:hAnsi="Arial"/>
          <w:b/>
          <w:color w:val="000000"/>
          <w:sz w:val="22"/>
        </w:rPr>
      </w:pPr>
      <w:r>
        <w:rPr>
          <w:rFonts w:ascii="Arial" w:hAnsi="Arial"/>
          <w:b/>
          <w:color w:val="000000"/>
          <w:sz w:val="22"/>
        </w:rPr>
        <w:t>Full Year 2025:</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Arial" w:hAnsi="Arial"/>
          <w:b/>
          <w:color w:val="000000"/>
          <w:sz w:val="22"/>
        </w:rPr>
        <w:t xml:space="preserve">Revenue </w:t>
      </w:r>
      <w:r>
        <w:rPr>
          <w:rFonts w:ascii="Arial" w:hAnsi="Arial"/>
          <w:color w:val="000000"/>
          <w:sz w:val="22"/>
        </w:rPr>
        <w:t>is expected to be in the range of $237.0 – $240.0 million, raising the bottom end of our prior range by $3.0 million.</w:t>
      </w:r>
      <w:r>
        <w:rPr>
          <w:color w:val="00000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Adjusted Operating Income</w:t>
      </w:r>
      <w:r>
        <w:rPr>
          <w:color w:val="000000"/>
        </w:rPr>
        <w:t xml:space="preserve"> </w:t>
      </w:r>
      <w:r>
        <w:rPr>
          <w:rFonts w:ascii="Arial" w:hAnsi="Arial"/>
          <w:color w:val="000000"/>
          <w:sz w:val="22"/>
        </w:rPr>
        <w:t>is expected to be in the range of $52.0 – $55.0 million.</w:t>
      </w:r>
      <w:r>
        <w:rPr>
          <w:color w:val="00000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 xml:space="preserve">Adjusted EBITDA </w:t>
      </w:r>
      <w:r>
        <w:rPr>
          <w:rFonts w:ascii="Arial" w:hAnsi="Arial"/>
          <w:color w:val="000000"/>
          <w:sz w:val="22"/>
        </w:rPr>
        <w:t>is expected to be in the range of $64.0 – $67.0 million, and 27 – 28% adjusted EBITDA margin.</w:t>
      </w:r>
      <w:r>
        <w:rPr>
          <w:color w:val="00000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Adjusted Net Income</w:t>
      </w:r>
      <w:r>
        <w:rPr>
          <w:color w:val="000000"/>
        </w:rPr>
        <w:t xml:space="preserve"> </w:t>
      </w:r>
      <w:r>
        <w:rPr>
          <w:rFonts w:ascii="Arial" w:hAnsi="Arial"/>
          <w:color w:val="000000"/>
          <w:sz w:val="22"/>
        </w:rPr>
        <w:t>is expected to be $32.5 – $34.5 million.</w:t>
      </w:r>
      <w:r>
        <w:rPr>
          <w:color w:val="00000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Adjusted Net Income Per Diluted Share</w:t>
      </w:r>
      <w:r>
        <w:rPr>
          <w:color w:val="000000"/>
        </w:rPr>
        <w:t xml:space="preserve"> </w:t>
      </w:r>
      <w:r>
        <w:rPr>
          <w:rFonts w:ascii="Arial" w:hAnsi="Arial"/>
          <w:color w:val="000000"/>
          <w:sz w:val="22"/>
        </w:rPr>
        <w:t>is expected to be $0.22 to $0.23 per share on approximately 147.9 million weighted-average shares outstanding.</w:t>
      </w:r>
    </w:p>
    <w:p>
      <w:pPr>
        <w:pStyle w:val="TextBody"/>
        <w:bidi w:val="0"/>
        <w:jc w:val="left"/>
        <w:rPr>
          <w:rFonts w:ascii="Arial" w:hAnsi="Arial"/>
          <w:i/>
          <w:color w:val="000000"/>
          <w:sz w:val="22"/>
        </w:rPr>
      </w:pPr>
      <w:r>
        <w:rPr>
          <w:rFonts w:ascii="Arial" w:hAnsi="Arial"/>
          <w:i/>
          <w:color w:val="000000"/>
          <w:sz w:val="22"/>
        </w:rPr>
        <w:t>We do not provide a quantitative reconciliation of the forward-looking non-GAAP financial measures included in this press release to the most directly comparable GAAP measures due to the high variability and difficulty in predicting certain items excluded from these non-GAAP financial measures; in particular, the effects of equity-based compensation expense, taxes and amounts under the tax receivable agreement, deferred tax assets and deferred tax liabilities, and transaction, integration, and restructuring expenses. We expect the variability of these excluded items may have a significant and potentially unpredictable impact on our future GAAP financial results.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left"/>
        <w:rPr>
          <w:rFonts w:ascii="Arial" w:hAnsi="Arial"/>
          <w:b/>
          <w:color w:val="000000"/>
          <w:sz w:val="22"/>
        </w:rPr>
      </w:pPr>
      <w:r>
        <w:rPr>
          <w:rFonts w:ascii="Arial" w:hAnsi="Arial"/>
          <w:b/>
          <w:color w:val="000000"/>
          <w:sz w:val="22"/>
        </w:rPr>
        <w:t>Conference Call Information</w:t>
      </w:r>
    </w:p>
    <w:p>
      <w:pPr>
        <w:pStyle w:val="TextBody"/>
        <w:bidi w:val="0"/>
        <w:jc w:val="left"/>
        <w:rPr>
          <w:rFonts w:ascii="Arial" w:hAnsi="Arial"/>
          <w:color w:val="000000"/>
          <w:sz w:val="22"/>
        </w:rPr>
      </w:pPr>
      <w:r>
        <w:rPr>
          <w:rFonts w:ascii="Arial" w:hAnsi="Arial"/>
          <w:color w:val="000000"/>
          <w:sz w:val="22"/>
        </w:rPr>
        <w:t>Definitive Healthcare will host a conference call today August 7, 2025, at 5:00 p.m. (Eastern Daylight Time) to discuss the Company's full financial results and current business outlook. Participants may access the call at 1-877-358-7298 or 1-848-488-9244. Shortly after the conclusion of the call, a replay of this conference call will be available through September 6, 2025, at 1-800-645-7964 or 1-757-849-6722. The replay passcode is 1765#. A live audio webcast of the event will be available on Definitive Healthcare’s Investor Relations website at https://ir.definitivehc.com/.</w:t>
      </w:r>
    </w:p>
    <w:p>
      <w:pPr>
        <w:pStyle w:val="TextBody"/>
        <w:bidi w:val="0"/>
        <w:spacing w:before="360" w:after="283"/>
        <w:jc w:val="left"/>
        <w:rPr>
          <w:rFonts w:ascii="Arial" w:hAnsi="Arial"/>
          <w:b/>
          <w:color w:val="000000"/>
          <w:sz w:val="22"/>
        </w:rPr>
      </w:pPr>
      <w:r>
        <w:rPr>
          <w:rFonts w:ascii="Arial" w:hAnsi="Arial"/>
          <w:b/>
          <w:color w:val="000000"/>
          <w:sz w:val="22"/>
        </w:rPr>
        <w:t>About Definitive Healthcare</w:t>
      </w:r>
    </w:p>
    <w:p>
      <w:pPr>
        <w:pStyle w:val="TextBody"/>
        <w:bidi w:val="0"/>
        <w:jc w:val="left"/>
        <w:rPr>
          <w:rFonts w:ascii="Arial" w:hAnsi="Arial"/>
          <w:color w:val="000000"/>
          <w:sz w:val="22"/>
        </w:rPr>
      </w:pPr>
      <w:r>
        <w:rPr>
          <w:rFonts w:ascii="Arial" w:hAnsi="Arial"/>
          <w:color w:val="000000"/>
          <w:sz w:val="22"/>
        </w:rPr>
        <w:t>At Definitive Healthcare, our passion is to transform data, analytics and expertise into healthcare commercial intelligence. We help clients uncover the right markets, opportunities and people, so they can shape tomorrow’s healthcare industry. Learn more at definitivehc.com.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both"/>
        <w:rPr>
          <w:rFonts w:ascii="Arial" w:hAnsi="Arial"/>
          <w:b/>
          <w:color w:val="000000"/>
          <w:sz w:val="22"/>
        </w:rPr>
      </w:pPr>
      <w:r>
        <w:rPr>
          <w:rFonts w:ascii="Arial" w:hAnsi="Arial"/>
          <w:b/>
          <w:color w:val="000000"/>
          <w:sz w:val="22"/>
        </w:rPr>
        <w:t>Forward-Looking Statements</w:t>
      </w:r>
    </w:p>
    <w:p>
      <w:pPr>
        <w:pStyle w:val="TextBody"/>
        <w:bidi w:val="0"/>
        <w:spacing w:before="240" w:after="120"/>
        <w:jc w:val="left"/>
        <w:rPr>
          <w:rFonts w:ascii="Times New Roman" w:hAnsi="Times New Roman"/>
          <w:sz w:val="20"/>
        </w:rPr>
      </w:pPr>
      <w:r>
        <w:rPr>
          <w:rFonts w:ascii="Arial" w:hAnsi="Arial"/>
          <w:i/>
          <w:color w:val="000000"/>
          <w:sz w:val="22"/>
        </w:rPr>
        <w:t>This press release includes forward-looking statements that reflect our current views with respect to future events and financial performance. Such statements are provided under the “safe harbor” protection of the Private Securities Litigation Reform Act of 1995. Forward-looking statements include all statements that do not relate solely to historical or current facts, and can generally be identified by words or phrases written in the future tense and/or preceded by words such as “likely,” “will,” “should,” “may,” “anticipates,” “intends,” “plans,” “seeks,” “believes,” “estimates,” “expects,” “continues,” “assumes,” “would,” “potentially” or similar words or variations thereof, or the negative thereof, references to future periods, or by the inclusion of forecasts or projections, but these terms are not the exclusive means of identifying such statements. Examples of forward-looking statements include, but are not limited to, statements we make regarding our outlook, financial guidance, the benefits of our healthcare commercial intelligence solutions, our overall future prospects, customer behaviors and use of our solutions, the market, industry and macroeconomic environment, our plans to improve our operational and financial performance and our business, our ability to execute on our plans, customer growth, including our upsell and cross-sell opportunities, and our ability to successfully transition executive leadership.</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Arial" w:hAnsi="Arial"/>
          <w:i/>
          <w:color w:val="000000"/>
          <w:sz w:val="22"/>
        </w:rPr>
        <w:t>Forward-looking statements in this press release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the following: global geopolitical tension and difficult macroeconomic conditions; actual or potential changes in international, national, regional and local economic, business and financial conditions, including tariffs, sanctions, trade barriers, recessions, fluctuating inflation, high interest rates, volatility in the capital markets and related market uncertainty; our inability to acquire new customers and generate additional revenue from existing customers; our inability to generate sales of subscriptions to our platform or any decline in demand for our platform and the data we offer; the competitiveness of the market in which we operate and our ability to compete effectively; the failure to maintain and improve our platform, or develop new modules or insights for healthcare commercial intelligence; the inability to obtain and maintain accurate, comprehensive or reliable data, which could result in reduced demand for our platform; the loss of our access to our data providers; the failure to respond to advances in healthcare commercial intelligence; an inability to attract new customers and expand subscriptions of current customers; our ability to successfully transition executive leadership; and the possibility that our security measures are breached or unauthorized access to data is otherwise obtained.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120"/>
        <w:jc w:val="left"/>
        <w:rPr>
          <w:rFonts w:ascii="Times New Roman" w:hAnsi="Times New Roman"/>
          <w:sz w:val="20"/>
        </w:rPr>
      </w:pPr>
      <w:r>
        <w:rPr>
          <w:rFonts w:ascii="Arial" w:hAnsi="Arial"/>
          <w:i/>
          <w:color w:val="000000"/>
          <w:sz w:val="22"/>
        </w:rPr>
        <w:t>Additional factors or events that could cause our actual performance to differ from these forward-looking statements may emerge from time to time, and it is not possible for us to predict all of them.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Arial" w:hAnsi="Arial"/>
          <w:i/>
          <w:color w:val="000000"/>
          <w:sz w:val="22"/>
        </w:rPr>
        <w:t>For additional discussion of factors that could impact our operational and financial results, refer to our Quarterly Report on Form 10-Q for the three months ended June 30, 2025 that will be filed following this earnings release, as well as our Current Reports on Form 8-K and other subsequent SEC filings, which are or will be available on the Investor Relations page of our website at ir.definitivehc.com and on the SEC website at www.sec.gov.</w:t>
      </w:r>
      <w:r>
        <w:rPr>
          <w:rFonts w:ascii="Times New Roman" w:hAnsi="Times New Roman"/>
          <w:color w:val="000000"/>
          <w:sz w:val="20"/>
        </w:rPr>
        <w:t xml:space="preserve"> </w:t>
      </w:r>
    </w:p>
    <w:p>
      <w:pPr>
        <w:pStyle w:val="TextBody"/>
        <w:bidi w:val="0"/>
        <w:spacing w:before="120" w:after="120"/>
        <w:jc w:val="left"/>
        <w:rPr>
          <w:rFonts w:ascii="Arial" w:hAnsi="Arial"/>
          <w:i/>
          <w:color w:val="000000"/>
          <w:sz w:val="22"/>
        </w:rPr>
      </w:pPr>
      <w:r>
        <w:rPr>
          <w:rFonts w:ascii="Arial" w:hAnsi="Arial"/>
          <w:i/>
          <w:color w:val="000000"/>
          <w:sz w:val="22"/>
        </w:rPr>
        <w:t>All information in this press release speaks only as of the date on which it is made. We undertake no obligation to publicly update this information, whether as a result of new information, future developments or otherwise, except as may be required by law.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both"/>
        <w:rPr>
          <w:rFonts w:ascii="Arial" w:hAnsi="Arial"/>
          <w:b/>
          <w:color w:val="000000"/>
          <w:sz w:val="22"/>
        </w:rPr>
      </w:pPr>
      <w:r>
        <w:rPr>
          <w:rFonts w:ascii="Arial" w:hAnsi="Arial"/>
          <w:b/>
          <w:color w:val="000000"/>
          <w:sz w:val="22"/>
        </w:rPr>
        <w:t>Website</w:t>
      </w:r>
    </w:p>
    <w:p>
      <w:pPr>
        <w:pStyle w:val="TextBody"/>
        <w:bidi w:val="0"/>
        <w:jc w:val="left"/>
        <w:rPr>
          <w:rFonts w:ascii="Arial" w:hAnsi="Arial"/>
          <w:i/>
          <w:color w:val="000000"/>
          <w:sz w:val="22"/>
        </w:rPr>
      </w:pPr>
      <w:r>
        <w:rPr>
          <w:rFonts w:ascii="Arial" w:hAnsi="Arial"/>
          <w:i/>
          <w:color w:val="000000"/>
          <w:sz w:val="22"/>
        </w:rPr>
        <w:t>Definitive Healthcare intends to use its website as a distribution channel of material company information. Financial and other important information regarding the Company is routinely posted on and accessible through the Company’s website at https://www.definitivehc.com/. Accordingly, you should monitor the investor relations portion of our website at https://ir.definitivehc.com/ in addition to following our press releases, SEC filings, and public conference calls and webcasts. In addition, you may automatically receive email alerts and other information about the Company when you enroll your email address by visiting the “Email Alerts” section of our investor relations page at https://ir.definitivehc.com/.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both"/>
        <w:rPr>
          <w:rFonts w:ascii="Times New Roman" w:hAnsi="Times New Roman"/>
          <w:sz w:val="20"/>
        </w:rPr>
      </w:pPr>
      <w:r>
        <w:rPr>
          <w:rFonts w:ascii="Arial" w:hAnsi="Arial"/>
          <w:b/>
          <w:color w:val="000000"/>
          <w:sz w:val="22"/>
        </w:rPr>
        <w:t>Non-GAAP Financial Measures</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Arial" w:hAnsi="Arial"/>
          <w:i/>
          <w:color w:val="000000"/>
          <w:sz w:val="22"/>
        </w:rPr>
        <w:t>We have presented supplemental non-GAAP financial measures as part of this earnings release. We believe that these supplemental non-GAAP financial measures are useful to investors because they allow for an evaluation of the Company with a focus on the performance of its core operations, including providing meaningful comparisons of financial results to historical periods and to the financial results of peer and competitor companies. Our use of these non-GAAP terms may vary from the use of similar terms by other companies in our industry and accordingly may not be comparable to similarly titled measures used by other companies and are not measures of performance calculated in accordance with GAAP. Our presentation of these non-GAAP financial measures are intended as supplemental measures of our performance that are not required by, or presented in accordance with, GAAP. These non-GAAP financial measures should not be considered as alternatives to loss from operations, net loss, earnings per share, or any other performance measures derived in accordance with GAAP or as measures of operating cash flows or liquidity. A reconciliation of GAAP to non-GAAP results has been provided in the financial statement tables included at the end of this press release. In evaluating our non-GAAP financial measures, you should be aware that in the future, we may incur expenses similar to those eliminated in these presentations.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Arial" w:hAnsi="Arial"/>
          <w:i/>
          <w:color w:val="000000"/>
          <w:sz w:val="22"/>
        </w:rPr>
        <w:t>We refer to Unlevered Free Cash Flow, Adjusted EBITDA, Adjusted EBITDA Margin, Adjusted Gross Profit, Adjusted Gross Margin, Adjusted Operating Income, Adjusted Net Income and Adjusted Net Income Per Diluted Share as non-GAAP financial measures. These non-GAAP financial measures are not required by or prepared in accordance with generally accepted accounting principles in the U.S. (“GAAP”). These are supplemental financial measures of our performance and should not be considered substitutes for cash provided by (used in) operating activities, loss from operations, net (loss) income, net (loss) income margin, gross profit, gross margin, or any other measure derived in accordance with GAAP.</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Arial" w:hAnsi="Arial"/>
          <w:i/>
          <w:color w:val="000000"/>
          <w:sz w:val="22"/>
        </w:rPr>
        <w:t>We define Unlevered Free Cash Flow as net cash provided by operating activities less purchases of property, equipment and other assets, plus cash interest expense, and cash payments related to transaction, integration, and restructuring related expenses, earnouts, and other non-core items. Unlevered Free Cash Flow does not represent residual cash flow available for discretionary expenditures since, among other things, we have mandatory debt service requirements.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Arial" w:hAnsi="Arial"/>
          <w:i/>
          <w:color w:val="000000"/>
          <w:sz w:val="22"/>
        </w:rPr>
        <w:t>We define EBITDA as earnings before debt-related costs, including interest expense (income), net, and loss on partial extinguishment of debt, income taxes and depreciation and amortization. Adjusted EBITDA is defined as EBITDA adjusted to exclude certain items of a significant or unusual nature, including other income, net, equity-based compensation, transaction, integration, and restructuring expenses, goodwill impairments and other non-core expenses. Adjusted EBITDA Margin is defined as Adjusted EBITDA as a percentage of revenue. Adjusted EBITDA and Adjusted EBITDA Margin are key metrics used by management and our board of directors to assess the profitability of our operations. We believe that Adjusted EBITDA and Adjusted EBITDA Margin provide useful information to help investors to assess our operating performance because these metrics eliminate non-core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rFonts w:ascii="Times New Roman" w:hAnsi="Times New Roman"/>
          <w:sz w:val="20"/>
        </w:rPr>
      </w:pPr>
      <w:r>
        <w:rPr>
          <w:rFonts w:ascii="Arial" w:hAnsi="Arial"/>
          <w:i/>
          <w:color w:val="000000"/>
          <w:sz w:val="22"/>
        </w:rPr>
        <w:t>and unusual items and non-cash expenses, which we do not consider indicative of ongoing operational performance. We believe that these metrics are helpful to investors in measuring the profitability of our operations on a consolidated level.</w:t>
      </w:r>
      <w:r>
        <w:rPr>
          <w:rFonts w:ascii="Times New Roman" w:hAnsi="Times New Roman"/>
          <w:color w:val="000000"/>
          <w:sz w:val="20"/>
        </w:rPr>
        <w:t xml:space="preserve"> </w:t>
      </w:r>
    </w:p>
    <w:p>
      <w:pPr>
        <w:pStyle w:val="TextBody"/>
        <w:bidi w:val="0"/>
        <w:spacing w:before="0" w:after="120"/>
        <w:jc w:val="both"/>
        <w:rPr>
          <w:rFonts w:ascii="Arial" w:hAnsi="Arial"/>
          <w:i/>
          <w:color w:val="000000"/>
          <w:sz w:val="22"/>
        </w:rPr>
      </w:pPr>
      <w:r>
        <w:rPr>
          <w:rFonts w:ascii="Arial" w:hAnsi="Arial"/>
          <w:i/>
          <w:color w:val="000000"/>
          <w:sz w:val="22"/>
        </w:rPr>
        <w:t>We define Adjusted Gross Profit as gross profit excluding acquisition-related amortization and equity-based compensation costs and Adjusted Gross Margin is defined as Adjusted Gross Profit as a percentage of revenue. Adjusted Gross Profit and Adjusted Gross Margin are key metrics used by management and our board of directors to assess our operations. We exclude acquisition-related depreciation and amortization expenses as they have no direct correlation to the cost of operating our business on an ongoing basis. A small portion of equity-based compensation is included in cost of revenue in accordance with GAAP but is excluded from our Adjusted Gross Profit calculations due to its non-cash nature.</w:t>
      </w:r>
    </w:p>
    <w:p>
      <w:pPr>
        <w:pStyle w:val="TextBody"/>
        <w:bidi w:val="0"/>
        <w:spacing w:before="0" w:after="120"/>
        <w:jc w:val="both"/>
        <w:rPr>
          <w:rFonts w:ascii="Arial" w:hAnsi="Arial"/>
          <w:i/>
          <w:color w:val="000000"/>
          <w:sz w:val="22"/>
        </w:rPr>
      </w:pPr>
      <w:r>
        <w:rPr>
          <w:rFonts w:ascii="Arial" w:hAnsi="Arial"/>
          <w:i/>
          <w:color w:val="000000"/>
          <w:sz w:val="22"/>
        </w:rPr>
        <w:t>We define Adjusted Operating Income as loss from operations plus acquisition related amortization, equity-based compensation, transaction, integration, and restructuring expenses, goodwill impairments and other non-core expenses.</w:t>
      </w:r>
    </w:p>
    <w:p>
      <w:pPr>
        <w:pStyle w:val="TextBody"/>
        <w:bidi w:val="0"/>
        <w:spacing w:before="0" w:after="120"/>
        <w:jc w:val="both"/>
        <w:rPr>
          <w:rFonts w:ascii="Times New Roman" w:hAnsi="Times New Roman"/>
          <w:sz w:val="20"/>
        </w:rPr>
      </w:pPr>
      <w:r>
        <w:rPr>
          <w:rFonts w:ascii="Arial" w:hAnsi="Arial"/>
          <w:i/>
          <w:color w:val="000000"/>
          <w:sz w:val="22"/>
        </w:rPr>
        <w:t>We define Adjusted Net Income as Adjusted Operating Income less interest (expense), income net, recurring income tax (provision) benefit, foreign currency gain (loss), and tax impacts of adjustments. We define Adjusted Net Income Per Diluted Share as Adjusted Net Income divided by diluted outstanding shares.</w:t>
      </w:r>
      <w:r>
        <w:rPr>
          <w:rFonts w:ascii="Times New Roman" w:hAnsi="Times New Roman"/>
          <w:color w:val="000000"/>
          <w:sz w:val="20"/>
        </w:rPr>
        <w:t xml:space="preserve"> </w:t>
      </w:r>
    </w:p>
    <w:p>
      <w:pPr>
        <w:pStyle w:val="TextBody"/>
        <w:bidi w:val="0"/>
        <w:spacing w:before="0" w:after="120"/>
        <w:jc w:val="both"/>
        <w:rPr>
          <w:rFonts w:ascii="Arial" w:hAnsi="Arial"/>
          <w:i/>
          <w:color w:val="000000"/>
          <w:sz w:val="22"/>
        </w:rPr>
      </w:pPr>
      <w:r>
        <w:rPr>
          <w:rFonts w:ascii="Arial" w:hAnsi="Arial"/>
          <w:i/>
          <w:color w:val="000000"/>
          <w:sz w:val="22"/>
        </w:rPr>
        <w:t>In evaluating our non-GAAP financial measures, you should be aware that in the future we may incur expenses similar to those eliminated in these presentations.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left"/>
        <w:rPr>
          <w:rFonts w:ascii="Times New Roman" w:hAnsi="Times New Roman"/>
          <w:sz w:val="20"/>
        </w:rPr>
      </w:pPr>
      <w:r>
        <w:rPr>
          <w:rFonts w:ascii="Arial" w:hAnsi="Arial"/>
          <w:b/>
          <w:color w:val="000000"/>
          <w:sz w:val="22"/>
        </w:rPr>
        <w:t>Investor Contact:</w:t>
      </w:r>
      <w:r>
        <w:rPr>
          <w:rFonts w:ascii="Times New Roman" w:hAnsi="Times New Roman"/>
          <w:color w:val="000000"/>
          <w:sz w:val="20"/>
        </w:rPr>
        <w:t xml:space="preserve"> </w:t>
      </w:r>
    </w:p>
    <w:p>
      <w:pPr>
        <w:pStyle w:val="TextBody"/>
        <w:bidi w:val="0"/>
        <w:jc w:val="left"/>
        <w:rPr>
          <w:rFonts w:ascii="Arial" w:hAnsi="Arial"/>
          <w:color w:val="000000"/>
          <w:sz w:val="22"/>
        </w:rPr>
      </w:pPr>
      <w:r>
        <w:rPr>
          <w:rFonts w:ascii="Arial" w:hAnsi="Arial"/>
          <w:color w:val="000000"/>
          <w:sz w:val="22"/>
        </w:rPr>
        <w:t>Brian Denyeau</w:t>
      </w:r>
    </w:p>
    <w:p>
      <w:pPr>
        <w:pStyle w:val="TextBody"/>
        <w:bidi w:val="0"/>
        <w:jc w:val="left"/>
        <w:rPr>
          <w:rFonts w:ascii="Times New Roman" w:hAnsi="Times New Roman"/>
          <w:sz w:val="20"/>
        </w:rPr>
      </w:pPr>
      <w:r>
        <w:rPr>
          <w:rFonts w:ascii="Arial" w:hAnsi="Arial"/>
          <w:color w:val="000000"/>
          <w:sz w:val="22"/>
        </w:rPr>
        <w:t>ICR for Definitive Healthcare</w:t>
      </w:r>
      <w:r>
        <w:rPr>
          <w:rFonts w:ascii="Times New Roman" w:hAnsi="Times New Roman"/>
          <w:color w:val="000000"/>
          <w:sz w:val="20"/>
        </w:rPr>
        <w:t xml:space="preserve"> </w:t>
      </w:r>
    </w:p>
    <w:p>
      <w:pPr>
        <w:pStyle w:val="TextBody"/>
        <w:bidi w:val="0"/>
        <w:jc w:val="left"/>
        <w:rPr>
          <w:rFonts w:ascii="Arial" w:hAnsi="Arial"/>
          <w:color w:val="0000FF"/>
          <w:sz w:val="22"/>
          <w:u w:val="single"/>
        </w:rPr>
      </w:pPr>
      <w:r>
        <w:rPr>
          <w:rFonts w:ascii="Arial" w:hAnsi="Arial"/>
          <w:color w:val="0000FF"/>
          <w:sz w:val="22"/>
          <w:u w:val="single"/>
        </w:rPr>
        <w:t>brian.denyeau@icrinc.com</w:t>
      </w:r>
    </w:p>
    <w:p>
      <w:pPr>
        <w:pStyle w:val="TextBody"/>
        <w:bidi w:val="0"/>
        <w:jc w:val="left"/>
        <w:rPr>
          <w:rFonts w:ascii="Arial" w:hAnsi="Arial"/>
          <w:color w:val="000000"/>
          <w:sz w:val="22"/>
        </w:rPr>
      </w:pPr>
      <w:r>
        <w:rPr>
          <w:rFonts w:ascii="Arial" w:hAnsi="Arial"/>
          <w:color w:val="000000"/>
          <w:sz w:val="22"/>
        </w:rPr>
        <w:t>646-277-1251</w:t>
      </w:r>
    </w:p>
    <w:p>
      <w:pPr>
        <w:pStyle w:val="TextBody"/>
        <w:bidi w:val="0"/>
        <w:spacing w:before="240" w:after="283"/>
        <w:jc w:val="left"/>
        <w:rPr>
          <w:rFonts w:ascii="Times New Roman" w:hAnsi="Times New Roman"/>
          <w:sz w:val="20"/>
        </w:rPr>
      </w:pPr>
      <w:r>
        <w:rPr>
          <w:rFonts w:ascii="Arial" w:hAnsi="Arial"/>
          <w:b/>
          <w:color w:val="000000"/>
          <w:sz w:val="22"/>
        </w:rPr>
        <w:t>Media Contact: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2"/>
        </w:rPr>
        <w:t xml:space="preserve">Bethany Swackhamer </w:t>
        <w:br/>
      </w:r>
      <w:r>
        <w:rPr>
          <w:rFonts w:ascii="Arial" w:hAnsi="Arial"/>
          <w:color w:val="0000FF"/>
          <w:sz w:val="22"/>
          <w:u w:val="single"/>
        </w:rPr>
        <w:t>bswackhamer@definitivehc.com</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6571"/>
        <w:gridCol w:w="246"/>
        <w:gridCol w:w="211"/>
        <w:gridCol w:w="931"/>
        <w:gridCol w:w="166"/>
        <w:gridCol w:w="246"/>
        <w:gridCol w:w="229"/>
        <w:gridCol w:w="1013"/>
        <w:gridCol w:w="592"/>
      </w:tblGrid>
      <w:tr>
        <w:trPr/>
        <w:tc>
          <w:tcPr>
            <w:tcW w:w="65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961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Definitive Healthcare Corp.</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Balance Sheets</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except number of shares and par value; unaudited)</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105,378</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184,786</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13,040</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contract costs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13,736</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370,172</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7,521</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contract costs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14,389</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297,933</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393,283</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770,145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1,089,389</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10,763</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40,896</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93,344</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161,161</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229,368</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7,586</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receivable agreements liability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49,511</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25,088</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9,449</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482,195</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 par value $0.001, 600,000,000 shares authorized, 104,746,981 and 113,953,554 shares issued and outstanding at June 30, 2025 and December 31, 2024, respectively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 par value $0.00001, 65,000,000 shares authorized, 38,395,357 shares issued and outstanding at June 30, 2025, and 39,439,198 and 39,375,806 shares issued and outstanding, respectively, at December 31, 2024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1,085,445</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deficit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(640,574</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162,819</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607,194</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 and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770,145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1,089,389</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83"/>
        <w:jc w:val="center"/>
        <w:rPr/>
      </w:pPr>
      <w:r>
        <w:rPr/>
        <w:t> </w:t>
      </w:r>
    </w:p>
    <w:tbl>
      <w:tblPr>
        <w:tblW w:w="11652" w:type="dxa"/>
        <w:jc w:val="left"/>
        <w:tblInd w:w="0" w:type="dxa"/>
        <w:tblLayout w:type="fixed"/>
        <w:tblCellMar>
          <w:top w:w="28" w:type="dxa"/>
          <w:left w:w="28" w:type="dxa"/>
          <w:bottom w:w="28" w:type="dxa"/>
          <w:right w:w="28" w:type="dxa"/>
        </w:tblCellMar>
      </w:tblPr>
      <w:tblGrid>
        <w:gridCol w:w="2551"/>
        <w:gridCol w:w="1346"/>
        <w:gridCol w:w="211"/>
        <w:gridCol w:w="1141"/>
        <w:gridCol w:w="266"/>
        <w:gridCol w:w="246"/>
        <w:gridCol w:w="211"/>
        <w:gridCol w:w="1141"/>
        <w:gridCol w:w="266"/>
        <w:gridCol w:w="246"/>
        <w:gridCol w:w="211"/>
        <w:gridCol w:w="1141"/>
        <w:gridCol w:w="266"/>
        <w:gridCol w:w="246"/>
        <w:gridCol w:w="211"/>
        <w:gridCol w:w="1141"/>
        <w:gridCol w:w="811"/>
      </w:tblGrid>
      <w:tr>
        <w:trPr/>
        <w:tc>
          <w:tcPr>
            <w:tcW w:w="255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0841"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Definitive Healthcare Corp.</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41"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Statements of Operations</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41"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except share amounts and per share data; unaudited)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60,750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63,737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119,941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127,217</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revenue:</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 xml:space="preserve">Cost of revenue exclusive of amortization </w:t>
            </w:r>
            <w:r>
              <w:rPr>
                <w:rFonts w:ascii="Times New Roman" w:hAnsi="Times New Roman"/>
                <w:color w:val="000000"/>
                <w:sz w:val="13"/>
              </w:rPr>
              <w:t>(1)</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5,337</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10,627</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Gross profit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50,454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90,373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100,836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expenses: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 xml:space="preserve">Sales and marketing </w:t>
            </w:r>
            <w:r>
              <w:rPr>
                <w:rFonts w:ascii="Times New Roman" w:hAnsi="Times New Roman"/>
                <w:color w:val="000000"/>
                <w:sz w:val="13"/>
              </w:rPr>
              <w:t>(1)</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43,305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 xml:space="preserve">Product development </w:t>
            </w:r>
            <w:r>
              <w:rPr>
                <w:rFonts w:ascii="Times New Roman" w:hAnsi="Times New Roman"/>
                <w:color w:val="000000"/>
                <w:sz w:val="13"/>
              </w:rPr>
              <w:t>(1)</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(1)</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Depreciation and amortization</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Transaction, integration, and restructuring expenses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Goodwill impairment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363,641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176,531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363,641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operating expenses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50,783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420,095</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279,329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486,726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Loss from operations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(369,641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(188,956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(385,890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income, net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(expense) income, net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Other (expense) income, net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44,240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other (expense) income, net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(4,639</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41,554</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14,168</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44,305</w:t>
            </w:r>
          </w:p>
        </w:tc>
        <w:tc>
          <w:tcPr>
            <w:tcW w:w="81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Net loss before income taxes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(328,087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(174,788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(341,585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(Provision for) benefit from income taxes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(306,187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(164,358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(318,905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(92,552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(49,579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(95,752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 attributable to Definitive Healthcare Corp.</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(7,551</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(213,635</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(114,779</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(223,153</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 per share of Class A Common Stock:</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Basic and diluted</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Class A Common Stock outstanding:</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Basic and diluted</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106,815,740</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117,750,392</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109,782,640</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117,591,956</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Amounts include equity-based compensation expense as follows:</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Cost of revenue</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Sales and marketing</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Product development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General and administrative</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3,898</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8,587</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Total equity-based compensation expense</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6,980</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8,842</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14,299</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24,424</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pPr>
      <w:r>
        <w:rPr/>
        <w:t> </w:t>
      </w:r>
    </w:p>
    <w:tbl>
      <w:tblPr>
        <w:tblW w:w="10607" w:type="dxa"/>
        <w:jc w:val="left"/>
        <w:tblInd w:w="0" w:type="dxa"/>
        <w:tblLayout w:type="fixed"/>
        <w:tblCellMar>
          <w:top w:w="28" w:type="dxa"/>
          <w:left w:w="28" w:type="dxa"/>
          <w:bottom w:w="28" w:type="dxa"/>
          <w:right w:w="28" w:type="dxa"/>
        </w:tblCellMar>
      </w:tblPr>
      <w:tblGrid>
        <w:gridCol w:w="1986"/>
        <w:gridCol w:w="946"/>
        <w:gridCol w:w="196"/>
        <w:gridCol w:w="691"/>
        <w:gridCol w:w="266"/>
        <w:gridCol w:w="246"/>
        <w:gridCol w:w="196"/>
        <w:gridCol w:w="751"/>
        <w:gridCol w:w="866"/>
        <w:gridCol w:w="846"/>
        <w:gridCol w:w="196"/>
        <w:gridCol w:w="751"/>
        <w:gridCol w:w="266"/>
        <w:gridCol w:w="246"/>
        <w:gridCol w:w="196"/>
        <w:gridCol w:w="751"/>
        <w:gridCol w:w="1211"/>
      </w:tblGrid>
      <w:tr>
        <w:trPr/>
        <w:tc>
          <w:tcPr>
            <w:tcW w:w="198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r>
      <w:tr>
        <w:trPr/>
        <w:tc>
          <w:tcPr>
            <w:tcW w:w="9396"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Definitive Healthcare Corp.</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96"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Statements of Cash Flows</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96"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unaudited)</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Cash flows provided by (used in)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Net loss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(9,265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(306,187</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(164,358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(318,905</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9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Adjustments to reconcile net loss to net cash provided by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Depreciation and amortization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603</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1,157</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198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Amortization of intangible assets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13,470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12,185</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26,696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24,315</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Amortization of deferred contract costs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3,988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3,828</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7,935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7,520</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198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Equity-based compensation</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6,980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8,842</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14,299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24,424</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Amortization of debt issuance costs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351</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198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(Recovery of) provision for doubtful accounts receivable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317</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528</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Loss on partial extinguishment of debt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198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Non-cash restructuring charges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1,047</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1,047</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Goodwill impairment charges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363,641</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176,531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363,641</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198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Tax receivable agreement remeasurement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2,901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(41,701</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(17,763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(43,968</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Changes in fair value of contingent consideration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270</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198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Deferred income taxes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(21,988</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(10,609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(22,835</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Changes in operating assets and liabilities: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198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Accounts receivable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5,523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12,201</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15,874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15,200</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Prepaid expenses and other assets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(2,859</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(4,230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(4,258</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198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Deferred contract costs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(2,465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(2,980</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(6,259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(5,679</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Contingent consideration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(602</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198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Accounts payable, accrued expenses, and other liabilities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(3,400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(2,058</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(12,145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(10,289</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Deferred revenue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(11,091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(11,026</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8,003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(1,288</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98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Net cash provided by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9,304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14,040</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35,370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30,629</w:t>
            </w:r>
          </w:p>
        </w:tc>
        <w:tc>
          <w:tcPr>
            <w:tcW w:w="1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Cash flows (used in) provided by investing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8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Purchases of property, equipment, and other assets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(2,293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(410</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(9,999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(676</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Purchases of short-term investments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(52,065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(40,120</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(64,065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(123,946</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198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Maturities of short-term investments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44,196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55,464</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147,447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129,052</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Cash paid for acquisitions, net of cash acquired</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(13,530</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98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Net cash (used in) provided by investing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(10,162</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14,934</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73,383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(9,100</w:t>
            </w:r>
          </w:p>
        </w:tc>
        <w:tc>
          <w:tcPr>
            <w:tcW w:w="1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Cash flows (used in) provided by financing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Repayments of term loan</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(2,188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(3,437</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(248,438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(6,875</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Proceeds from term loan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175,000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Payments of debt issuance costs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Taxes paid related to net share settlement of equity awards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(969</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(2,483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(6,775</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19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Repurchases of Class A Common Stock</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(19,076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(7,003</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(40,231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(7,003</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Payments of contingent consideration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(1,000</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198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Payments under tax receivable agreement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(13,767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(6,950</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Member distributions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(2,827</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(2,713</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(2,827</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(2,713</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98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Net cash used in financing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(24,700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(14,122</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(134,406</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(31,316</w:t>
            </w:r>
          </w:p>
        </w:tc>
        <w:tc>
          <w:tcPr>
            <w:tcW w:w="1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Net (decrease) increase in cash and cash equivalents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(25,558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14,852</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(25,653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(9,787</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198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Effect of exchange rate changes on cash and cash equivalents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(288</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Cash and cash equivalents, beginning of period</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106,099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105,994</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105,378</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130,976</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8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Cash and cash equivalents, end of period</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80,984</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120,901</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80,984</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120,901</w:t>
            </w:r>
          </w:p>
        </w:tc>
        <w:tc>
          <w:tcPr>
            <w:tcW w:w="1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Supplemental cash flow disclosures: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Cash paid during the period for:</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Interest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2,959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3,590</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5,201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7,232</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198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Income taxes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Acquisitions: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r>
      <w:tr>
        <w:trPr/>
        <w:tc>
          <w:tcPr>
            <w:tcW w:w="198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Net assets acquired, net of cash acquired</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13,675</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Working capital adjustment receivable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rFonts w:ascii="Times New Roman" w:hAnsi="Times New Roman"/>
                <w:color w:val="000000"/>
                <w:sz w:val="17"/>
              </w:rPr>
            </w:pPr>
            <w:r>
              <w:rPr>
                <w:rFonts w:ascii="Times New Roman" w:hAnsi="Times New Roman"/>
                <w:color w:val="000000"/>
                <w:sz w:val="17"/>
              </w:rPr>
              <w:t>)</w:t>
            </w:r>
          </w:p>
        </w:tc>
      </w:tr>
      <w:tr>
        <w:trPr/>
        <w:tc>
          <w:tcPr>
            <w:tcW w:w="198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Net cash paid for acquisitions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8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400"/>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13,530</w:t>
            </w:r>
          </w:p>
        </w:tc>
        <w:tc>
          <w:tcPr>
            <w:tcW w:w="1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Supplemental disclosure of non-cash investing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8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Capital expenditures included in accounts payable and accrued expenses and other liabilities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4,947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1,091</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4,947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1,091</w:t>
            </w:r>
          </w:p>
        </w:tc>
        <w:tc>
          <w:tcPr>
            <w:tcW w:w="1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Reconciliations of Non-GAAP Financial Measures to Closest GAAP Equivalent</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579"/>
        <w:gridCol w:w="232"/>
        <w:gridCol w:w="743"/>
        <w:gridCol w:w="292"/>
        <w:gridCol w:w="270"/>
        <w:gridCol w:w="232"/>
        <w:gridCol w:w="743"/>
        <w:gridCol w:w="1062"/>
        <w:gridCol w:w="1040"/>
        <w:gridCol w:w="232"/>
        <w:gridCol w:w="743"/>
        <w:gridCol w:w="292"/>
        <w:gridCol w:w="270"/>
        <w:gridCol w:w="232"/>
        <w:gridCol w:w="743"/>
        <w:gridCol w:w="500"/>
      </w:tblGrid>
      <w:tr>
        <w:trPr/>
        <w:tc>
          <w:tcPr>
            <w:tcW w:w="25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9705"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Reconciliation of GAAP Operating Cash Flow to Unlevered Free Cash Flow</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05"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unaudited)</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9,304</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14,040</w:t>
            </w:r>
          </w:p>
        </w:tc>
        <w:tc>
          <w:tcPr>
            <w:tcW w:w="10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35,370</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30,629</w:t>
            </w:r>
          </w:p>
        </w:tc>
        <w:tc>
          <w:tcPr>
            <w:tcW w:w="5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of property, equipment, and other assets</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w:t>
            </w:r>
          </w:p>
        </w:tc>
        <w:tc>
          <w:tcPr>
            <w:tcW w:w="2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06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c>
          <w:tcPr>
            <w:tcW w:w="1040"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(9,999</w:t>
            </w:r>
          </w:p>
        </w:tc>
        <w:tc>
          <w:tcPr>
            <w:tcW w:w="2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5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paid in cash</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w:t>
            </w:r>
          </w:p>
        </w:tc>
        <w:tc>
          <w:tcPr>
            <w:tcW w:w="106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7,232</w:t>
            </w:r>
          </w:p>
        </w:tc>
        <w:tc>
          <w:tcPr>
            <w:tcW w:w="5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Transaction, integration, and restructuring expenses paid in cash </w:t>
            </w:r>
            <w:r>
              <w:rPr>
                <w:rFonts w:ascii="Times New Roman" w:hAnsi="Times New Roman"/>
                <w:color w:val="000000"/>
                <w:sz w:val="13"/>
              </w:rPr>
              <w:t>(a)</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2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w:t>
            </w:r>
          </w:p>
        </w:tc>
        <w:tc>
          <w:tcPr>
            <w:tcW w:w="106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w:t>
            </w:r>
          </w:p>
        </w:tc>
        <w:tc>
          <w:tcPr>
            <w:tcW w:w="2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10,068</w:t>
            </w:r>
          </w:p>
        </w:tc>
        <w:tc>
          <w:tcPr>
            <w:tcW w:w="5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Earnout payment </w:t>
            </w:r>
            <w:r>
              <w:rPr>
                <w:rFonts w:ascii="Times New Roman" w:hAnsi="Times New Roman"/>
                <w:color w:val="000000"/>
                <w:sz w:val="13"/>
              </w:rPr>
              <w:t>(b)</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6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5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non-core items </w:t>
            </w:r>
            <w:r>
              <w:rPr>
                <w:rFonts w:ascii="Times New Roman" w:hAnsi="Times New Roman"/>
                <w:color w:val="000000"/>
                <w:sz w:val="13"/>
              </w:rPr>
              <w:t>(c)</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w:t>
            </w:r>
          </w:p>
        </w:tc>
        <w:tc>
          <w:tcPr>
            <w:tcW w:w="106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Unlevered Free Cash Flow</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11,478</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21,462</w:t>
            </w:r>
          </w:p>
        </w:tc>
        <w:tc>
          <w:tcPr>
            <w:tcW w:w="106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34,403</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49,765</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05" w:type="dxa"/>
            <w:gridSpan w:val="1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Transaction and integration expenses paid in cash primarily represent legal, accounting, and consulting expenses related to our acquisitions and strategic partnerships. Restructuring expenses paid in cash relate to our restructuring plans.</w:t>
              <w:br/>
              <w:t xml:space="preserve">(b) Earnout payment represents final settlement of contingent consideration included in cash flow from operations. </w:t>
              <w:br/>
              <w:t>(c) Non-core items represent expenses driven by events that are typically by nature one-time, non-operational, and unrelated to our core operations.</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pPr>
      <w:r>
        <w:rPr/>
        <w:t> </w:t>
      </w:r>
    </w:p>
    <w:tbl>
      <w:tblPr>
        <w:tblW w:w="10311" w:type="dxa"/>
        <w:jc w:val="left"/>
        <w:tblInd w:w="0" w:type="dxa"/>
        <w:tblLayout w:type="fixed"/>
        <w:tblCellMar>
          <w:top w:w="28" w:type="dxa"/>
          <w:left w:w="28" w:type="dxa"/>
          <w:bottom w:w="28" w:type="dxa"/>
          <w:right w:w="28" w:type="dxa"/>
        </w:tblCellMar>
      </w:tblPr>
      <w:tblGrid>
        <w:gridCol w:w="1496"/>
        <w:gridCol w:w="211"/>
        <w:gridCol w:w="1141"/>
        <w:gridCol w:w="266"/>
        <w:gridCol w:w="246"/>
        <w:gridCol w:w="211"/>
        <w:gridCol w:w="1141"/>
        <w:gridCol w:w="946"/>
        <w:gridCol w:w="946"/>
        <w:gridCol w:w="211"/>
        <w:gridCol w:w="1141"/>
        <w:gridCol w:w="246"/>
        <w:gridCol w:w="246"/>
        <w:gridCol w:w="211"/>
        <w:gridCol w:w="1141"/>
        <w:gridCol w:w="511"/>
      </w:tblGrid>
      <w:tr>
        <w:trPr/>
        <w:tc>
          <w:tcPr>
            <w:tcW w:w="1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800"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Reconciliation of GAAP Net Loss to Adjusted Net Income and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00"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GAAP Operating Loss to Adjusted Operating Income</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00"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except share and per share amounts; unaudited)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(306,187</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(164,358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(318,905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Income tax provision (benefit)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(21,900</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Interest expense (income),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Loss on partial extinguishment of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Other expense (income),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(41,600</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(16,297</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(44,240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Loss from operations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(369,641</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(188,956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(385,890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Amortization of intangible assets acquired through business combinations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11,173</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Equity-based compensation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8,842</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Transaction, integration, and restructuring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Goodwill impairment charge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363,641</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176,531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363,641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Other non-core items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Adjusted Operating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19,304</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Interest (expense) income,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Recurring income tax (provision) benefit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Foreign currency (loss) gain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Tax impacts of adjustments to net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(4,950</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Adjusted Net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9,676</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14,155</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16,648</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27,197</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Shares for Adjusted Net Income Per Diluted Share </w:t>
            </w:r>
            <w:r>
              <w:rPr>
                <w:rFonts w:ascii="Times New Roman" w:hAnsi="Times New Roman"/>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145,675,930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156,874,506</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148,721,063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156,754,602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Net Income Per Diluted Share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00" w:type="dxa"/>
            <w:gridSpan w:val="1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Adjusted Net Income Per Diluted Share is computed by giving effect to all potential weighted average Class A common stock and any securities that are convertible into Class A common stock, including Definitive OpCo units and restricted stock units. The dilutive effect of outstanding awards and convertible securities is reflected in diluted earnings per share by application of the treasury stock method assuming proceeds from unrecognized compensation as required by GAAP. Fully diluted shares are 158,527,020 and 165,731,986 as of June 30, 2025 and 2024, respectively.</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pPr>
      <w:r>
        <w:rPr/>
        <w:t> </w:t>
      </w:r>
    </w:p>
    <w:p>
      <w:pPr>
        <w:pStyle w:val="TextBody"/>
        <w:bidi w:val="0"/>
        <w:spacing w:before="0" w:after="240"/>
        <w:jc w:val="center"/>
        <w:rPr/>
      </w:pPr>
      <w:r>
        <w:rPr/>
        <w:t> </w:t>
      </w:r>
    </w:p>
    <w:tbl>
      <w:tblPr>
        <w:tblW w:w="10244" w:type="dxa"/>
        <w:jc w:val="left"/>
        <w:tblInd w:w="0" w:type="dxa"/>
        <w:tblLayout w:type="fixed"/>
        <w:tblCellMar>
          <w:top w:w="28" w:type="dxa"/>
          <w:left w:w="28" w:type="dxa"/>
          <w:bottom w:w="28" w:type="dxa"/>
          <w:right w:w="28" w:type="dxa"/>
        </w:tblCellMar>
      </w:tblPr>
      <w:tblGrid>
        <w:gridCol w:w="1201"/>
        <w:gridCol w:w="146"/>
        <w:gridCol w:w="196"/>
        <w:gridCol w:w="601"/>
        <w:gridCol w:w="146"/>
        <w:gridCol w:w="146"/>
        <w:gridCol w:w="243"/>
        <w:gridCol w:w="478"/>
        <w:gridCol w:w="271"/>
        <w:gridCol w:w="146"/>
        <w:gridCol w:w="196"/>
        <w:gridCol w:w="601"/>
        <w:gridCol w:w="146"/>
        <w:gridCol w:w="146"/>
        <w:gridCol w:w="243"/>
        <w:gridCol w:w="478"/>
        <w:gridCol w:w="271"/>
        <w:gridCol w:w="146"/>
        <w:gridCol w:w="196"/>
        <w:gridCol w:w="601"/>
        <w:gridCol w:w="146"/>
        <w:gridCol w:w="146"/>
        <w:gridCol w:w="243"/>
        <w:gridCol w:w="478"/>
        <w:gridCol w:w="271"/>
        <w:gridCol w:w="146"/>
        <w:gridCol w:w="196"/>
        <w:gridCol w:w="691"/>
        <w:gridCol w:w="146"/>
        <w:gridCol w:w="146"/>
        <w:gridCol w:w="243"/>
        <w:gridCol w:w="478"/>
        <w:gridCol w:w="316"/>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928" w:type="dxa"/>
            <w:gridSpan w:val="3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Reconciliation of GAAP Gross Profit and Margin to Adjusted Gross Profit and Margin</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28" w:type="dxa"/>
            <w:gridSpan w:val="3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except percentages; unaudited)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Reported gross profit</w:t>
            </w:r>
            <w:r>
              <w:rPr>
                <w:rFonts w:ascii="Times New Roman" w:hAnsi="Times New Roman"/>
                <w:color w:val="000000"/>
                <w:sz w:val="18"/>
              </w:rPr>
              <w:t xml:space="preserve"> </w:t>
            </w:r>
            <w:r>
              <w:rPr>
                <w:rFonts w:ascii="Times New Roman" w:hAnsi="Times New Roman"/>
                <w:b/>
                <w:color w:val="000000"/>
                <w:sz w:val="18"/>
              </w:rPr>
              <w:t>and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intangible assets acquired through business</w:t>
              <w:br/>
              <w:t>   combinations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compensation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gross profit and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97,054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106,226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pPr>
      <w:r>
        <w:rPr/>
        <w:t> </w:t>
      </w:r>
    </w:p>
    <w:tbl>
      <w:tblPr>
        <w:tblW w:w="10478" w:type="dxa"/>
        <w:jc w:val="left"/>
        <w:tblInd w:w="0" w:type="dxa"/>
        <w:tblLayout w:type="fixed"/>
        <w:tblCellMar>
          <w:top w:w="28" w:type="dxa"/>
          <w:left w:w="28" w:type="dxa"/>
          <w:bottom w:w="28" w:type="dxa"/>
          <w:right w:w="28" w:type="dxa"/>
        </w:tblCellMar>
      </w:tblPr>
      <w:tblGrid>
        <w:gridCol w:w="1201"/>
        <w:gridCol w:w="196"/>
        <w:gridCol w:w="601"/>
        <w:gridCol w:w="166"/>
        <w:gridCol w:w="146"/>
        <w:gridCol w:w="213"/>
        <w:gridCol w:w="508"/>
        <w:gridCol w:w="256"/>
        <w:gridCol w:w="146"/>
        <w:gridCol w:w="196"/>
        <w:gridCol w:w="751"/>
        <w:gridCol w:w="166"/>
        <w:gridCol w:w="146"/>
        <w:gridCol w:w="180"/>
        <w:gridCol w:w="541"/>
        <w:gridCol w:w="256"/>
        <w:gridCol w:w="146"/>
        <w:gridCol w:w="196"/>
        <w:gridCol w:w="751"/>
        <w:gridCol w:w="166"/>
        <w:gridCol w:w="146"/>
        <w:gridCol w:w="180"/>
        <w:gridCol w:w="541"/>
        <w:gridCol w:w="256"/>
        <w:gridCol w:w="146"/>
        <w:gridCol w:w="196"/>
        <w:gridCol w:w="751"/>
        <w:gridCol w:w="166"/>
        <w:gridCol w:w="146"/>
        <w:gridCol w:w="180"/>
        <w:gridCol w:w="541"/>
        <w:gridCol w:w="301"/>
      </w:tblGrid>
      <w:tr>
        <w:trPr/>
        <w:tc>
          <w:tcPr>
            <w:tcW w:w="12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0177" w:type="dxa"/>
            <w:gridSpan w:val="3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Reconciliation of GAAP Net Loss and Margin to Adjusted EBITDA and Margin</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177" w:type="dxa"/>
            <w:gridSpan w:val="3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except percentages; unaudited)</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 and margin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(income), net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(benefit from) income taxes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partial extinguishment of debt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&amp; amortization</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EBITDA and margin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Other expense (income), net </w:t>
            </w:r>
            <w:r>
              <w:rPr>
                <w:rFonts w:ascii="Times New Roman" w:hAnsi="Times New Roman"/>
                <w:color w:val="000000"/>
                <w:sz w:val="12"/>
              </w:rPr>
              <w:t>(a)</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Equity-based compensation </w:t>
            </w:r>
            <w:r>
              <w:rPr>
                <w:rFonts w:ascii="Times New Roman" w:hAnsi="Times New Roman"/>
                <w:color w:val="000000"/>
                <w:sz w:val="12"/>
              </w:rPr>
              <w:t>(b)</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Transaction, integration, and restructuring expenses </w:t>
            </w:r>
            <w:r>
              <w:rPr>
                <w:rFonts w:ascii="Times New Roman" w:hAnsi="Times New Roman"/>
                <w:color w:val="000000"/>
                <w:sz w:val="12"/>
              </w:rPr>
              <w:t>(c)</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Goodwill impairment </w:t>
            </w:r>
            <w:r>
              <w:rPr>
                <w:rFonts w:ascii="Times New Roman" w:hAnsi="Times New Roman"/>
                <w:color w:val="000000"/>
                <w:sz w:val="12"/>
              </w:rPr>
              <w:t>(d)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363,641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363,641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Other non-core items </w:t>
            </w:r>
            <w:r>
              <w:rPr>
                <w:rFonts w:ascii="Times New Roman" w:hAnsi="Times New Roman"/>
                <w:color w:val="000000"/>
                <w:sz w:val="12"/>
              </w:rPr>
              <w:t>(e)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EBITDA and margin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77" w:type="dxa"/>
            <w:gridSpan w:val="31"/>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Primarily represents foreign exchange and Tax Receivable Agreement liability remeasurement gains and losses.</w:t>
              <w:br/>
              <w:t>(b) Equity-based compensation represents non-cash compensation expense recognized in association with equity awards made to employees and directors.</w:t>
              <w:br/>
              <w:t>(c) Transaction and integration expenses primarily represent legal, accounting, and consulting expenses and fair value adjustments for contingent consideration related to our acquisitions and strategic partnerships. Restructuring expenses relate to the 2024 Restructuring Plan as well as impairment and restructuring charges related to office closures, relocations, and consolidations.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28"/>
        <w:gridCol w:w="546"/>
        <w:gridCol w:w="223"/>
        <w:gridCol w:w="446"/>
        <w:gridCol w:w="260"/>
        <w:gridCol w:w="260"/>
        <w:gridCol w:w="223"/>
        <w:gridCol w:w="605"/>
        <w:gridCol w:w="546"/>
        <w:gridCol w:w="546"/>
        <w:gridCol w:w="211"/>
        <w:gridCol w:w="571"/>
        <w:gridCol w:w="266"/>
        <w:gridCol w:w="246"/>
        <w:gridCol w:w="211"/>
        <w:gridCol w:w="676"/>
        <w:gridCol w:w="646"/>
        <w:gridCol w:w="695"/>
      </w:tblGrid>
      <w:tr>
        <w:trPr/>
        <w:tc>
          <w:tcPr>
            <w:tcW w:w="302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30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Merger and acquisition due diligence and transaction costs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Integration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0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Fair value adjustment for contingent consideration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0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Restructuring charges for severance and other separation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7,819</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0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Office closure and relocation restructuring charges and impairments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0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transaction, integration and restructuring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11,385</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Goodwill impairment represents non-cash, pre-tax, goodwill impairment charges. We experienced declines in our market capitalization as a result of a sustained decrease in our stock price, which represented a triggering event requiring our management to perform a quantitative goodwill impairment test as of the end of the first quarter of 2025. As a result of the impairment test conducted, we determined that the fair value of our single reporting unit was lower than its carrying value and, accordingly, recorded the impairment charge.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 Other non-core items represent expenses driven by events that are typically by nature one-time, non-operational, and/or unrelated to our core operations. These expenses are comprised of non-core legal and regulatory costs isolated to unique and extraordinary litigation, legal and regulatory matters that are not considered normal and recurring business activity, including sales tax accrual adjustments inclusive of penalties and interest for sales taxes that we may have been required to collect from customers in certain previous years, and other non-recurring legal and regulatory matters. Other non-core items also include consulting fees and severance costs associated with strategic transition initiatives, as well as professional fees related to financing, capital structure changes, and other non-recurring items.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24"/>
        <w:gridCol w:w="546"/>
        <w:gridCol w:w="226"/>
        <w:gridCol w:w="451"/>
        <w:gridCol w:w="263"/>
        <w:gridCol w:w="263"/>
        <w:gridCol w:w="226"/>
        <w:gridCol w:w="612"/>
        <w:gridCol w:w="546"/>
        <w:gridCol w:w="546"/>
        <w:gridCol w:w="211"/>
        <w:gridCol w:w="572"/>
        <w:gridCol w:w="246"/>
        <w:gridCol w:w="246"/>
        <w:gridCol w:w="211"/>
        <w:gridCol w:w="572"/>
        <w:gridCol w:w="646"/>
        <w:gridCol w:w="698"/>
      </w:tblGrid>
      <w:tr>
        <w:trPr/>
        <w:tc>
          <w:tcPr>
            <w:tcW w:w="312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Non-core legal and regulatory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Consulting and severance costs for strategic transition initiatives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26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non-core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non-core items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5367</Words>
  <Characters>29764</Characters>
  <CharactersWithSpaces>36061</CharactersWithSpaces>
  <Paragraphs>3547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