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Definitive Healthcare Corp.</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CLASS A COMMON STOCK, $0.001 PAR VALUE PER SHARE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24477E103</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1080" w:hanging="243"/>
        <w:spacing w:after="0"/>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6" w:lineRule="exact"/>
        <w:rPr>
          <w:rFonts w:ascii="MS PGothic" w:cs="MS PGothic" w:eastAsia="MS PGothic" w:hAnsi="MS PGothic"/>
          <w:sz w:val="22"/>
          <w:szCs w:val="22"/>
          <w:color w:val="auto"/>
        </w:rPr>
      </w:pPr>
    </w:p>
    <w:p>
      <w:pPr>
        <w:ind w:left="1080" w:hanging="243"/>
        <w:spacing w:after="0"/>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1080" w:hanging="243"/>
        <w:spacing w:after="0"/>
        <w:tabs>
          <w:tab w:leader="none" w:pos="1080" w:val="left"/>
        </w:tabs>
        <w:numPr>
          <w:ilvl w:val="1"/>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0" w:lineRule="exact"/>
        <w:rPr>
          <w:rFonts w:ascii="MS PGothic" w:cs="MS PGothic" w:eastAsia="MS PGothic" w:hAnsi="MS PGothic"/>
          <w:sz w:val="22"/>
          <w:szCs w:val="22"/>
          <w:color w:val="auto"/>
        </w:rPr>
      </w:pPr>
    </w:p>
    <w:p>
      <w:pPr>
        <w:ind w:left="180" w:right="200" w:hanging="162"/>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Corporation</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7"/>
              </w:rPr>
              <w:t>62,493,676</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87"/>
              </w:rPr>
              <w:t>62,493,676</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62,493,676</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64.4%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CO</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82"/>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 of 57 Pages</w:t>
            </w:r>
          </w:p>
        </w:tc>
      </w:tr>
    </w:tbl>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tcPr>
          <w:p>
            <w:pPr>
              <w:spacing w:after="0"/>
              <w:rPr>
                <w:sz w:val="22"/>
                <w:szCs w:val="22"/>
                <w:color w:val="auto"/>
              </w:rPr>
            </w:pPr>
          </w:p>
        </w:tc>
        <w:tc>
          <w:tcPr>
            <w:tcW w:w="972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5"/>
            <w:vMerge w:val="restart"/>
          </w:tcPr>
          <w:p>
            <w:pPr>
              <w:ind w:left="40"/>
              <w:spacing w:after="0"/>
              <w:rPr>
                <w:sz w:val="20"/>
                <w:szCs w:val="20"/>
                <w:color w:val="auto"/>
              </w:rPr>
            </w:pPr>
            <w:r>
              <w:rPr>
                <w:rFonts w:ascii="Arial" w:cs="Arial" w:eastAsia="Arial" w:hAnsi="Arial"/>
                <w:sz w:val="22"/>
                <w:szCs w:val="22"/>
                <w:b w:val="1"/>
                <w:bCs w:val="1"/>
                <w:color w:val="auto"/>
              </w:rPr>
              <w:t>Advent International GPE IX,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00" w:type="dxa"/>
            <w:vAlign w:val="bottom"/>
            <w:tcBorders>
              <w:left w:val="single" w:sz="8" w:color="auto"/>
              <w:right w:val="single" w:sz="8" w:color="auto"/>
            </w:tcBorders>
          </w:tcPr>
          <w:p>
            <w:pPr>
              <w:spacing w:after="0"/>
              <w:rPr>
                <w:sz w:val="7"/>
                <w:szCs w:val="7"/>
                <w:color w:val="auto"/>
              </w:rPr>
            </w:pPr>
          </w:p>
        </w:tc>
        <w:tc>
          <w:tcPr>
            <w:tcW w:w="9720" w:type="dxa"/>
            <w:vAlign w:val="bottom"/>
            <w:gridSpan w:val="5"/>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9620" w:type="dxa"/>
            <w:vAlign w:val="bottom"/>
            <w:tcBorders>
              <w:bottom w:val="single" w:sz="8" w:color="auto"/>
            </w:tcBorders>
            <w:gridSpan w:val="4"/>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2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22"/>
                <w:szCs w:val="22"/>
                <w:color w:val="auto"/>
              </w:rPr>
              <w:t>46,251,909</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22"/>
                <w:szCs w:val="22"/>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Arial" w:cs="Arial" w:eastAsia="Arial" w:hAnsi="Arial"/>
                <w:sz w:val="22"/>
                <w:szCs w:val="22"/>
                <w:color w:val="auto"/>
              </w:rPr>
              <w:t>46,251,909</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0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22"/>
                <w:szCs w:val="22"/>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300" w:type="dxa"/>
            <w:vAlign w:val="bottom"/>
            <w:gridSpan w:val="2"/>
            <w:vMerge w:val="restart"/>
          </w:tcPr>
          <w:p>
            <w:pPr>
              <w:ind w:left="40"/>
              <w:spacing w:after="0"/>
              <w:rPr>
                <w:sz w:val="20"/>
                <w:szCs w:val="20"/>
                <w:color w:val="auto"/>
              </w:rPr>
            </w:pPr>
            <w:r>
              <w:rPr>
                <w:rFonts w:ascii="Arial" w:cs="Arial" w:eastAsia="Arial" w:hAnsi="Arial"/>
                <w:sz w:val="22"/>
                <w:szCs w:val="22"/>
                <w:color w:val="auto"/>
              </w:rPr>
              <w:t>46,251,909</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300" w:type="dxa"/>
            <w:vAlign w:val="bottom"/>
            <w:gridSpan w:val="2"/>
            <w:vMerge w:val="restart"/>
          </w:tcPr>
          <w:p>
            <w:pPr>
              <w:ind w:left="40"/>
              <w:spacing w:after="0"/>
              <w:rPr>
                <w:sz w:val="20"/>
                <w:szCs w:val="20"/>
                <w:color w:val="auto"/>
              </w:rPr>
            </w:pPr>
            <w:r>
              <w:rPr>
                <w:rFonts w:ascii="Arial" w:cs="Arial" w:eastAsia="Arial" w:hAnsi="Arial"/>
                <w:sz w:val="22"/>
                <w:szCs w:val="22"/>
                <w:color w:val="auto"/>
              </w:rPr>
              <w:t>47.7% (1)</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320" w:type="dxa"/>
            <w:vAlign w:val="bottom"/>
            <w:tcBorders>
              <w:bottom w:val="single" w:sz="8" w:color="auto"/>
            </w:tcBorders>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tcPr>
          <w:p>
            <w:pPr>
              <w:spacing w:after="0"/>
              <w:rPr>
                <w:sz w:val="20"/>
                <w:szCs w:val="20"/>
                <w:color w:val="auto"/>
              </w:rPr>
            </w:pPr>
          </w:p>
        </w:tc>
        <w:tc>
          <w:tcPr>
            <w:tcW w:w="972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20" w:type="dxa"/>
            <w:vAlign w:val="bottom"/>
            <w:gridSpan w:val="3"/>
            <w:vMerge w:val="restart"/>
          </w:tcPr>
          <w:p>
            <w:pPr>
              <w:ind w:left="40"/>
              <w:spacing w:after="0"/>
              <w:rPr>
                <w:sz w:val="20"/>
                <w:szCs w:val="20"/>
                <w:color w:val="auto"/>
              </w:rPr>
            </w:pPr>
            <w:r>
              <w:rPr>
                <w:rFonts w:ascii="Arial" w:cs="Arial" w:eastAsia="Arial" w:hAnsi="Arial"/>
                <w:sz w:val="22"/>
                <w:szCs w:val="22"/>
                <w:color w:val="auto"/>
              </w:rPr>
              <w:t>OO</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00" w:type="dxa"/>
            <w:vAlign w:val="bottom"/>
            <w:tcBorders>
              <w:left w:val="single" w:sz="8" w:color="auto"/>
              <w:right w:val="single" w:sz="8" w:color="auto"/>
            </w:tcBorders>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4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GPE IX GP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7"/>
              </w:rPr>
              <w:t>36,492,659</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87"/>
              </w:rPr>
              <w:t>36,492,659</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36,492,659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37.6%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3"/>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7"/>
              </w:rPr>
              <w:t>16,955,510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4"/>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4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3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3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87"/>
              </w:rPr>
              <w:t>16,955,510</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3820" w:type="dxa"/>
            <w:vAlign w:val="bottom"/>
          </w:tcPr>
          <w:p>
            <w:pPr>
              <w:spacing w:after="0"/>
              <w:rPr>
                <w:sz w:val="22"/>
                <w:szCs w:val="22"/>
                <w:color w:val="auto"/>
              </w:rPr>
            </w:pPr>
          </w:p>
        </w:tc>
        <w:tc>
          <w:tcPr>
            <w:tcW w:w="3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16,955,510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17.5%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6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IX-B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3,359,809</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3,359,809</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3,359,809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3.5%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7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IX-C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1,394,766</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1,394,766</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1,394,766</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1.4%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8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6"/>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6"/>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6"/>
            <w:vMerge w:val="restart"/>
          </w:tcPr>
          <w:p>
            <w:pPr>
              <w:ind w:left="20"/>
              <w:spacing w:after="0"/>
              <w:rPr>
                <w:sz w:val="20"/>
                <w:szCs w:val="20"/>
                <w:color w:val="auto"/>
              </w:rPr>
            </w:pPr>
            <w:r>
              <w:rPr>
                <w:rFonts w:ascii="Arial" w:cs="Arial" w:eastAsia="Arial" w:hAnsi="Arial"/>
                <w:sz w:val="22"/>
                <w:szCs w:val="22"/>
                <w:b w:val="1"/>
                <w:bCs w:val="1"/>
                <w:color w:val="auto"/>
              </w:rPr>
              <w:t>Advent International GPE IX-F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6"/>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6"/>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6"/>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4"/>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6"/>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6"/>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6"/>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1,463,380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24"/>
                <w:szCs w:val="24"/>
                <w:color w:val="auto"/>
              </w:rPr>
            </w:pPr>
          </w:p>
        </w:tc>
        <w:tc>
          <w:tcPr>
            <w:tcW w:w="4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40" w:type="dxa"/>
            <w:vAlign w:val="bottom"/>
            <w:tcBorders>
              <w:righ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3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1,463,380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2"/>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42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right w:val="single" w:sz="8" w:color="auto"/>
            </w:tcBorders>
            <w:gridSpan w:val="2"/>
          </w:tcPr>
          <w:p>
            <w:pPr>
              <w:spacing w:after="0"/>
              <w:rPr>
                <w:sz w:val="24"/>
                <w:szCs w:val="24"/>
                <w:color w:val="auto"/>
              </w:rPr>
            </w:pPr>
          </w:p>
        </w:tc>
        <w:tc>
          <w:tcPr>
            <w:tcW w:w="856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7"/>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3"/>
            <w:vMerge w:val="restart"/>
          </w:tcPr>
          <w:p>
            <w:pPr>
              <w:ind w:left="20"/>
              <w:spacing w:after="0"/>
              <w:rPr>
                <w:sz w:val="20"/>
                <w:szCs w:val="20"/>
                <w:color w:val="auto"/>
              </w:rPr>
            </w:pPr>
            <w:r>
              <w:rPr>
                <w:rFonts w:ascii="Arial" w:cs="Arial" w:eastAsia="Arial" w:hAnsi="Arial"/>
                <w:sz w:val="22"/>
                <w:szCs w:val="22"/>
                <w:color w:val="auto"/>
              </w:rPr>
              <w:t>1,463,380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7"/>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6"/>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820" w:type="dxa"/>
            <w:vAlign w:val="bottom"/>
            <w:gridSpan w:val="2"/>
            <w:vMerge w:val="restart"/>
          </w:tcPr>
          <w:p>
            <w:pPr>
              <w:ind w:left="20"/>
              <w:spacing w:after="0"/>
              <w:rPr>
                <w:sz w:val="20"/>
                <w:szCs w:val="20"/>
                <w:color w:val="auto"/>
              </w:rPr>
            </w:pPr>
            <w:r>
              <w:rPr>
                <w:rFonts w:ascii="Arial" w:cs="Arial" w:eastAsia="Arial" w:hAnsi="Arial"/>
                <w:sz w:val="22"/>
                <w:szCs w:val="22"/>
                <w:color w:val="auto"/>
                <w:w w:val="93"/>
              </w:rPr>
              <w:t>1.5% (1)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6"/>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820" w:type="dxa"/>
            <w:vAlign w:val="bottom"/>
            <w:gridSpan w:val="2"/>
            <w:vMerge w:val="restart"/>
          </w:tcPr>
          <w:p>
            <w:pPr>
              <w:ind w:left="20"/>
              <w:spacing w:after="0"/>
              <w:rPr>
                <w:sz w:val="20"/>
                <w:szCs w:val="20"/>
                <w:color w:val="auto"/>
              </w:rPr>
            </w:pPr>
            <w:r>
              <w:rPr>
                <w:rFonts w:ascii="Arial" w:cs="Arial" w:eastAsia="Arial" w:hAnsi="Arial"/>
                <w:sz w:val="22"/>
                <w:szCs w:val="22"/>
                <w:color w:val="auto"/>
              </w:rPr>
              <w:t>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9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7"/>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IX-G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20" w:type="dxa"/>
            <w:vAlign w:val="bottom"/>
            <w:tcBorders>
              <w:right w:val="single" w:sz="8" w:color="auto"/>
            </w:tcBorders>
          </w:tcPr>
          <w:p>
            <w:pPr>
              <w:spacing w:after="0"/>
              <w:rPr>
                <w:sz w:val="6"/>
                <w:szCs w:val="6"/>
                <w:color w:val="auto"/>
              </w:rPr>
            </w:pPr>
          </w:p>
        </w:tc>
        <w:tc>
          <w:tcPr>
            <w:tcW w:w="6140" w:type="dxa"/>
            <w:vAlign w:val="bottom"/>
            <w:gridSpan w:val="5"/>
            <w:vMerge w:val="continue"/>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3"/>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4,815,226</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4"/>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40" w:type="dxa"/>
            <w:vAlign w:val="bottom"/>
            <w:tcBorders>
              <w:right w:val="single" w:sz="8" w:color="auto"/>
            </w:tcBorders>
            <w:gridSpan w:val="2"/>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37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40" w:type="dxa"/>
            <w:vAlign w:val="bottom"/>
            <w:tcBorders>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820" w:type="dxa"/>
            <w:vAlign w:val="bottom"/>
          </w:tcPr>
          <w:p>
            <w:pPr>
              <w:spacing w:after="0"/>
              <w:rPr>
                <w:sz w:val="5"/>
                <w:szCs w:val="5"/>
                <w:color w:val="auto"/>
              </w:rPr>
            </w:pPr>
          </w:p>
        </w:tc>
        <w:tc>
          <w:tcPr>
            <w:tcW w:w="3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4,815,226</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62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3820" w:type="dxa"/>
            <w:vAlign w:val="bottom"/>
          </w:tcPr>
          <w:p>
            <w:pPr>
              <w:spacing w:after="0"/>
              <w:rPr>
                <w:sz w:val="22"/>
                <w:szCs w:val="22"/>
                <w:color w:val="auto"/>
              </w:rPr>
            </w:pPr>
          </w:p>
        </w:tc>
        <w:tc>
          <w:tcPr>
            <w:tcW w:w="3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4,815,226</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5.0%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10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IX-H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5,428,915</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5,428,915</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5,428,915</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5.6%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11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IX-I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3,075,053</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3,075,053</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3,075,053</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3.2%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12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GPE IX GP S.à r.l</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Luxembourg</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8,301,241</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8,301,241</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8,301,241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8.6%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CO</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13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IX-A SCSp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Luxembourg</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4,985,850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4,985,850</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4,985,850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5.1%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14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IX-D SCSp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Luxembourg</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1,061,241</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1,061,241</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1,061,241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1.1%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15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IX-E SCSp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Luxembourg</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2,156,723</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2,156,723</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2,156,723</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2.2%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16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International GPE IX Strategic Investors SCSp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Luxembourg</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97,427</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97,427</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620" w:type="dxa"/>
            <w:vAlign w:val="bottom"/>
            <w:vMerge w:val="restart"/>
          </w:tcPr>
          <w:p>
            <w:pPr>
              <w:ind w:left="20"/>
              <w:spacing w:after="0"/>
              <w:rPr>
                <w:sz w:val="20"/>
                <w:szCs w:val="20"/>
                <w:color w:val="auto"/>
              </w:rPr>
            </w:pPr>
            <w:r>
              <w:rPr>
                <w:rFonts w:ascii="Arial" w:cs="Arial" w:eastAsia="Arial" w:hAnsi="Arial"/>
                <w:sz w:val="22"/>
                <w:szCs w:val="22"/>
                <w:color w:val="auto"/>
                <w:w w:val="83"/>
              </w:rPr>
              <w:t>97,427</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0.1%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17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AP GPE IX GP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1,458,009</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1,458,009</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1,458,009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1.5%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18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Partners GPE IX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55,642</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55,642</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620" w:type="dxa"/>
            <w:vAlign w:val="bottom"/>
            <w:vMerge w:val="restart"/>
          </w:tcPr>
          <w:p>
            <w:pPr>
              <w:ind w:left="20"/>
              <w:spacing w:after="0"/>
              <w:rPr>
                <w:sz w:val="20"/>
                <w:szCs w:val="20"/>
                <w:color w:val="auto"/>
              </w:rPr>
            </w:pPr>
            <w:r>
              <w:rPr>
                <w:rFonts w:ascii="Arial" w:cs="Arial" w:eastAsia="Arial" w:hAnsi="Arial"/>
                <w:sz w:val="22"/>
                <w:szCs w:val="22"/>
                <w:color w:val="auto"/>
                <w:w w:val="83"/>
              </w:rPr>
              <w:t>55,642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0.1%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19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Partners GPE IX-A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128,669</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128,669</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128,669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0.1%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20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Partners GPE IX Cayman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321,070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321,070</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321,070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0.3%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21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Partners GPE IX-A Cayman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54,121</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54,121</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620" w:type="dxa"/>
            <w:vAlign w:val="bottom"/>
            <w:vMerge w:val="restart"/>
          </w:tcPr>
          <w:p>
            <w:pPr>
              <w:ind w:left="20"/>
              <w:spacing w:after="0"/>
              <w:rPr>
                <w:sz w:val="20"/>
                <w:szCs w:val="20"/>
                <w:color w:val="auto"/>
              </w:rPr>
            </w:pPr>
            <w:r>
              <w:rPr>
                <w:rFonts w:ascii="Arial" w:cs="Arial" w:eastAsia="Arial" w:hAnsi="Arial"/>
                <w:sz w:val="22"/>
                <w:szCs w:val="22"/>
                <w:color w:val="auto"/>
                <w:w w:val="83"/>
              </w:rPr>
              <w:t>54,121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0.1%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22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Partners GPE IX-B Cayman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898,507</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898,507</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898,507</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0.9%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23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Global Technology LLC</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7"/>
              </w:rPr>
              <w:t>12,617,980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87"/>
              </w:rPr>
              <w:t>12,617,980</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12,617,980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13.0%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OO</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24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Global Technology GP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7"/>
              </w:rPr>
              <w:t>10,326,106</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87"/>
              </w:rPr>
              <w:t>10,326,106</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10,326,106</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10.6%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25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Global Technology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3,818,770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3,818,770</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3,818,770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3.9%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26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Global Technology-B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7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420" w:type="dxa"/>
            <w:vAlign w:val="bottom"/>
            <w:tcBorders>
              <w:right w:val="single" w:sz="8" w:color="auto"/>
            </w:tcBorders>
            <w:vMerge w:val="continue"/>
          </w:tcPr>
          <w:p>
            <w:pPr>
              <w:spacing w:after="0"/>
              <w:rPr>
                <w:sz w:val="17"/>
                <w:szCs w:val="17"/>
                <w:color w:val="auto"/>
              </w:rPr>
            </w:pP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420" w:type="dxa"/>
            <w:vAlign w:val="bottom"/>
            <w:tcBorders>
              <w:right w:val="single" w:sz="8" w:color="auto"/>
            </w:tcBorders>
          </w:tcPr>
          <w:p>
            <w:pPr>
              <w:spacing w:after="0"/>
              <w:rPr>
                <w:sz w:val="6"/>
                <w:szCs w:val="6"/>
                <w:color w:val="auto"/>
              </w:rPr>
            </w:pPr>
          </w:p>
        </w:tc>
        <w:tc>
          <w:tcPr>
            <w:tcW w:w="6140" w:type="dxa"/>
            <w:vAlign w:val="bottom"/>
            <w:gridSpan w:val="5"/>
            <w:vMerge w:val="continue"/>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2,971,879</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2,971,879</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2,971,879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3.1%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27 of 57 Pages</w:t>
            </w:r>
          </w:p>
        </w:tc>
        <w:tc>
          <w:tcPr>
            <w:tcW w:w="0" w:type="dxa"/>
            <w:vAlign w:val="bottom"/>
          </w:tcPr>
          <w:p>
            <w:pPr>
              <w:spacing w:after="0"/>
              <w:rPr>
                <w:sz w:val="1"/>
                <w:szCs w:val="1"/>
                <w:color w:val="auto"/>
              </w:rPr>
            </w:pPr>
          </w:p>
        </w:tc>
      </w:tr>
      <w:tr>
        <w:trPr>
          <w:trHeight w:val="175"/>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Global Technology-C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1,609,070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1,609,070</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1,609,070</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1.7%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28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Global Technology-D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1,926,387</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1,926,387</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1,926,387</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2.0%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29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Global Technology GP S.à r.l.</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Luxembourg</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1,885,069</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1,885,069</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1,885,069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1.9%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CO</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30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Global Technology-A SCSP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Luxembourg</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1,885,069</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1,885,069</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1,885,069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1.9%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31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AP AGT GP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406,805</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406,805</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406,805</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0.4%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32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Partners AGT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31,561</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31,561</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620" w:type="dxa"/>
            <w:vAlign w:val="bottom"/>
            <w:vMerge w:val="restart"/>
          </w:tcPr>
          <w:p>
            <w:pPr>
              <w:ind w:left="20"/>
              <w:spacing w:after="0"/>
              <w:rPr>
                <w:sz w:val="20"/>
                <w:szCs w:val="20"/>
                <w:color w:val="auto"/>
              </w:rPr>
            </w:pPr>
            <w:r>
              <w:rPr>
                <w:rFonts w:ascii="Arial" w:cs="Arial" w:eastAsia="Arial" w:hAnsi="Arial"/>
                <w:sz w:val="22"/>
                <w:szCs w:val="22"/>
                <w:color w:val="auto"/>
                <w:w w:val="83"/>
              </w:rPr>
              <w:t>31,561</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Less than 0.1% (1)</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33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Partners AGT-A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27,373</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27,373</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620" w:type="dxa"/>
            <w:vAlign w:val="bottom"/>
            <w:vMerge w:val="restart"/>
          </w:tcPr>
          <w:p>
            <w:pPr>
              <w:ind w:left="20"/>
              <w:spacing w:after="0"/>
              <w:rPr>
                <w:sz w:val="20"/>
                <w:szCs w:val="20"/>
                <w:color w:val="auto"/>
              </w:rPr>
            </w:pPr>
            <w:r>
              <w:rPr>
                <w:rFonts w:ascii="Arial" w:cs="Arial" w:eastAsia="Arial" w:hAnsi="Arial"/>
                <w:sz w:val="22"/>
                <w:szCs w:val="22"/>
                <w:color w:val="auto"/>
                <w:w w:val="83"/>
              </w:rPr>
              <w:t>27,373</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Less than 0.1% (1)</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34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Advent Partners AGT Cayman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317,329</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rPr>
              <w:t>317,329</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317,329</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0.3%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182"/>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35 of 57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7517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7517765"/>
                    </a:xfrm>
                    <a:prstGeom prst="rect">
                      <a:avLst/>
                    </a:prstGeom>
                    <a:noFill/>
                  </pic:spPr>
                </pic:pic>
              </a:graphicData>
            </a:graphic>
          </wp:anchor>
        </w:drawing>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ind w:left="1440" w:hanging="818"/>
        <w:spacing w:after="0" w:line="185" w:lineRule="auto"/>
        <w:tabs>
          <w:tab w:leader="none" w:pos="1440" w:val="left"/>
        </w:tabs>
        <w:numPr>
          <w:ilvl w:val="0"/>
          <w:numId w:val="36"/>
        </w:numPr>
        <w:rPr>
          <w:rFonts w:ascii="Arial" w:cs="Arial" w:eastAsia="Arial" w:hAnsi="Arial"/>
          <w:sz w:val="65"/>
          <w:szCs w:val="65"/>
          <w:b w:val="1"/>
          <w:bCs w:val="1"/>
          <w:color w:val="auto"/>
          <w:vertAlign w:val="superscript"/>
        </w:rPr>
      </w:pPr>
      <w:r>
        <w:rPr>
          <w:rFonts w:ascii="Arial" w:cs="Arial" w:eastAsia="Arial" w:hAnsi="Arial"/>
          <w:sz w:val="22"/>
          <w:szCs w:val="22"/>
          <w:b w:val="1"/>
          <w:bCs w:val="1"/>
          <w:color w:val="auto"/>
        </w:rPr>
        <w:t>Advent Global Technology Strategic Investors Limited Partnership</w:t>
      </w:r>
    </w:p>
    <w:p>
      <w:pPr>
        <w:spacing w:after="0" w:line="25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8"/>
        <w:spacing w:after="0" w:line="322" w:lineRule="exact"/>
        <w:tabs>
          <w:tab w:leader="none" w:pos="1420" w:val="left"/>
        </w:tabs>
        <w:numPr>
          <w:ilvl w:val="0"/>
          <w:numId w:val="37"/>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5"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5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5" w:lineRule="auto"/>
        <w:tabs>
          <w:tab w:leader="none" w:pos="1440" w:val="left"/>
        </w:tabs>
        <w:numPr>
          <w:ilvl w:val="0"/>
          <w:numId w:val="38"/>
        </w:numPr>
        <w:rPr>
          <w:rFonts w:ascii="Arial" w:cs="Arial" w:eastAsia="Arial" w:hAnsi="Arial"/>
          <w:sz w:val="65"/>
          <w:szCs w:val="65"/>
          <w:b w:val="1"/>
          <w:bCs w:val="1"/>
          <w:color w:val="auto"/>
          <w:vertAlign w:val="superscript"/>
        </w:rPr>
      </w:pPr>
      <w:r>
        <w:rPr>
          <w:rFonts w:ascii="Arial" w:cs="Arial" w:eastAsia="Arial" w:hAnsi="Arial"/>
          <w:sz w:val="22"/>
          <w:szCs w:val="22"/>
          <w:color w:val="auto"/>
        </w:rPr>
        <w:t>Cayman Islands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100"/>
        <w:spacing w:after="0" w:line="277" w:lineRule="auto"/>
        <w:rPr>
          <w:sz w:val="20"/>
          <w:szCs w:val="20"/>
          <w:color w:val="auto"/>
        </w:rPr>
      </w:pPr>
      <w:r>
        <w:rPr>
          <w:rFonts w:ascii="Arial" w:cs="Arial" w:eastAsia="Arial" w:hAnsi="Arial"/>
          <w:sz w:val="17"/>
          <w:szCs w:val="17"/>
          <w:b w:val="1"/>
          <w:bCs w:val="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SOLE VOTING POWER</w:t>
      </w:r>
    </w:p>
    <w:p>
      <w:pPr>
        <w:ind w:left="464" w:hanging="464"/>
        <w:spacing w:after="0" w:line="181" w:lineRule="auto"/>
        <w:tabs>
          <w:tab w:leader="none" w:pos="464" w:val="left"/>
        </w:tabs>
        <w:numPr>
          <w:ilvl w:val="0"/>
          <w:numId w:val="39"/>
        </w:numPr>
        <w:rPr>
          <w:rFonts w:ascii="Arial" w:cs="Arial" w:eastAsia="Arial" w:hAnsi="Arial"/>
          <w:sz w:val="64"/>
          <w:szCs w:val="64"/>
          <w:b w:val="1"/>
          <w:bCs w:val="1"/>
          <w:color w:val="auto"/>
          <w:vertAlign w:val="superscript"/>
        </w:rPr>
      </w:pPr>
      <w:r>
        <w:rPr>
          <w:rFonts w:ascii="Arial" w:cs="Arial" w:eastAsia="Arial" w:hAnsi="Arial"/>
          <w:sz w:val="21"/>
          <w:szCs w:val="21"/>
          <w:color w:val="auto"/>
        </w:rPr>
        <w:t>30,542</w:t>
      </w:r>
    </w:p>
    <w:p>
      <w:pPr>
        <w:spacing w:after="0" w:line="27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SHARED VOTING POWER</w:t>
      </w:r>
    </w:p>
    <w:p>
      <w:pPr>
        <w:ind w:left="464" w:hanging="464"/>
        <w:spacing w:after="0" w:line="181" w:lineRule="auto"/>
        <w:tabs>
          <w:tab w:leader="none" w:pos="464" w:val="left"/>
        </w:tabs>
        <w:numPr>
          <w:ilvl w:val="0"/>
          <w:numId w:val="40"/>
        </w:numPr>
        <w:rPr>
          <w:rFonts w:ascii="Arial" w:cs="Arial" w:eastAsia="Arial" w:hAnsi="Arial"/>
          <w:sz w:val="64"/>
          <w:szCs w:val="64"/>
          <w:b w:val="1"/>
          <w:bCs w:val="1"/>
          <w:color w:val="auto"/>
          <w:vertAlign w:val="superscript"/>
        </w:rPr>
      </w:pPr>
      <w:r>
        <w:rPr>
          <w:rFonts w:ascii="Arial" w:cs="Arial" w:eastAsia="Arial" w:hAnsi="Arial"/>
          <w:sz w:val="21"/>
          <w:szCs w:val="21"/>
          <w:color w:val="auto"/>
        </w:rPr>
        <w:t>0</w:t>
      </w:r>
    </w:p>
    <w:p>
      <w:pPr>
        <w:spacing w:after="0" w:line="27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SOLE DISPOSITIVE POWER</w:t>
      </w:r>
    </w:p>
    <w:p>
      <w:pPr>
        <w:ind w:left="464" w:hanging="464"/>
        <w:spacing w:after="0" w:line="181" w:lineRule="auto"/>
        <w:tabs>
          <w:tab w:leader="none" w:pos="464" w:val="left"/>
        </w:tabs>
        <w:numPr>
          <w:ilvl w:val="0"/>
          <w:numId w:val="41"/>
        </w:numPr>
        <w:rPr>
          <w:rFonts w:ascii="Arial" w:cs="Arial" w:eastAsia="Arial" w:hAnsi="Arial"/>
          <w:sz w:val="64"/>
          <w:szCs w:val="64"/>
          <w:b w:val="1"/>
          <w:bCs w:val="1"/>
          <w:color w:val="auto"/>
          <w:vertAlign w:val="superscript"/>
        </w:rPr>
      </w:pPr>
      <w:r>
        <w:rPr>
          <w:rFonts w:ascii="Arial" w:cs="Arial" w:eastAsia="Arial" w:hAnsi="Arial"/>
          <w:sz w:val="21"/>
          <w:szCs w:val="21"/>
          <w:color w:val="auto"/>
        </w:rPr>
        <w:t>30,542</w:t>
      </w:r>
    </w:p>
    <w:p>
      <w:pPr>
        <w:spacing w:after="0" w:line="277" w:lineRule="exact"/>
        <w:rPr>
          <w:sz w:val="20"/>
          <w:szCs w:val="20"/>
          <w:color w:val="auto"/>
        </w:rPr>
      </w:pPr>
    </w:p>
    <w:p>
      <w:pPr>
        <w:jc w:val="right"/>
        <w:ind w:right="5840"/>
        <w:spacing w:after="0"/>
        <w:rPr>
          <w:sz w:val="20"/>
          <w:szCs w:val="20"/>
          <w:color w:val="auto"/>
        </w:rPr>
      </w:pPr>
      <w:r>
        <w:rPr>
          <w:rFonts w:ascii="Arial" w:cs="Arial" w:eastAsia="Arial" w:hAnsi="Arial"/>
          <w:sz w:val="18"/>
          <w:szCs w:val="18"/>
          <w:b w:val="1"/>
          <w:bCs w:val="1"/>
          <w:color w:val="auto"/>
        </w:rPr>
        <w:t>SHARED DISPOSITIVE POWER</w:t>
      </w:r>
    </w:p>
    <w:p>
      <w:pPr>
        <w:spacing w:after="0" w:line="7" w:lineRule="exact"/>
        <w:rPr>
          <w:sz w:val="20"/>
          <w:szCs w:val="20"/>
          <w:color w:val="auto"/>
        </w:rPr>
      </w:pPr>
    </w:p>
    <w:p>
      <w:pPr>
        <w:ind w:left="464" w:hanging="464"/>
        <w:spacing w:after="0"/>
        <w:tabs>
          <w:tab w:leader="none" w:pos="464" w:val="left"/>
        </w:tabs>
        <w:numPr>
          <w:ilvl w:val="0"/>
          <w:numId w:val="42"/>
        </w:numPr>
        <w:rPr>
          <w:rFonts w:ascii="Arial" w:cs="Arial" w:eastAsia="Arial" w:hAnsi="Arial"/>
          <w:sz w:val="32"/>
          <w:szCs w:val="32"/>
          <w:b w:val="1"/>
          <w:bCs w:val="1"/>
          <w:color w:val="auto"/>
        </w:rPr>
      </w:pPr>
      <w:r>
        <w:rPr>
          <w:rFonts w:ascii="Arial" w:cs="Arial" w:eastAsia="Arial" w:hAnsi="Arial"/>
          <w:sz w:val="43"/>
          <w:szCs w:val="43"/>
          <w:color w:val="auto"/>
          <w:vertAlign w:val="subscript"/>
        </w:rPr>
        <w:t>0</w:t>
      </w:r>
    </w:p>
    <w:p>
      <w:pPr>
        <w:spacing w:after="0" w:line="200" w:lineRule="exact"/>
        <w:rPr>
          <w:sz w:val="20"/>
          <w:szCs w:val="20"/>
          <w:color w:val="auto"/>
        </w:rPr>
      </w:pPr>
    </w:p>
    <w:p>
      <w:pPr>
        <w:sectPr>
          <w:pgSz w:w="11900" w:h="16838" w:orient="portrait"/>
          <w:cols w:equalWidth="0" w:num="2">
            <w:col w:w="1960" w:space="316"/>
            <w:col w:w="8964"/>
          </w:cols>
          <w:pgMar w:left="320" w:top="120" w:right="339" w:bottom="1440" w:gutter="0" w:footer="0" w:header="0"/>
          <w:type w:val="continuous"/>
        </w:sectPr>
      </w:pPr>
    </w:p>
    <w:p>
      <w:pPr>
        <w:spacing w:after="0" w:line="11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1140" w:type="dxa"/>
            <w:vAlign w:val="bottom"/>
          </w:tcPr>
          <w:p>
            <w:pPr>
              <w:jc w:val="center"/>
              <w:ind w:left="98"/>
              <w:spacing w:after="0"/>
              <w:rPr>
                <w:sz w:val="20"/>
                <w:szCs w:val="20"/>
                <w:color w:val="auto"/>
              </w:rPr>
            </w:pPr>
            <w:r>
              <w:rPr>
                <w:rFonts w:ascii="Arial" w:cs="Arial" w:eastAsia="Arial" w:hAnsi="Arial"/>
                <w:sz w:val="32"/>
                <w:szCs w:val="32"/>
                <w:b w:val="1"/>
                <w:bCs w:val="1"/>
                <w:color w:val="auto"/>
                <w:w w:val="89"/>
              </w:rPr>
              <w:t>9</w:t>
            </w: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30,542</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10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14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jc w:val="center"/>
              <w:ind w:left="98"/>
              <w:spacing w:after="0"/>
              <w:rPr>
                <w:sz w:val="20"/>
                <w:szCs w:val="20"/>
                <w:color w:val="auto"/>
              </w:rPr>
            </w:pPr>
            <w:r>
              <w:rPr>
                <w:rFonts w:ascii="Arial" w:cs="Arial" w:eastAsia="Arial" w:hAnsi="Arial"/>
                <w:sz w:val="32"/>
                <w:szCs w:val="32"/>
                <w:b w:val="1"/>
                <w:bCs w:val="1"/>
                <w:color w:val="auto"/>
                <w:w w:val="89"/>
              </w:rPr>
              <w:t>10</w:t>
            </w:r>
          </w:p>
        </w:tc>
        <w:tc>
          <w:tcPr>
            <w:tcW w:w="10100" w:type="dxa"/>
            <w:vAlign w:val="bottom"/>
          </w:tcPr>
          <w:p>
            <w:pPr>
              <w:ind w:left="28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140" w:type="dxa"/>
            <w:vAlign w:val="bottom"/>
            <w:vMerge w:val="continue"/>
          </w:tcPr>
          <w:p>
            <w:pPr>
              <w:spacing w:after="0"/>
              <w:rPr>
                <w:sz w:val="24"/>
                <w:szCs w:val="24"/>
                <w:color w:val="auto"/>
              </w:rPr>
            </w:pPr>
          </w:p>
        </w:tc>
        <w:tc>
          <w:tcPr>
            <w:tcW w:w="1010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10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140" w:type="dxa"/>
            <w:vAlign w:val="bottom"/>
            <w:tcBorders>
              <w:bottom w:val="single" w:sz="8" w:color="auto"/>
            </w:tcBorders>
          </w:tcPr>
          <w:p>
            <w:pPr>
              <w:spacing w:after="0"/>
              <w:rPr>
                <w:sz w:val="12"/>
                <w:szCs w:val="12"/>
                <w:color w:val="auto"/>
              </w:rPr>
            </w:pPr>
          </w:p>
        </w:tc>
        <w:tc>
          <w:tcPr>
            <w:tcW w:w="10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0100" w:type="dxa"/>
            <w:vAlign w:val="bottom"/>
          </w:tcPr>
          <w:p>
            <w:pPr>
              <w:ind w:left="2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60"/>
        </w:trPr>
        <w:tc>
          <w:tcPr>
            <w:tcW w:w="1140" w:type="dxa"/>
            <w:vAlign w:val="bottom"/>
          </w:tcPr>
          <w:p>
            <w:pPr>
              <w:jc w:val="center"/>
              <w:ind w:left="118"/>
              <w:spacing w:after="0"/>
              <w:rPr>
                <w:sz w:val="20"/>
                <w:szCs w:val="20"/>
                <w:color w:val="auto"/>
              </w:rPr>
            </w:pPr>
            <w:r>
              <w:rPr>
                <w:rFonts w:ascii="Arial" w:cs="Arial" w:eastAsia="Arial" w:hAnsi="Arial"/>
                <w:sz w:val="32"/>
                <w:szCs w:val="32"/>
                <w:b w:val="1"/>
                <w:bCs w:val="1"/>
                <w:color w:val="auto"/>
                <w:w w:val="84"/>
              </w:rPr>
              <w:t>11</w:t>
            </w: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Less than 0.1% (1)</w:t>
            </w:r>
          </w:p>
        </w:tc>
        <w:tc>
          <w:tcPr>
            <w:tcW w:w="0" w:type="dxa"/>
            <w:vAlign w:val="bottom"/>
          </w:tcPr>
          <w:p>
            <w:pPr>
              <w:spacing w:after="0"/>
              <w:rPr>
                <w:sz w:val="1"/>
                <w:szCs w:val="1"/>
                <w:color w:val="auto"/>
              </w:rPr>
            </w:pPr>
          </w:p>
        </w:tc>
      </w:tr>
      <w:tr>
        <w:trPr>
          <w:trHeight w:val="90"/>
        </w:trPr>
        <w:tc>
          <w:tcPr>
            <w:tcW w:w="1140" w:type="dxa"/>
            <w:vAlign w:val="bottom"/>
          </w:tcPr>
          <w:p>
            <w:pPr>
              <w:spacing w:after="0"/>
              <w:rPr>
                <w:sz w:val="7"/>
                <w:szCs w:val="7"/>
                <w:color w:val="auto"/>
              </w:rPr>
            </w:pPr>
          </w:p>
        </w:tc>
        <w:tc>
          <w:tcPr>
            <w:tcW w:w="10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140" w:type="dxa"/>
            <w:vAlign w:val="bottom"/>
            <w:tcBorders>
              <w:bottom w:val="single" w:sz="8" w:color="auto"/>
            </w:tcBorders>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0100" w:type="dxa"/>
            <w:vAlign w:val="bottom"/>
          </w:tcPr>
          <w:p>
            <w:pPr>
              <w:ind w:left="28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60"/>
        </w:trPr>
        <w:tc>
          <w:tcPr>
            <w:tcW w:w="1140" w:type="dxa"/>
            <w:vAlign w:val="bottom"/>
          </w:tcPr>
          <w:p>
            <w:pPr>
              <w:jc w:val="center"/>
              <w:ind w:left="98"/>
              <w:spacing w:after="0"/>
              <w:rPr>
                <w:sz w:val="20"/>
                <w:szCs w:val="20"/>
                <w:color w:val="auto"/>
              </w:rPr>
            </w:pPr>
            <w:r>
              <w:rPr>
                <w:rFonts w:ascii="Arial" w:cs="Arial" w:eastAsia="Arial" w:hAnsi="Arial"/>
                <w:sz w:val="32"/>
                <w:szCs w:val="32"/>
                <w:b w:val="1"/>
                <w:bCs w:val="1"/>
                <w:color w:val="auto"/>
                <w:w w:val="89"/>
              </w:rPr>
              <w:t>12</w:t>
            </w:r>
          </w:p>
        </w:tc>
        <w:tc>
          <w:tcPr>
            <w:tcW w:w="10100" w:type="dxa"/>
            <w:vAlign w:val="bottom"/>
            <w:vMerge w:val="restart"/>
          </w:tcPr>
          <w:p>
            <w:pPr>
              <w:ind w:left="300"/>
              <w:spacing w:after="0"/>
              <w:rPr>
                <w:sz w:val="20"/>
                <w:szCs w:val="20"/>
                <w:color w:val="auto"/>
              </w:rPr>
            </w:pPr>
            <w:r>
              <w:rPr>
                <w:rFonts w:ascii="Arial" w:cs="Arial" w:eastAsia="Arial" w:hAnsi="Arial"/>
                <w:sz w:val="22"/>
                <w:szCs w:val="22"/>
                <w:color w:val="auto"/>
              </w:rPr>
              <w:t>PN</w:t>
            </w: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10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540" w:right="10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35" w:name="page36"/>
    <w:bookmarkEnd w:id="35"/>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36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Sunley House Capital Management LLC</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3,623,787</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3,623,787</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3,623,787</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3.7%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OO</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37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Sunley House Capital GP LLC</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Delaware</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3,623,787</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3,623,787</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3,623,787</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3.7%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OO</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7" w:name="page38"/>
    <w:bookmarkEnd w:id="37"/>
    <w:tbl>
      <w:tblPr>
        <w:tblLayout w:type="fixed"/>
        <w:tblInd w:w="1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38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Sunley House Capital GP LP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3,623,787</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3,623,787</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3,623,787</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3.7%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183"/>
        </w:trPr>
        <w:tc>
          <w:tcPr>
            <w:tcW w:w="142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CUSIP No. 24477E103</w:t>
            </w:r>
          </w:p>
        </w:tc>
        <w:tc>
          <w:tcPr>
            <w:tcW w:w="6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39 of 57 Pages</w:t>
            </w:r>
          </w:p>
        </w:tc>
        <w:tc>
          <w:tcPr>
            <w:tcW w:w="0" w:type="dxa"/>
            <w:vAlign w:val="bottom"/>
          </w:tcPr>
          <w:p>
            <w:pPr>
              <w:spacing w:after="0"/>
              <w:rPr>
                <w:sz w:val="1"/>
                <w:szCs w:val="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5"/>
          </w:tcPr>
          <w:p>
            <w:pPr>
              <w:spacing w:after="0"/>
              <w:rPr>
                <w:sz w:val="15"/>
                <w:szCs w:val="15"/>
                <w:color w:val="auto"/>
              </w:rPr>
            </w:pPr>
          </w:p>
        </w:tc>
        <w:tc>
          <w:tcPr>
            <w:tcW w:w="3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NAMES OF REPORTING PERSONS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b w:val="1"/>
                <w:bCs w:val="1"/>
                <w:color w:val="auto"/>
              </w:rPr>
              <w:t>Sunley House Capital Master Limited Partnership</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gridSpan w:val="5"/>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10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00" w:type="dxa"/>
            <w:vAlign w:val="bottom"/>
            <w:gridSpan w:val="3"/>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20" w:type="dxa"/>
            <w:vAlign w:val="bottom"/>
            <w:tcBorders>
              <w:right w:val="single" w:sz="8" w:color="BFBFBF"/>
            </w:tcBorders>
            <w:shd w:val="clear" w:color="auto" w:fill="BFBFBF"/>
          </w:tcPr>
          <w:p>
            <w:pPr>
              <w:spacing w:after="0"/>
              <w:rPr>
                <w:sz w:val="20"/>
                <w:szCs w:val="20"/>
                <w:color w:val="auto"/>
              </w:rPr>
            </w:pPr>
          </w:p>
        </w:tc>
        <w:tc>
          <w:tcPr>
            <w:tcW w:w="37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20" w:type="dxa"/>
            <w:vAlign w:val="bottom"/>
            <w:tcBorders>
              <w:right w:val="single" w:sz="8" w:color="auto"/>
            </w:tcBorders>
            <w:vMerge w:val="continue"/>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20" w:type="dxa"/>
            <w:vAlign w:val="bottom"/>
            <w:tcBorders>
              <w:right w:val="single" w:sz="8" w:color="BFBFBF"/>
            </w:tcBorders>
            <w:shd w:val="clear" w:color="auto" w:fill="BFBFBF"/>
          </w:tcPr>
          <w:p>
            <w:pPr>
              <w:spacing w:after="0"/>
              <w:rPr>
                <w:sz w:val="24"/>
                <w:szCs w:val="24"/>
                <w:color w:val="auto"/>
              </w:rPr>
            </w:pPr>
          </w:p>
        </w:tc>
        <w:tc>
          <w:tcPr>
            <w:tcW w:w="3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4860" w:type="dxa"/>
            <w:vAlign w:val="bottom"/>
            <w:tcBorders>
              <w:bottom w:val="single" w:sz="8" w:color="auto"/>
              <w:right w:val="single" w:sz="8" w:color="BFBFBF"/>
            </w:tcBorders>
            <w:gridSpan w:val="3"/>
            <w:shd w:val="clear" w:color="auto" w:fill="BFBFBF"/>
          </w:tcPr>
          <w:p>
            <w:pPr>
              <w:spacing w:after="0"/>
              <w:rPr>
                <w:sz w:val="23"/>
                <w:szCs w:val="23"/>
                <w:color w:val="auto"/>
              </w:rPr>
            </w:pPr>
          </w:p>
        </w:tc>
        <w:tc>
          <w:tcPr>
            <w:tcW w:w="37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6140" w:type="dxa"/>
            <w:vAlign w:val="bottom"/>
            <w:gridSpan w:val="5"/>
            <w:vMerge w:val="restart"/>
          </w:tcPr>
          <w:p>
            <w:pPr>
              <w:ind w:left="20"/>
              <w:spacing w:after="0"/>
              <w:rPr>
                <w:sz w:val="20"/>
                <w:szCs w:val="20"/>
                <w:color w:val="auto"/>
              </w:rPr>
            </w:pPr>
            <w:r>
              <w:rPr>
                <w:rFonts w:ascii="Arial" w:cs="Arial" w:eastAsia="Arial" w:hAnsi="Arial"/>
                <w:sz w:val="22"/>
                <w:szCs w:val="22"/>
                <w:color w:val="auto"/>
              </w:rPr>
              <w:t>Cayman Islands</w:t>
            </w: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6140" w:type="dxa"/>
            <w:vAlign w:val="bottom"/>
            <w:gridSpan w:val="5"/>
            <w:vMerge w:val="continue"/>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98"/>
              </w:rPr>
              <w:t>3,623,787</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3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3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20" w:type="dxa"/>
            <w:vAlign w:val="bottom"/>
          </w:tcPr>
          <w:p>
            <w:pPr>
              <w:jc w:val="center"/>
              <w:ind w:left="490"/>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Arial" w:cs="Arial" w:eastAsia="Arial" w:hAnsi="Arial"/>
                <w:sz w:val="22"/>
                <w:szCs w:val="22"/>
                <w:color w:val="auto"/>
                <w:w w:val="98"/>
              </w:rPr>
              <w:t>3,623,787</w:t>
            </w:r>
          </w:p>
        </w:tc>
        <w:tc>
          <w:tcPr>
            <w:tcW w:w="3820" w:type="dxa"/>
            <w:vAlign w:val="bottom"/>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3"/>
                <w:szCs w:val="23"/>
                <w:color w:val="auto"/>
              </w:rPr>
            </w:pPr>
          </w:p>
        </w:tc>
        <w:tc>
          <w:tcPr>
            <w:tcW w:w="6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3820" w:type="dxa"/>
            <w:vAlign w:val="bottom"/>
          </w:tcPr>
          <w:p>
            <w:pPr>
              <w:spacing w:after="0"/>
              <w:rPr>
                <w:sz w:val="23"/>
                <w:szCs w:val="23"/>
                <w:color w:val="auto"/>
              </w:rPr>
            </w:pPr>
          </w:p>
        </w:tc>
        <w:tc>
          <w:tcPr>
            <w:tcW w:w="37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2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rPr>
              <w:t>0</w:t>
            </w: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3,623,787</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20" w:type="dxa"/>
            <w:vAlign w:val="bottom"/>
            <w:tcBorders>
              <w:right w:val="single" w:sz="8" w:color="auto"/>
            </w:tcBorders>
            <w:vMerge w:val="continue"/>
          </w:tcPr>
          <w:p>
            <w:pPr>
              <w:spacing w:after="0"/>
              <w:rPr>
                <w:sz w:val="24"/>
                <w:szCs w:val="24"/>
                <w:color w:val="auto"/>
              </w:rPr>
            </w:pPr>
          </w:p>
        </w:tc>
        <w:tc>
          <w:tcPr>
            <w:tcW w:w="1300" w:type="dxa"/>
            <w:vAlign w:val="bottom"/>
            <w:gridSpan w:val="3"/>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20" w:type="dxa"/>
            <w:vAlign w:val="bottom"/>
            <w:tcBorders>
              <w:right w:val="single" w:sz="8" w:color="auto"/>
            </w:tcBorders>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3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60" w:type="dxa"/>
            <w:vAlign w:val="bottom"/>
            <w:tcBorders>
              <w:bottom w:val="single" w:sz="8" w:color="auto"/>
            </w:tcBorders>
            <w:gridSpan w:val="3"/>
          </w:tcPr>
          <w:p>
            <w:pPr>
              <w:spacing w:after="0"/>
              <w:rPr>
                <w:sz w:val="12"/>
                <w:szCs w:val="12"/>
                <w:color w:val="auto"/>
              </w:rPr>
            </w:pPr>
          </w:p>
        </w:tc>
        <w:tc>
          <w:tcPr>
            <w:tcW w:w="37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280" w:type="dxa"/>
            <w:vAlign w:val="bottom"/>
            <w:gridSpan w:val="2"/>
            <w:vMerge w:val="restart"/>
          </w:tcPr>
          <w:p>
            <w:pPr>
              <w:ind w:left="20"/>
              <w:spacing w:after="0"/>
              <w:rPr>
                <w:sz w:val="20"/>
                <w:szCs w:val="20"/>
                <w:color w:val="auto"/>
              </w:rPr>
            </w:pPr>
            <w:r>
              <w:rPr>
                <w:rFonts w:ascii="Arial" w:cs="Arial" w:eastAsia="Arial" w:hAnsi="Arial"/>
                <w:sz w:val="22"/>
                <w:szCs w:val="22"/>
                <w:color w:val="auto"/>
              </w:rPr>
              <w:t>3.7% (1)</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20" w:type="dxa"/>
            <w:vAlign w:val="bottom"/>
            <w:tcBorders>
              <w:right w:val="single" w:sz="8" w:color="auto"/>
            </w:tcBorders>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3"/>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spacing w:after="0"/>
              <w:rPr>
                <w:sz w:val="20"/>
                <w:szCs w:val="20"/>
                <w:color w:val="auto"/>
              </w:rPr>
            </w:pPr>
          </w:p>
        </w:tc>
        <w:tc>
          <w:tcPr>
            <w:tcW w:w="6140" w:type="dxa"/>
            <w:vAlign w:val="bottom"/>
            <w:gridSpan w:val="5"/>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37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00" w:type="dxa"/>
            <w:vAlign w:val="bottom"/>
            <w:gridSpan w:val="3"/>
            <w:vMerge w:val="restart"/>
          </w:tcPr>
          <w:p>
            <w:pPr>
              <w:ind w:left="20"/>
              <w:spacing w:after="0"/>
              <w:rPr>
                <w:sz w:val="20"/>
                <w:szCs w:val="20"/>
                <w:color w:val="auto"/>
              </w:rPr>
            </w:pPr>
            <w:r>
              <w:rPr>
                <w:rFonts w:ascii="Arial" w:cs="Arial" w:eastAsia="Arial" w:hAnsi="Arial"/>
                <w:sz w:val="22"/>
                <w:szCs w:val="22"/>
                <w:color w:val="auto"/>
              </w:rPr>
              <w:t>PN</w:t>
            </w:r>
          </w:p>
        </w:tc>
        <w:tc>
          <w:tcPr>
            <w:tcW w:w="10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20" w:type="dxa"/>
            <w:vAlign w:val="bottom"/>
            <w:tcBorders>
              <w:right w:val="single" w:sz="8" w:color="auto"/>
            </w:tcBorders>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7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532"/>
        <w:spacing w:after="0" w:line="277"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percent of class was calculated based on 97,030,095 shares of Class A Common Stock outstanding, as disclosed in the Issuer’s Form 424(b)(4) prospectus filed with the Securities and Exchange Commission on 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9" w:name="page40"/>
    <w:bookmarkEnd w:id="39"/>
    <w:p>
      <w:pPr>
        <w:ind w:left="40"/>
        <w:spacing w:after="0"/>
        <w:tabs>
          <w:tab w:leader="none" w:pos="5060" w:val="left"/>
          <w:tab w:leader="none" w:pos="7540" w:val="left"/>
        </w:tabs>
        <w:rPr>
          <w:sz w:val="20"/>
          <w:szCs w:val="20"/>
          <w:color w:val="auto"/>
        </w:rPr>
      </w:pPr>
      <w:r>
        <w:rPr>
          <w:rFonts w:ascii="Arial" w:cs="Arial" w:eastAsia="Arial" w:hAnsi="Arial"/>
          <w:sz w:val="14"/>
          <w:szCs w:val="14"/>
          <w:b w:val="1"/>
          <w:bCs w:val="1"/>
          <w:color w:val="auto"/>
        </w:rPr>
        <w:t>CUSIP No. 24477E103</w:t>
      </w:r>
      <w:r>
        <w:rPr>
          <w:sz w:val="20"/>
          <w:szCs w:val="20"/>
          <w:color w:val="auto"/>
        </w:rPr>
        <w:tab/>
      </w:r>
      <w:r>
        <w:rPr>
          <w:rFonts w:ascii="Arial" w:cs="Arial" w:eastAsia="Arial" w:hAnsi="Arial"/>
          <w:sz w:val="14"/>
          <w:szCs w:val="14"/>
          <w:b w:val="1"/>
          <w:bCs w:val="1"/>
          <w:color w:val="auto"/>
        </w:rPr>
        <w:t>SCHEDULE 13G</w:t>
      </w:r>
      <w:r>
        <w:rPr>
          <w:sz w:val="20"/>
          <w:szCs w:val="20"/>
          <w:color w:val="auto"/>
        </w:rPr>
        <w:tab/>
      </w:r>
      <w:r>
        <w:rPr>
          <w:rFonts w:ascii="Arial" w:cs="Arial" w:eastAsia="Arial" w:hAnsi="Arial"/>
          <w:sz w:val="12"/>
          <w:szCs w:val="12"/>
          <w:b w:val="1"/>
          <w:bCs w:val="1"/>
          <w:color w:val="auto"/>
        </w:rPr>
        <w:t>Page 40 of 57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-95885</wp:posOffset>
            </wp:positionV>
            <wp:extent cx="23571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571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236601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6010" cy="12890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Issuer</w:t>
      </w:r>
    </w:p>
    <w:p>
      <w:pPr>
        <w:spacing w:after="0" w:line="25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Definitive Healthcare Corp. (the “</w:t>
      </w:r>
      <w:r>
        <w:rPr>
          <w:rFonts w:ascii="Arial" w:cs="Arial" w:eastAsia="Arial" w:hAnsi="Arial"/>
          <w:sz w:val="22"/>
          <w:szCs w:val="22"/>
          <w:b w:val="1"/>
          <w:bCs w:val="1"/>
          <w:color w:val="auto"/>
        </w:rPr>
        <w:t>Issuer</w:t>
      </w:r>
      <w:r>
        <w:rPr>
          <w:rFonts w:ascii="Arial" w:cs="Arial" w:eastAsia="Arial" w:hAnsi="Arial"/>
          <w:sz w:val="22"/>
          <w:szCs w:val="22"/>
          <w:color w:val="auto"/>
        </w:rPr>
        <w:t>”)</w:t>
      </w:r>
    </w:p>
    <w:p>
      <w:pPr>
        <w:spacing w:after="0" w:line="246"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550 Cochituate Road</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Framingham, MA 01701</w:t>
      </w:r>
    </w:p>
    <w:p>
      <w:pPr>
        <w:spacing w:after="0" w:line="21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256" w:lineRule="exact"/>
        <w:rPr>
          <w:sz w:val="20"/>
          <w:szCs w:val="20"/>
          <w:color w:val="auto"/>
        </w:rPr>
      </w:pPr>
    </w:p>
    <w:p>
      <w:pPr>
        <w:ind w:left="900" w:hanging="244"/>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(c) Name of Persons Filing; Address; Citizenship:</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Corporation, a Delaware corporation;</w:t>
      </w:r>
    </w:p>
    <w:p>
      <w:pPr>
        <w:spacing w:after="0" w:line="23"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 LLC, a Delaware limited liability company;</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GPE IX GP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IX-B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IX-C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IX-F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IX-G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IX-H Limited Partnership, a Cayman Islands limited partnership;</w:t>
      </w:r>
    </w:p>
    <w:p>
      <w:pPr>
        <w:spacing w:after="0" w:line="9" w:lineRule="exact"/>
        <w:rPr>
          <w:rFonts w:ascii="Arial" w:cs="Arial" w:eastAsia="Arial" w:hAnsi="Arial"/>
          <w:sz w:val="18"/>
          <w:szCs w:val="18"/>
          <w:color w:val="auto"/>
        </w:rPr>
      </w:pPr>
    </w:p>
    <w:p>
      <w:pPr>
        <w:ind w:left="1960" w:right="100" w:hanging="656"/>
        <w:spacing w:after="0" w:line="250"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IX-I Limited Partnership, a Cayman Islands limited partnership (the funds set forth in the foregoing clauses (iv)-(x), the “</w:t>
      </w:r>
      <w:r>
        <w:rPr>
          <w:rFonts w:ascii="Arial" w:cs="Arial" w:eastAsia="Arial" w:hAnsi="Arial"/>
          <w:sz w:val="18"/>
          <w:szCs w:val="18"/>
          <w:u w:val="single" w:color="auto"/>
          <w:color w:val="auto"/>
        </w:rPr>
        <w:t>Advent IX Cayman Funds</w:t>
      </w:r>
      <w:r>
        <w:rPr>
          <w:rFonts w:ascii="Arial" w:cs="Arial" w:eastAsia="Arial" w:hAnsi="Arial"/>
          <w:sz w:val="18"/>
          <w:szCs w:val="18"/>
          <w:color w:val="auto"/>
        </w:rPr>
        <w:t>”);</w:t>
      </w: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GPE IX GP S.à.r.l., a Luxembourg Société à responsabilité limitée;</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IX-A SCSp, a Luxembourg société en commandite spéciale;</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IX-D SCSp, a Luxembourg société en commandite spéciale;</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IX-E SCSp, a Luxembourg société en commandite spéciale;</w:t>
      </w:r>
    </w:p>
    <w:p>
      <w:pPr>
        <w:spacing w:after="0" w:line="9" w:lineRule="exact"/>
        <w:rPr>
          <w:rFonts w:ascii="Arial" w:cs="Arial" w:eastAsia="Arial" w:hAnsi="Arial"/>
          <w:sz w:val="18"/>
          <w:szCs w:val="18"/>
          <w:color w:val="auto"/>
        </w:rPr>
      </w:pPr>
    </w:p>
    <w:p>
      <w:pPr>
        <w:ind w:left="1960" w:right="120" w:hanging="656"/>
        <w:spacing w:after="0" w:line="250"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International GPE IX Strategic Investors SCSp, a Luxembourg société en commandite spéciale; (the funds set forth in the foregoing clauses (xii)-(xv), the “</w:t>
      </w:r>
      <w:r>
        <w:rPr>
          <w:rFonts w:ascii="Arial" w:cs="Arial" w:eastAsia="Arial" w:hAnsi="Arial"/>
          <w:sz w:val="18"/>
          <w:szCs w:val="18"/>
          <w:u w:val="single" w:color="auto"/>
          <w:color w:val="auto"/>
        </w:rPr>
        <w:t>Advent IX Luxembourg Funds</w:t>
      </w:r>
      <w:r>
        <w:rPr>
          <w:rFonts w:ascii="Arial" w:cs="Arial" w:eastAsia="Arial" w:hAnsi="Arial"/>
          <w:sz w:val="18"/>
          <w:szCs w:val="18"/>
          <w:color w:val="auto"/>
        </w:rPr>
        <w:t>”);</w:t>
      </w: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AP GPE IX GP Limited Partnership, a Delaware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Partners GPE IX Limited Partnership, a Delaware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Partners GPE IX-A Limited Partnership, a Delaware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Partners GPE IX Cayman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Partners GPE IX-A Cayman Limited Partnership, a Cayman Islands limited partnership;</w:t>
      </w:r>
    </w:p>
    <w:p>
      <w:pPr>
        <w:spacing w:after="0" w:line="9" w:lineRule="exact"/>
        <w:rPr>
          <w:rFonts w:ascii="Arial" w:cs="Arial" w:eastAsia="Arial" w:hAnsi="Arial"/>
          <w:sz w:val="18"/>
          <w:szCs w:val="18"/>
          <w:color w:val="auto"/>
        </w:rPr>
      </w:pPr>
    </w:p>
    <w:p>
      <w:pPr>
        <w:ind w:left="1960" w:right="460" w:hanging="656"/>
        <w:spacing w:after="0" w:line="250"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Partners GPE IX-B Cayman Limited Partnership, a Cayman Islands limited partnership (the funds set forth in the foregoing clauses (xvii)-(xxi), the “</w:t>
      </w:r>
      <w:r>
        <w:rPr>
          <w:rFonts w:ascii="Arial" w:cs="Arial" w:eastAsia="Arial" w:hAnsi="Arial"/>
          <w:sz w:val="18"/>
          <w:szCs w:val="18"/>
          <w:u w:val="single" w:color="auto"/>
          <w:color w:val="auto"/>
        </w:rPr>
        <w:t>Advent IX Partners Funds</w:t>
      </w:r>
      <w:r>
        <w:rPr>
          <w:rFonts w:ascii="Arial" w:cs="Arial" w:eastAsia="Arial" w:hAnsi="Arial"/>
          <w:sz w:val="18"/>
          <w:szCs w:val="18"/>
          <w:color w:val="auto"/>
        </w:rPr>
        <w:t>”);</w:t>
      </w: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 LLC, a Delaware limited liability company;</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 GP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Technology-B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Technology-C Limited Partnership, a Cayman Islands limited partnership;</w:t>
      </w:r>
    </w:p>
    <w:p>
      <w:pPr>
        <w:spacing w:after="0" w:line="9" w:lineRule="exact"/>
        <w:rPr>
          <w:rFonts w:ascii="Arial" w:cs="Arial" w:eastAsia="Arial" w:hAnsi="Arial"/>
          <w:sz w:val="18"/>
          <w:szCs w:val="18"/>
          <w:color w:val="auto"/>
        </w:rPr>
      </w:pPr>
    </w:p>
    <w:p>
      <w:pPr>
        <w:ind w:left="1960" w:right="180" w:hanging="656"/>
        <w:spacing w:after="0" w:line="250"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Technology-D Limited Partnership, a Cayman Islands limited partnership (the funds set forth in the foregoing clauses (xxiv)-(xxvii), the “</w:t>
      </w:r>
      <w:r>
        <w:rPr>
          <w:rFonts w:ascii="Arial" w:cs="Arial" w:eastAsia="Arial" w:hAnsi="Arial"/>
          <w:sz w:val="18"/>
          <w:szCs w:val="18"/>
          <w:u w:val="single" w:color="auto"/>
          <w:color w:val="auto"/>
        </w:rPr>
        <w:t>Advent Global Technology Funds</w:t>
      </w:r>
      <w:r>
        <w:rPr>
          <w:rFonts w:ascii="Arial" w:cs="Arial" w:eastAsia="Arial" w:hAnsi="Arial"/>
          <w:sz w:val="18"/>
          <w:szCs w:val="18"/>
          <w:color w:val="auto"/>
        </w:rPr>
        <w:t>”);</w:t>
      </w: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 GP S.à r.l., a Luxembourg Société à responsabilité limitée;</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Technology-A SCSP, a Luxembourg société en commandite spéciale;</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AP AGT GP Limited Partnership, a Delaware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Partners AGT Limited Partnership, a Delaware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Partners AGT-A Limited Partnership, a Delaware limited partnership;</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Partners AGT Cayman Limited Partnership, a Cayman Islands limited partnership;</w:t>
      </w:r>
    </w:p>
    <w:p>
      <w:pPr>
        <w:spacing w:after="0" w:line="9" w:lineRule="exact"/>
        <w:rPr>
          <w:rFonts w:ascii="Arial" w:cs="Arial" w:eastAsia="Arial" w:hAnsi="Arial"/>
          <w:sz w:val="18"/>
          <w:szCs w:val="18"/>
          <w:color w:val="auto"/>
        </w:rPr>
      </w:pPr>
    </w:p>
    <w:p>
      <w:pPr>
        <w:ind w:left="1960" w:hanging="656"/>
        <w:spacing w:after="0" w:line="250"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Advent Global Technology Strategic Investors Limited Partnership, a Cayman Islands limited partnership (the funds set forth in the foregoing clauses (xxxi)-(xxxiv), the “</w:t>
      </w:r>
      <w:r>
        <w:rPr>
          <w:rFonts w:ascii="Arial" w:cs="Arial" w:eastAsia="Arial" w:hAnsi="Arial"/>
          <w:sz w:val="18"/>
          <w:szCs w:val="18"/>
          <w:u w:val="single" w:color="auto"/>
          <w:color w:val="auto"/>
        </w:rPr>
        <w:t>Advent AGT Funds</w:t>
      </w:r>
      <w:r>
        <w:rPr>
          <w:rFonts w:ascii="Arial" w:cs="Arial" w:eastAsia="Arial" w:hAnsi="Arial"/>
          <w:sz w:val="18"/>
          <w:szCs w:val="18"/>
          <w:color w:val="auto"/>
        </w:rPr>
        <w:t>”);</w:t>
      </w: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Sunley House Capital Management LLC, a Delaware limited liability company;</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Sunley House Capital GP LLC, a Delaware limited liability company;</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Sunley House Capital GP LP, a Cayman Islands limited partnership;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(xxxviii)Sunley House Capital Master Limited Partnership, a Cayman Islands limited partnership (“</w:t>
      </w:r>
      <w:r>
        <w:rPr>
          <w:rFonts w:ascii="Arial" w:cs="Arial" w:eastAsia="Arial" w:hAnsi="Arial"/>
          <w:sz w:val="17"/>
          <w:szCs w:val="17"/>
          <w:u w:val="single" w:color="auto"/>
          <w:color w:val="auto"/>
        </w:rPr>
        <w:t>Sunley House Master Fund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type w:val="continuous"/>
        </w:sectPr>
      </w:pPr>
    </w:p>
    <w:bookmarkStart w:id="40" w:name="page41"/>
    <w:bookmarkEnd w:id="40"/>
    <w:p>
      <w:pPr>
        <w:ind w:left="40"/>
        <w:spacing w:after="0"/>
        <w:tabs>
          <w:tab w:leader="none" w:pos="5060" w:val="left"/>
          <w:tab w:leader="none" w:pos="7540" w:val="left"/>
        </w:tabs>
        <w:rPr>
          <w:sz w:val="20"/>
          <w:szCs w:val="20"/>
          <w:color w:val="auto"/>
        </w:rPr>
      </w:pPr>
      <w:r>
        <w:rPr>
          <w:rFonts w:ascii="Arial" w:cs="Arial" w:eastAsia="Arial" w:hAnsi="Arial"/>
          <w:sz w:val="14"/>
          <w:szCs w:val="14"/>
          <w:b w:val="1"/>
          <w:bCs w:val="1"/>
          <w:color w:val="auto"/>
        </w:rPr>
        <w:t>CUSIP No. 24477E103</w:t>
      </w:r>
      <w:r>
        <w:rPr>
          <w:sz w:val="20"/>
          <w:szCs w:val="20"/>
          <w:color w:val="auto"/>
        </w:rPr>
        <w:tab/>
      </w:r>
      <w:r>
        <w:rPr>
          <w:rFonts w:ascii="Arial" w:cs="Arial" w:eastAsia="Arial" w:hAnsi="Arial"/>
          <w:sz w:val="14"/>
          <w:szCs w:val="14"/>
          <w:b w:val="1"/>
          <w:bCs w:val="1"/>
          <w:color w:val="auto"/>
        </w:rPr>
        <w:t>SCHEDULE 13G</w:t>
      </w:r>
      <w:r>
        <w:rPr>
          <w:sz w:val="20"/>
          <w:szCs w:val="20"/>
          <w:color w:val="auto"/>
        </w:rPr>
        <w:tab/>
      </w:r>
      <w:r>
        <w:rPr>
          <w:rFonts w:ascii="Arial" w:cs="Arial" w:eastAsia="Arial" w:hAnsi="Arial"/>
          <w:sz w:val="12"/>
          <w:szCs w:val="12"/>
          <w:b w:val="1"/>
          <w:bCs w:val="1"/>
          <w:color w:val="auto"/>
        </w:rPr>
        <w:t>Page 41 of 57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-95885</wp:posOffset>
            </wp:positionV>
            <wp:extent cx="23571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571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236601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66010" cy="12890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5" w:lineRule="exact"/>
        <w:rPr>
          <w:sz w:val="20"/>
          <w:szCs w:val="20"/>
          <w:color w:val="auto"/>
        </w:rPr>
      </w:pPr>
    </w:p>
    <w:p>
      <w:pPr>
        <w:ind w:left="1300" w:right="100"/>
        <w:spacing w:after="0" w:line="287" w:lineRule="auto"/>
        <w:rPr>
          <w:sz w:val="20"/>
          <w:szCs w:val="20"/>
          <w:color w:val="auto"/>
        </w:rPr>
      </w:pPr>
      <w:r>
        <w:rPr>
          <w:rFonts w:ascii="Arial" w:cs="Arial" w:eastAsia="Arial" w:hAnsi="Arial"/>
          <w:sz w:val="19"/>
          <w:szCs w:val="19"/>
          <w:color w:val="auto"/>
        </w:rPr>
        <w:t>GPE IX GP Limited Partnership is the general partner of the Advent IX Cayman Funds, GPE IX GP S.à r.l. is the general partner of the Advent IX Luxembourg Funds, and AP GPE IX GP Limited Partnership is the general partner of the Advent IX Partners Funds. Advent International GPE IX, LLC is the general partner of GPE IX GP Limited Partnership and AP GPE IX GP Limited Partnership, and is the manager of GPE IX GP S.à r.l.</w:t>
      </w:r>
    </w:p>
    <w:p>
      <w:pPr>
        <w:spacing w:after="0" w:line="170" w:lineRule="exact"/>
        <w:rPr>
          <w:sz w:val="20"/>
          <w:szCs w:val="20"/>
          <w:color w:val="auto"/>
        </w:rPr>
      </w:pPr>
    </w:p>
    <w:p>
      <w:pPr>
        <w:ind w:left="1300" w:right="300"/>
        <w:spacing w:after="0" w:line="282" w:lineRule="auto"/>
        <w:rPr>
          <w:sz w:val="20"/>
          <w:szCs w:val="20"/>
          <w:color w:val="auto"/>
        </w:rPr>
      </w:pPr>
      <w:r>
        <w:rPr>
          <w:rFonts w:ascii="Arial" w:cs="Arial" w:eastAsia="Arial" w:hAnsi="Arial"/>
          <w:sz w:val="19"/>
          <w:szCs w:val="19"/>
          <w:color w:val="auto"/>
        </w:rPr>
        <w:t>Advent Global Technology GP Limited Partnership is the general partner of the Advent Global Technology Funds, Advent Global Technology GP S.à r.l. is the general partner of Advent Global Technology-A SCSp, and AP AGT GP Limited Partnership is the general partner of the Advent AGT Funds. Advent Global Technology LLC is the general partner of Advent Global Technology GP Limited Partnership and AP AGT GP Limited Partnership, and is the manager of Advent Global Technology GP S.à r.l..</w:t>
      </w:r>
    </w:p>
    <w:p>
      <w:pPr>
        <w:spacing w:after="0" w:line="174" w:lineRule="exact"/>
        <w:rPr>
          <w:sz w:val="20"/>
          <w:szCs w:val="20"/>
          <w:color w:val="auto"/>
        </w:rPr>
      </w:pPr>
    </w:p>
    <w:p>
      <w:pPr>
        <w:ind w:left="1300" w:right="100"/>
        <w:spacing w:after="0" w:line="275" w:lineRule="auto"/>
        <w:rPr>
          <w:sz w:val="20"/>
          <w:szCs w:val="20"/>
          <w:color w:val="auto"/>
        </w:rPr>
      </w:pPr>
      <w:r>
        <w:rPr>
          <w:rFonts w:ascii="Arial" w:cs="Arial" w:eastAsia="Arial" w:hAnsi="Arial"/>
          <w:sz w:val="19"/>
          <w:szCs w:val="19"/>
          <w:color w:val="auto"/>
        </w:rPr>
        <w:t>Sunley House Capital GP LP is the general partner of Sunley House Master Fund, Sunley House Capital GP LLC is the general partner of Sunley House Capital GP LP, and Sunley House Capital Management LLC is the investment manager to Sunley House Master Fund. Investors in Sunley House Master Fund invest in one or more of the following feeder funds: Sunley House Capital Fund LP, Sunley House Capital Limited Partnership, Sunley House Capital Fund Ltd. and Sunley House Capital Ltd. (collectively, the “</w:t>
      </w:r>
      <w:r>
        <w:rPr>
          <w:rFonts w:ascii="Arial" w:cs="Arial" w:eastAsia="Arial" w:hAnsi="Arial"/>
          <w:sz w:val="19"/>
          <w:szCs w:val="19"/>
          <w:u w:val="single" w:color="auto"/>
          <w:color w:val="auto"/>
        </w:rPr>
        <w:t>Sunley House Feeder Funds</w:t>
      </w:r>
      <w:r>
        <w:rPr>
          <w:rFonts w:ascii="Arial" w:cs="Arial" w:eastAsia="Arial" w:hAnsi="Arial"/>
          <w:sz w:val="19"/>
          <w:szCs w:val="19"/>
          <w:color w:val="auto"/>
        </w:rPr>
        <w:t>”), which are the limited partners of Sunley House Master Fund. The Sunley House Feeder Funds have ownership interests in Sunley House Master Fund, but none of the Sunley House Feeder Funds owns shares directly and none has voting or dispositive power over the shares held directly by Sunley House Master Fund.</w:t>
      </w:r>
    </w:p>
    <w:p>
      <w:pPr>
        <w:spacing w:after="0" w:line="184" w:lineRule="exact"/>
        <w:rPr>
          <w:sz w:val="20"/>
          <w:szCs w:val="20"/>
          <w:color w:val="auto"/>
        </w:rPr>
      </w:pPr>
    </w:p>
    <w:p>
      <w:pPr>
        <w:ind w:left="1300" w:right="180"/>
        <w:spacing w:after="0" w:line="282" w:lineRule="auto"/>
        <w:rPr>
          <w:sz w:val="20"/>
          <w:szCs w:val="20"/>
          <w:color w:val="auto"/>
        </w:rPr>
      </w:pPr>
      <w:r>
        <w:rPr>
          <w:rFonts w:ascii="Arial" w:cs="Arial" w:eastAsia="Arial" w:hAnsi="Arial"/>
          <w:sz w:val="19"/>
          <w:szCs w:val="19"/>
          <w:color w:val="auto"/>
        </w:rPr>
        <w:t>Advent International Corporation is the manager of Advent International GPE IX, LLC and Advent Global Technology LLC and is the sole member of both Sunley House GP LLC and Sunley House Capital Management LLC and may be deemed to have voting and dispositive power over the shares held by the Advent IX Cayman Funds, the Advent IX Luxembourg Funds, the Advent IX Partners Funds, the Advent Global Technology funds, Advent Global Technology-A SCSp the Advent AGT Funds and Sunley House Master Fund.</w:t>
      </w:r>
    </w:p>
    <w:p>
      <w:pPr>
        <w:spacing w:after="0" w:line="174" w:lineRule="exact"/>
        <w:rPr>
          <w:sz w:val="20"/>
          <w:szCs w:val="20"/>
          <w:color w:val="auto"/>
        </w:rPr>
      </w:pPr>
    </w:p>
    <w:p>
      <w:pPr>
        <w:ind w:left="1300" w:right="300"/>
        <w:spacing w:after="0" w:line="250" w:lineRule="auto"/>
        <w:rPr>
          <w:sz w:val="20"/>
          <w:szCs w:val="20"/>
          <w:color w:val="auto"/>
        </w:rPr>
      </w:pPr>
      <w:r>
        <w:rPr>
          <w:rFonts w:ascii="Arial" w:cs="Arial" w:eastAsia="Arial" w:hAnsi="Arial"/>
          <w:sz w:val="22"/>
          <w:szCs w:val="22"/>
          <w:color w:val="auto"/>
        </w:rPr>
        <w:t>The address of the principal business and the principal office of the Reporting Persons is Prudential Tower, 800 Boylston Street, Boston, Massachusetts 02199-8069.</w:t>
      </w:r>
    </w:p>
    <w:p>
      <w:pPr>
        <w:spacing w:after="0" w:line="209"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Class A Common Stock, $0.001 par value per share ( “</w:t>
      </w:r>
      <w:r>
        <w:rPr>
          <w:rFonts w:ascii="Arial" w:cs="Arial" w:eastAsia="Arial" w:hAnsi="Arial"/>
          <w:sz w:val="22"/>
          <w:szCs w:val="22"/>
          <w:u w:val="single" w:color="auto"/>
          <w:color w:val="auto"/>
        </w:rPr>
        <w:t>Class A Common Stock</w:t>
      </w:r>
      <w:r>
        <w:rPr>
          <w:rFonts w:ascii="Arial" w:cs="Arial" w:eastAsia="Arial" w:hAnsi="Arial"/>
          <w:sz w:val="22"/>
          <w:szCs w:val="22"/>
          <w:color w:val="auto"/>
        </w:rPr>
        <w:t>”)</w:t>
      </w:r>
    </w:p>
    <w:p>
      <w:pPr>
        <w:spacing w:after="0" w:line="240"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24477E103</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300" w:hanging="644"/>
        <w:spacing w:after="0" w:line="277" w:lineRule="auto"/>
        <w:tabs>
          <w:tab w:leader="none" w:pos="89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(c) Provide the following information regarding the aggregate number and percentage of the class of securities of the issuer identified in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1" w:name="page42"/>
    <w:bookmarkEnd w:id="41"/>
    <w:tbl>
      <w:tblPr>
        <w:tblLayout w:type="fixed"/>
        <w:tblInd w:w="10" w:type="dxa"/>
        <w:tblCellMar>
          <w:top w:w="0" w:type="dxa"/>
          <w:left w:w="0" w:type="dxa"/>
          <w:bottom w:w="0" w:type="dxa"/>
          <w:right w:w="0" w:type="dxa"/>
        </w:tblCellMar>
      </w:tblPr>
      <w:tr>
        <w:trPr>
          <w:trHeight w:val="183"/>
        </w:trPr>
        <w:tc>
          <w:tcPr>
            <w:tcW w:w="340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40" w:type="dxa"/>
            <w:vAlign w:val="bottom"/>
            <w:tcBorders>
              <w:top w:val="single" w:sz="8" w:color="auto"/>
              <w:bottom w:val="single" w:sz="8" w:color="auto"/>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SCHEDULE 13G</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2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Page 42 of 57 Pages</w:t>
            </w:r>
          </w:p>
        </w:tc>
        <w:tc>
          <w:tcPr>
            <w:tcW w:w="10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right w:val="single" w:sz="8" w:color="auto"/>
            </w:tcBorders>
          </w:tcPr>
          <w:p>
            <w:pPr>
              <w:spacing w:after="0"/>
              <w:rPr>
                <w:sz w:val="15"/>
                <w:szCs w:val="15"/>
                <w:color w:val="auto"/>
              </w:rPr>
            </w:pPr>
          </w:p>
        </w:tc>
      </w:tr>
      <w:tr>
        <w:trPr>
          <w:trHeight w:val="377"/>
        </w:trPr>
        <w:tc>
          <w:tcPr>
            <w:tcW w:w="3400" w:type="dxa"/>
            <w:vAlign w:val="bottom"/>
          </w:tcPr>
          <w:p>
            <w:pPr>
              <w:spacing w:after="0"/>
              <w:rPr>
                <w:sz w:val="24"/>
                <w:szCs w:val="24"/>
                <w:color w:val="auto"/>
              </w:rPr>
            </w:pPr>
          </w:p>
        </w:tc>
        <w:tc>
          <w:tcPr>
            <w:tcW w:w="14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Number of</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8"/>
                <w:szCs w:val="18"/>
                <w:color w:val="auto"/>
                <w:w w:val="84"/>
              </w:rPr>
              <w:t>Shares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Shared</w:t>
            </w:r>
          </w:p>
        </w:tc>
        <w:tc>
          <w:tcPr>
            <w:tcW w:w="280" w:type="dxa"/>
            <w:vAlign w:val="bottom"/>
          </w:tcPr>
          <w:p>
            <w:pPr>
              <w:spacing w:after="0"/>
              <w:rPr>
                <w:sz w:val="18"/>
                <w:szCs w:val="18"/>
                <w:color w:val="auto"/>
              </w:rPr>
            </w:pPr>
          </w:p>
        </w:tc>
        <w:tc>
          <w:tcPr>
            <w:tcW w:w="1260" w:type="dxa"/>
            <w:vAlign w:val="bottom"/>
            <w:gridSpan w:val="3"/>
          </w:tcPr>
          <w:p>
            <w:pPr>
              <w:jc w:val="center"/>
              <w:ind w:right="580"/>
              <w:spacing w:after="0"/>
              <w:rPr>
                <w:sz w:val="20"/>
                <w:szCs w:val="20"/>
                <w:color w:val="auto"/>
              </w:rPr>
            </w:pPr>
            <w:r>
              <w:rPr>
                <w:rFonts w:ascii="Arial" w:cs="Arial" w:eastAsia="Arial" w:hAnsi="Arial"/>
                <w:sz w:val="18"/>
                <w:szCs w:val="18"/>
                <w:color w:val="auto"/>
                <w:w w:val="88"/>
              </w:rPr>
              <w:t>Sole</w:t>
            </w: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Shared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Percentage of</w:t>
            </w:r>
          </w:p>
        </w:tc>
      </w:tr>
      <w:tr>
        <w:trPr>
          <w:trHeight w:val="216"/>
        </w:trPr>
        <w:tc>
          <w:tcPr>
            <w:tcW w:w="3400" w:type="dxa"/>
            <w:vAlign w:val="bottom"/>
          </w:tcPr>
          <w:p>
            <w:pPr>
              <w:spacing w:after="0"/>
              <w:rPr>
                <w:sz w:val="18"/>
                <w:szCs w:val="18"/>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8"/>
                <w:szCs w:val="18"/>
                <w:color w:val="auto"/>
                <w:w w:val="96"/>
              </w:rPr>
              <w:t>Beneficially</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Sole Voting</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Voting</w:t>
            </w:r>
          </w:p>
        </w:tc>
        <w:tc>
          <w:tcPr>
            <w:tcW w:w="1540" w:type="dxa"/>
            <w:vAlign w:val="bottom"/>
            <w:gridSpan w:val="4"/>
          </w:tcPr>
          <w:p>
            <w:pPr>
              <w:jc w:val="center"/>
              <w:ind w:right="280"/>
              <w:spacing w:after="0"/>
              <w:rPr>
                <w:sz w:val="20"/>
                <w:szCs w:val="20"/>
                <w:color w:val="auto"/>
              </w:rPr>
            </w:pPr>
            <w:r>
              <w:rPr>
                <w:rFonts w:ascii="Arial" w:cs="Arial" w:eastAsia="Arial" w:hAnsi="Arial"/>
                <w:sz w:val="18"/>
                <w:szCs w:val="18"/>
                <w:color w:val="auto"/>
                <w:w w:val="94"/>
              </w:rPr>
              <w:t>Dispositive</w:t>
            </w: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Dispositive</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Common Stock</w:t>
            </w:r>
          </w:p>
        </w:tc>
      </w:tr>
      <w:tr>
        <w:trPr>
          <w:trHeight w:val="237"/>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8"/>
                <w:szCs w:val="18"/>
                <w:color w:val="auto"/>
                <w:w w:val="91"/>
              </w:rPr>
              <w:t>Owned</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Power</w:t>
            </w:r>
          </w:p>
        </w:tc>
        <w:tc>
          <w:tcPr>
            <w:tcW w:w="960" w:type="dxa"/>
            <w:vAlign w:val="bottom"/>
            <w:gridSpan w:val="2"/>
          </w:tcPr>
          <w:p>
            <w:pPr>
              <w:ind w:left="200"/>
              <w:spacing w:after="0"/>
              <w:rPr>
                <w:sz w:val="20"/>
                <w:szCs w:val="20"/>
                <w:color w:val="auto"/>
              </w:rPr>
            </w:pPr>
            <w:r>
              <w:rPr>
                <w:rFonts w:ascii="Arial" w:cs="Arial" w:eastAsia="Arial" w:hAnsi="Arial"/>
                <w:sz w:val="18"/>
                <w:szCs w:val="18"/>
                <w:color w:val="auto"/>
              </w:rPr>
              <w:t>Power</w:t>
            </w:r>
          </w:p>
        </w:tc>
        <w:tc>
          <w:tcPr>
            <w:tcW w:w="280" w:type="dxa"/>
            <w:vAlign w:val="bottom"/>
          </w:tcPr>
          <w:p>
            <w:pPr>
              <w:spacing w:after="0"/>
              <w:rPr>
                <w:sz w:val="20"/>
                <w:szCs w:val="20"/>
                <w:color w:val="auto"/>
              </w:rPr>
            </w:pPr>
          </w:p>
        </w:tc>
        <w:tc>
          <w:tcPr>
            <w:tcW w:w="126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Power</w:t>
            </w: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Power</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Outstanding</w:t>
            </w:r>
          </w:p>
        </w:tc>
      </w:tr>
      <w:tr>
        <w:trPr>
          <w:trHeight w:val="216"/>
        </w:trPr>
        <w:tc>
          <w:tcPr>
            <w:tcW w:w="3400" w:type="dxa"/>
            <w:vAlign w:val="bottom"/>
            <w:tcBorders>
              <w:top w:val="single" w:sz="8" w:color="CCEEFF"/>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Advent International Corporation</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62,493,676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62,493,676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62,493,676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Advent International GPE IX, LLC</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46,251,909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46,251,909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46,251,909</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r>
      <w:tr>
        <w:trPr>
          <w:trHeight w:val="216"/>
        </w:trPr>
        <w:tc>
          <w:tcPr>
            <w:tcW w:w="34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GPE IX GP Limited Partnership</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36,492,659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36,492,659</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36,492,659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Advent International GPE IX Limited</w:t>
            </w:r>
          </w:p>
        </w:tc>
        <w:tc>
          <w:tcPr>
            <w:tcW w:w="148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16,955,510</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16,955,510</w:t>
            </w:r>
          </w:p>
        </w:tc>
        <w:tc>
          <w:tcPr>
            <w:tcW w:w="9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16,955,510</w:t>
            </w:r>
          </w:p>
        </w:tc>
        <w:tc>
          <w:tcPr>
            <w:tcW w:w="100" w:type="dxa"/>
            <w:vAlign w:val="bottom"/>
          </w:tcPr>
          <w:p>
            <w:pPr>
              <w:spacing w:after="0"/>
              <w:rPr>
                <w:sz w:val="17"/>
                <w:szCs w:val="17"/>
                <w:color w:val="auto"/>
              </w:rPr>
            </w:pPr>
          </w:p>
        </w:tc>
        <w:tc>
          <w:tcPr>
            <w:tcW w:w="122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17.5%</w:t>
            </w: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40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International GPE IX-B Limited</w:t>
            </w:r>
          </w:p>
        </w:tc>
        <w:tc>
          <w:tcPr>
            <w:tcW w:w="148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3,359,809</w:t>
            </w:r>
          </w:p>
        </w:tc>
        <w:tc>
          <w:tcPr>
            <w:tcW w:w="14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3,359,809</w:t>
            </w:r>
          </w:p>
        </w:tc>
        <w:tc>
          <w:tcPr>
            <w:tcW w:w="9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3,359,809</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3.5%</w:t>
            </w:r>
          </w:p>
        </w:tc>
      </w:tr>
      <w:tr>
        <w:trPr>
          <w:trHeight w:val="230"/>
        </w:trPr>
        <w:tc>
          <w:tcPr>
            <w:tcW w:w="340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34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Advent International GPE IX-C Limited</w:t>
            </w:r>
          </w:p>
        </w:tc>
        <w:tc>
          <w:tcPr>
            <w:tcW w:w="148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1,394,766</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1,394,766</w:t>
            </w:r>
          </w:p>
        </w:tc>
        <w:tc>
          <w:tcPr>
            <w:tcW w:w="9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1,394,766</w:t>
            </w:r>
          </w:p>
        </w:tc>
        <w:tc>
          <w:tcPr>
            <w:tcW w:w="100" w:type="dxa"/>
            <w:vAlign w:val="bottom"/>
          </w:tcPr>
          <w:p>
            <w:pPr>
              <w:spacing w:after="0"/>
              <w:rPr>
                <w:sz w:val="17"/>
                <w:szCs w:val="17"/>
                <w:color w:val="auto"/>
              </w:rPr>
            </w:pPr>
          </w:p>
        </w:tc>
        <w:tc>
          <w:tcPr>
            <w:tcW w:w="122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1.4%</w:t>
            </w: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40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International GPE IX-F Limited</w:t>
            </w:r>
          </w:p>
        </w:tc>
        <w:tc>
          <w:tcPr>
            <w:tcW w:w="148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1,463,380</w:t>
            </w:r>
          </w:p>
        </w:tc>
        <w:tc>
          <w:tcPr>
            <w:tcW w:w="14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1,463,380</w:t>
            </w:r>
          </w:p>
        </w:tc>
        <w:tc>
          <w:tcPr>
            <w:tcW w:w="9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1,463,380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w:t>
            </w:r>
          </w:p>
        </w:tc>
      </w:tr>
      <w:tr>
        <w:trPr>
          <w:trHeight w:val="230"/>
        </w:trPr>
        <w:tc>
          <w:tcPr>
            <w:tcW w:w="340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34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Advent International GPE IX-G Limited</w:t>
            </w:r>
          </w:p>
        </w:tc>
        <w:tc>
          <w:tcPr>
            <w:tcW w:w="148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4,815,226</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4,815,226</w:t>
            </w:r>
          </w:p>
        </w:tc>
        <w:tc>
          <w:tcPr>
            <w:tcW w:w="9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4,815,226</w:t>
            </w:r>
          </w:p>
        </w:tc>
        <w:tc>
          <w:tcPr>
            <w:tcW w:w="100" w:type="dxa"/>
            <w:vAlign w:val="bottom"/>
          </w:tcPr>
          <w:p>
            <w:pPr>
              <w:spacing w:after="0"/>
              <w:rPr>
                <w:sz w:val="17"/>
                <w:szCs w:val="17"/>
                <w:color w:val="auto"/>
              </w:rPr>
            </w:pPr>
          </w:p>
        </w:tc>
        <w:tc>
          <w:tcPr>
            <w:tcW w:w="122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5.0%</w:t>
            </w: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40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International GPE IX-H Limited</w:t>
            </w:r>
          </w:p>
        </w:tc>
        <w:tc>
          <w:tcPr>
            <w:tcW w:w="148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5,428,915</w:t>
            </w:r>
          </w:p>
        </w:tc>
        <w:tc>
          <w:tcPr>
            <w:tcW w:w="14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5,428,915</w:t>
            </w:r>
          </w:p>
        </w:tc>
        <w:tc>
          <w:tcPr>
            <w:tcW w:w="9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5,428,915</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5.6%</w:t>
            </w:r>
          </w:p>
        </w:tc>
      </w:tr>
      <w:tr>
        <w:trPr>
          <w:trHeight w:val="230"/>
        </w:trPr>
        <w:tc>
          <w:tcPr>
            <w:tcW w:w="340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34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Advent International GPE IX-I Limited</w:t>
            </w:r>
          </w:p>
        </w:tc>
        <w:tc>
          <w:tcPr>
            <w:tcW w:w="148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3,075,053</w:t>
            </w:r>
          </w:p>
        </w:tc>
        <w:tc>
          <w:tcPr>
            <w:tcW w:w="14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3,075,053</w:t>
            </w:r>
          </w:p>
        </w:tc>
        <w:tc>
          <w:tcPr>
            <w:tcW w:w="96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3,075,053</w:t>
            </w:r>
          </w:p>
        </w:tc>
        <w:tc>
          <w:tcPr>
            <w:tcW w:w="100" w:type="dxa"/>
            <w:vAlign w:val="bottom"/>
          </w:tcPr>
          <w:p>
            <w:pPr>
              <w:spacing w:after="0"/>
              <w:rPr>
                <w:sz w:val="17"/>
                <w:szCs w:val="17"/>
                <w:color w:val="auto"/>
              </w:rPr>
            </w:pPr>
          </w:p>
        </w:tc>
        <w:tc>
          <w:tcPr>
            <w:tcW w:w="1220" w:type="dxa"/>
            <w:vAlign w:val="bottom"/>
            <w:gridSpan w:val="2"/>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3.2%</w:t>
            </w:r>
          </w:p>
        </w:tc>
      </w:tr>
      <w:tr>
        <w:trPr>
          <w:trHeight w:val="230"/>
        </w:trPr>
        <w:tc>
          <w:tcPr>
            <w:tcW w:w="340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40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GPE IX GP S.à r.l</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8,301,241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8,301,241</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8,301,241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Advent International GPE IX-A SCSp</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4,985,850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4,985,850</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4,985,850</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34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Advent International GPE IX-D SCSp</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1,061,241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1,061,241</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1,061,241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Advent International GPE IX-E SCSp</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2,156,723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2,156,723</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2,156,723</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02"/>
        </w:trPr>
        <w:tc>
          <w:tcPr>
            <w:tcW w:w="340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International GPE IX Strategic</w:t>
            </w:r>
          </w:p>
        </w:tc>
        <w:tc>
          <w:tcPr>
            <w:tcW w:w="148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97,427</w:t>
            </w:r>
          </w:p>
        </w:tc>
        <w:tc>
          <w:tcPr>
            <w:tcW w:w="14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97,427</w:t>
            </w:r>
          </w:p>
        </w:tc>
        <w:tc>
          <w:tcPr>
            <w:tcW w:w="9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97,427</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0.1%</w:t>
            </w:r>
          </w:p>
        </w:tc>
      </w:tr>
      <w:tr>
        <w:trPr>
          <w:trHeight w:val="230"/>
        </w:trPr>
        <w:tc>
          <w:tcPr>
            <w:tcW w:w="340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Investors SCSp</w:t>
            </w:r>
          </w:p>
        </w:tc>
        <w:tc>
          <w:tcPr>
            <w:tcW w:w="34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AP GPE IX GP Limited Partnership</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1,458,009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1,458,009</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1,458,009</w:t>
            </w:r>
          </w:p>
        </w:tc>
        <w:tc>
          <w:tcPr>
            <w:tcW w:w="100" w:type="dxa"/>
            <w:vAlign w:val="bottom"/>
          </w:tcPr>
          <w:p>
            <w:pPr>
              <w:spacing w:after="0"/>
              <w:rPr>
                <w:sz w:val="18"/>
                <w:szCs w:val="18"/>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02"/>
        </w:trPr>
        <w:tc>
          <w:tcPr>
            <w:tcW w:w="340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Partners GPE IX Limited</w:t>
            </w:r>
          </w:p>
        </w:tc>
        <w:tc>
          <w:tcPr>
            <w:tcW w:w="148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55,642</w:t>
            </w:r>
          </w:p>
        </w:tc>
        <w:tc>
          <w:tcPr>
            <w:tcW w:w="14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55,642</w:t>
            </w:r>
          </w:p>
        </w:tc>
        <w:tc>
          <w:tcPr>
            <w:tcW w:w="960" w:type="dxa"/>
            <w:vAlign w:val="bottom"/>
            <w:gridSpan w:val="2"/>
            <w:shd w:val="clear" w:color="auto" w:fill="CCEEFF"/>
          </w:tcPr>
          <w:p>
            <w:pPr>
              <w:ind w:left="68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55,642</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40"/>
              <w:spacing w:after="0" w:line="201"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0.1%</w:t>
            </w:r>
          </w:p>
        </w:tc>
      </w:tr>
      <w:tr>
        <w:trPr>
          <w:trHeight w:val="230"/>
        </w:trPr>
        <w:tc>
          <w:tcPr>
            <w:tcW w:w="3400" w:type="dxa"/>
            <w:vAlign w:val="bottom"/>
            <w:tcBorders>
              <w:lef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340" w:type="dxa"/>
            <w:vAlign w:val="bottom"/>
            <w:tcBorders>
              <w:right w:val="single" w:sz="8" w:color="CCEEFF"/>
            </w:tcBorders>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r>
      <w:tr>
        <w:trPr>
          <w:trHeight w:val="682"/>
        </w:trPr>
        <w:tc>
          <w:tcPr>
            <w:tcW w:w="3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1160" w:type="dxa"/>
            <w:vAlign w:val="bottom"/>
          </w:tcPr>
          <w:p>
            <w:pPr>
              <w:spacing w:after="0"/>
              <w:rPr>
                <w:sz w:val="15"/>
                <w:szCs w:val="15"/>
                <w:color w:val="auto"/>
              </w:rPr>
            </w:pPr>
          </w:p>
        </w:tc>
        <w:tc>
          <w:tcPr>
            <w:tcW w:w="1700" w:type="dxa"/>
            <w:vAlign w:val="bottom"/>
          </w:tcPr>
          <w:p>
            <w:pPr>
              <w:jc w:val="right"/>
              <w:ind w:right="331"/>
              <w:spacing w:after="0"/>
              <w:rPr>
                <w:sz w:val="20"/>
                <w:szCs w:val="20"/>
                <w:color w:val="auto"/>
              </w:rPr>
            </w:pPr>
            <w:r>
              <w:rPr>
                <w:rFonts w:ascii="Arial" w:cs="Arial" w:eastAsia="Arial" w:hAnsi="Arial"/>
                <w:sz w:val="14"/>
                <w:szCs w:val="14"/>
                <w:b w:val="1"/>
                <w:bCs w:val="1"/>
                <w:color w:val="auto"/>
              </w:rPr>
              <w:t>SCHEDULE 13G</w:t>
            </w:r>
          </w:p>
        </w:tc>
        <w:tc>
          <w:tcPr>
            <w:tcW w:w="960" w:type="dxa"/>
            <w:vAlign w:val="bottom"/>
            <w:tcBorders>
              <w:right w:val="single" w:sz="8" w:color="auto"/>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7"/>
              </w:rPr>
              <w:t>Page 43 of 57 Pages</w:t>
            </w:r>
          </w:p>
        </w:tc>
        <w:tc>
          <w:tcPr>
            <w:tcW w:w="10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right w:val="single" w:sz="8" w:color="auto"/>
            </w:tcBorders>
          </w:tcPr>
          <w:p>
            <w:pPr>
              <w:spacing w:after="0"/>
              <w:rPr>
                <w:sz w:val="15"/>
                <w:szCs w:val="15"/>
                <w:color w:val="auto"/>
              </w:rPr>
            </w:pPr>
          </w:p>
        </w:tc>
      </w:tr>
      <w:tr>
        <w:trPr>
          <w:trHeight w:val="377"/>
        </w:trPr>
        <w:tc>
          <w:tcPr>
            <w:tcW w:w="3740" w:type="dxa"/>
            <w:vAlign w:val="bottom"/>
          </w:tcPr>
          <w:p>
            <w:pPr>
              <w:spacing w:after="0"/>
              <w:rPr>
                <w:sz w:val="20"/>
                <w:szCs w:val="20"/>
                <w:color w:val="auto"/>
              </w:rPr>
            </w:pPr>
            <w:r>
              <w:rPr>
                <w:rFonts w:ascii="Arial" w:cs="Arial" w:eastAsia="Arial" w:hAnsi="Arial"/>
                <w:sz w:val="18"/>
                <w:szCs w:val="18"/>
                <w:color w:val="auto"/>
              </w:rPr>
              <w:t>Advent Partners GPE IX-A Limited</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128,669</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128,669</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rPr>
                <w:sz w:val="20"/>
                <w:szCs w:val="20"/>
                <w:color w:val="auto"/>
              </w:rPr>
            </w:pPr>
            <w:r>
              <w:rPr>
                <w:rFonts w:ascii="Arial" w:cs="Arial" w:eastAsia="Arial" w:hAnsi="Arial"/>
                <w:sz w:val="18"/>
                <w:szCs w:val="18"/>
                <w:color w:val="auto"/>
              </w:rPr>
              <w:t>128,669</w:t>
            </w:r>
          </w:p>
        </w:tc>
        <w:tc>
          <w:tcPr>
            <w:tcW w:w="1080" w:type="dxa"/>
            <w:vAlign w:val="bottom"/>
          </w:tcPr>
          <w:p>
            <w:pPr>
              <w:ind w:left="4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740" w:type="dxa"/>
            <w:vAlign w:val="bottom"/>
            <w:tcBorders>
              <w:left w:val="single" w:sz="8" w:color="CCEEFF"/>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Partners GPE IX Cayman Limited</w:t>
            </w:r>
          </w:p>
        </w:tc>
        <w:tc>
          <w:tcPr>
            <w:tcW w:w="116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321,070</w:t>
            </w:r>
          </w:p>
        </w:tc>
        <w:tc>
          <w:tcPr>
            <w:tcW w:w="1700" w:type="dxa"/>
            <w:vAlign w:val="bottom"/>
            <w:shd w:val="clear" w:color="auto" w:fill="CCEEFF"/>
          </w:tcPr>
          <w:p>
            <w:pPr>
              <w:jc w:val="right"/>
              <w:ind w:right="351"/>
              <w:spacing w:after="0" w:line="201" w:lineRule="exact"/>
              <w:rPr>
                <w:sz w:val="20"/>
                <w:szCs w:val="20"/>
                <w:color w:val="auto"/>
              </w:rPr>
            </w:pPr>
            <w:r>
              <w:rPr>
                <w:rFonts w:ascii="Arial" w:cs="Arial" w:eastAsia="Arial" w:hAnsi="Arial"/>
                <w:sz w:val="18"/>
                <w:szCs w:val="18"/>
                <w:color w:val="auto"/>
              </w:rPr>
              <w:t>321,070</w:t>
            </w:r>
          </w:p>
        </w:tc>
        <w:tc>
          <w:tcPr>
            <w:tcW w:w="960" w:type="dxa"/>
            <w:vAlign w:val="bottom"/>
            <w:tcBorders>
              <w:right w:val="single" w:sz="8" w:color="CCEEFF"/>
            </w:tcBorders>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line="201" w:lineRule="exact"/>
              <w:rPr>
                <w:sz w:val="20"/>
                <w:szCs w:val="20"/>
                <w:color w:val="auto"/>
              </w:rPr>
            </w:pPr>
            <w:r>
              <w:rPr>
                <w:rFonts w:ascii="Arial" w:cs="Arial" w:eastAsia="Arial" w:hAnsi="Arial"/>
                <w:sz w:val="18"/>
                <w:szCs w:val="18"/>
                <w:color w:val="auto"/>
              </w:rPr>
              <w:t>321,070</w:t>
            </w:r>
          </w:p>
        </w:tc>
        <w:tc>
          <w:tcPr>
            <w:tcW w:w="10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7"/>
                <w:szCs w:val="17"/>
                <w:color w:val="auto"/>
              </w:rPr>
            </w:pPr>
          </w:p>
        </w:tc>
      </w:tr>
      <w:tr>
        <w:trPr>
          <w:trHeight w:val="230"/>
        </w:trPr>
        <w:tc>
          <w:tcPr>
            <w:tcW w:w="3740" w:type="dxa"/>
            <w:vAlign w:val="bottom"/>
            <w:tcBorders>
              <w:left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Advent Partners GPE IX-A Cayman Limited</w:t>
            </w:r>
          </w:p>
        </w:tc>
        <w:tc>
          <w:tcPr>
            <w:tcW w:w="11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54,121</w:t>
            </w:r>
          </w:p>
        </w:tc>
        <w:tc>
          <w:tcPr>
            <w:tcW w:w="1700" w:type="dxa"/>
            <w:vAlign w:val="bottom"/>
          </w:tcPr>
          <w:p>
            <w:pPr>
              <w:jc w:val="right"/>
              <w:ind w:right="351"/>
              <w:spacing w:after="0" w:line="201" w:lineRule="exact"/>
              <w:rPr>
                <w:sz w:val="20"/>
                <w:szCs w:val="20"/>
                <w:color w:val="auto"/>
              </w:rPr>
            </w:pPr>
            <w:r>
              <w:rPr>
                <w:rFonts w:ascii="Arial" w:cs="Arial" w:eastAsia="Arial" w:hAnsi="Arial"/>
                <w:sz w:val="18"/>
                <w:szCs w:val="18"/>
                <w:color w:val="auto"/>
              </w:rPr>
              <w:t>54,121</w:t>
            </w:r>
          </w:p>
        </w:tc>
        <w:tc>
          <w:tcPr>
            <w:tcW w:w="960" w:type="dxa"/>
            <w:vAlign w:val="bottom"/>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54,121</w:t>
            </w:r>
          </w:p>
        </w:tc>
        <w:tc>
          <w:tcPr>
            <w:tcW w:w="1080" w:type="dxa"/>
            <w:vAlign w:val="bottom"/>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7"/>
                <w:szCs w:val="17"/>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740" w:type="dxa"/>
            <w:vAlign w:val="bottom"/>
            <w:tcBorders>
              <w:left w:val="single" w:sz="8" w:color="CCEEFF"/>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Partners GPE IX-B Cayman Limited</w:t>
            </w:r>
          </w:p>
        </w:tc>
        <w:tc>
          <w:tcPr>
            <w:tcW w:w="116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898,507</w:t>
            </w:r>
          </w:p>
        </w:tc>
        <w:tc>
          <w:tcPr>
            <w:tcW w:w="1700" w:type="dxa"/>
            <w:vAlign w:val="bottom"/>
            <w:shd w:val="clear" w:color="auto" w:fill="CCEEFF"/>
          </w:tcPr>
          <w:p>
            <w:pPr>
              <w:jc w:val="right"/>
              <w:ind w:right="351"/>
              <w:spacing w:after="0" w:line="201" w:lineRule="exact"/>
              <w:rPr>
                <w:sz w:val="20"/>
                <w:szCs w:val="20"/>
                <w:color w:val="auto"/>
              </w:rPr>
            </w:pPr>
            <w:r>
              <w:rPr>
                <w:rFonts w:ascii="Arial" w:cs="Arial" w:eastAsia="Arial" w:hAnsi="Arial"/>
                <w:sz w:val="18"/>
                <w:szCs w:val="18"/>
                <w:color w:val="auto"/>
              </w:rPr>
              <w:t>898,507</w:t>
            </w:r>
          </w:p>
        </w:tc>
        <w:tc>
          <w:tcPr>
            <w:tcW w:w="960" w:type="dxa"/>
            <w:vAlign w:val="bottom"/>
            <w:tcBorders>
              <w:right w:val="single" w:sz="8" w:color="CCEEFF"/>
            </w:tcBorders>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line="201" w:lineRule="exact"/>
              <w:rPr>
                <w:sz w:val="20"/>
                <w:szCs w:val="20"/>
                <w:color w:val="auto"/>
              </w:rPr>
            </w:pPr>
            <w:r>
              <w:rPr>
                <w:rFonts w:ascii="Arial" w:cs="Arial" w:eastAsia="Arial" w:hAnsi="Arial"/>
                <w:sz w:val="18"/>
                <w:szCs w:val="18"/>
                <w:color w:val="auto"/>
              </w:rPr>
              <w:t>898,507</w:t>
            </w:r>
          </w:p>
        </w:tc>
        <w:tc>
          <w:tcPr>
            <w:tcW w:w="10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0.9%</w:t>
            </w:r>
          </w:p>
        </w:tc>
        <w:tc>
          <w:tcPr>
            <w:tcW w:w="60" w:type="dxa"/>
            <w:vAlign w:val="bottom"/>
          </w:tcPr>
          <w:p>
            <w:pPr>
              <w:spacing w:after="0"/>
              <w:rPr>
                <w:sz w:val="17"/>
                <w:szCs w:val="17"/>
                <w:color w:val="auto"/>
              </w:rPr>
            </w:pPr>
          </w:p>
        </w:tc>
      </w:tr>
      <w:tr>
        <w:trPr>
          <w:trHeight w:val="230"/>
        </w:trPr>
        <w:tc>
          <w:tcPr>
            <w:tcW w:w="3740" w:type="dxa"/>
            <w:vAlign w:val="bottom"/>
            <w:tcBorders>
              <w:left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Advent Global Technology LLC</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12,617,980</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12,617,980</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rPr>
                <w:sz w:val="20"/>
                <w:szCs w:val="20"/>
                <w:color w:val="auto"/>
              </w:rPr>
            </w:pPr>
            <w:r>
              <w:rPr>
                <w:rFonts w:ascii="Arial" w:cs="Arial" w:eastAsia="Arial" w:hAnsi="Arial"/>
                <w:sz w:val="18"/>
                <w:szCs w:val="18"/>
                <w:color w:val="auto"/>
              </w:rPr>
              <w:t>12,617,980</w:t>
            </w:r>
          </w:p>
        </w:tc>
        <w:tc>
          <w:tcPr>
            <w:tcW w:w="108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r>
      <w:tr>
        <w:trPr>
          <w:trHeight w:val="202"/>
        </w:trPr>
        <w:tc>
          <w:tcPr>
            <w:tcW w:w="3740" w:type="dxa"/>
            <w:vAlign w:val="bottom"/>
            <w:tcBorders>
              <w:left w:val="single" w:sz="8" w:color="CCEEFF"/>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Global Technology GP Limited</w:t>
            </w:r>
          </w:p>
        </w:tc>
        <w:tc>
          <w:tcPr>
            <w:tcW w:w="116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10,326,106</w:t>
            </w:r>
          </w:p>
        </w:tc>
        <w:tc>
          <w:tcPr>
            <w:tcW w:w="1700" w:type="dxa"/>
            <w:vAlign w:val="bottom"/>
            <w:shd w:val="clear" w:color="auto" w:fill="CCEEFF"/>
          </w:tcPr>
          <w:p>
            <w:pPr>
              <w:jc w:val="right"/>
              <w:ind w:right="351"/>
              <w:spacing w:after="0" w:line="201" w:lineRule="exact"/>
              <w:rPr>
                <w:sz w:val="20"/>
                <w:szCs w:val="20"/>
                <w:color w:val="auto"/>
              </w:rPr>
            </w:pPr>
            <w:r>
              <w:rPr>
                <w:rFonts w:ascii="Arial" w:cs="Arial" w:eastAsia="Arial" w:hAnsi="Arial"/>
                <w:sz w:val="18"/>
                <w:szCs w:val="18"/>
                <w:color w:val="auto"/>
              </w:rPr>
              <w:t>10,326,106</w:t>
            </w:r>
          </w:p>
        </w:tc>
        <w:tc>
          <w:tcPr>
            <w:tcW w:w="960" w:type="dxa"/>
            <w:vAlign w:val="bottom"/>
            <w:tcBorders>
              <w:right w:val="single" w:sz="8" w:color="CCEEFF"/>
            </w:tcBorders>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line="201" w:lineRule="exact"/>
              <w:rPr>
                <w:sz w:val="20"/>
                <w:szCs w:val="20"/>
                <w:color w:val="auto"/>
              </w:rPr>
            </w:pPr>
            <w:r>
              <w:rPr>
                <w:rFonts w:ascii="Arial" w:cs="Arial" w:eastAsia="Arial" w:hAnsi="Arial"/>
                <w:sz w:val="18"/>
                <w:szCs w:val="18"/>
                <w:color w:val="auto"/>
              </w:rPr>
              <w:t>10,326,106</w:t>
            </w:r>
          </w:p>
        </w:tc>
        <w:tc>
          <w:tcPr>
            <w:tcW w:w="10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r>
      <w:tr>
        <w:trPr>
          <w:trHeight w:val="230"/>
        </w:trPr>
        <w:tc>
          <w:tcPr>
            <w:tcW w:w="3740" w:type="dxa"/>
            <w:vAlign w:val="bottom"/>
            <w:tcBorders>
              <w:left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Advent Global Technology Limited</w:t>
            </w:r>
          </w:p>
        </w:tc>
        <w:tc>
          <w:tcPr>
            <w:tcW w:w="11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3,818,770</w:t>
            </w:r>
          </w:p>
        </w:tc>
        <w:tc>
          <w:tcPr>
            <w:tcW w:w="1700" w:type="dxa"/>
            <w:vAlign w:val="bottom"/>
          </w:tcPr>
          <w:p>
            <w:pPr>
              <w:jc w:val="right"/>
              <w:ind w:right="351"/>
              <w:spacing w:after="0" w:line="201" w:lineRule="exact"/>
              <w:rPr>
                <w:sz w:val="20"/>
                <w:szCs w:val="20"/>
                <w:color w:val="auto"/>
              </w:rPr>
            </w:pPr>
            <w:r>
              <w:rPr>
                <w:rFonts w:ascii="Arial" w:cs="Arial" w:eastAsia="Arial" w:hAnsi="Arial"/>
                <w:sz w:val="18"/>
                <w:szCs w:val="18"/>
                <w:color w:val="auto"/>
              </w:rPr>
              <w:t>3,818,770</w:t>
            </w:r>
          </w:p>
        </w:tc>
        <w:tc>
          <w:tcPr>
            <w:tcW w:w="960" w:type="dxa"/>
            <w:vAlign w:val="bottom"/>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3,818,770</w:t>
            </w:r>
          </w:p>
        </w:tc>
        <w:tc>
          <w:tcPr>
            <w:tcW w:w="1080" w:type="dxa"/>
            <w:vAlign w:val="bottom"/>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3.9%</w:t>
            </w:r>
          </w:p>
        </w:tc>
        <w:tc>
          <w:tcPr>
            <w:tcW w:w="60" w:type="dxa"/>
            <w:vAlign w:val="bottom"/>
          </w:tcPr>
          <w:p>
            <w:pPr>
              <w:spacing w:after="0"/>
              <w:rPr>
                <w:sz w:val="17"/>
                <w:szCs w:val="17"/>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740" w:type="dxa"/>
            <w:vAlign w:val="bottom"/>
            <w:tcBorders>
              <w:left w:val="single" w:sz="8" w:color="CCEEFF"/>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Global Technology-B Limited</w:t>
            </w:r>
          </w:p>
        </w:tc>
        <w:tc>
          <w:tcPr>
            <w:tcW w:w="116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2,971,879</w:t>
            </w:r>
          </w:p>
        </w:tc>
        <w:tc>
          <w:tcPr>
            <w:tcW w:w="1700" w:type="dxa"/>
            <w:vAlign w:val="bottom"/>
            <w:shd w:val="clear" w:color="auto" w:fill="CCEEFF"/>
          </w:tcPr>
          <w:p>
            <w:pPr>
              <w:jc w:val="right"/>
              <w:ind w:right="351"/>
              <w:spacing w:after="0" w:line="201" w:lineRule="exact"/>
              <w:rPr>
                <w:sz w:val="20"/>
                <w:szCs w:val="20"/>
                <w:color w:val="auto"/>
              </w:rPr>
            </w:pPr>
            <w:r>
              <w:rPr>
                <w:rFonts w:ascii="Arial" w:cs="Arial" w:eastAsia="Arial" w:hAnsi="Arial"/>
                <w:sz w:val="18"/>
                <w:szCs w:val="18"/>
                <w:color w:val="auto"/>
              </w:rPr>
              <w:t>2,971,879</w:t>
            </w:r>
          </w:p>
        </w:tc>
        <w:tc>
          <w:tcPr>
            <w:tcW w:w="960" w:type="dxa"/>
            <w:vAlign w:val="bottom"/>
            <w:tcBorders>
              <w:right w:val="single" w:sz="8" w:color="CCEEFF"/>
            </w:tcBorders>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line="201" w:lineRule="exact"/>
              <w:rPr>
                <w:sz w:val="20"/>
                <w:szCs w:val="20"/>
                <w:color w:val="auto"/>
              </w:rPr>
            </w:pPr>
            <w:r>
              <w:rPr>
                <w:rFonts w:ascii="Arial" w:cs="Arial" w:eastAsia="Arial" w:hAnsi="Arial"/>
                <w:sz w:val="18"/>
                <w:szCs w:val="18"/>
                <w:color w:val="auto"/>
              </w:rPr>
              <w:t>2,971,879</w:t>
            </w:r>
          </w:p>
        </w:tc>
        <w:tc>
          <w:tcPr>
            <w:tcW w:w="10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r>
      <w:tr>
        <w:trPr>
          <w:trHeight w:val="230"/>
        </w:trPr>
        <w:tc>
          <w:tcPr>
            <w:tcW w:w="3740" w:type="dxa"/>
            <w:vAlign w:val="bottom"/>
            <w:tcBorders>
              <w:left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Advent Global Technology-C Limited</w:t>
            </w:r>
          </w:p>
        </w:tc>
        <w:tc>
          <w:tcPr>
            <w:tcW w:w="11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1,609,070</w:t>
            </w:r>
          </w:p>
        </w:tc>
        <w:tc>
          <w:tcPr>
            <w:tcW w:w="1700" w:type="dxa"/>
            <w:vAlign w:val="bottom"/>
          </w:tcPr>
          <w:p>
            <w:pPr>
              <w:jc w:val="right"/>
              <w:ind w:right="351"/>
              <w:spacing w:after="0" w:line="201" w:lineRule="exact"/>
              <w:rPr>
                <w:sz w:val="20"/>
                <w:szCs w:val="20"/>
                <w:color w:val="auto"/>
              </w:rPr>
            </w:pPr>
            <w:r>
              <w:rPr>
                <w:rFonts w:ascii="Arial" w:cs="Arial" w:eastAsia="Arial" w:hAnsi="Arial"/>
                <w:sz w:val="18"/>
                <w:szCs w:val="18"/>
                <w:color w:val="auto"/>
              </w:rPr>
              <w:t>1,609,070</w:t>
            </w:r>
          </w:p>
        </w:tc>
        <w:tc>
          <w:tcPr>
            <w:tcW w:w="960" w:type="dxa"/>
            <w:vAlign w:val="bottom"/>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1,609,070</w:t>
            </w:r>
          </w:p>
        </w:tc>
        <w:tc>
          <w:tcPr>
            <w:tcW w:w="1080" w:type="dxa"/>
            <w:vAlign w:val="bottom"/>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1.7%</w:t>
            </w:r>
          </w:p>
        </w:tc>
        <w:tc>
          <w:tcPr>
            <w:tcW w:w="60" w:type="dxa"/>
            <w:vAlign w:val="bottom"/>
          </w:tcPr>
          <w:p>
            <w:pPr>
              <w:spacing w:after="0"/>
              <w:rPr>
                <w:sz w:val="17"/>
                <w:szCs w:val="17"/>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740" w:type="dxa"/>
            <w:vAlign w:val="bottom"/>
            <w:tcBorders>
              <w:left w:val="single" w:sz="8" w:color="CCEEFF"/>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Global Technology-D Limited</w:t>
            </w:r>
          </w:p>
        </w:tc>
        <w:tc>
          <w:tcPr>
            <w:tcW w:w="116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1,926,387</w:t>
            </w:r>
          </w:p>
        </w:tc>
        <w:tc>
          <w:tcPr>
            <w:tcW w:w="1700" w:type="dxa"/>
            <w:vAlign w:val="bottom"/>
            <w:shd w:val="clear" w:color="auto" w:fill="CCEEFF"/>
          </w:tcPr>
          <w:p>
            <w:pPr>
              <w:jc w:val="right"/>
              <w:ind w:right="351"/>
              <w:spacing w:after="0" w:line="201" w:lineRule="exact"/>
              <w:rPr>
                <w:sz w:val="20"/>
                <w:szCs w:val="20"/>
                <w:color w:val="auto"/>
              </w:rPr>
            </w:pPr>
            <w:r>
              <w:rPr>
                <w:rFonts w:ascii="Arial" w:cs="Arial" w:eastAsia="Arial" w:hAnsi="Arial"/>
                <w:sz w:val="18"/>
                <w:szCs w:val="18"/>
                <w:color w:val="auto"/>
              </w:rPr>
              <w:t>1,926,387</w:t>
            </w:r>
          </w:p>
        </w:tc>
        <w:tc>
          <w:tcPr>
            <w:tcW w:w="960" w:type="dxa"/>
            <w:vAlign w:val="bottom"/>
            <w:tcBorders>
              <w:right w:val="single" w:sz="8" w:color="CCEEFF"/>
            </w:tcBorders>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line="201" w:lineRule="exact"/>
              <w:rPr>
                <w:sz w:val="20"/>
                <w:szCs w:val="20"/>
                <w:color w:val="auto"/>
              </w:rPr>
            </w:pPr>
            <w:r>
              <w:rPr>
                <w:rFonts w:ascii="Arial" w:cs="Arial" w:eastAsia="Arial" w:hAnsi="Arial"/>
                <w:sz w:val="18"/>
                <w:szCs w:val="18"/>
                <w:color w:val="auto"/>
              </w:rPr>
              <w:t>1,926,387</w:t>
            </w:r>
          </w:p>
        </w:tc>
        <w:tc>
          <w:tcPr>
            <w:tcW w:w="10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w:t>
            </w:r>
          </w:p>
        </w:tc>
        <w:tc>
          <w:tcPr>
            <w:tcW w:w="60" w:type="dxa"/>
            <w:vAlign w:val="bottom"/>
          </w:tcPr>
          <w:p>
            <w:pPr>
              <w:spacing w:after="0"/>
              <w:rPr>
                <w:sz w:val="17"/>
                <w:szCs w:val="17"/>
                <w:color w:val="auto"/>
              </w:rPr>
            </w:pPr>
          </w:p>
        </w:tc>
      </w:tr>
      <w:tr>
        <w:trPr>
          <w:trHeight w:val="230"/>
        </w:trPr>
        <w:tc>
          <w:tcPr>
            <w:tcW w:w="3740" w:type="dxa"/>
            <w:vAlign w:val="bottom"/>
            <w:tcBorders>
              <w:left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Advent Global Technology GP S.à r.l.</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1,885,069</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1,885,069</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rPr>
                <w:sz w:val="20"/>
                <w:szCs w:val="20"/>
                <w:color w:val="auto"/>
              </w:rPr>
            </w:pPr>
            <w:r>
              <w:rPr>
                <w:rFonts w:ascii="Arial" w:cs="Arial" w:eastAsia="Arial" w:hAnsi="Arial"/>
                <w:sz w:val="18"/>
                <w:szCs w:val="18"/>
                <w:color w:val="auto"/>
              </w:rPr>
              <w:t>1,885,069</w:t>
            </w:r>
          </w:p>
        </w:tc>
        <w:tc>
          <w:tcPr>
            <w:tcW w:w="108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16"/>
        </w:trPr>
        <w:tc>
          <w:tcPr>
            <w:tcW w:w="374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Advent Global Technology-A SCSP</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1,885,069</w:t>
            </w:r>
          </w:p>
        </w:tc>
        <w:tc>
          <w:tcPr>
            <w:tcW w:w="17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1,885,069</w:t>
            </w:r>
          </w:p>
        </w:tc>
        <w:tc>
          <w:tcPr>
            <w:tcW w:w="96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1,885,069</w:t>
            </w: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AP AGT GP Limited Partnership</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406,805</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406,805</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rPr>
                <w:sz w:val="20"/>
                <w:szCs w:val="20"/>
                <w:color w:val="auto"/>
              </w:rPr>
            </w:pPr>
            <w:r>
              <w:rPr>
                <w:rFonts w:ascii="Arial" w:cs="Arial" w:eastAsia="Arial" w:hAnsi="Arial"/>
                <w:sz w:val="18"/>
                <w:szCs w:val="18"/>
                <w:color w:val="auto"/>
              </w:rPr>
              <w:t>406,805</w:t>
            </w:r>
          </w:p>
        </w:tc>
        <w:tc>
          <w:tcPr>
            <w:tcW w:w="108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r>
      <w:tr>
        <w:trPr>
          <w:trHeight w:val="216"/>
        </w:trPr>
        <w:tc>
          <w:tcPr>
            <w:tcW w:w="374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Advent Partners AGT Limited Partnership</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31,561</w:t>
            </w:r>
          </w:p>
        </w:tc>
        <w:tc>
          <w:tcPr>
            <w:tcW w:w="17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31,561</w:t>
            </w:r>
          </w:p>
        </w:tc>
        <w:tc>
          <w:tcPr>
            <w:tcW w:w="96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31,561</w:t>
            </w: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Advent Partners AGT-A Limited Partnership</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27,373</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27,373</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rPr>
                <w:sz w:val="20"/>
                <w:szCs w:val="20"/>
                <w:color w:val="auto"/>
              </w:rPr>
            </w:pPr>
            <w:r>
              <w:rPr>
                <w:rFonts w:ascii="Arial" w:cs="Arial" w:eastAsia="Arial" w:hAnsi="Arial"/>
                <w:sz w:val="18"/>
                <w:szCs w:val="18"/>
                <w:color w:val="auto"/>
              </w:rPr>
              <w:t>27,373</w:t>
            </w:r>
          </w:p>
        </w:tc>
        <w:tc>
          <w:tcPr>
            <w:tcW w:w="108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r>
      <w:tr>
        <w:trPr>
          <w:trHeight w:val="202"/>
        </w:trPr>
        <w:tc>
          <w:tcPr>
            <w:tcW w:w="3740" w:type="dxa"/>
            <w:vAlign w:val="bottom"/>
            <w:tcBorders>
              <w:left w:val="single" w:sz="8" w:color="CCEEFF"/>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Advent Partners AGT Cayman Limited</w:t>
            </w:r>
          </w:p>
        </w:tc>
        <w:tc>
          <w:tcPr>
            <w:tcW w:w="116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317,329</w:t>
            </w:r>
          </w:p>
        </w:tc>
        <w:tc>
          <w:tcPr>
            <w:tcW w:w="1700" w:type="dxa"/>
            <w:vAlign w:val="bottom"/>
            <w:shd w:val="clear" w:color="auto" w:fill="CCEEFF"/>
          </w:tcPr>
          <w:p>
            <w:pPr>
              <w:jc w:val="right"/>
              <w:ind w:right="351"/>
              <w:spacing w:after="0" w:line="201" w:lineRule="exact"/>
              <w:rPr>
                <w:sz w:val="20"/>
                <w:szCs w:val="20"/>
                <w:color w:val="auto"/>
              </w:rPr>
            </w:pPr>
            <w:r>
              <w:rPr>
                <w:rFonts w:ascii="Arial" w:cs="Arial" w:eastAsia="Arial" w:hAnsi="Arial"/>
                <w:sz w:val="18"/>
                <w:szCs w:val="18"/>
                <w:color w:val="auto"/>
              </w:rPr>
              <w:t>317,329</w:t>
            </w:r>
          </w:p>
        </w:tc>
        <w:tc>
          <w:tcPr>
            <w:tcW w:w="960" w:type="dxa"/>
            <w:vAlign w:val="bottom"/>
            <w:tcBorders>
              <w:right w:val="single" w:sz="8" w:color="CCEEFF"/>
            </w:tcBorders>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line="201" w:lineRule="exact"/>
              <w:rPr>
                <w:sz w:val="20"/>
                <w:szCs w:val="20"/>
                <w:color w:val="auto"/>
              </w:rPr>
            </w:pPr>
            <w:r>
              <w:rPr>
                <w:rFonts w:ascii="Arial" w:cs="Arial" w:eastAsia="Arial" w:hAnsi="Arial"/>
                <w:sz w:val="18"/>
                <w:szCs w:val="18"/>
                <w:color w:val="auto"/>
              </w:rPr>
              <w:t>317,329</w:t>
            </w:r>
          </w:p>
        </w:tc>
        <w:tc>
          <w:tcPr>
            <w:tcW w:w="10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0.3%</w:t>
            </w:r>
          </w:p>
        </w:tc>
        <w:tc>
          <w:tcPr>
            <w:tcW w:w="60" w:type="dxa"/>
            <w:vAlign w:val="bottom"/>
          </w:tcPr>
          <w:p>
            <w:pPr>
              <w:spacing w:after="0"/>
              <w:rPr>
                <w:sz w:val="17"/>
                <w:szCs w:val="17"/>
                <w:color w:val="auto"/>
              </w:rPr>
            </w:pPr>
          </w:p>
        </w:tc>
      </w:tr>
      <w:tr>
        <w:trPr>
          <w:trHeight w:val="230"/>
        </w:trPr>
        <w:tc>
          <w:tcPr>
            <w:tcW w:w="3740" w:type="dxa"/>
            <w:vAlign w:val="bottom"/>
            <w:tcBorders>
              <w:left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1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960" w:type="dxa"/>
            <w:vAlign w:val="bottom"/>
            <w:tcBorders>
              <w:right w:val="single" w:sz="8" w:color="CCEEFF"/>
            </w:tcBorders>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Advent Global Technology Strategic</w:t>
            </w:r>
          </w:p>
        </w:tc>
        <w:tc>
          <w:tcPr>
            <w:tcW w:w="11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30,542</w:t>
            </w:r>
          </w:p>
        </w:tc>
        <w:tc>
          <w:tcPr>
            <w:tcW w:w="1700" w:type="dxa"/>
            <w:vAlign w:val="bottom"/>
          </w:tcPr>
          <w:p>
            <w:pPr>
              <w:jc w:val="right"/>
              <w:ind w:right="351"/>
              <w:spacing w:after="0" w:line="201" w:lineRule="exact"/>
              <w:rPr>
                <w:sz w:val="20"/>
                <w:szCs w:val="20"/>
                <w:color w:val="auto"/>
              </w:rPr>
            </w:pPr>
            <w:r>
              <w:rPr>
                <w:rFonts w:ascii="Arial" w:cs="Arial" w:eastAsia="Arial" w:hAnsi="Arial"/>
                <w:sz w:val="18"/>
                <w:szCs w:val="18"/>
                <w:color w:val="auto"/>
              </w:rPr>
              <w:t>30,542</w:t>
            </w:r>
          </w:p>
        </w:tc>
        <w:tc>
          <w:tcPr>
            <w:tcW w:w="960" w:type="dxa"/>
            <w:vAlign w:val="bottom"/>
          </w:tcPr>
          <w:p>
            <w:pPr>
              <w:ind w:left="42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line="201" w:lineRule="exact"/>
              <w:rPr>
                <w:sz w:val="20"/>
                <w:szCs w:val="20"/>
                <w:color w:val="auto"/>
              </w:rPr>
            </w:pPr>
            <w:r>
              <w:rPr>
                <w:rFonts w:ascii="Arial" w:cs="Arial" w:eastAsia="Arial" w:hAnsi="Arial"/>
                <w:sz w:val="18"/>
                <w:szCs w:val="18"/>
                <w:color w:val="auto"/>
              </w:rPr>
              <w:t>30,542</w:t>
            </w:r>
          </w:p>
        </w:tc>
        <w:tc>
          <w:tcPr>
            <w:tcW w:w="1080" w:type="dxa"/>
            <w:vAlign w:val="bottom"/>
          </w:tcPr>
          <w:p>
            <w:pPr>
              <w:ind w:left="46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0.0%</w:t>
            </w:r>
          </w:p>
        </w:tc>
        <w:tc>
          <w:tcPr>
            <w:tcW w:w="60" w:type="dxa"/>
            <w:vAlign w:val="bottom"/>
          </w:tcPr>
          <w:p>
            <w:pPr>
              <w:spacing w:after="0"/>
              <w:rPr>
                <w:sz w:val="17"/>
                <w:szCs w:val="17"/>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Investors Limited Partnership</w:t>
            </w:r>
          </w:p>
        </w:tc>
        <w:tc>
          <w:tcPr>
            <w:tcW w:w="1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74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Sunley House Capital Management LLC</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3,623,787</w:t>
            </w:r>
          </w:p>
        </w:tc>
        <w:tc>
          <w:tcPr>
            <w:tcW w:w="17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3,623,787</w:t>
            </w:r>
          </w:p>
        </w:tc>
        <w:tc>
          <w:tcPr>
            <w:tcW w:w="96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3,623,787</w:t>
            </w: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Sunley House Capital GP LLC</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3,623,787</w:t>
            </w:r>
          </w:p>
        </w:tc>
        <w:tc>
          <w:tcPr>
            <w:tcW w:w="1700" w:type="dxa"/>
            <w:vAlign w:val="bottom"/>
          </w:tcPr>
          <w:p>
            <w:pPr>
              <w:jc w:val="right"/>
              <w:ind w:right="351"/>
              <w:spacing w:after="0"/>
              <w:rPr>
                <w:sz w:val="20"/>
                <w:szCs w:val="20"/>
                <w:color w:val="auto"/>
              </w:rPr>
            </w:pPr>
            <w:r>
              <w:rPr>
                <w:rFonts w:ascii="Arial" w:cs="Arial" w:eastAsia="Arial" w:hAnsi="Arial"/>
                <w:sz w:val="18"/>
                <w:szCs w:val="18"/>
                <w:color w:val="auto"/>
              </w:rPr>
              <w:t>3,623,787</w:t>
            </w:r>
          </w:p>
        </w:tc>
        <w:tc>
          <w:tcPr>
            <w:tcW w:w="960" w:type="dxa"/>
            <w:vAlign w:val="bottom"/>
          </w:tcPr>
          <w:p>
            <w:pPr>
              <w:ind w:left="4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71"/>
              <w:spacing w:after="0"/>
              <w:rPr>
                <w:sz w:val="20"/>
                <w:szCs w:val="20"/>
                <w:color w:val="auto"/>
              </w:rPr>
            </w:pPr>
            <w:r>
              <w:rPr>
                <w:rFonts w:ascii="Arial" w:cs="Arial" w:eastAsia="Arial" w:hAnsi="Arial"/>
                <w:sz w:val="18"/>
                <w:szCs w:val="18"/>
                <w:color w:val="auto"/>
              </w:rPr>
              <w:t>3,623,787</w:t>
            </w:r>
          </w:p>
        </w:tc>
        <w:tc>
          <w:tcPr>
            <w:tcW w:w="108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374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Sunley House Capital GP LP</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3,623,787</w:t>
            </w:r>
          </w:p>
        </w:tc>
        <w:tc>
          <w:tcPr>
            <w:tcW w:w="17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3,623,787</w:t>
            </w:r>
          </w:p>
        </w:tc>
        <w:tc>
          <w:tcPr>
            <w:tcW w:w="96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571"/>
              <w:spacing w:after="0"/>
              <w:rPr>
                <w:sz w:val="20"/>
                <w:szCs w:val="20"/>
                <w:color w:val="auto"/>
              </w:rPr>
            </w:pPr>
            <w:r>
              <w:rPr>
                <w:rFonts w:ascii="Arial" w:cs="Arial" w:eastAsia="Arial" w:hAnsi="Arial"/>
                <w:sz w:val="18"/>
                <w:szCs w:val="18"/>
                <w:color w:val="auto"/>
              </w:rPr>
              <w:t>3,623,787</w:t>
            </w: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439"/>
        </w:trPr>
        <w:tc>
          <w:tcPr>
            <w:tcW w:w="3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43" w:name="page44"/>
    <w:bookmarkEnd w:id="43"/>
    <w:p>
      <w:pPr>
        <w:ind w:left="40"/>
        <w:spacing w:after="0"/>
        <w:tabs>
          <w:tab w:leader="none" w:pos="5060" w:val="left"/>
          <w:tab w:leader="none" w:pos="7540" w:val="left"/>
        </w:tabs>
        <w:rPr>
          <w:sz w:val="20"/>
          <w:szCs w:val="20"/>
          <w:color w:val="auto"/>
        </w:rPr>
      </w:pPr>
      <w:r>
        <w:rPr>
          <w:rFonts w:ascii="Arial" w:cs="Arial" w:eastAsia="Arial" w:hAnsi="Arial"/>
          <w:sz w:val="14"/>
          <w:szCs w:val="14"/>
          <w:b w:val="1"/>
          <w:bCs w:val="1"/>
          <w:color w:val="auto"/>
        </w:rPr>
        <w:t>CUSIP No. 24477E103</w:t>
      </w:r>
      <w:r>
        <w:rPr>
          <w:sz w:val="20"/>
          <w:szCs w:val="20"/>
          <w:color w:val="auto"/>
        </w:rPr>
        <w:tab/>
      </w:r>
      <w:r>
        <w:rPr>
          <w:rFonts w:ascii="Arial" w:cs="Arial" w:eastAsia="Arial" w:hAnsi="Arial"/>
          <w:sz w:val="14"/>
          <w:szCs w:val="14"/>
          <w:b w:val="1"/>
          <w:bCs w:val="1"/>
          <w:color w:val="auto"/>
        </w:rPr>
        <w:t>SCHEDULE 13G</w:t>
      </w:r>
      <w:r>
        <w:rPr>
          <w:sz w:val="20"/>
          <w:szCs w:val="20"/>
          <w:color w:val="auto"/>
        </w:rPr>
        <w:tab/>
      </w:r>
      <w:r>
        <w:rPr>
          <w:rFonts w:ascii="Arial" w:cs="Arial" w:eastAsia="Arial" w:hAnsi="Arial"/>
          <w:sz w:val="12"/>
          <w:szCs w:val="12"/>
          <w:b w:val="1"/>
          <w:bCs w:val="1"/>
          <w:color w:val="auto"/>
        </w:rPr>
        <w:t>Page 44 of 57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-95885</wp:posOffset>
            </wp:positionV>
            <wp:extent cx="23571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571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236601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66010" cy="128905"/>
                    </a:xfrm>
                    <a:prstGeom prst="rect">
                      <a:avLst/>
                    </a:prstGeom>
                    <a:noFill/>
                  </pic:spPr>
                </pic:pic>
              </a:graphicData>
            </a:graphic>
          </wp:anchor>
        </w:drawing>
      </w:r>
    </w:p>
    <w:p>
      <w:pPr>
        <w:sectPr>
          <w:pgSz w:w="11900" w:h="16838" w:orient="portrait"/>
          <w:cols w:equalWidth="0" w:num="1">
            <w:col w:w="11000"/>
          </w:cols>
          <w:pgMar w:left="320" w:top="130" w:right="579" w:bottom="1440" w:gutter="0" w:footer="0" w:header="0"/>
        </w:sectPr>
      </w:pP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300"/>
        <w:spacing w:after="0" w:line="277"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9"/>
          <w:szCs w:val="19"/>
          <w:color w:val="auto"/>
        </w:rPr>
        <w:t>☐</w:t>
      </w:r>
    </w:p>
    <w:p>
      <w:pPr>
        <w:spacing w:after="0" w:line="19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1300" w:right="3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Reporting Persons expressly disclaim membership in a "group" as used in Rule 13d-5(b)(1)..</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30" w:right="579" w:bottom="1440" w:gutter="0" w:footer="0" w:header="0"/>
          <w:type w:val="continuous"/>
        </w:sectPr>
      </w:pPr>
    </w:p>
    <w:bookmarkStart w:id="44" w:name="page45"/>
    <w:bookmarkEnd w:id="44"/>
    <w:tbl>
      <w:tblPr>
        <w:tblLayout w:type="fixed"/>
        <w:tblInd w:w="10" w:type="dxa"/>
        <w:tblCellMar>
          <w:top w:w="0" w:type="dxa"/>
          <w:left w:w="0" w:type="dxa"/>
          <w:bottom w:w="0" w:type="dxa"/>
          <w:right w:w="0" w:type="dxa"/>
        </w:tblCellMar>
      </w:tblPr>
      <w:tr>
        <w:trPr>
          <w:trHeight w:val="182"/>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45 of 57 Pages</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120" w:firstLine="415"/>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7"/>
          <w:szCs w:val="17"/>
          <w:color w:val="auto"/>
        </w:rPr>
        <w:t>ADVENT INTERNATIONAL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IX-A SCSP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IX-D SCSP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IX-E SCSP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 STRATEGIC INVESTORS SCSP</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GPE IX GP S.A.R.L.,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Justin Nuccio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IX-B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IX-C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IX-F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IX-G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IX-H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46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GPE IX GP LIMITED PARTNERSHIP,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 CAYMAN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IX-A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IX-A CAYMAN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IX-B CAYMAN LIMITED 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GPE IX GP LIMITED PARTNERSHIP, GENERAL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GPE IX GP S.A.R.L.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Justin Nuccio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GPE IX GP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47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 GPE IX GP LIMITED PARTNERSHIP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TECHNOLOGY-B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TECHNOLOGY-C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TECHNOLOGY-D LIMITED 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GP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48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TECHNOLOGY-A SCSP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ADVENT GLOBAL TECHNOLOGY S.A.R.L, GENERAL PARTNER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Justin Nuccio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AGT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AGT-A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AGT CAYMAN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STRATEGIC INVESTORS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 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AP AGT GP LIMITED PARTNERSHIP,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GP S.A.R.L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Justin Nuccio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49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GP LIMITED PARTNERSHIP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TECHOLOGY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 AGT GP LIMITED PARTNERSHIP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50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SUNLEY HOUSE CAPITAL MASTER FUND LIMITED PARTNERSHIP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SUNLEY HOUSE CAPITAL GP LP,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SUNLEY HOUSE CAPITAL GP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SUNLEY HOUSE CAPITAL GP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SUNLEY HOUSE CAPITAL GP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SUNLEY HOUSE CAPITAL GP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SUNLEY HOUSE CAPITAL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51 of 57 Pages</w:t>
            </w:r>
          </w:p>
        </w:tc>
      </w:tr>
    </w:tbl>
    <w:p>
      <w:pPr>
        <w:spacing w:after="0" w:line="2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Each of the undersigned, pursuant to Rule 13d-1(k)(1) under the Act, hereby agrees and acknowledges that only one statement containing the information required by Schedule 13G need be filed with respect to the ownership by each of the undersigned of the Class A Common Stock and the information required by this Schedule 13G, to which this Agreement is attached as an exhibit, is filed on behalf of them. The undersigned further agree that any further amendments or supplements thereto shall also be filed on behalf of each of them.</w:t>
      </w:r>
    </w:p>
    <w:p>
      <w:pPr>
        <w:spacing w:after="0" w:line="22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17"/>
          <w:szCs w:val="17"/>
          <w:color w:val="auto"/>
        </w:rPr>
        <w:t>ADVENT INTERNATIONAL CORPORATION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Fund Administration</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IX-A SCSP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IX-D SCSP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IX-E SCSP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 STRATEGIC INVESTORS SCSP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GPE IX GP S.A.R.L.,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Justin Nuccio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IX-B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52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IX-C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IX-F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IX-G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IX-H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IX-I LIMITED</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GPE IX GP LIMITED PARTNERSHIP,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 CAYMAN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IX-A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IX-A CAYMAN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GPE IX-B CAYMAN LIMITED 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GPE IX GP LIMITED PARTNERSHIP, GENERAL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GPE IX GP S.A.R.L.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53 of 57 Pages</w:t>
            </w:r>
          </w:p>
        </w:tc>
      </w:tr>
    </w:tbl>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Justin Nuccio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GPE IX GP LIMITED PARTNERSHIP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 GPE IX GP LIMITED PARTNERSHIP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GPE IX,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TECHNOLOGY-B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TECHNOLOGY-C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TECHNOLOGY-D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54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GP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TECHNOLOGY-A SCSP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ADVENT GLOBAL TECHNOLOGY S.A.R.L, GENERAL PARTNER</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Justin Nuccio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AGT LIMITED PARTNERSHIP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AGT-A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PARTNERS AGT CAYMAN LIMITED PARTNERSHIP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STRATEGIC INVESTORS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LIMITED PARTNERSHIP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AP AGT GP LIMITED PARTNERSHIP,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55 of 57 Pages</w:t>
            </w:r>
          </w:p>
        </w:tc>
      </w:tr>
    </w:tbl>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GP S.A.R.L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Justin Nuccio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Justin Nuccio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GP LIMITED PARTNERSHIP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TECHOLOGY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 AGT GP LIMITED PARTNERSHIP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GLOBAL TECHNOLOGY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56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INTERNATIONAL GPE IX,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ADVENT GLOBAL TECHNOLOGY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SUNLEY HOUSE CAPITAL MASTER FUND LIMITED PARTNERSHIP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SUNLEY HOUSE CAPITAL GP LP,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SUNLEY HOUSE CAPITAL GP LLC, GENERAL PARTNER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SUNLEY HOUSE CAPITAL GP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SUNLEY HOUSE CAPITAL GP LLC, GENERAL PARTNER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24477E103</w:t>
            </w:r>
          </w:p>
        </w:tc>
        <w:tc>
          <w:tcPr>
            <w:tcW w:w="3820" w:type="dxa"/>
            <w:vAlign w:val="bottom"/>
            <w:tcBorders>
              <w:right w:val="single" w:sz="8" w:color="auto"/>
            </w:tcBorders>
          </w:tcPr>
          <w:p>
            <w:pPr>
              <w:ind w:left="1340"/>
              <w:spacing w:after="0"/>
              <w:rPr>
                <w:sz w:val="20"/>
                <w:szCs w:val="20"/>
                <w:color w:val="auto"/>
              </w:rPr>
            </w:pPr>
            <w:r>
              <w:rPr>
                <w:rFonts w:ascii="Arial" w:cs="Arial" w:eastAsia="Arial" w:hAnsi="Arial"/>
                <w:sz w:val="14"/>
                <w:szCs w:val="14"/>
                <w:b w:val="1"/>
                <w:bCs w:val="1"/>
                <w:color w:val="auto"/>
              </w:rPr>
              <w:t>SCHEDULE 13G</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Page 57 of 57 Pages</w:t>
            </w:r>
          </w:p>
        </w:tc>
      </w:tr>
    </w:tbl>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SUNLEY HOUSE CAPITAL GP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SUNLEY HOUSE CAPITAL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ADVENT INTERNATIONAL CORPORATION, MANAGER</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Neil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Neil Crawford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 Fund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lvl w:ilvl="1">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bullet"/>
      <w:start w:val="1"/>
    </w:lvl>
  </w:abstractNum>
  <w:abstractNum w:abstractNumId="36">
    <w:nsid w:val="57E4CCAF"/>
    <w:multiLevelType w:val="hybridMultilevel"/>
    <w:lvl w:ilvl="0">
      <w:lvlJc w:val="left"/>
      <w:lvlText w:val="2"/>
      <w:numFmt w:val="bullet"/>
      <w:start w:val="1"/>
    </w:lvl>
  </w:abstractNum>
  <w:abstractNum w:abstractNumId="37">
    <w:nsid w:val="7A6D8D3C"/>
    <w:multiLevelType w:val="hybridMultilevel"/>
    <w:lvl w:ilvl="0">
      <w:lvlJc w:val="left"/>
      <w:lvlText w:val="4"/>
      <w:numFmt w:val="bullet"/>
      <w:start w:val="1"/>
    </w:lvl>
  </w:abstractNum>
  <w:abstractNum w:abstractNumId="38">
    <w:nsid w:val="4B588F54"/>
    <w:multiLevelType w:val="hybridMultilevel"/>
    <w:lvl w:ilvl="0">
      <w:lvlJc w:val="left"/>
      <w:lvlText w:val="5"/>
      <w:numFmt w:val="bullet"/>
      <w:start w:val="1"/>
    </w:lvl>
  </w:abstractNum>
  <w:abstractNum w:abstractNumId="39">
    <w:nsid w:val="542289EC"/>
    <w:multiLevelType w:val="hybridMultilevel"/>
    <w:lvl w:ilvl="0">
      <w:lvlJc w:val="left"/>
      <w:lvlText w:val="6"/>
      <w:numFmt w:val="bullet"/>
      <w:start w:val="1"/>
    </w:lvl>
  </w:abstractNum>
  <w:abstractNum w:abstractNumId="40">
    <w:nsid w:val="6DE91B18"/>
    <w:multiLevelType w:val="hybridMultilevel"/>
    <w:lvl w:ilvl="0">
      <w:lvlJc w:val="left"/>
      <w:lvlText w:val="7"/>
      <w:numFmt w:val="bullet"/>
      <w:start w:val="1"/>
    </w:lvl>
  </w:abstractNum>
  <w:abstractNum w:abstractNumId="41">
    <w:nsid w:val="38437FDB"/>
    <w:multiLevelType w:val="hybridMultilevel"/>
    <w:lvl w:ilvl="0">
      <w:lvlJc w:val="left"/>
      <w:lvlText w:val="8"/>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2"/>
    </w:lvl>
  </w:abstractNum>
  <w:abstractNum w:abstractNumId="49">
    <w:nsid w:val="79A1DEAA"/>
    <w:multiLevelType w:val="hybridMultilevel"/>
    <w:lvl w:ilvl="0">
      <w:lvlJc w:val="left"/>
      <w:lvlText w:val="(%1)"/>
      <w:numFmt w:val="lowerLetter"/>
      <w:start w:val="1"/>
    </w:lvl>
    <w:lvl w:ilvl="1">
      <w:lvlJc w:val="left"/>
      <w:lvlText w:val="(%2)"/>
      <w:numFmt w:val="lowerRoman"/>
      <w:start w:val="1"/>
    </w:lvl>
  </w:abstractNum>
  <w:abstractNum w:abstractNumId="50">
    <w:nsid w:val="75C6C33A"/>
    <w:multiLevelType w:val="hybridMultilevel"/>
    <w:lvl w:ilvl="0">
      <w:lvlJc w:val="left"/>
      <w:lvlText w:val="(%1)"/>
      <w:numFmt w:val="lowerLetter"/>
      <w:start w:val="4"/>
    </w:lvl>
  </w:abstractNum>
  <w:abstractNum w:abstractNumId="51">
    <w:nsid w:val="12E685FB"/>
    <w:multiLevelType w:val="hybridMultilevel"/>
    <w:lvl w:ilvl="0">
      <w:lvlJc w:val="left"/>
      <w:lvlText w:val="(%1)"/>
      <w:numFmt w:val="lowerLetter"/>
      <w:start w:val="5"/>
    </w:lvl>
  </w:abstractNum>
  <w:abstractNum w:abstractNumId="52">
    <w:nsid w:val="70C6A5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2022-02-14T06:56:37Z</dcterms:created>
  <dcterms:modified xsi:type="dcterms:W3CDTF">2022-02-14T06:56:37Z</dcterms:modified>
</cp:coreProperties>
</file>