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4" w:lineRule="exact"/>
        <w:rPr>
          <w:sz w:val="24"/>
          <w:szCs w:val="24"/>
          <w:color w:val="auto"/>
        </w:rPr>
      </w:pPr>
    </w:p>
    <w:p>
      <w:pPr>
        <w:ind w:left="380"/>
        <w:spacing w:after="0"/>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-241935</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6"/>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line="147"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24765</wp:posOffset>
            </wp:positionV>
            <wp:extent cx="6989445" cy="5026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026025"/>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Booth Richard Douglas</w:t>
        </w:r>
      </w:hyperlink>
    </w:p>
    <w:p>
      <w:pPr>
        <w:spacing w:after="0" w:line="31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7"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C/O DEFINITIVE HEALTHCARE CORP.</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492 OLD CONNECTICUT PATH, SUITE 401</w:t>
      </w:r>
    </w:p>
    <w:p>
      <w:pPr>
        <w:spacing w:after="0" w:line="297" w:lineRule="exact"/>
        <w:rPr>
          <w:sz w:val="24"/>
          <w:szCs w:val="24"/>
          <w:color w:val="auto"/>
        </w:rPr>
      </w:pPr>
    </w:p>
    <w:tbl>
      <w:tblPr>
        <w:tblLayout w:type="fixed"/>
        <w:tblInd w:w="80" w:type="dxa"/>
        <w:tblCellMar>
          <w:top w:w="0" w:type="dxa"/>
          <w:left w:w="0" w:type="dxa"/>
          <w:bottom w:w="0" w:type="dxa"/>
          <w:right w:w="0" w:type="dxa"/>
        </w:tblCellMar>
      </w:tblPr>
      <w:tr>
        <w:trPr>
          <w:trHeight w:val="1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39"/>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7"/>
                <w:szCs w:val="17"/>
                <w:color w:val="0000FF"/>
              </w:rPr>
              <w:t>FRAMINGHAM MA</w:t>
            </w:r>
          </w:p>
        </w:tc>
        <w:tc>
          <w:tcPr>
            <w:tcW w:w="1600" w:type="dxa"/>
            <w:vAlign w:val="bottom"/>
          </w:tcPr>
          <w:p>
            <w:pPr>
              <w:ind w:left="440"/>
              <w:spacing w:after="0"/>
              <w:rPr>
                <w:sz w:val="20"/>
                <w:szCs w:val="20"/>
                <w:color w:val="auto"/>
              </w:rPr>
            </w:pPr>
            <w:r>
              <w:rPr>
                <w:rFonts w:ascii="Arial" w:cs="Arial" w:eastAsia="Arial" w:hAnsi="Arial"/>
                <w:sz w:val="17"/>
                <w:szCs w:val="17"/>
                <w:color w:val="0000FF"/>
              </w:rPr>
              <w:t>01701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3740" w:type="dxa"/>
            <w:vAlign w:val="bottom"/>
            <w:gridSpan w:val="3"/>
          </w:tcPr>
          <w:p>
            <w:pPr>
              <w:spacing w:after="0" w:line="142" w:lineRule="exact"/>
              <w:rPr>
                <w:rFonts w:ascii="Arial" w:cs="Arial" w:eastAsia="Arial" w:hAnsi="Arial"/>
                <w:sz w:val="16"/>
                <w:szCs w:val="16"/>
                <w:color w:val="0000EE"/>
              </w:rPr>
            </w:pPr>
            <w:hyperlink r:id="rId13">
              <w:r>
                <w:rPr>
                  <w:rFonts w:ascii="Arial" w:cs="Arial" w:eastAsia="Arial" w:hAnsi="Arial"/>
                  <w:sz w:val="16"/>
                  <w:szCs w:val="16"/>
                  <w:color w:val="0000EE"/>
                </w:rPr>
                <w:t xml:space="preserve">Definitive Healthcare Corp.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3"/>
                <w:szCs w:val="13"/>
                <w:color w:val="0000FF"/>
              </w:rPr>
              <w:t>DH</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6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3"/>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7"/>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40" w:type="dxa"/>
            <w:vAlign w:val="bottom"/>
          </w:tcPr>
          <w:p>
            <w:pPr>
              <w:spacing w:after="0"/>
              <w:rPr>
                <w:sz w:val="11"/>
                <w:szCs w:val="11"/>
                <w:color w:val="auto"/>
              </w:rPr>
            </w:pPr>
          </w:p>
        </w:tc>
        <w:tc>
          <w:tcPr>
            <w:tcW w:w="13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2240" w:type="dxa"/>
            <w:vAlign w:val="bottom"/>
            <w:tcBorders>
              <w:bottom w:val="single" w:sz="8" w:color="2C2C2C"/>
            </w:tcBorders>
          </w:tcPr>
          <w:p>
            <w:pPr>
              <w:spacing w:after="0"/>
              <w:rPr>
                <w:sz w:val="6"/>
                <w:szCs w:val="6"/>
                <w:color w:val="auto"/>
              </w:rPr>
            </w:pPr>
          </w:p>
        </w:tc>
        <w:tc>
          <w:tcPr>
            <w:tcW w:w="138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vMerge w:val="restart"/>
          </w:tcPr>
          <w:p>
            <w:pPr>
              <w:ind w:left="8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300" w:type="dxa"/>
            <w:vAlign w:val="bottom"/>
            <w:vMerge w:val="continue"/>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1"/>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300" w:type="dxa"/>
            <w:vAlign w:val="bottom"/>
            <w:vMerge w:val="continue"/>
          </w:tcPr>
          <w:p>
            <w:pPr>
              <w:spacing w:after="0"/>
              <w:rPr>
                <w:sz w:val="10"/>
                <w:szCs w:val="10"/>
                <w:color w:val="auto"/>
              </w:rPr>
            </w:pPr>
          </w:p>
        </w:tc>
        <w:tc>
          <w:tcPr>
            <w:tcW w:w="1360" w:type="dxa"/>
            <w:vAlign w:val="bottom"/>
          </w:tcPr>
          <w:p>
            <w:pPr>
              <w:ind w:left="100"/>
              <w:spacing w:after="0" w:line="121"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21"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0"/>
        </w:trPr>
        <w:tc>
          <w:tcPr>
            <w:tcW w:w="2440" w:type="dxa"/>
            <w:vAlign w:val="bottom"/>
            <w:gridSpan w:val="3"/>
          </w:tcPr>
          <w:p>
            <w:pPr>
              <w:ind w:left="80"/>
              <w:spacing w:after="0"/>
              <w:rPr>
                <w:sz w:val="20"/>
                <w:szCs w:val="20"/>
                <w:color w:val="auto"/>
              </w:rPr>
            </w:pPr>
            <w:r>
              <w:rPr>
                <w:rFonts w:ascii="Arial" w:cs="Arial" w:eastAsia="Arial" w:hAnsi="Arial"/>
                <w:sz w:val="17"/>
                <w:szCs w:val="17"/>
                <w:color w:val="0000FF"/>
              </w:rPr>
              <w:t>09/14/2023</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0" w:type="dxa"/>
            <w:vAlign w:val="bottom"/>
            <w:gridSpan w:val="2"/>
            <w:vMerge w:val="restart"/>
          </w:tcPr>
          <w:p>
            <w:pPr>
              <w:ind w:left="340"/>
              <w:spacing w:after="0"/>
              <w:rPr>
                <w:sz w:val="20"/>
                <w:szCs w:val="20"/>
                <w:color w:val="auto"/>
              </w:rPr>
            </w:pPr>
            <w:r>
              <w:rPr>
                <w:rFonts w:ascii="Arial" w:cs="Arial" w:eastAsia="Arial" w:hAnsi="Arial"/>
                <w:sz w:val="17"/>
                <w:szCs w:val="17"/>
                <w:color w:val="0000FF"/>
              </w:rPr>
              <w:t>Chief Financial Officer</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40" w:type="dxa"/>
            <w:vAlign w:val="bottom"/>
          </w:tcPr>
          <w:p>
            <w:pPr>
              <w:spacing w:after="0"/>
              <w:rPr>
                <w:sz w:val="6"/>
                <w:szCs w:val="6"/>
                <w:color w:val="auto"/>
              </w:rPr>
            </w:pPr>
          </w:p>
        </w:tc>
        <w:tc>
          <w:tcPr>
            <w:tcW w:w="13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8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tcPr>
          <w:p>
            <w:pPr>
              <w:spacing w:after="0"/>
              <w:rPr>
                <w:sz w:val="8"/>
                <w:szCs w:val="8"/>
                <w:color w:val="auto"/>
              </w:rPr>
            </w:pPr>
          </w:p>
        </w:tc>
        <w:tc>
          <w:tcPr>
            <w:tcW w:w="13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8"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5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2" w:lineRule="exact"/>
        <w:rPr>
          <w:sz w:val="24"/>
          <w:szCs w:val="24"/>
          <w:color w:val="auto"/>
        </w:rPr>
      </w:pPr>
    </w:p>
    <w:p>
      <w:pPr>
        <w:ind w:left="340" w:right="420"/>
        <w:spacing w:after="0" w:line="25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9" w:lineRule="exact"/>
        <w:rPr>
          <w:sz w:val="24"/>
          <w:szCs w:val="24"/>
          <w:color w:val="auto"/>
        </w:rPr>
      </w:pPr>
    </w:p>
    <w:p>
      <w:pPr>
        <w:sectPr>
          <w:pgSz w:w="11900" w:h="16838" w:orient="portrait"/>
          <w:cols w:equalWidth="0" w:num="2">
            <w:col w:w="3760" w:space="80"/>
            <w:col w:w="724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6"/>
          </w:tcPr>
          <w:p>
            <w:pPr>
              <w:ind w:left="8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2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1220" w:type="dxa"/>
            <w:vAlign w:val="bottom"/>
            <w:gridSpan w:val="2"/>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22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6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2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8"/>
                <w:szCs w:val="8"/>
                <w:color w:val="auto"/>
              </w:rPr>
            </w:pPr>
          </w:p>
        </w:tc>
        <w:tc>
          <w:tcPr>
            <w:tcW w:w="40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80" w:type="dxa"/>
            <w:vAlign w:val="bottom"/>
            <w:tcBorders>
              <w:bottom w:val="single" w:sz="8" w:color="2C2C2C"/>
            </w:tcBorders>
            <w:gridSpan w:val="2"/>
          </w:tcPr>
          <w:p>
            <w:pPr>
              <w:ind w:left="660"/>
              <w:spacing w:after="0"/>
              <w:rPr>
                <w:sz w:val="20"/>
                <w:szCs w:val="20"/>
                <w:color w:val="auto"/>
              </w:rPr>
            </w:pPr>
            <w:r>
              <w:rPr>
                <w:rFonts w:ascii="Arial" w:cs="Arial" w:eastAsia="Arial" w:hAnsi="Arial"/>
                <w:sz w:val="17"/>
                <w:szCs w:val="17"/>
                <w:color w:val="0000FF"/>
              </w:rPr>
              <w:t>09/14/2023</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0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rPr>
              <w:t>993</w:t>
            </w:r>
          </w:p>
        </w:tc>
        <w:tc>
          <w:tcPr>
            <w:tcW w:w="440" w:type="dxa"/>
            <w:vAlign w:val="bottom"/>
            <w:tcBorders>
              <w:bottom w:val="single" w:sz="8" w:color="2C2C2C"/>
            </w:tcBorders>
          </w:tcPr>
          <w:p>
            <w:pPr>
              <w:ind w:left="30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8.27</w:t>
            </w:r>
          </w:p>
        </w:tc>
        <w:tc>
          <w:tcPr>
            <w:tcW w:w="122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253,371.173</w:t>
            </w:r>
          </w:p>
        </w:tc>
        <w:tc>
          <w:tcPr>
            <w:tcW w:w="940" w:type="dxa"/>
            <w:vAlign w:val="bottom"/>
            <w:tcBorders>
              <w:bottom w:val="single" w:sz="8" w:color="2C2C2C"/>
            </w:tcBorders>
          </w:tcPr>
          <w:p>
            <w:pPr>
              <w:ind w:left="36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Borders>
              <w:right w:val="single" w:sz="8" w:color="2C2C2C"/>
            </w:tcBorders>
          </w:tcPr>
          <w:p>
            <w:pPr>
              <w:spacing w:after="0"/>
              <w:rPr>
                <w:sz w:val="21"/>
                <w:szCs w:val="2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48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540" w:firstLine="7"/>
        <w:spacing w:after="0" w:line="266" w:lineRule="auto"/>
        <w:tabs>
          <w:tab w:leader="none" w:pos="173"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transaction reported represents the withholding of shares by the issuer to satisfy the reporting person's tax withholding obligations in connection with the vesting and settlement of previously reported restricted stock units.</w:t>
      </w:r>
    </w:p>
    <w:p>
      <w:pPr>
        <w:spacing w:after="0" w:line="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Arial" w:cs="Arial" w:eastAsia="Arial" w:hAnsi="Arial"/>
                <w:sz w:val="17"/>
                <w:szCs w:val="17"/>
                <w:color w:val="0000FF"/>
              </w:rPr>
              <w:t>/s/ Matthew Ruderman, as</w:t>
            </w:r>
          </w:p>
        </w:tc>
        <w:tc>
          <w:tcPr>
            <w:tcW w:w="920" w:type="dxa"/>
            <w:vAlign w:val="bottom"/>
            <w:gridSpan w:val="2"/>
            <w:vMerge w:val="restart"/>
          </w:tcPr>
          <w:p>
            <w:pPr>
              <w:ind w:left="120"/>
              <w:spacing w:after="0"/>
              <w:rPr>
                <w:sz w:val="20"/>
                <w:szCs w:val="20"/>
                <w:color w:val="auto"/>
              </w:rPr>
            </w:pPr>
            <w:r>
              <w:rPr>
                <w:rFonts w:ascii="Arial" w:cs="Arial" w:eastAsia="Arial" w:hAnsi="Arial"/>
                <w:sz w:val="17"/>
                <w:szCs w:val="17"/>
                <w:color w:val="0000FF"/>
                <w:w w:val="91"/>
              </w:rPr>
              <w:t>09/18/2023</w:t>
            </w:r>
          </w:p>
        </w:tc>
        <w:tc>
          <w:tcPr>
            <w:tcW w:w="0" w:type="dxa"/>
            <w:vAlign w:val="bottom"/>
          </w:tcPr>
          <w:p>
            <w:pPr>
              <w:spacing w:after="0"/>
              <w:rPr>
                <w:sz w:val="1"/>
                <w:szCs w:val="1"/>
                <w:color w:val="auto"/>
              </w:rPr>
            </w:pPr>
          </w:p>
        </w:tc>
      </w:tr>
      <w:tr>
        <w:trPr>
          <w:trHeight w:val="87"/>
        </w:trPr>
        <w:tc>
          <w:tcPr>
            <w:tcW w:w="1060" w:type="dxa"/>
            <w:vAlign w:val="bottom"/>
            <w:tcBorders>
              <w:top w:val="single" w:sz="8" w:color="auto"/>
            </w:tcBorders>
            <w:vMerge w:val="restart"/>
          </w:tcPr>
          <w:p>
            <w:pPr>
              <w:spacing w:after="0" w:line="194" w:lineRule="exact"/>
              <w:rPr>
                <w:sz w:val="20"/>
                <w:szCs w:val="20"/>
                <w:color w:val="auto"/>
              </w:rPr>
            </w:pPr>
            <w:r>
              <w:rPr>
                <w:rFonts w:ascii="Arial" w:cs="Arial" w:eastAsia="Arial" w:hAnsi="Arial"/>
                <w:sz w:val="17"/>
                <w:szCs w:val="17"/>
                <w:color w:val="0000FF"/>
                <w:w w:val="93"/>
              </w:rPr>
              <w:t>attorney in fact</w:t>
            </w:r>
          </w:p>
        </w:tc>
        <w:tc>
          <w:tcPr>
            <w:tcW w:w="760" w:type="dxa"/>
            <w:vAlign w:val="bottom"/>
            <w:tcBorders>
              <w:top w:val="single" w:sz="8" w:color="auto"/>
            </w:tcBorders>
            <w:vMerge w:val="restart"/>
          </w:tcPr>
          <w:p>
            <w:pPr>
              <w:spacing w:after="0"/>
              <w:rPr>
                <w:sz w:val="7"/>
                <w:szCs w:val="7"/>
                <w:color w:val="auto"/>
              </w:rPr>
            </w:pPr>
          </w:p>
        </w:tc>
        <w:tc>
          <w:tcPr>
            <w:tcW w:w="2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060" w:type="dxa"/>
            <w:vAlign w:val="bottom"/>
            <w:tcBorders>
              <w:top w:val="single" w:sz="8" w:color="auto"/>
              <w:bottom w:val="single" w:sz="8" w:color="auto"/>
            </w:tcBorders>
            <w:vMerge w:val="continue"/>
          </w:tcPr>
          <w:p>
            <w:pPr>
              <w:spacing w:after="0"/>
              <w:rPr>
                <w:sz w:val="7"/>
                <w:szCs w:val="7"/>
                <w:color w:val="auto"/>
              </w:rPr>
            </w:pPr>
          </w:p>
        </w:tc>
        <w:tc>
          <w:tcPr>
            <w:tcW w:w="760" w:type="dxa"/>
            <w:vAlign w:val="bottom"/>
            <w:tcBorders>
              <w:top w:val="single" w:sz="8" w:color="auto"/>
            </w:tcBorders>
            <w:vMerge w:val="continue"/>
          </w:tcPr>
          <w:p>
            <w:pPr>
              <w:spacing w:after="0"/>
              <w:rPr>
                <w:sz w:val="7"/>
                <w:szCs w:val="7"/>
                <w:color w:val="auto"/>
              </w:rPr>
            </w:pPr>
          </w:p>
        </w:tc>
        <w:tc>
          <w:tcPr>
            <w:tcW w:w="2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3"/>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641054" TargetMode="External"/><Relationship Id="rId13" Type="http://schemas.openxmlformats.org/officeDocument/2006/relationships/hyperlink" Target="http://www.sec.gov/cgi-bin/browse-edgar?action=getcompany&amp;CIK=0001861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2023-09-18T15:44:06Z</dcterms:created>
  <dcterms:modified xsi:type="dcterms:W3CDTF">2023-09-18T15:44:06Z</dcterms:modified>
</cp:coreProperties>
</file>