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06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Larsen Jill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800"/>
        <w:spacing w:after="0" w:line="269" w:lineRule="auto"/>
        <w:rPr>
          <w:sz w:val="20"/>
          <w:szCs w:val="20"/>
          <w:color w:val="auto"/>
        </w:rPr>
      </w:pPr>
      <w:r>
        <w:rPr>
          <w:rFonts w:ascii="Arial" w:cs="Arial" w:eastAsia="Arial" w:hAnsi="Arial"/>
          <w:sz w:val="20"/>
          <w:szCs w:val="20"/>
          <w:color w:val="0000FF"/>
        </w:rPr>
        <w:t>C/O DEFINITIVE HEALTHCARE CORP.</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550 COCHITUATE RD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20" w:type="dxa"/>
            <w:vAlign w:val="bottom"/>
          </w:tcPr>
          <w:p>
            <w:pPr>
              <w:ind w:left="40"/>
              <w:spacing w:after="0"/>
              <w:rPr>
                <w:sz w:val="20"/>
                <w:szCs w:val="20"/>
                <w:color w:val="auto"/>
              </w:rPr>
            </w:pPr>
            <w:r>
              <w:rPr>
                <w:rFonts w:ascii="Arial" w:cs="Arial" w:eastAsia="Arial" w:hAnsi="Arial"/>
                <w:sz w:val="20"/>
                <w:szCs w:val="20"/>
                <w:color w:val="0000FF"/>
              </w:rPr>
              <w:t>FRAMINGHAM MA</w:t>
            </w:r>
          </w:p>
        </w:tc>
        <w:tc>
          <w:tcPr>
            <w:tcW w:w="720" w:type="dxa"/>
            <w:vAlign w:val="bottom"/>
          </w:tcPr>
          <w:p>
            <w:pPr>
              <w:jc w:val="right"/>
              <w:spacing w:after="0"/>
              <w:rPr>
                <w:sz w:val="20"/>
                <w:szCs w:val="20"/>
                <w:color w:val="auto"/>
              </w:rPr>
            </w:pPr>
            <w:r>
              <w:rPr>
                <w:rFonts w:ascii="Arial" w:cs="Arial" w:eastAsia="Arial" w:hAnsi="Arial"/>
                <w:sz w:val="20"/>
                <w:szCs w:val="20"/>
                <w:color w:val="0000FF"/>
              </w:rPr>
              <w:t>01701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Definitive Healthcare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DH</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067"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1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6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ind w:left="62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80" w:type="dxa"/>
            <w:vAlign w:val="bottom"/>
          </w:tcPr>
          <w:p>
            <w:pPr>
              <w:spacing w:after="0"/>
              <w:rPr>
                <w:sz w:val="14"/>
                <w:szCs w:val="14"/>
                <w:color w:val="auto"/>
              </w:rPr>
            </w:pPr>
          </w:p>
        </w:tc>
        <w:tc>
          <w:tcPr>
            <w:tcW w:w="126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260" w:type="dxa"/>
            <w:vAlign w:val="bottom"/>
          </w:tcPr>
          <w:p>
            <w:pPr>
              <w:ind w:left="62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3080" w:type="dxa"/>
            <w:vAlign w:val="bottom"/>
          </w:tcPr>
          <w:p>
            <w:pPr>
              <w:ind w:left="80"/>
              <w:spacing w:after="0"/>
              <w:rPr>
                <w:sz w:val="20"/>
                <w:szCs w:val="20"/>
                <w:color w:val="auto"/>
              </w:rPr>
            </w:pPr>
            <w:r>
              <w:rPr>
                <w:rFonts w:ascii="Arial" w:cs="Arial" w:eastAsia="Arial" w:hAnsi="Arial"/>
                <w:sz w:val="20"/>
                <w:szCs w:val="20"/>
                <w:color w:val="0000FF"/>
              </w:rPr>
              <w:t>LLC Units of AIDH Management</w:t>
            </w:r>
          </w:p>
        </w:tc>
        <w:tc>
          <w:tcPr>
            <w:tcW w:w="980" w:type="dxa"/>
            <w:vAlign w:val="bottom"/>
            <w:vMerge w:val="restart"/>
          </w:tcPr>
          <w:p>
            <w:pPr>
              <w:jc w:val="right"/>
              <w:ind w:right="257"/>
              <w:spacing w:after="0"/>
              <w:rPr>
                <w:sz w:val="20"/>
                <w:szCs w:val="20"/>
                <w:color w:val="auto"/>
              </w:rPr>
            </w:pPr>
            <w:r>
              <w:rPr>
                <w:rFonts w:ascii="Arial" w:cs="Arial" w:eastAsia="Arial" w:hAnsi="Arial"/>
                <w:sz w:val="13"/>
                <w:szCs w:val="13"/>
                <w:color w:val="008000"/>
              </w:rPr>
              <w:t>(1)(2)</w:t>
            </w:r>
          </w:p>
        </w:tc>
        <w:tc>
          <w:tcPr>
            <w:tcW w:w="900" w:type="dxa"/>
            <w:vAlign w:val="bottom"/>
            <w:vMerge w:val="restart"/>
          </w:tcPr>
          <w:p>
            <w:pPr>
              <w:jc w:val="right"/>
              <w:ind w:right="217"/>
              <w:spacing w:after="0"/>
              <w:rPr>
                <w:sz w:val="20"/>
                <w:szCs w:val="20"/>
                <w:color w:val="auto"/>
              </w:rPr>
            </w:pPr>
            <w:r>
              <w:rPr>
                <w:rFonts w:ascii="Arial" w:cs="Arial" w:eastAsia="Arial" w:hAnsi="Arial"/>
                <w:sz w:val="13"/>
                <w:szCs w:val="13"/>
                <w:color w:val="008000"/>
              </w:rPr>
              <w:t>(1)(2)</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20" w:type="dxa"/>
            <w:vAlign w:val="bottom"/>
            <w:vMerge w:val="restart"/>
          </w:tcPr>
          <w:p>
            <w:pPr>
              <w:jc w:val="right"/>
              <w:ind w:right="122"/>
              <w:spacing w:after="0"/>
              <w:rPr>
                <w:sz w:val="20"/>
                <w:szCs w:val="20"/>
                <w:color w:val="auto"/>
              </w:rPr>
            </w:pPr>
            <w:r>
              <w:rPr>
                <w:rFonts w:ascii="Arial" w:cs="Arial" w:eastAsia="Arial" w:hAnsi="Arial"/>
                <w:sz w:val="20"/>
                <w:szCs w:val="20"/>
                <w:color w:val="0000FF"/>
              </w:rPr>
              <w:t>11,174</w:t>
            </w:r>
          </w:p>
        </w:tc>
        <w:tc>
          <w:tcPr>
            <w:tcW w:w="880" w:type="dxa"/>
            <w:vAlign w:val="bottom"/>
            <w:vMerge w:val="restart"/>
          </w:tcPr>
          <w:p>
            <w:pPr>
              <w:jc w:val="right"/>
              <w:ind w:right="317"/>
              <w:spacing w:after="0"/>
              <w:rPr>
                <w:sz w:val="20"/>
                <w:szCs w:val="20"/>
                <w:color w:val="auto"/>
              </w:rPr>
            </w:pPr>
            <w:r>
              <w:rPr>
                <w:rFonts w:ascii="Arial" w:cs="Arial" w:eastAsia="Arial" w:hAnsi="Arial"/>
                <w:sz w:val="13"/>
                <w:szCs w:val="13"/>
                <w:color w:val="008000"/>
              </w:rPr>
              <w:t>(1)(2)</w:t>
            </w:r>
          </w:p>
        </w:tc>
        <w:tc>
          <w:tcPr>
            <w:tcW w:w="740" w:type="dxa"/>
            <w:vAlign w:val="bottom"/>
            <w:vMerge w:val="restart"/>
          </w:tcPr>
          <w:p>
            <w:pPr>
              <w:jc w:val="center"/>
              <w:ind w:left="62"/>
              <w:spacing w:after="0"/>
              <w:rPr>
                <w:sz w:val="20"/>
                <w:szCs w:val="20"/>
                <w:color w:val="auto"/>
              </w:rPr>
            </w:pPr>
            <w:r>
              <w:rPr>
                <w:rFonts w:ascii="Arial" w:cs="Arial" w:eastAsia="Arial" w:hAnsi="Arial"/>
                <w:sz w:val="20"/>
                <w:szCs w:val="20"/>
                <w:color w:val="0000FF"/>
                <w:w w:val="96"/>
              </w:rPr>
              <w:t>D</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Holdings, LLC</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89"/>
              </w:rPr>
              <w:t>stock</w:t>
            </w:r>
          </w:p>
        </w:tc>
        <w:tc>
          <w:tcPr>
            <w:tcW w:w="9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LLC Units of AIDH Management</w:t>
            </w:r>
          </w:p>
        </w:tc>
        <w:tc>
          <w:tcPr>
            <w:tcW w:w="980" w:type="dxa"/>
            <w:vAlign w:val="bottom"/>
            <w:vMerge w:val="restart"/>
          </w:tcPr>
          <w:p>
            <w:pPr>
              <w:jc w:val="right"/>
              <w:ind w:right="257"/>
              <w:spacing w:after="0"/>
              <w:rPr>
                <w:sz w:val="20"/>
                <w:szCs w:val="20"/>
                <w:color w:val="auto"/>
              </w:rPr>
            </w:pPr>
            <w:r>
              <w:rPr>
                <w:rFonts w:ascii="Arial" w:cs="Arial" w:eastAsia="Arial" w:hAnsi="Arial"/>
                <w:sz w:val="13"/>
                <w:szCs w:val="13"/>
                <w:color w:val="008000"/>
              </w:rPr>
              <w:t>(1)(2)</w:t>
            </w:r>
          </w:p>
        </w:tc>
        <w:tc>
          <w:tcPr>
            <w:tcW w:w="900" w:type="dxa"/>
            <w:vAlign w:val="bottom"/>
            <w:vMerge w:val="restart"/>
          </w:tcPr>
          <w:p>
            <w:pPr>
              <w:jc w:val="right"/>
              <w:ind w:right="217"/>
              <w:spacing w:after="0"/>
              <w:rPr>
                <w:sz w:val="20"/>
                <w:szCs w:val="20"/>
                <w:color w:val="auto"/>
              </w:rPr>
            </w:pPr>
            <w:r>
              <w:rPr>
                <w:rFonts w:ascii="Arial" w:cs="Arial" w:eastAsia="Arial" w:hAnsi="Arial"/>
                <w:sz w:val="13"/>
                <w:szCs w:val="13"/>
                <w:color w:val="008000"/>
              </w:rPr>
              <w:t>(1)(2)</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20" w:type="dxa"/>
            <w:vAlign w:val="bottom"/>
            <w:vMerge w:val="restart"/>
          </w:tcPr>
          <w:p>
            <w:pPr>
              <w:jc w:val="right"/>
              <w:ind w:right="122"/>
              <w:spacing w:after="0"/>
              <w:rPr>
                <w:sz w:val="20"/>
                <w:szCs w:val="20"/>
                <w:color w:val="auto"/>
              </w:rPr>
            </w:pPr>
            <w:r>
              <w:rPr>
                <w:rFonts w:ascii="Arial" w:cs="Arial" w:eastAsia="Arial" w:hAnsi="Arial"/>
                <w:sz w:val="20"/>
                <w:szCs w:val="20"/>
                <w:color w:val="0000FF"/>
              </w:rPr>
              <w:t>33,289</w:t>
            </w:r>
          </w:p>
        </w:tc>
        <w:tc>
          <w:tcPr>
            <w:tcW w:w="880" w:type="dxa"/>
            <w:vAlign w:val="bottom"/>
            <w:vMerge w:val="restart"/>
          </w:tcPr>
          <w:p>
            <w:pPr>
              <w:jc w:val="right"/>
              <w:ind w:right="317"/>
              <w:spacing w:after="0"/>
              <w:rPr>
                <w:sz w:val="20"/>
                <w:szCs w:val="20"/>
                <w:color w:val="auto"/>
              </w:rPr>
            </w:pPr>
            <w:r>
              <w:rPr>
                <w:rFonts w:ascii="Arial" w:cs="Arial" w:eastAsia="Arial" w:hAnsi="Arial"/>
                <w:sz w:val="13"/>
                <w:szCs w:val="13"/>
                <w:color w:val="008000"/>
              </w:rPr>
              <w:t>(1)(2)</w:t>
            </w:r>
          </w:p>
        </w:tc>
        <w:tc>
          <w:tcPr>
            <w:tcW w:w="740" w:type="dxa"/>
            <w:vAlign w:val="bottom"/>
            <w:vMerge w:val="restart"/>
          </w:tcPr>
          <w:p>
            <w:pPr>
              <w:jc w:val="center"/>
              <w:ind w:left="62"/>
              <w:spacing w:after="0"/>
              <w:rPr>
                <w:sz w:val="20"/>
                <w:szCs w:val="20"/>
                <w:color w:val="auto"/>
              </w:rPr>
            </w:pPr>
            <w:r>
              <w:rPr>
                <w:rFonts w:ascii="Arial" w:cs="Arial" w:eastAsia="Arial" w:hAnsi="Arial"/>
                <w:sz w:val="20"/>
                <w:szCs w:val="20"/>
                <w:color w:val="0000FF"/>
              </w:rPr>
              <w:t>I</w:t>
            </w:r>
          </w:p>
        </w:tc>
        <w:tc>
          <w:tcPr>
            <w:tcW w:w="1620" w:type="dxa"/>
            <w:vAlign w:val="bottom"/>
            <w:vMerge w:val="restart"/>
          </w:tcPr>
          <w:p>
            <w:pPr>
              <w:ind w:left="240"/>
              <w:spacing w:after="0"/>
              <w:rPr>
                <w:sz w:val="20"/>
                <w:szCs w:val="20"/>
                <w:color w:val="auto"/>
              </w:rPr>
            </w:pPr>
            <w:r>
              <w:rPr>
                <w:rFonts w:ascii="Arial" w:cs="Arial" w:eastAsia="Arial" w:hAnsi="Arial"/>
                <w:sz w:val="20"/>
                <w:szCs w:val="20"/>
                <w:color w:val="0000FF"/>
              </w:rPr>
              <w:t>By LLC</w:t>
            </w: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Holdings, LLC</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89"/>
              </w:rPr>
              <w:t>stock</w:t>
            </w:r>
          </w:p>
        </w:tc>
        <w:tc>
          <w:tcPr>
            <w:tcW w:w="9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00" w:firstLine="5"/>
        <w:spacing w:after="0" w:line="236"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AIDH Management Holdings, LLC ("Management Holdings") is a special purpose investment vehicle through which interests in AIDH Topco, LLC are indirectly owned. Certain unvested awards vest in equal installments on each of the first, second and third anniversaries of the Issuer's initial public offering, and the remainder of the unvested awards continue to vest pursuant to a four-year annual vesting schedule. Once vested the Reporting Person may exchange LLC Units of Management Holdings for LLC Units of AIDH Topco, LLC on a one-for-one basis, which are exchanged for shares of Class A common stock of the Issuer on a one-for-one basis, subject to certain exceptions, conditions and adjustments. The LLC Units of Management Holdings have no expiration date.</w:t>
      </w:r>
    </w:p>
    <w:p>
      <w:pPr>
        <w:spacing w:after="0" w:line="37" w:lineRule="exact"/>
        <w:rPr>
          <w:rFonts w:ascii="Arial" w:cs="Arial" w:eastAsia="Arial" w:hAnsi="Arial"/>
          <w:sz w:val="15"/>
          <w:szCs w:val="15"/>
          <w:color w:val="008000"/>
        </w:rPr>
      </w:pPr>
    </w:p>
    <w:p>
      <w:pPr>
        <w:ind w:left="40" w:right="160" w:firstLine="5"/>
        <w:spacing w:after="0" w:line="283"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(Continued from Footnote 1)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By: /s/ David Samuels, as</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067"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Jason Krantz, Richard Booth and David Samuels of Definitive Healthcare Corp. (the "Company") or any of them signing singly, and with full power of substitution, the undersigned's true and lawful attorney-in-fact to:</w:t>
      </w:r>
    </w:p>
    <w:p>
      <w:pPr>
        <w:spacing w:after="0" w:line="205" w:lineRule="exact"/>
        <w:rPr>
          <w:sz w:val="20"/>
          <w:szCs w:val="20"/>
          <w:color w:val="auto"/>
        </w:rPr>
      </w:pPr>
    </w:p>
    <w:p>
      <w:pPr>
        <w:ind w:left="1520" w:right="619" w:hanging="584"/>
        <w:spacing w:after="0" w:line="268" w:lineRule="auto"/>
        <w:tabs>
          <w:tab w:leader="none" w:pos="15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584"/>
        <w:spacing w:after="0" w:line="237" w:lineRule="auto"/>
        <w:tabs>
          <w:tab w:leader="none" w:pos="152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3"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August,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Jill Larsen</w:t>
      </w:r>
    </w:p>
    <w:p>
      <w:pPr>
        <w:spacing w:after="0" w:line="5" w:lineRule="exact"/>
        <w:rPr>
          <w:sz w:val="20"/>
          <w:szCs w:val="20"/>
          <w:color w:val="auto"/>
        </w:rPr>
      </w:pPr>
    </w:p>
    <w:p>
      <w:pPr>
        <w:ind w:left="468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Name: Jill Larsen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38092"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2021-09-15T19:33:58Z</dcterms:created>
  <dcterms:modified xsi:type="dcterms:W3CDTF">2021-09-15T19:33:58Z</dcterms:modified>
</cp:coreProperties>
</file>