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h-20251231.htm"/>
      <w:bookmarkStart w:id="1" w:name="ksdh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4"/>
        </w:rPr>
      </w:pPr>
      <w:r>
        <w:rPr>
          <w:rFonts w:ascii="Times New Roman" w:hAnsi="Times New Roman"/>
          <w:b/>
          <w:color w:val="000000"/>
          <w:sz w:val="34"/>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9"/>
        </w:rPr>
      </w:pPr>
      <w:r>
        <w:rPr>
          <w:rFonts w:ascii="Times New Roman" w:hAnsi="Times New Roman"/>
          <w:b/>
          <w:color w:val="000000"/>
          <w:sz w:val="19"/>
        </w:rPr>
        <w:t>Commission File Number 001-40815</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Definitive Healthcare Corp.</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86-3988281</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492 Old Connecticut Path, Suite 401</w:t>
            </w:r>
          </w:p>
          <w:p>
            <w:pPr>
              <w:pStyle w:val="TableContents"/>
              <w:bidi w:val="0"/>
              <w:spacing w:before="0" w:after="20"/>
              <w:jc w:val="center"/>
              <w:rPr>
                <w:rFonts w:ascii="Times New Roman" w:hAnsi="Times New Roman"/>
                <w:b/>
                <w:color w:val="000000"/>
                <w:sz w:val="17"/>
              </w:rPr>
            </w:pPr>
            <w:r>
              <w:rPr>
                <w:rFonts w:ascii="Times New Roman" w:hAnsi="Times New Roman"/>
                <w:b/>
                <w:color w:val="000000"/>
                <w:sz w:val="17"/>
              </w:rPr>
              <w:t>Framingham,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01701</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(508) 720-4224</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226"/>
        <w:gridCol w:w="146"/>
        <w:gridCol w:w="1456"/>
        <w:gridCol w:w="146"/>
        <w:gridCol w:w="3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A 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hAnsi="Times New Roman"/>
          <w:caps/>
          <w:color w:val="000000"/>
          <w:sz w:val="16"/>
        </w:rPr>
        <w:t>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Class A common stock held by non-affiliates of the Registrant on June 30, 2025, based on the reported closing price of the Registrant’s Class A common stock on the Nasdaq Global Select Market on that date, was approximately $153.8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number of shares of Registrant’s Class A common stock outstanding as of February 23, 2026 was 104,472,371.</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both"/>
        <w:rPr>
          <w:rFonts w:ascii="Times New Roman" w:hAnsi="Times New Roman"/>
          <w:color w:val="000000"/>
          <w:sz w:val="16"/>
        </w:rPr>
      </w:pPr>
      <w:r>
        <w:rPr>
          <w:rFonts w:ascii="Times New Roman" w:hAnsi="Times New Roman"/>
          <w:color w:val="000000"/>
          <w:sz w:val="16"/>
        </w:rPr>
        <w:t>Portions of the registrant’s proxy statement for the 2026 annual meeting of stockholders to be filed pursuant to Regulation 14A within 120 days after the registrant’s fiscal year ended December 31, 2025, are incorporated by reference in Part III of this Form 10-K.</w:t>
      </w:r>
    </w:p>
    <w:p>
      <w:pPr>
        <w:pStyle w:val="TextBody"/>
        <w:bidi w:val="0"/>
        <w:jc w:val="both"/>
        <w:rPr/>
      </w:pPr>
      <w:r>
        <w:rPr/>
        <w:t> </w:t>
      </w:r>
    </w:p>
    <w:tbl>
      <w:tblPr>
        <w:tblW w:w="7488" w:type="dxa"/>
        <w:jc w:val="left"/>
        <w:tblInd w:w="0" w:type="dxa"/>
        <w:tblLayout w:type="fixed"/>
        <w:tblCellMar>
          <w:top w:w="28" w:type="dxa"/>
          <w:left w:w="28" w:type="dxa"/>
          <w:bottom w:w="28" w:type="dxa"/>
          <w:right w:w="28" w:type="dxa"/>
        </w:tblCellMar>
      </w:tblPr>
      <w:tblGrid>
        <w:gridCol w:w="2386"/>
        <w:gridCol w:w="2821"/>
        <w:gridCol w:w="2281"/>
      </w:tblGrid>
      <w:tr>
        <w:trPr/>
        <w:tc>
          <w:tcPr>
            <w:tcW w:w="238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 PCAOB No. 34</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Name: Deloitte &amp; Touche LLP</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 Boston, MA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1"/>
        <w:gridCol w:w="8762"/>
        <w:gridCol w:w="512"/>
      </w:tblGrid>
      <w:tr>
        <w:trPr/>
        <w:tc>
          <w:tcPr>
            <w:tcW w:w="931" w:type="dxa"/>
            <w:tcBorders/>
            <w:vAlign w:val="center"/>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ssary">
              <w:r>
                <w:rPr>
                  <w:rStyle w:val="InternetLink"/>
                  <w:rFonts w:ascii="Times New Roman" w:hAnsi="Times New Roman"/>
                  <w:color w:val="0000FF"/>
                  <w:sz w:val="20"/>
                  <w:u w:val="single"/>
                </w:rPr>
                <w:t>Glossary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Summary of 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_qual_risk">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c_foreign_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Advent Acquisition</w:t>
      </w:r>
      <w:r>
        <w:rPr>
          <w:color w:val="000000"/>
        </w:rPr>
        <w:t xml:space="preserve">” </w:t>
      </w:r>
      <w:r>
        <w:rPr>
          <w:rFonts w:ascii="Times New Roman" w:hAnsi="Times New Roman"/>
          <w:color w:val="000000"/>
          <w:sz w:val="20"/>
        </w:rPr>
        <w:t>refers to the purchase of a majority of the issued and outstanding units of DH Holdings by Advent in 2019. The acquisition was accounted for as a business combination with purchase accounting applied.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or annualized contractually recurring revenue as of period end, which is calculated by aggregating annual subscription revenue from committed contractual amounts for all existing customers during that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as defined within Note 1 to our audited consolidated financial statements included in Part II, Item 8 of this Form 10-K.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LTV</w:t>
      </w:r>
      <w:r>
        <w:rPr>
          <w:color w:val="000000"/>
        </w:rPr>
        <w:t xml:space="preserve">” </w:t>
      </w:r>
      <w:r>
        <w:rPr>
          <w:rFonts w:ascii="Times New Roman" w:hAnsi="Times New Roman"/>
          <w:color w:val="000000"/>
          <w:sz w:val="20"/>
        </w:rPr>
        <w:t>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refers to transactions completed in connection with the Company’s IPO.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TRA</w:t>
      </w:r>
      <w:r>
        <w:rPr>
          <w:color w:val="000000"/>
        </w:rPr>
        <w:t xml:space="preserve">” </w:t>
      </w:r>
      <w:r>
        <w:rPr>
          <w:rFonts w:ascii="Times New Roman" w:hAnsi="Times New Roman"/>
          <w:color w:val="000000"/>
          <w:sz w:val="20"/>
        </w:rPr>
        <w:t xml:space="preserve">refers to the Tax Receivable Agreement between Definitive Healthcare Corp., Definitive OpCo, and the TRA Parties (as the term is defined below). See Note 20.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TRA.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10-K (this “Annual Report” or “Form 10-K”)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risk_factor_summary"/>
      <w:bookmarkEnd w:id="4"/>
      <w:r>
        <w:rPr>
          <w:rFonts w:ascii="Times New Roman" w:hAnsi="Times New Roman"/>
          <w:b/>
          <w:color w:val="000000"/>
          <w:sz w:val="20"/>
        </w:rPr>
        <w:t>SUMMARY OF RISK FACTORS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inability to generate sales of subscriptions to our platform or any decline in demand for our platform and the data we offer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market in which we operate is competitive, and if we do not compete effectively, it could have a material adverse effect on our business, financial condition and results of operations;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fail to respond to advances in healthcare commercial intelligence, which could result in competitors surpassing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be unable to obtain and maintain accurate, comprehensive or reliable data, which could result in reduced demand for our platform;</w:t>
            </w:r>
          </w:p>
        </w:tc>
      </w:tr>
    </w:tbl>
    <w:tbl>
      <w:tblPr>
        <w:tblW w:w="5908" w:type="dxa"/>
        <w:jc w:val="left"/>
        <w:tblInd w:w="0" w:type="dxa"/>
        <w:tblLayout w:type="fixed"/>
        <w:tblCellMar>
          <w:top w:w="28" w:type="dxa"/>
          <w:left w:w="28" w:type="dxa"/>
          <w:bottom w:w="28" w:type="dxa"/>
          <w:right w:w="28" w:type="dxa"/>
        </w:tblCellMar>
      </w:tblPr>
      <w:tblGrid>
        <w:gridCol w:w="124"/>
        <w:gridCol w:w="109"/>
        <w:gridCol w:w="109"/>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recent growth rates may not be indicative of our future growth;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be unable to achieve or sustain profitability in the future compared to historical levels as we increase investments in our business;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loss of our access to our data providers could negatively impact our platform and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fail to maintain and improve our platform, or develop new modules, functionality, or insights for healthcare commercial intelligence, whereby competitors could surpass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inability to attract new customers and expand subscriptions of current customers could negatively impact our revenue growth and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war between Russia and Ukraine, regional instability in the Middle East, global geopolitical and trade tensions, and worsening global macroeconomic conditions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our information technology systems or those of third parties upon which we rely, or our data are or were compromised, we could experience material adverse effects on our reputation,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our security measures are breached or unauthorized access to data is otherwise obtained, our platform may be perceived as not being secure, customers may reduce the use of or stop using our platform, and we may incur significant liabilities;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results of operations may be harmed if we are required to collect sales or other related taxes for subscriptions to our platform in jurisdictions where we have not historically done so.</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part_i"/>
      <w:bookmarkEnd w:id="5"/>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6" w:name="item_1_business"/>
      <w:bookmarkEnd w:id="6"/>
      <w:r>
        <w:rPr>
          <w:rFonts w:ascii="Times New Roman" w:hAnsi="Times New Roman"/>
          <w:b/>
          <w:color w:val="000000"/>
          <w:sz w:val="20"/>
        </w:rPr>
        <w:t>Item 1. Business.</w:t>
      </w:r>
    </w:p>
    <w:p>
      <w:pPr>
        <w:pStyle w:val="TextBody"/>
        <w:bidi w:val="0"/>
        <w:spacing w:before="240" w:after="283"/>
        <w:jc w:val="left"/>
        <w:rPr>
          <w:rFonts w:ascii="Times New Roman" w:hAnsi="Times New Roman"/>
          <w:sz w:val="20"/>
        </w:rPr>
      </w:pPr>
      <w:r>
        <w:rPr>
          <w:rFonts w:ascii="Times New Roman" w:hAnsi="Times New Roman"/>
          <w:b/>
          <w:color w:val="000000"/>
          <w:sz w:val="20"/>
        </w:rPr>
        <w:t>Our Mission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mission is to transform data, analytics, and expertise into healthcare commercial intelligence. We help clients uncover the right markets, opportunities, and people, so they can shape tomorrow’s healthcare industry. Our software-as-a-service (“SaaS”) platform creates new paths to commercial success in the healthcare market, so companies can identify where to go next.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data and analytics. We provide accurate, comprehensive information on healthcare providers and their activities, enabling customers to make informed decisions across product development, go-to-market planning, and sales and marketing execution. We also offer claims and consumer analytics built from modeled data on millions of unique consumers to help healthcare organizations target, message, and engage specific healthcare audiences.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Delivered through our SaaS products and solutions, our data is important to the commercial success of our approximately 2,330 customers as of December 31, 2025 and can be applied in ways that ultimately benefit patient access and care. We generally define a customer as a company that maintains one or more active paid 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 three primary end markets: Life Sciences, Provider, and Diversified. Our Life Sciences customers comprise biopharmaceutical and medical device companies. Providers comprise hospitals, health systems, and other care delivery organizations. Diversified customers include healthcare information technology companies and other organizations operating within the healthcare market, such as staffing firms, commercial real estate firms, financial institutions, and marketing and advertising agencies. Within these organizations, our data serves a broad set of functional groups, including sales, marketing, clinical research, product development, strategy, talent acquisition, and physician network management. Customers access our data products on a subscription basis, and we generate substantially all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was founded in 2011 and incorporated as Definitive Healthcare Corp. in May 2021 for the purposes of facilitating an IPO of its Class A common stock, which was completed on September 17, 2021. Our corporate headquarters are located in Framingham, MA. Our primary website address is https://www.definitivehc.com. The information on our website is not incorporated herein or otherwise part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Definitive Healthcare Data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SaaS-based healthcare data products and solutions are designed to provide comprehensive, accurate information on the U.S. healthcare ecosystem. We aggregate data on healthcare organizations, providers, services, medical and scientific experts, claims, and consumers. Using deep analytics and data science, our data helps customers make insight-driven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 </w:t>
      </w:r>
    </w:p>
    <w:p>
      <w:pPr>
        <w:pStyle w:val="TextBody"/>
        <w:bidi w:val="0"/>
        <w:spacing w:before="360" w:after="283"/>
        <w:jc w:val="left"/>
        <w:rPr>
          <w:rFonts w:ascii="Times New Roman" w:hAnsi="Times New Roman"/>
          <w:sz w:val="20"/>
        </w:rPr>
      </w:pPr>
      <w:r>
        <w:rPr>
          <w:rFonts w:ascii="Times New Roman" w:hAnsi="Times New Roman"/>
          <w:b/>
          <w:color w:val="000000"/>
          <w:sz w:val="20"/>
        </w:rPr>
        <w:t>Our Data Sources and Data Engine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high quality healthcare data is made up of thousands of data sources and billions of data points that enrich and power our products. We transform this data into intelligence through AI and machine learning algorithms that ingest, cleanse, link, and analyze the data to create powerful new intelligence and analytics. Each new data source and algorithm created by our data science team makes our products more valuable to our clients. Definitive Healthcare delivers a 360-degree, longitudinal view of the healthcare ecosystem and depicts how the ecosystem connects, creating a true barrier to entry.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Competition and Competitive Strengths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highly fragmented market. We have a competitive advantage that is based on our comprehensive dataset built up over 14 years, our application of the data science, which has created proprietary intelligence and linkages that we do not see elsewhere, and a user interface that provides customers access to answers, not data, in an integrated manner. Our competitive strengths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Proprietary Healthcare-specific Commercial Intelligence</w:t>
      </w:r>
      <w:r>
        <w:rPr>
          <w:rFonts w:ascii="Times New Roman" w:hAnsi="Times New Roman"/>
          <w:color w:val="000000"/>
          <w:sz w:val="20"/>
        </w:rPr>
        <w:t xml:space="preserve">. We have built proprietary intelligence via first-party research, aggregated, linked, cleansed, and inferred information from thousands of data sources and we have tied billions of data points together into a comprehensive view of the entire U.S. healthcare ecosystem.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An Integrated Data and Technology Foundation that Creates a Flywheel of Innovation.</w:t>
      </w:r>
      <w:r>
        <w:rPr>
          <w:color w:val="000000"/>
        </w:rPr>
        <w:t xml:space="preserve"> </w:t>
      </w:r>
      <w:r>
        <w:rPr>
          <w:rFonts w:ascii="Times New Roman" w:hAnsi="Times New Roman"/>
          <w:color w:val="000000"/>
          <w:sz w:val="20"/>
        </w:rPr>
        <w:t xml:space="preserve">Our technology platform provides the foundation for rapid product development and innovation by leveraging our existing data assets to produce new modules and features that solve a growing number of business problems.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Powerful Go-to-Market Engine.</w:t>
      </w:r>
      <w:r>
        <w:rPr>
          <w:color w:val="000000"/>
        </w:rPr>
        <w:t xml:space="preserve"> </w:t>
      </w:r>
      <w:r>
        <w:rPr>
          <w:rFonts w:ascii="Times New Roman" w:hAnsi="Times New Roman"/>
          <w:color w:val="000000"/>
          <w:sz w:val="20"/>
        </w:rPr>
        <w:t xml:space="preserve">We have a highly efficient and effective go-to-market engine that combines effective marketing with an inside sales force comprised of highly trained, vertically focused sales executives.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Visionary Management Team with a Track Record of Execution.</w:t>
      </w:r>
      <w:r>
        <w:rPr>
          <w:color w:val="000000"/>
        </w:rPr>
        <w:t xml:space="preserve"> </w:t>
      </w:r>
      <w:r>
        <w:rPr>
          <w:rFonts w:ascii="Times New Roman" w:hAnsi="Times New Roman"/>
          <w:color w:val="000000"/>
          <w:sz w:val="20"/>
        </w:rPr>
        <w:t xml:space="preserve">Our management team has a strong track record of exceptional financial performance and of building an award-winning culture to attract and retain highly talented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no competitor matches our breadth of data and intelligence solutions or offers as comprehensive and accurate a commercial intelligence platform, we compete either directly or indirectly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Legacy raw claims data providers, such as Clarivate, IQVIA, and Symphony Health;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point solution players, such as AcuityMD and MedScout;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Niche healthcare specialists, such as Komodo Health, H1 Healthcare, Trella Health, and Trilliant Health;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Ecosystem players that may house or analyze similar intelligence, such as SG2 and Veeva;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Horizontal go-to-market intelligence platforms, such as ZoomInfo, LinkedIn, and Dun &amp; Bradstreet.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 principal competitive factors in our markets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Depth, breadth, and accuracy of healthcare-specific commercial intelligence;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subject matter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AI and data science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Ease of use and deployment;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privacy and security.</w:t>
      </w:r>
    </w:p>
    <w:p>
      <w:pPr>
        <w:pStyle w:val="TextBody"/>
        <w:bidi w:val="0"/>
        <w:spacing w:before="360" w:after="283"/>
        <w:jc w:val="left"/>
        <w:rPr>
          <w:rFonts w:ascii="Times New Roman" w:hAnsi="Times New Roman"/>
          <w:sz w:val="20"/>
        </w:rPr>
      </w:pPr>
      <w:r>
        <w:rPr>
          <w:rFonts w:ascii="Times New Roman" w:hAnsi="Times New Roman"/>
          <w:b/>
          <w:color w:val="000000"/>
          <w:sz w:val="20"/>
        </w:rPr>
        <w:t>Our Growth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drive growth through the following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Acquiring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Expanding our relationships with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Continuing to innovate to strengthen our platform and market leadership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Making selective strategic acquisitions and investments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 </w:t>
      </w:r>
    </w:p>
    <w:p>
      <w:pPr>
        <w:pStyle w:val="TextBody"/>
        <w:bidi w:val="0"/>
        <w:spacing w:before="360" w:after="283"/>
        <w:jc w:val="left"/>
        <w:rPr>
          <w:rFonts w:ascii="Times New Roman" w:hAnsi="Times New Roman"/>
          <w:sz w:val="20"/>
        </w:rPr>
      </w:pPr>
      <w:r>
        <w:rPr>
          <w:rFonts w:ascii="Times New Roman" w:hAnsi="Times New Roman"/>
          <w:b/>
          <w:color w:val="000000"/>
          <w:sz w:val="20"/>
        </w:rPr>
        <w:t>Our Go-to-Market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have a very efficient go-to-market model, driven by a high-velocity inside sales and marketing team, experienced sales executives (“SEs”) and a well-defined verticalized sales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complement our marketing efforts with a highly targeted outbound effort focused on important prospects across our target universe of over 100,000 companies, with an estimated total addressable market of more than $11 billion that includes a more focused serviceable addressable market of approximately $7 billion. These companies are prioritized and targeted with a measurable outbound effort led by our inside sales representative team.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 new company signs up as a subscriber, they are transferred to our Customer Experience managers (“CX”) who assist with onboarding and training, answering questions, and maintaining a “health score,” which is a predictive metric used to determine whether customers are likely to renew their subscription. In addition, an account executive (“AE”) is typically assigned to each customer, with a focus on deepening the relationship and identifying opportunities to expand the relationship to new departments and sell additional intelligence modules and workflow products. The CX and AE teams are also organized by vertical end market to ensure appropriate subject matter expertise.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at Definitive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community has continued to grow rapidly since our founding 14 years ago. While our people are primarily concentrated in the Boston metro area, we have expanded globally and increased our reach with a flourishing remote employee 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workforce included 686 employees — of whom 678 were employed full time. Of the 686 total employees, 487 were based in the U.S., 42 were based in Europe, and another 157 were based in India. Our workforce brings together professionals from a broad range of teams, including commercial, customer success, product and engineering, and more.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People and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culture is grounded in collaboration, energy, approachability, and a shared drive to deliver for our customers. These attributes have enabled us to build and sustain a customer-focused environment where employees are willing to roll up their sleeves to get the job done. At the same time, we recognize that there is more to life than work, and we strive to foster an environment where employees can have fun together while maintaining a healthy work-life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creating an inclusive workplace where employees are encouraged to come as they are. We value the unique perspectives, backgrounds, and voices of our workforce, recognizing that these diverse experiences fuel innovation, strengthen collaboration, and help us build a more connected community. In support of this commitment, our employee-led affinity groups provide opportunities for individuals to connect around shared experiences. Alongside their allies, these groups promote belonging, understanding, and engagement across the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seek to put our community first, both within Definitive Healthcare and in the local communities where our employees live and work. As our organization evolves, DefinitiveCares, our employee-led charitable organization, remains central to who we are. In 2026, we will take a more intentional approach to growth and collaboration by redefining our core values and embedding them throughout the organization. As part of this effort, we plan to establish a DefinitiveCares Committee to guide employee-led initiatives and engagement, both internally and in the communities we serve. These efforts reflect our ongoing focus on fostering collaboration, connection, and shared purpose.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workplace culture has continued to receive recognition over the past decade. We were recognized by The Boston Globe as a Top Place to Work for six consecutive years. In 2022 and 2023, we received Stevie Awards for Great Employers, including a Gold Stevie Award and a Silver Stevie Award for Employer of the Year. In 2023 and 2024, we were acknowledged by two independent organizations, being named a Top Workplace USA by Energage and a Great Place to Work in India. Most recently, in 2025, we were named one of Built In’s100 Best Places to Work in Boston.</w:t>
      </w:r>
    </w:p>
    <w:p>
      <w:pPr>
        <w:pStyle w:val="TextBody"/>
        <w:bidi w:val="0"/>
        <w:spacing w:before="240" w:after="283"/>
        <w:jc w:val="left"/>
        <w:rPr>
          <w:rFonts w:ascii="Times New Roman" w:hAnsi="Times New Roman"/>
          <w:sz w:val="20"/>
        </w:rPr>
      </w:pPr>
      <w:r>
        <w:rPr>
          <w:rFonts w:ascii="Times New Roman" w:hAnsi="Times New Roman"/>
          <w:b/>
          <w:i/>
          <w:color w:val="000000"/>
          <w:sz w:val="20"/>
        </w:rPr>
        <w:t>Health, wellness, and total rewards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educational assistance and reimbursement, and paid time off.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Promoting a culture that supports health and well-being continues to be a priority for the organization. We have implemented a hybrid work environment, enabling all employees to work between our offices and remotely, which we believe enables greater flexibility for a successful work-life balance. Since 2022, we have offered unlimited paid time off and expanded parental leave for U.S.-based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reward high performance and effort, regardless of experience or title. We recognize employees who do exceptional work four times a year through our Trailblazer awards, which are granted to those who embody our guiding principles in extraordinary ways, and recipients are determined by employee nominations.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Development and Advancement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people are our greatest asset. Enabling their career growth and upward mobility is critical to retaining and engaging our talent. We provide employees with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incentivize and retain our highest performers.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data driven platform and our approach to keeping it current is our defensive moat and protecting our intellectual property is a crucial aspect of our business. While, as of December 31, 2025,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 We consider our trademark and related names, marks, and logos to be of material importance to our business, and we have registered or applied for registration for certain of these trademarks, including Definitive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continually assess our strategy with respect to the protection of new intellectual property and intend to pursue additional avenues to intellectual property protection to the extent we believe it would be cost-effective and beneficial to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Data 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we collect, use, disclose, and/or otherwise process about individuals from healthcare organizations, and healthcare professionals in the ordinary course of our business is integral to providing a comprehensive healthcare commercial intelligence platform and our other products to our customers. As a result, numerous state, federal, and foreign laws, including consumer protection laws, regulations, industry standards, and other obligations govern our collection, use, disclosure, and/or processing of personal data, including health-related information. For example, in the United States, numerous federal and state laws and regulations, including data breach notification laws, health information privacy and security laws, including Health Insurance Portability and Accountability Act, as amended by the Health Information Technology for Economic and Clinical Health Act, and their implementing regulations (collectively, “HIPAA”), federal and state consumer protection laws and regulations (e.g., Section 5 of the Federal Trade Commission Act), and other similar laws (e.g., wiretapping) govern the collection, use, disclosure, protection, and/or processing of health-related and other personal data and apply, or could apply, to our operations or the operations of our partners or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individual U.S. state laws, such as the California Consumer Privacy Act (“CCPA”), the Colorado Privacy Act, the Connecticut Personal Data Privacy and Online Monitoring Act, the Virginia Consumer Data Protection Act, the Oregon Consumer Data Privacy Act, the Texas Data Privacy and Security Act, and other global privacy laws, such as the European Union’s (“EU”) General Data Protection Regulation (“GDPR”), govern the privacy and security of personal data, including health-related information in certain circumstances, some of which, in certain aspects, are equally stringent as HIPAA and many of which differ from each other in terms of the obligations they impose, thus complicating our compliance efforts. Any actual or perceived failure to comply with these laws, where applicable, can result in the imposition of significant administrative (e.g., regulatory fines and sanctions), civil and/or criminal penalties, and private litigation. Data privacy and security laws, regulations, industry standards, and other obligations are constantly evolving, may conflict with each other, and failure to comply can result in investigations, proceedings, or actions that lead to significant penalties and restrictions on data processing.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https://ir.definitivehc.com/financial-information/sec-filings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http://www.sec.gov. The contents of these websites are not incorporated into this filing. Further, the references to the URLs for these websites are intended to be inactive textual references only.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generate substantially all of our revenue from sales of subscriptions to our platform and any decline in demand for our platform and the data we offer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we derived 96% of our revenue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difficult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and acceptance of the healthcare commercial intelligence platform category generally, and the growth and evolution of the category and our addressable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products and services that compete with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brand recognition;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ease of adoption and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features and user experience, and the development and acceptance of new features, integrations and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consistently procure high-quality and useful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customer support we provide;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accessibility across several operating system and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integration with workflow insights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and their impacts on users of healthcare data.</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such that if we do not compete effectively, it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respond to advances in healthcare commercial intelligence, competitors could surpass the depth, breadth or accuracy of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large language models (“LLMs”) and AI technology,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obtain and maintain accurate, comprehensive or reliable data, we could experience reduced demand for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service disruptions, regulatory or privacy activist scrutiny, or legal claims by our customers, which could have a material adverse effect on our business, reputation, financial condition, or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growth rates have fluctuated and may not be indicative of our future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growth has fluctuated in prior periods. You should not rely on the revenue growth of any prior quarterly or annual period as an indication of our future performance. We cannot guarantee that we will increase or sustain our revenue growth rate in future periods. Further, as we operate in a new and rapidly changing market, widespread acceptance and use of our platform is critical to our future growth and success. Our revenue growth has in the past slowed and may in the future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regional instability in the Middle East, global geopolitical and trade tensions, and changes in inflation, interest rates, and capital market conditions. Our current and prospective customers are impacted by difficult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achieve or sustain profitability in the future as we increase investments in our business or experience operational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in the past and may continue to incur net losses in the future. For the year ended December 31, 2025, we had a net loss of $199.3 million, compared to a net loss of $591.4 million for the year ended December 31, 2024. We expect our operating expenses to increase in the future as we invest capital to make acquisitions, develop new features, add to our existing intelligence modules and invest in new products and data sources. While in light of macroeconomic conditions we have made efforts to contain our operating expenses, including implementation of restructuring plans in the first and third quarters of 2023 and in the first quarter of 2024, such efforts may not achieve the cost savings that we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lose our access to our data providers, which could negatively impact our platform and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for any reason,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If our competitors are able to purchase similar external data on better terms, our ability to compete would be harmed.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and available novel technologies (such as AI technologies) to maintain and improve the quality and value of our platform, which depends on our ability to continue investing in innovation and our successful execution and our efforts to improve and enhance our platform. There can be no guarantee that we will be able to develop, acquire, or integrate such capabilities.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 In addition, the introduction of new services embodying new technologies could render certain of our existing services obsolete.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attract new customers and expand subscriptions of current customers, our revenue growth and financial performance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difficult macroeconomic conditions, which we have seen result in lengthening deal cycles that we expect will continue until macroeconomic conditions improve. Numerous other factors have in the past impeded, and may also in the future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(including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business is subscription-based, and therefore our customers are not obligated to renew their subscriptions after their existing subscriptions expire, which has occurred in the past and may continue to occur in the future. Customers have also renewed at a lower price, including by choosing to reduce the intelligence modules to which they have access and reducing their number of users, and may continue to do so in the future. Most of our subscriptions are sold for multi-year terms, though some organizations purchase a one-year subscription plan. While our subscription agreements typically provide for automatic renewal, our customers have, and may continue to,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and difficult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or reductions in our paying customers’ spending levels. Our contracts typically require advance notice to terminate, unless we are the party in default. In addition, our customers have in the past, and may continue to in the future, renew for shorter contract lengths if they were previously on multi-year contracts or switch to lower cost offerings of our platform. Our attrition rates have, and may continue to,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AI, and the integration of AI with our products and services, may not be successful and may present business, compliance, and reputational challenges which could lead to operational or reputational damage, competitive harm, and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leverage the use of AI in the provision of our solutions and anticipate the use of AI to grow. As with many developing technologies, AI presents risks and challenges that could affect its further development, adoption, and use, and therefore our business. AI algorithms may be flawed. Datasets may be insufficient, of poor quality, or contain biased information. If the recommendations, forecasts, analyses, or results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data privacy, employment, or other social issues, we may experience brand or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competitors, customers, or other third parties may incorporate AI into their products more quickly or more successfully than us, which could impair our ability to compete effectively. If any third-party AI tools are trained using or otherwise leverage any of our proprietary data or data sets, our competitive advantage may be impaired, and our ability to commercialize our own AI tools or such data and data sets may be undermined, damaging our operations and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offer the optimal pricing and packaging of our solutions, which could negatively impact our growth strategy and ability to effectively compete in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have offered, and may in the future offer, lower-priced or free services that compete with our platform or may bundle functionality compatible with our platform and/or offer a broader range of solutions, which have been and may be preferred by current or prospective customers.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 deploying our solutions, we rely upon third-party providers of cloud-based infrastructure (“Cloud Providers”) to provide our services. Any disruption in the operations of Cloud Providers or interference with our use of Cloud Providers would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outsource infrastructure relating to our cloud offerings to Cloud Providers. Customers of our cloud-based solutions need to be able to access our platform at any time, without interruption or degradation of performance. Our cloud-based solutions depend on protecting the virtual cloud infrastructure hosted by Cloud Providers by maintaining its configuration, architecture, features and interconnection specifications, as well as the information stored in these virtual data centers and which third-party internet service providers transmit. Any incident affecting our Cloud Providers’ infrastructure that may be caused by fire, flood, severe storm, earthquake or other natural disasters, cyber- attacks and other cybersecurity threats, computer viruses, power failure, terrorist or other attacks, and other similar events beyond our control could negatively affect our cloud-based solutions.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Cloud Provider services we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our service agreements with our Cloud Providers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offering for deployment on a different cloud infrastructure service provider, which may adversely affect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As more of our sales efforts target larger Enterprise Customers, our sales cycle has in the past, and may again in the future, become longer and more expensive, and we have in the past encountered, and may again in the future encounter, pricing pressure and implementation and configuration challenges that have required us, and may again in the future require us, to delay revenue recognition for some complex transactions, all of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Enterprise Customers are a key focus of our go-to-market programs. As we target more of our sales efforts at larger Enterprise Customers, we have in the past faced, and may continue to in the future face, longer sales cycles, greater competition, more complex customer due diligence, less favorable contractual terms, and less predictability in completing some of our sales. These efforts have also in the past caused, and may again in the future cause, disruptions in our sales efforts impacting both new customer acquisition and upsell to existing customers. Consequently, a target customer’s decision to use our solutions may be an enterprise-wide decision and, if so, these types of sales would require us to provide greater levels of education regarding the use and benefits of our platform, as well as education regarding data privacy and security obligations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ability to improve our sales of products to large Enterprise Customers is partially dependent on us continuing to attract and retain sales personnel with experience in selling to large organizations. Also, because security breaches with respect to larger, high-profile Enterprise Customers are likely to be heavily publicized, there is increased reputational risk associated with serving such customers. If we are unable to continue to increase sales of our products to large Enterprise Customers while mitigating the risks associated with serving such customers, our business, financial position, and results of operations may suffer.</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offer high-quality customer experience, our business and reputation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customers or unauthorized parties could use our platform in a manner that is contrary to our values or applicable law, which could harm our relationships with customers or employees, or expose us to litigation or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which may retain Company data post termination. For example, our customers are subject to broad healthcare fraud and abuse laws that may limit their appropriate use of our platform and information obtained therein.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As we acquire and invest in companies or technologies, including through partnerships with other companies, we may not realize expected business or financial benefits and the acquisitions or investments could prove difficult to integrate, disrupt our business, dilute stockholder value and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our strategy to engage in partnerships to complement our sales channels and product offerings depends on our ability to identify, and the availability of, suitable partnership candidates. We may not be able to find suitable partners in the future and we may not be able to complete partnerships on favorable terms, if at all. Partnerships may not be implemented in a way that effectively integrates into our operations, and costs in connection with partnerships may be higher than the expected value therefrom, such that we may incur unanticipated losses or costs, either due to lost opportunities or sunk costs associated with resourcing the partnerships over other native product development and commercialization opportunities. These costs could adversely affect our financial condition, results of operations or prospects. Any partnership we complete could be viewed negatively by customers, users or investors, and could have adverse effects on our existing business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Acquisitions and other transactions, arrangements and investments involve numerous risks and could create unforeseen operating difficulties and expenditures,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to achieve the expected benefits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and the cost of, integrating operations, technologies, solutions and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financial and managerial resources from existing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entry into new markets in which we have little or no experience or where competitors may have stronger market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write-offs of acquired assets or investments and potential financial and credit risks associated with acquired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between our values and those of our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re-training key employees of acquired companies and integrating them into our organizational structure and corporate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and financial costs of, addressing acquired compensation structures inconsistent with our compensation 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revenue to offset acquisition or investment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maintain, or changes in, relationships with customers and partners of the acquired business and costs to optimize any redundant data provider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converting and forecasting the acquired company’s revenue recognition policies including subscription-based revenue and revenue based on the transfer of control, as well as appropriate allocation of the customer consideration to the individual deliverables;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with, and costs related to, transitioning the acquired technology onto our existing platform and customer acceptance of a new or changed platform on a temporary or permanent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augmenting the acquired technologies and platforms to the levels that are consistent with our brand and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for acquired platforms to impact the financial performance of existing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 or maintaining the security standards for acquired technology consistent with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unknown liabilities associated with the acquired businesses, including risks associated with acquired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relating to the structure of an investment, such as governance, accountability and decision-making conflicts that may arise in the context of a joint venture or other majority ownership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adverse effect on our results of operations because of the depreciation and amortization of amounts related to acquired intangible assets, fixed assets and deferred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acquired unearned revenue and unbilled unearned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customer purchases due to uncertainty related to any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 or inadequate controls, procedures and policies at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foreign acquisitions, challenges caused by integrating operations over distance and across different languages, cultures and political environments;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and regulatory risks and potential additional cybersecurity and compliance risks resulting from entry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effects and costs of any such acquisitions, including the related integration into our tax structure and assessment of the impact on the realizability of our future tax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challenges by governmental authorities, including the U.S. Department of Justice, for anti-competitive or other reasons.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risks could harm our business. In addition, to facilitate these acquisitions or investments, we may seek additional equity or debt financing, which may not be available on terms favorable to us or at all, including in light of difficult macroeconomic conditions, even as high interest rates and inflation have recently eased, as well as fluctuations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adequate operational and financial resources, particularly if we grow rapidly, we may be unable to execute our business plan or maintain high levels of service and customer satisfaction.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rapid growth in the past, and may experience rapid growth again, which has placed, and may again place, significant demands on our management and our operational and financial resources. In addition, our organizational structure has become more complex as we scale our reporting systems and procedures and our operational, financial and management controls with international expansion. As we grow, we have faced, and may continue to face, challenges of integrating, developing, training, and motivating a growing employee base in our various offices and maintaining our company culture across multiple offices. Certain members of our management have not previously worked together for an extended period of time,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manage future growth in our operations and personnel, we may need to expand and improve our operational, financial, and management controls and our reporting systems and procedures. We may require significant capital expenditures and the allocation of valuable management resources to grow and change in these areas. Our expansion has placed, and our potential future growth may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the implementation of restructuring plans. These efforts have placed, and may again place, additional strain on our employees and other resources and divert attention from our operations, and may continue do so, which could impact our ability to operate our business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additional investments may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we expand our business, it is important that we continue to maintain a high level of customer service and satisfaction. If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sales and marketing, product development, strategy and corporate development and network development. From time to time, there have been and may in the future be changes in our executive management team resulting from the hiring or departure of executives, which could disrupt our business. For example, we have recently experienced significant management turnover, including our appointment of Kevin Coop as our Chief Executive Officer. Additionally, in November 2024, we announced that our former Chief Financial Officer, Richard Booth, would be leaving the Company effective June 1, 2025. After a thorough search process, our Board (the “Board”) appointed Casey Heller, our former Senior Vice President of Finance, to the role of Chief Financial Officer effective June 2, 2025. While we seek to manage such transitions carefully, including by establishing strong processes and procedures and succession planning, such changes may result in a loss of institutional knowledge and cause disruption to our business. The loss of one or more of our executive officers or key employees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protect and maintain our brand, our reputation may be harmed and our ability to attract and retain customers will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 substantial portion of our revenue and cash flows from sales of our subscriptions to our platform to customers in the healthcare ecosystem, and factors that adversely affect it, including health reform measures and mergers within the healthcare ecosystem or regulatory changes, could also adversely affect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solutions could be affected by factors that affect the healthcare ecosystem,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could negatively impact the business environment for us, our data sources, 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companies may be unsuccessful and may subsequently declare bankruptcy. If our customers declare bankruptcy or otherwise dissolve, they may terminate their agreements with us or we may not be able to recoup the full payment of fees owed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implications of precision medicine treatments, changes in the practices of prescribing providers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difficult macroeconomic conditions and expect it will continue until they improve. In particular, these trends have been more pronounced for our existing and prospective Life Science customers. For example, difficult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our operating results and our ability to efficiently provide our solutions to healthcare companies and to grow or maintain our customer base could be adversely affected as a result of these factors and others that affect the healthcare ecosystem generally.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the sizes or types of organizations that subscribe to our platform could affect our business and our financial results may fluctuate due to increasing variability in our sales cycles.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educate prospective customers about the uses and benefits of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discretionary nature of purchase and budget cycles and decisions;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evolving functionality demands;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planned introductions of new intelligence modules by us or our competitors;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lengthy and multi-faceted purchasing approval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there are changes in the mix of organizations that purchase our platform, our gross margins and operating results could be adversely affected and fluctuations increasing the variability in our sales cycles could negatively affect our financial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have overestimated the size of our total addressable market, our future growth rate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affected by changes in search engine algorithms and dynamics or other traffic-generating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Operations outside the U.S. expose us to risks inherent in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Monocl and AW (as defined below) businesses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require additional financing, and we may not be able to obtain debt or equity financing on favorable terms, if at all. The terms of any additional debt financing may be similar or more restrictive than our current debt facilities. Difficult macroeconomic conditions, including high interest rates and volatility in the capital markets, exacerbate this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need additional capital and cannot raise it on acceptable terms, or at all, we may not be able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new features, intelligence modules, updates, integrations, capabilities and enhancements;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provide synthesis of real-time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train and retain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respond to competitive pressures or unanticipated working capital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acquisition opportunities.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undertaken internal restructuring activities, and may do so again in the future. The assumptions underlying these activities may prove to be inaccurate, or we may fail to achieve the expected benefits therefrom.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light of recent macroeconomic conditions, we have made, and will continue to make, judgments as to whether we should further reduce, relocate or otherwise change our workforce. For example, in January 2024, we took certain actions to reduce our global headcount by 154 employees, which resulted in pre-tax cash restructuring and related charges of approximately $8.1 million incurred during fiscal year 2024, consisting primarily of severance payments, employee benefits, and related cash expenses, as well as non-cash stock-based compensation charges related to the vesting of share-based awards for employees who were terminated.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We may not complete the current or any future restructuring activities on the anticipated timetable, and even if successfully completed, we may not achieve the anticipated cost savings, operating efficiencies or other benefits of such activities.</w:t>
      </w:r>
    </w:p>
    <w:p>
      <w:pPr>
        <w:pStyle w:val="TextBody"/>
        <w:bidi w:val="0"/>
        <w:spacing w:before="360" w:after="283"/>
        <w:jc w:val="left"/>
        <w:rPr>
          <w:rFonts w:ascii="Times New Roman" w:hAnsi="Times New Roman"/>
          <w:sz w:val="20"/>
        </w:rPr>
      </w:pPr>
      <w:r>
        <w:rPr>
          <w:rFonts w:ascii="Times New Roman" w:hAnsi="Times New Roman"/>
          <w:b/>
          <w:i/>
          <w:color w:val="000000"/>
          <w:sz w:val="20"/>
        </w:rPr>
        <w:t>Catastrophic events and geopolitical and trade tensions could disrupt our business and adversely affect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geopolitical and trade tensions may also be disruptive to our business, including as a result of the military conflict between Russia and Ukraine and regional instability in the Middle East.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these conflicts,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solutions utilize open-source software, and any failure to comply with the terms of one or more of these open-source licenses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solutions include software subject to open-source licenses and we may incorporate third-party open source software in our solutions in the future.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We could also be required to expend substantial time and resources to re-engineer some of our software. Any of the foregoing could disrupt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 Use of open-source software may also present additional security risks because the public availability of such software may make it easier for hackers and other third parties to determine how to compromise our solutions. Any of the foregoing could harm our business and could help our competitors develop platforms and applications that are similar to or better than ours.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subscription and payment processing risk from our third-party vendors and any disruption to such processing systems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Data Privacy and Cybersecurity</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information technology systems or those of third parties with whom we work, or our data are or were compromised, we could experience material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including when we provide our solutions to customers,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As a result, our business, brand, reputation and ability to attract and retain customers depends upon the satisfactory performance, reliability, and availability of our platform and solutions.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 flood, power loss, system failures, computer viruses, software errors, physical or electronic break-ins or malicious hacks or attacks on our systems (such as denial of service attacks), and other similar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software, internal applications and systems underlying our platform are complex and have not always been, and may not in the future be, error-free. Any inefficiencies, errors or technical problems with our platform, internal applications and systems could reduce the quality of our solutions or interfere with our customers’ use of our platform, which could reduce demand, lower our revenues and increase our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due diligence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platform utilizes certain AI technology to provide services, and this technology is integrated into the platform, making us susceptible to additional cybersecurity threats. Additionally, confidential and sensitive data of the Company and our customers may be leaked, disclosed, or revealed as a result of or in connection with our employees’, personnel’s, or vendors’ use of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zero-day vulnerabilities and the techniques used to obtain unauthorized access to, or to sabotage, systems change frequently and often are not recognized until launched against a target, we have in the past been, and may in the future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outsourced elements of our information technology infrastructure to third parties,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Our reliance on these third parties introduces new cybersecurity risks and vulnerabilities, including supply-chain attacks, and other threats to our business operations.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use industry best practices and tools and we take steps designed to detect, mitigate, and remediate vulnerabilities in our information systems (such as our hardware and/or software, including that of third parties upon which we rely). We have not and may not in the future, however, detect and remediate all such vulnerabilities, including on a timely basis. Further, we have experienced, and may in the future experience, delays in developing and deploying remedial measures and patches designed to address identified vulnerabilities.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under a shared responsibility model, where both we and our customers play a role in maintaining security. While we provide a secure platform, services, and products, customers are responsible for properly configuring, implementing, and managing security controls to align with cybersecurity standards, comply with regulations, and mitigate their own security risks. As part of this model, we offer security features and best practices to help customers strengthen their security posture. However, the effective use of these features remains the customer’s responsibility. Failure to properly configure or utilize security settings, misusing our services, or experiencing security incidents due to policy violations, credential exposure, or other vulnerabilities on the customer’s side can lead to security issues independent of our platform. While we are not the cause of such customer-side security incidents, they may still negatively impact our customer relationships, reputation, and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successful phishing attacks in the past and expect such attacks will continue in the future. Security incidents or other interruptions have caused, and may in the future cause, disruptions in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unable to protect our computer systems, software, networks, sensitive data and other technology assets, or there is a perception that we have failed to do so,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These events may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regulatory fines and sanctions, liabilities, damages, or claims related to our data privacy and security obligations. We maintain insurance policies that cover certain security and privacy damages. However, we cannot guarantee that our coverage will be adequate for liabilities actually incurred or that insurance will continue to be available to us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applicable U.S. and foreign privacy and security laws, regulations, industry standards, contractual obligations, and other requirements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use our solutions to understand and navigate the healthcare ecosystem. As a result, we process sensitive data that subjects us to a variety of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creates uncertainty in our business and may affect our ability to operate in certain jurisdictions or to process personal data, necessitate the acceptance of more onerous obligations in our contracts, or result in liability or impose additional costs on us. These laws, regulations, and other obligations may also be interpreted and applied inconsistently from jurisdiction to jurisdiction, which may make compliance difficult or impossible in certain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involves use and disclosure of de-identified data, which must be de-identified in accordance with applicable laws, including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There is also a risk that customers and third-party vendors who are subject to HIPAA and interface with us may misunderstand the limits of our ability to conform to HIPAA given our posture that we remain outside of the HIPAA regulation by virtue of the fact we generally process de-identified data, and may expose us inadvertently to PHI that we need to then make efforts to excise from our systems. We are also required to ensure that such information remains de-identified and our failure to do so could result in non-compliance with privacy laws and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 and their covered subcontractors.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customers may be either “business associates” or “covered entities” under HIPAA, including certain of our customers that are not traditional healthcare providers. For example, some of our customers are medical device companies that may work with healthcare professionals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requirements of HIPAA. Penalties will vary significantly depending on factors such as the date of the violation, whether the business associate knew or should have known of the failure to comply,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business associate’s failure to comply was due to willful neglect. Penalties for HIPAA violations can be significant, including civil monetary penalties, fines, required remediation, and ongoing monitoring. A single breach incident can result in violations of multiple standards. If a person knowingly or intentionally obtains or discloses PHI in violation of HIPAA requirements, criminal penalties may also be imposed. Failure to comply with applicable HIPAA requirements could also give rise to breach of contract claims with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(and our employees’ and personnels’) use of AI technologies, and the disclosure and use of personal data in AI technologies, is subject to various laws and evolving regulations regarding the use of AI, controlling for data bias, and antidiscrimination. For example, due to inaccuracies or flaws in the inputs, outputs, or logic of the AI, the model could be biased and could lead us to make decisions that could bias certain individuals (or classes of individuals), and adversely impact their rights, employment, and ability to obtain certain pricing, products, services, or benefits. Several jurisdictions around the globe, including Europe and certain U.S. states, have proposed enacted, or are considering laws governing the development and use of AI technologies, such as the EU’s AI Act, and we expect other jurisdictions will adopt similar laws. Furthermore, the Federal Trade Commission (“FTC”) enforces consumer protection laws such as Section 5 of the FTC Act, the Fair Credit Reporting Act, and the Equal Credit Opportunity Act, which prohibit unfair and deceptive practices, including use of biased algorithms in AI.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where they allege the company has violated privacy and consumer protection laws. If we cannot use AI technologies or that use is restricted, our business may be less efficient, or we may be at a competitive disadvantage.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If we are unable to maintain these certifications or meet these standards, it could reduce demand for our solutions and adversely affect our business and operating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data privacy and security obligations protect more than health-related information, and although they vary by jurisdiction, these obligations can extend to employee information, business information, healthcare provider information and other information relating to individual consumers. Our actual or perceived failure to comply with these laws may result in, among other things, civil and criminal liability, vulnerability to class actions where private right of action is available to individuals, regulatory fines and sanctions, negative publicity, damage to our reputation and liability under contractual provisions. These obligations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data, such as further requirements for explicit opt-in consent in some cases, as well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for intentional violations and may allow private litigants affected by certain data breaches to recover significant statutory damages. Many similar laws have been proposed or enacted at the federal, state and local levels, and we expect more states to pass similar laws in the future. Further, some of these laws allow authorized agents or third parties to act on behalf of individuals who wish to exercise their privacy rights. In some cases, the legislation has made it easier for such third-party agents to provide evidence of their authority to make the necessary request (e.g., by use of a signed permission slip). This factor has contributed to a substantial increase in the volume of third party, authorized agent requests with associated risks, including potential risks to our systems, in the case of large volumes of requests, resources, and compliance costs. The designated response time for privacy requests is relatively short in certain jurisdictions resulting in great administrative and compliance challenges.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business relies on the acquisition and sale of data, including data obtained from third-party data suppliers. The acquisition and sale of data from or to third parties has become subject to increased regulatory scrutiny. Therefore, obtaining and selling data from third parties carries risk to us as a data purchaser and reseller. For example, as a data supplier, we are currently required to register as a data broker under California, Oregon, Texas, and Vermont law and file reports with regulators, which exposes us to increased scrutiny. Additionally, California’s Delete Act requires the California Privacy Protection Agency to establish, by January 1, 2026, a mechanism to allow California consumers to submit a single, verifiable request to delete all of their personal data held by all registered data brokers and their service providers. Moreover, third-party data suppliers have recently been subject to increased litigation under various claims of violating certain state privacy laws. These laws and challenges may make it so difficult for us and our suppliers to provide the data and the costs associated with the data materially increase or may materially decrease the availability of data that we or our data suppliers can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data. For example, some of our information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perceived failure to obtain consent for these practices, for example due to compliance with other legal requirements, could result in adverse consequences, including class action litigation and mass arbitration demands.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legal interpretation, we may be deemed, or may become, subject to new laws governing the privacy of consumer health data, including, but not limited to,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such as Nevada and Connecticut, have enacted similar laws, and such laws may be enacted in other states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foreign laws, regulations, and industry standards that govern data privacy and security, such as the EU GDPR, the United Kingdom (“UK”) GDPR, Canada’s Personal Information Protection and Electronic Documents Act, and China’s Personal Information Protection Law, Brazil’s General Data Protection Law (Lei Geral de Proteção de Dados Pessoais) (Law No. 13,709/2018), India’s Information Technology Act and supplementary rules, and other foreign data privacy, security, data localization and similar national, state/provincial and local laws which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Because our EU subsidiary, Monocl AB (“Monocl”), operates under a Swedish publishing certificate (database protection) issued in accordance with Swedish national law, such processing of personal data by our EU subsidiary comes under the Swedish constitutional protection enshrining the principle of transparency and freedom of expression and consequently falls within the scope of Article 85 EU GDPR and is therefore exempt from certain core provisions of the EU GDPR. Legal challenges against the general right to publish personal data based on the publishing certificate and consequent exemption from the GDPR, if upheld, may potentially result in the exemption being deemed invalid in certain circumstances. Further the Swedish database protection, which offers our subsidiary the right to rely on the Article 85 journalistic exemption, is traditionally granted to news and media outlets and publications. The publishing certificate has recently been renewed, however, given the adjustments in our business and other actual or potential commercial changes, it may be the case that the authority issuing the publishing certificate may not grant a renewal when the existing certificate expires. In such case, alternative legal grounds for processing personal data subject to the GDPR and related privacy laws, will need to be established. This may impact our current data collection practices and could restrict our ability to collect, process and share personal data in certain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Understanding and implementing such state and country specific certifications on top of our security certifications could require additional investment and management attention and may subject us to significant liability if we do not comply with particular requirements. Compliance with global privacy obligations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data could result in negative publicity, government investigations and enforcement actions, claims by third parties and damage to our reputation, any of which could have a material adverse effect on our reputation,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expect that our solutions can be used in compliance with privacy and security obligations. The functional and operational requirements and costs of compliance with such obligations may adversely impact our business, and failure to enable our solutions to comply with such obligations could lead to significant fines and penalties imposed by regulators, as well as claims by our customers or third parties. These domestic and foreign legislative and regulatory initiatives could adversely affect our customers’ ability or desire to collect, use, process, store and disclose personal data and health data using our solutions, or to license data products from us, which could reduce demand for our solutions.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frameworks, models, processes and technologies designed to manage data privacy and security for many data types and from a variety of sources, though such measures may not always be effective. Due to the complex and evolving nature of privacy obligations, we cannot guarantee that the safeguards and controls employed by us, or third parties upon which we rely, will be sufficient to prevent a breach of these obligations, or that claims, complaints, investigations, or inquiries will not be filed or lodged against us or our data suppliers despite such safeguards and controls.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are bound by contractual obligations and industry standards related to data privacy and security, and our efforts to comply with such obligations may not be successful. For example, certain privacy laws, such as the GDPR and CCPA, require our customers to impose specific contractual restrictions on their service providers. Failure to comply with such contractual obligations, certain certification/registration requirement, annual re-certification/registration requirements associated with various privacy obligations, and failure to resolve any serious data privacy or security related complaints or requests, may result in, among other things, regulatory sanctions, criminal prosecution, civil liability, negative publicity, damage to our reputation, or data being blocked from use or liability under contractual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Due to a myriad of state and international legal requirements allowing consumers to exercise their privacy rights, consumer data subject access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requests (“DSARs”) are numerous, often complex, and require significant attention and resources in order for us to comply. In addition, access, delete, opt out, or other DSARs can be brought by authorized agents who act on behalf of consumers. Though we take consumer privacy requests seriously and endeavor to respond appropriately, disagreements with authorized agents in terms of the nature or form of their requests, and/or actual or perceived failure to comply with consumer requests, may result in regulatory complaints, civil liability, negative publicity, damage to our reputation, and similarly unfavorable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upon which we rely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(including regulatory fines and sanctions),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Legal and Regulatory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use our platform for business activities that are subject to a complex regime of global laws and regulations, including requirements for maintenance of electronic records and electronic signatures, requirements regarding processing of health data, healthcare fraud and abuse,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Populi participates in the Centers for Medicare &amp; Medicaid Services Qualified Entity Certification Program (“QECP”) as a qualified entity and is subject to the QECP participant requirements. Failure to comply with such requirements could result in removal from the QECP and penalties.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claims brought by our customers, which could be costly and time consuming to defend.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litigation, investigations or other actions, which could harm our reputation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and security,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liability if we breach our contracts, and our insurance may be inadequate to cover our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insurance may not cover all claims made against us, and defending a suit, regardless of its merit, could be costly and divert management’s attention. Further, such insurance may not be available to us in the future on economically reasonable terms,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legal liability for collecting, displaying or distributing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data privacy and security.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adequately protect our proprietary and intellectual property rights in our data analytics or data science.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While it is our policy to require our employees, contractors, and other partners who may be involved in the development of intellectual property for us to execute agreements assigning such intellectual property to us, we may be unsuccessful in executing such an agreement with each party that develops intellectual property that we regard as ours.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 we cannot guarantee that we have entered into such agreements with each party that has or may have had access to our trade secrets, confidential information, software (including our AI tools), or other proprietary technology. Further, these confidentiality, non-disclosure, or invention assignment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registered or unregistered trademarks and tradenames, or other intellectual property rights, may be challenged, infringed, circumvented, misappropriated, or otherwise violated, or declared invalid or unenforceable, or determined to be infringing on other marks. Furthermore, even if we are able to obtain intellectual property rights, any challenge to our intellectual property rights could result in them being narrowed in scope or declared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third parties may misappropriate our data or data analytics through website scraping, robots, or other means and aggregate and display this data or data analytics on their websites. Customers or partners may impermissibly retain our data in breach of our agreements with them, including past the expiration or termination of such agreements, and use our data or data analytics for purposes outside of the scope of our engagement with them.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In addition, third parties that provide AI products and services, including some which are publicly available, may have trained AI tools or technology from our data without our consent and it may be difficult to enforce our copyrights and other intellectual property rights in connection with such unauthorized use, which could reduce demand for our products and services. Any measures that we may take to enforce our rights could require us to expend significant financial or other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by others that we are infringing on their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 The occurrence of infringement claims may grow as the market for our products grows.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adversely impacted by changes in laws and regulations related to the Internet or changes in access to the Internet generally.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Federal, state, or foreign governmental bodies or agencies have in the past adopted, and may in the future adopt, laws or regulations affecting the use of the internet as a commercial medium, including with respect to the adoption and repeal of “net neutrality” rules. For example, net neutrality rules, which were designed to ensure that all online content is treated the same by Internet service providers and other companies that provide broadband services, were adopted by the Federal Communications Commission (“FCC”) on May 7, 2024, but those rules were overturned by the U.S. Court of Appeals for the Sixth Circuit on January 2, 2025. Changes to the party in control of the U.S. presidency, Congress,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statehouses, or state legislatures may create at least the possibility that those law makers may enact laws or regulations on net neutrality, though the prospects for such actions are uncertain. Certain states have adopted or are adopting or considering legislation or executive actions that would regulate the conduct of broadband providers. California’s net neutrality law took effect in 2021, and a similar law in Vermont is subject to a pending challenge but went into effect on April 20, 2022. In addition, legislation to impose state-level net neutrality requirements has been proposed in New York. We cannot predict whether future FCC net neutrality rules or other state initiatives will be enforced, modified, overturned, or vacated by legal action of a court, federal legislation, or the FCC. In addition, the status of state regimes may be affected by FCC action. Future repeals of the net neutrality rules or the failure to adopt such rules in the states could force us to incur greater operating expenses or our customers’ use of our platform could be adversely affected, either of which could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and legislative developments related to the use of AI could adversely affect our use of such technologies in our products, services, and business and expose us to legal and regulatory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framework for AI and similar technologies is changing rapidly. New laws and regulations, or the interpretation of existing laws and regulations, in any of the jurisdictions in which we operate may affect our ability to leverage AI and may expose us to legal and regulatory risks, government enforcement, or civil suits and may result in increases in our operational and development expenses that impact our ability to develop, earn revenue from, or utilize any products or services incorporating AI Furthermore, if we cannot use AI or that use is restricted, our business may be less efficient, or we may be at a competitive disadvantage. We may not be able to adequately anticipate or respond to these evolving laws and regulations, and we may need to expend additional resources to adjust our products or services in certain jurisdictions if applicable legal frameworks are inconsistent across jurisdictions. Because these technologies are rapidly developing, it is not possible to predict all of the legal or regulatory risks that may arise relating to our use of such technologies. The costs related to any litigation and to comply with such laws or regulations could be significant and would increase our operating expenses, which could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Certain Tax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Unanticipated changes in our effective tax rate and additional tax liabilities may impact our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in the various tax jurisdictions we are subject to that are applied adversely to us or our paying customers could increase the costs of our platform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results of operations may be harmed if we are required to collect sales or other related taxes for subscriptions to our platform in jurisdictions where we have not historically done so.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in June 2023, we determined that sales in certain states were subject to sales tax and that we had not assessed such sales tax on sales of our services to customers. As a result, we entered into voluntary disclosure agreements with the applicable jurisdictions, which were settled as of December 31, 2024, and also established new controls and procedures over the collection, control, and subsequent monitoring of applicable documentation of exempt status from customers in affected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Accounting and Financial Reporting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revenue and change in deferred revenue may not be accurate indicators of our future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recognize subscription revenue over the subscription term, downturns or upturns in new sales and renewals are not immediately reflected in full in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short-term investment balances and may not use them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significant amount of goodwill and intangible assets on our balance sheet, and our results of operations have in the past been and may in the future be adversely affected if we fail to realize the full value of our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significant amount of goodwill and intangible assets on our balance sheet, and our results of operations may be adversely affected if we fail to realize the full value of our goodwill and intangible assets. Our balance sheet reflects goodwill of $197.2 million and $393.3 million as of December 31, 2025 and 2024, respectively, and intangible assets, net of accumulated amortization, of $247.5 million and $297.9 million as of December 31, 2025 and 2024, respectively. In accordance with accounting principles generally accepted in the United States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underperformance relative to historical or projected future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manner of our use of acquired assets or the strategy for our overall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industry or economic trends;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decline in our market capitalization relative to net book value for a sustained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Over the past three years, we have experienced declines in our market capitalization as a result of sustained decreases in our stock price, which resulted in goodwill impairment charges of $196.1 million, $688.9 million, and $287.4 million during the years ended December 31, 2025, 2024, and 2023, respectively. Refer to Note 10. </w:t>
      </w:r>
      <w:r>
        <w:rPr>
          <w:rFonts w:ascii="Times New Roman" w:hAnsi="Times New Roman"/>
          <w:i/>
          <w:color w:val="000000"/>
          <w:sz w:val="20"/>
        </w:rPr>
        <w:t>Goodwill and Intangible Assets</w:t>
      </w:r>
      <w:r>
        <w:rPr>
          <w:rFonts w:ascii="Times New Roman" w:hAnsi="Times New Roman"/>
          <w:color w:val="000000"/>
          <w:sz w:val="20"/>
        </w:rPr>
        <w:t xml:space="preserve"> to our accompanying consolidated financial statements for further information. Our reporting unit is at risk of future goodwill impairments if we again experience a continued decline in our market capitalization or if macroeconomic conditions worsen, which could represent potential indicators of impairment requiring further impairment analysis in 2026.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secure sufficient additional financing on favorable terms, or at all, to meet our future capital needs.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default under our debt agreements could have significant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level of indebtedness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principal amount of debt outstanding, excluding unamortized debt issuance costs, under the 2021 Credit Agreement as of December 31, 2025 was $166.3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indebtedness could have significant effects on our business,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borrow additional amounts to fund acquisitions, debt service requirements, execution of our growth strategy, capital expenditures and other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make investments, including acquisitions, loans and advances, and to sell, transfer or otherwise dispose of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us more vulnerable to adverse changes in general economic, industry and competitive conditions, in government regulation and in our business by limiting our ability to plan for and react to changing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placing us at a competitive disadvantage compared with our competitors that have less debt;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exposing us to risks inherent in interest rate fluctuations because our borrowings are at variable rates of interest, which could result in higher interest expense in the event of increases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 </w:t>
      </w:r>
    </w:p>
    <w:p>
      <w:pPr>
        <w:pStyle w:val="TextBody"/>
        <w:bidi w:val="0"/>
        <w:spacing w:before="360" w:after="283"/>
        <w:jc w:val="left"/>
        <w:rPr>
          <w:rFonts w:ascii="Times New Roman" w:hAnsi="Times New Roman"/>
          <w:sz w:val="20"/>
        </w:rPr>
      </w:pPr>
      <w:r>
        <w:rPr>
          <w:rFonts w:ascii="Times New Roman" w:hAnsi="Times New Roman"/>
          <w:b/>
          <w:i/>
          <w:color w:val="000000"/>
          <w:sz w:val="20"/>
        </w:rPr>
        <w:t>The failure to comply with the covenants under our credit agreements or volatility in the credit and capital markets could have a material adverse effect on our business, financial condition, liquidity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our credit agreements or to have sufficient liquidity to make interest and other payments required by our debt could result in a default of such debt and acceleration of our borrowings,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Organizational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holding company, and our principal asset is our 73.1% ownership interest in Definitive OpCo, and we are accordingly dependent upon distributions from Definitive OpCo to pay dividends, if any, and taxes, make payments under the TRA and pay 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holding company and our principal asset is our ownership of 73.1% of the outstanding LLC Units (as of December 31, 2025).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TRA.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TRA, (iii) fund dividends to our stockholders in accordance with our dividend policy, to the extent that our Board declares such dividends and (iv) pay our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In certain circumstances, Definitive OpCo will be required to make distributions to us and the other holders of LLC Units, and the distributions that Definitive OpCo will be required to make may be substantial.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TRA. Our Board,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organizational structure, including the TRA, confers certain benefits upon the TRA Parties that will not benefit holders of our Class A common stock to the same extent that it will benefit the TRA Parties. The TRA with the TRA Parties requires Definitive Healthcare Corp. to make cash payments to TRA Parties in respect of certain tax benefits to which it may become entitled, and we expect that such payments will be substantial.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organizational structure, including the TRA,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TRA, we are 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TRA. The payment obligations under the TRA are obligations of Definitive Healthcare Corp. and we expect that the amount of the cash payments that we are required to make under the TRA will be significant. Any payments made by Definitive Healthcare Corp. to the TRA Parties under the TRA will not be available for reinvestment in our business and will generally reduce the amount of overall cash flow that might have otherwise been available to us. The payments under the TRA are not conditioned upon continued ownership of us by the exchanging TRA Parties. Furthermore, Definitive Healthcare Corp.’s future obligation to make payments under the TRA could make us a less attractive target for an acquisition, particularly in the case of an acquirer that cannot use some or all of the tax benefits that are the subject of the TRA. </w:t>
      </w:r>
    </w:p>
    <w:p>
      <w:pPr>
        <w:pStyle w:val="TextBody"/>
        <w:bidi w:val="0"/>
        <w:spacing w:before="360" w:after="283"/>
        <w:jc w:val="left"/>
        <w:rPr>
          <w:rFonts w:ascii="Times New Roman" w:hAnsi="Times New Roman"/>
          <w:sz w:val="20"/>
        </w:rPr>
      </w:pPr>
      <w:r>
        <w:rPr>
          <w:rFonts w:ascii="Times New Roman" w:hAnsi="Times New Roman"/>
          <w:b/>
          <w:i/>
          <w:color w:val="000000"/>
          <w:sz w:val="20"/>
        </w:rPr>
        <w:t>In certain cases, payments under the TRA to the TRA Parties may be accelerated or significantly exceed any actual benefits we realize in respect of the tax attributes subject to the TRA.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 provides that upon certain mergers, asset sales, other forms of business combinations or other changes of control, upon a breach of any of our material obligations under the TRA or if, at any time, we elect an early termination of the TRA, then our obligations, or our successor’s obligations, under the TRA to make payments will accelerate. The accelerated payments required in such circumstances will be calculated by reference to the present value (at a discount rate equal to LIBOR plus 100 basis points or a replacement rate) of all future payments that TRA Parties or other recipients would have been entitled to receive under the TRA, and such accelerated payments and any other future payments under the TRA will be based on certain assumptions, including an assumption that we would have sufficient taxable income to fully utilize all potential future tax benefits that are subject to the TRA.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foregoing, we could be required to make payments under the TRA that are greater than the specified percentage of any actual benefits we ultimately realize in respect of the tax benefits that are subject to the TRA, and we could be required to make payments under the TRA significantly in advance of the actual realization, if any, of such future tax benefits. In these situations, our obligations under the TRA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TRA. </w:t>
      </w:r>
    </w:p>
    <w:p>
      <w:pPr>
        <w:pStyle w:val="TextBody"/>
        <w:bidi w:val="0"/>
        <w:spacing w:before="360" w:after="283"/>
        <w:jc w:val="left"/>
        <w:rPr>
          <w:rFonts w:ascii="Times New Roman" w:hAnsi="Times New Roman"/>
          <w:sz w:val="20"/>
        </w:rPr>
      </w:pPr>
      <w:r>
        <w:rPr>
          <w:rFonts w:ascii="Times New Roman" w:hAnsi="Times New Roman"/>
          <w:b/>
          <w:i/>
          <w:color w:val="000000"/>
          <w:sz w:val="20"/>
        </w:rPr>
        <w:t>The acceleration of payments under the TRA in the case of certain changes of control may impair our ability to consummate change of control transactions or negatively impact the value received by owners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certain changes of control, payments under the TRA will be accelerated and may significantly exceed the actual benefits we realize in respect of the tax attributes subject to the TRA. We expect that the payments that we may make under the TRA in the event of a change of control may be substantial. As a result, our accelerated payment obligations and/or the assumptions under the TRA in the case of a change of control may impair our ability to consummate change of control transactions or negatively impact the value received by owners of our Class A common stock in a change of control transaction.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be reimbursed for any payments made to the TRA Parties under the TRA in the event that any tax benefits are disallowed.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under the TRA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TRA,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TRA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TRA.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TRA until any such challenge is finally settled or determined. Moreover, the excess cash payments we previously made under the TRA could be greater than the amount of future cash payments against which we would otherwise be permitted to net such excess. As a result, payments made under the TRA could be significantly in excess of any tax savings that we realize from the tax attributes that are the subject of the TRA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sole managing member of Definitive OpCo, we control and operate Definitive OpCo. On that basis, we believe that our interest in Definitive OpCo is not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Future offerings of debt or equity securities by us may have a material adverse effect on the market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the anticipated long-term stockholder value of our stock repurchase programs, and any failure to repurchase our common stock after we have announced our intention to do so may negatively impact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our Board authorized a stock repurchase program for the repurchase of up to $100.0 million of the Company’s Class A common stock, which expired on December 31, 2025. Under the repurchase program, we had the ability to repurchase shares of our outstanding Class A common stock from time to time in the open market (including pre-set trading plans), through privately negotiated transactions, and/or other means in compliance with applicable securities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any repurchases were determined by management based on evaluations of market conditions and other factors. The program did not obligate us to acquire any particular amount of Class A common stock and was capable of being suspended or discontinued at any time at our discretion. Though we do not currently have an active stock repurchase program, any failure to repurchase stock in the future after we have announced our intention to do so may negatively impact our reputation, investor confidence in us, and/or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a stock repurchase program could cause our stock price to be higher than it otherwise would be and could potentially reduce the market liquidity for our stock. Although our stock repurchase programs are intended to enhance long-term stockholder value, there is no assurance that it will do so in the future because the market price of our common stock may decline below the levels at which we repurchase shares, and short-term stock price fluctuations could reduce the effectiveness of the program. Repurchasing our common stock has the effect of reducing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directors and stockholders will not have any obligation to present business opportunities to us and may compete with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results of operations may fluctuate significantly and could fall below the expectations of securities analysts and investors due to seasonality and other factors, some of which are beyond our control, resulting in a decline in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results of operations may fluctuate due to seasonal and other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and trading volume of our Class A common stock has been and may continue to be volatile, which could result in rapid and substantial losses for our stockholders, and you may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our Class A common stock have experienced and may continue to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continue to decline significantly in the future and you could lose all or part of your investment. A wide range of factors—including our operating results, changes in investor or analyst sentiment, developments involving our management, capital structure, or strategic activities, legal or regulatory events, and broader market, political, or economic conditions—may contribute to this volatility. As a result, the market price of our Class A common stock may fluctuate substantially, regardless of our actual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Class A common stock could be negatively affected by sales of substantial amounts of our Class A common stock in the public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completion of our IPO, as of December 31, 2025, our pre-IPO owners held directly or indirectly a total of 38,339,076 LLC Units that can ultimately be redeemed or exchanged for our Class A common stock, and we entered into a Registration Rights Agreement with certain pre-IPO owners pursuant to which shares of our Class A common stock issued upon such redemption or exchange may be sold in the public market. Any sales in connection with the Registration Rights Agreement or otherwise in compliance with the Securities Act of 1933, as amended (the “Securities Act”), or the prospect of any such sales, could materially and adversely impact the market price of our Class A common stock and could impair our ability to raise capital through future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of December 31, 2025, up to 13,767,374 shares of our Class A common stock may be issued upon vesting and settlement of outstanding RSUs, and an aggregate of 17,280,692 shares of our Class A common stock are available for future issuance under our equity incentive plans and will become eligible for sale in the public market to the extent permitted by the vesting schedules and the securities laws. We have registered all of the shares of Class A Common Stock issuable upon vesting and settlement of restricted stock units, as well as other equity incentive awards we may grant in the future for public resale under the Securities Act. In addition, the future issuance of additional shares of Class A common stock in connection with any equity incentive plans, acquisitions or otherwise will dilute all other stockholdings. As of December 31, 2025, we had an aggregate of 466,070,511 shares of Class A common stock authorized but unissued and not reserved for issuance under our equity incentive plans, which we may issue without any stockholder action, subject to certain exceptions. Any such issuances, would dilute the percentage ownership held by owners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of substantial amounts of shares of our Class A common stock in the public market, or the perception that such sales could occur, could harm the prevailing market price of shares of our Class A common stock and might make it more difficult for us to sell shares of our Class A common stock in the future at a time and at a price that we deem appropriate.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incur significant costs to comply with the laws and regulations affecting public companies, which could harm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We have experienced, and expect to continue to experience, costs associated with being a public company, including costs associated with compliance with the auditor attestation requirement of Section 404 of the Sarbanes-Oxley Act, or Section 404, the adoption of certain accounting standard updates,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comply with the requirements of being a public company, including the Sarbanes-Oxley Act, we continue to undertake various actions, such as further developing and refining internal controls and procedures and hiring accounting or internal audit staff or outsourcing certain functions to third parties,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pStyle w:val="TextBody"/>
        <w:bidi w:val="0"/>
        <w:spacing w:before="360" w:after="283"/>
        <w:jc w:val="left"/>
        <w:rPr>
          <w:rFonts w:ascii="Times New Roman" w:hAnsi="Times New Roman"/>
          <w:sz w:val="20"/>
        </w:rPr>
      </w:pPr>
      <w:r>
        <w:rPr>
          <w:rFonts w:ascii="Times New Roman" w:hAnsi="Times New Roman"/>
          <w:b/>
          <w:i/>
          <w:color w:val="000000"/>
          <w:sz w:val="20"/>
        </w:rPr>
        <w:t>Delaware law and our organizational documents, as well as our existing and future debt agreements, may impede or discourage a takeover, which could deprive our investors of the opportunity to receive a premium for their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for a classified Board with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permit cumulative voting in the election of directors, which would otherwise allow less than a majority of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delegate the sole power of a majority of the Board to fix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the Board has the sole power to fill any vacancy on our Board, whether such vacancy occurs as a result of an increase in the number of directors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preferred stock without any need for action by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permit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our stockholders from acting by written consent once Advent’s ownership falls below 30%; and establish advance notice requirements for nominations for election to our Board or for proposing matters that can be acted on by stockholders at stockholder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issue preferred stock may deter takeover attempts.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 w:name="item_1b_unresolved_staff_comments"/>
      <w:bookmarkEnd w:id="8"/>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of our customers and employees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security function is overseen by our Vice President of Information Technology (“VP, IT”), our information security team, security management, engineering operations, legal, risk management, and various third-party service providers. In doing so, they identify, assess and manage the Company’s cybersecurity threats and risks,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coordinating with law enforcement concerning threats, conducting internal and/or external audits and threat assessments for internal and external threats, utilizing third-party threat assessments, conducting threat and vulnerability assessments, using external intelligence feeds, and using third parties to conduct tabletop incident response exercises and other tests.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and incident response policy, incident detection and response capabilities, a vulnerability management policy, disaster recovery/business continuity plans, risk assessments, implementation of security standards and certifications for certain platforms, encryption of certain data, network security controls and data segregation for certain environments, access controls for certain systems, physical security, asset management, tracking and disposal, systems monitoring, incident response table-top exercises, vendor risk management program, employee training, penetration testing, cybersecurity insurance, and dedicated cybersecurity staff.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the Company’s overall risk management processes. Cyber risk is addressed as a critical component of the Company’s enterprise risk management program and is based upon entity-level controls found in our SOC2 compliance program, addressing all five trust service criteria: security, availability, confidentiality, privacy, and processing integrity. The Company recently received an unqualified opinion from an industry-recognized audit firm attesting to our SOC2 Type II compliance as of the date of such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assist us from time to time to identify, assess, and manage material risks from cybersecurity threats, including, for example, professional services firms (such as outside legal counsel), penetration testing firms, threat intelligence service providers, dark web monitoring services, forensic investigators, cybersecurity software providers, managed cybersecurity service providers, and cybersecurity consultants.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application providers, hosting companies, and supply chain resources. We have a vendor management program to manage cybersecurity risks associated with our use of these providers that are classified as Tier 0 or Tier 1 vendors. The program includes security questionnaires, risk assessments for each of those vendors, reviewing certain vendors’ security assessments and written information security programs, the imposition of information contractual obligations, and, in certain instances, security assessment calls with select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including providing third-party attestations of compliance with certain cybersecurity frameworks, such as SOC2 or ISO 27001.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“Risks Related to Data Privacy and Cybersecurity” under Part 1. Item 1A. Risk Factors in this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of the Board addresses the Company’s cybersecurity risk management as part of its general oversight function. The audit committee is responsible for overseeing Company’s cybersecurity risk management processes, including oversight of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processes are implemented and overseen by designated members of Company management, including our VP, IT and our Director of Information Security. These individuals each have more than 20 years of experience managing enterprise information technology and security programs and hold relevant professional qualifications, including advanced education in information security and industry</w:t>
        <w:noBreakHyphen/>
        <w:t xml:space="preserve">recognized certifications, such as the Certified Information Systems Security Professional. While we believe this expertise supports the design and operation of our cybersecurity controls, no assurances can be made that these measures will be sufficient to prevent or mitigate all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VP, IT is responsible for hiring appropriate personnel, helping to integrate cybersecurity risk considerations into the Company’s overall risk management strategy, and communicating key priorities to relevant personnel. The VP, IT is also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response and vulnerability management policies are designed to escalate certain cybersecurity incidents to members of management depending on the circumstances, including the Chief Financial Officer, Chief Legal Officer and Chief Executive Officer in their role as executive leadership for the incident response team. The executive leadership team will work with the Company’s incident response team to help the Company mitigate and remediate cybersecurity incidents of which they are notified. In addition, the Company’s incident response and vulnerability management policy include reporting to the audit committee for certain 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receives quarterly reports concerning the Company’s significant cybersecurity threats and risk and the processes the Company has implemented to address them. The audit committee also receives various reports, summaries or presentations related to cybersecurity threats, risk and mitigation.</w:t>
      </w:r>
    </w:p>
    <w:p>
      <w:pPr>
        <w:pStyle w:val="TextBody"/>
        <w:bidi w:val="0"/>
        <w:spacing w:before="360" w:after="283"/>
        <w:jc w:val="left"/>
        <w:rPr>
          <w:rFonts w:ascii="Times New Roman" w:hAnsi="Times New Roman"/>
          <w:b/>
          <w:color w:val="000000"/>
          <w:sz w:val="20"/>
        </w:rPr>
      </w:pPr>
      <w:bookmarkStart w:id="10" w:name="item_2_properties"/>
      <w:bookmarkEnd w:id="10"/>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is located in Framingham, Massachusetts and consists of approximately 40,500 square feet of space under a lease that expires in January 2029, with extension options. As of December 31, 2025, we have other offices in Sweden and India. We lease all of our facilities and do not own any real property. We believe that our facilities are adequate for our current and anticipated future use and that we will be able to secure additional space as needed to accommodate expansion of our operations. </w:t>
      </w:r>
    </w:p>
    <w:p>
      <w:pPr>
        <w:pStyle w:val="TextBody"/>
        <w:bidi w:val="0"/>
        <w:spacing w:before="360" w:after="283"/>
        <w:jc w:val="left"/>
        <w:rPr>
          <w:rFonts w:ascii="Times New Roman" w:hAnsi="Times New Roman"/>
          <w:b/>
          <w:color w:val="000000"/>
          <w:sz w:val="20"/>
        </w:rPr>
      </w:pPr>
      <w:bookmarkStart w:id="11" w:name="item_3_legal_proceedings"/>
      <w:bookmarkEnd w:id="11"/>
      <w:r>
        <w:rPr>
          <w:rFonts w:ascii="Times New Roman" w:hAnsi="Times New Roman"/>
          <w:b/>
          <w:color w:val="000000"/>
          <w:sz w:val="20"/>
        </w:rPr>
        <w:t>Item 3. Legal Proceedings.</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Regarding the contingent consideration associated with our acquisition of Populi (See to Note 3. </w:t>
      </w:r>
      <w:r>
        <w:rPr>
          <w:rFonts w:ascii="Times New Roman" w:hAnsi="Times New Roman"/>
          <w:i/>
          <w:color w:val="000000"/>
          <w:sz w:val="20"/>
        </w:rPr>
        <w:t xml:space="preserve">Acquisitions </w:t>
      </w:r>
      <w:r>
        <w:rPr>
          <w:rFonts w:ascii="Times New Roman" w:hAnsi="Times New Roman"/>
          <w:color w:val="000000"/>
          <w:sz w:val="20"/>
        </w:rPr>
        <w:t>to our accompanying consolidated financial statements), we determined that the earn-out revenue targets were partially achieved for the calendar year 2024 performance period and not achieved for the calendar year 2025 performance period.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May 2025, the former Populi equity holders delivered a notice asserting that the performance conditions for the 2024 performance period were satisfied at a higher payout tier than calculated by us and that additional consideration is due. We dispute this assertion and believe that, based on our interpretation of the purchase agreement and our calculation of the applicable performance metrics, no additional amounts are payable. The parties are engaged in litigation regarding this issue.</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have recorded a contingent consideration liability of $3.0 million, representing our management’s estimate of the fair value of the earn-out obligation. While we believe our interpretation of the agreement is appropriate and intend to vigorously defend our position, the ultimate outcome of this matter is uncertain. We will continue to evaluate this matter and adjust the estimated fair value of the contingent consideration liability as necessary based on developments in the dispute and any new information that becomes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matter noted above, 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 </w:t>
      </w:r>
    </w:p>
    <w:p>
      <w:pPr>
        <w:pStyle w:val="TextBody"/>
        <w:bidi w:val="0"/>
        <w:spacing w:before="360" w:after="283"/>
        <w:jc w:val="left"/>
        <w:rPr>
          <w:rFonts w:ascii="Times New Roman" w:hAnsi="Times New Roman"/>
          <w:b/>
          <w:color w:val="000000"/>
          <w:sz w:val="20"/>
        </w:rPr>
      </w:pPr>
      <w:bookmarkStart w:id="12" w:name="item_4_mine_safety_disclosures"/>
      <w:bookmarkEnd w:id="1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14" w:name="item_5_market_for_registrants_common"/>
      <w:bookmarkEnd w:id="14"/>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listed and traded on the Nasdaq Global Select Market under the trading symbol “DH”. There is no established public trading market for our Class B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23, 2026, there were 34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current plans to pay dividends on our Class A common stock. The declaration, amount, and payment of any future dividends on shares of Class A common stock is at the sole discretion of our Board, and we may reduce or discontinue entirely the payment of such dividends at any time. Our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comparisons in the graph below are based upon historical data and are not indicative of, nor intended to forecast, future performance of our Class A common stock. Information used in the graph was obtained from a source we believe to be reliable, but we do not assume responsibility for any errors or omissions in such information.</w:t>
      </w:r>
    </w:p>
    <w:p>
      <w:pPr>
        <w:pStyle w:val="TextBody"/>
        <w:bidi w:val="0"/>
        <w:spacing w:before="120" w:after="283"/>
        <w:jc w:val="center"/>
        <w:rPr/>
      </w:pPr>
      <w:r>
        <w:rPr/>
        <w:drawing>
          <wp:inline distT="0" distB="0" distL="0" distR="0">
            <wp:extent cx="6467475"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67475" cy="3267075"/>
                    </a:xfrm>
                    <a:prstGeom prst="rect">
                      <a:avLst/>
                    </a:prstGeom>
                  </pic:spPr>
                </pic:pic>
              </a:graphicData>
            </a:graphic>
          </wp:inline>
        </w:drawing>
      </w:r>
    </w:p>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Equity Securities, Issuer Purchases of Equity Securities, and Use of Proceeds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Sales of Unregistered Equity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2025 are as follows:</w:t>
      </w:r>
    </w:p>
    <w:tbl>
      <w:tblPr>
        <w:tblW w:w="4553" w:type="dxa"/>
        <w:jc w:val="left"/>
        <w:tblInd w:w="0" w:type="dxa"/>
        <w:tblLayout w:type="fixed"/>
        <w:tblCellMar>
          <w:top w:w="28" w:type="dxa"/>
          <w:left w:w="28" w:type="dxa"/>
          <w:bottom w:w="28" w:type="dxa"/>
          <w:right w:w="28" w:type="dxa"/>
        </w:tblCellMar>
      </w:tblPr>
      <w:tblGrid>
        <w:gridCol w:w="1606"/>
        <w:gridCol w:w="146"/>
        <w:gridCol w:w="531"/>
        <w:gridCol w:w="2079"/>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5" w:name="item_6_selected_financial_data"/>
      <w:bookmarkEnd w:id="15"/>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7_managements_discussion"/>
      <w:bookmarkEnd w:id="16"/>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includes a comparison of our results of operations, financial condition, and liquidity and capital resources for fiscal years 2025, 2024 and 2023.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2,330 customers as of December 31, 2025. We generally define a customer as a company that maintains one or more active paid subscriptions to our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$11 billion and our serviceable addressable market of approximately $7 billion. In total, we have identified more than 100,000 potential customers that we believe could benefit from our platform.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January 16, 2024, we completed the purchase of assets comprising the Carevoyance (as the term is defined below) business line of H1 Insights, Inc., a product that helps medical technology (“MedTech”) customers to improve segmentation, targeting, and prospect engagement for $13.7 million, subject to closing adjustments. We finalized the purchase price allocations of the Carevoyance acquisition during the fourth quarter of 2024.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On July 21, 2023, we completed the acquisition of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subject to meeting certain revenue metrics during calendar years 2024 and 2025. We finalized the purchase price allocations of the Populi acquisition during the first quarter of 2024. See Note 3. </w:t>
      </w:r>
      <w:r>
        <w:rPr>
          <w:rFonts w:ascii="Times New Roman" w:hAnsi="Times New Roman"/>
          <w:i/>
          <w:color w:val="000000"/>
          <w:sz w:val="20"/>
        </w:rPr>
        <w:t>Acquisitions</w:t>
      </w:r>
      <w:r>
        <w:rPr>
          <w:rFonts w:ascii="Times New Roman" w:hAnsi="Times New Roman"/>
          <w:color w:val="000000"/>
          <w:sz w:val="20"/>
        </w:rPr>
        <w:t xml:space="preserve"> to our accompanying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Over the past three years,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$196.1 million, $688.9 million, and $287.4 million during the years ended December 31, 2025, 2024, and 2023, respectively. The goodwill impairment charges did not affect our liquidity or the financial covenants in our outstanding debt agreement.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will continue to monitor for potential impairment should impairment indicators arise. See Note 10. </w:t>
      </w:r>
      <w:r>
        <w:rPr>
          <w:rFonts w:ascii="Times New Roman" w:hAnsi="Times New Roman"/>
          <w:i/>
          <w:color w:val="000000"/>
          <w:sz w:val="20"/>
        </w:rPr>
        <w:t xml:space="preserve">Goodwill and Intangible Assets </w:t>
      </w:r>
      <w:r>
        <w:rPr>
          <w:rFonts w:ascii="Times New Roman" w:hAnsi="Times New Roman"/>
          <w:color w:val="000000"/>
          <w:sz w:val="20"/>
        </w:rPr>
        <w:t>to our accompanying consolidated financial statements. Our reporting unit is at risk for future goodwill impairments if we experience a continued decline in our market capitalization or worsening macroeconomic conditions.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year ended December 31, 2024, we incurred restructuring and related charges of $8.1 million, consisting primarily of severance payments, employee benefits, and related cash expenses. These charges were recognized within transaction, integration, and restructuring expenses in our consolidated statements of operations. We do not expect to incur any additional material charges associated with the 2024 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fiscal year 2024, we recorded impairment charges of $1.2 million related to the consolidation of certain leased office space at our corporate headquarters. These charges comprised $0.9 million relating to the operating lease right-of-use assets and $0.3 million relating to the leasehold improvements. During the year ended December 31, 2025, we incurred additional impairment charges of $0.6 million related to the operating lease right-of-use assets. These charges were recognized within transaction, integration, and restructuring expenses in our consolidated statements of operations for each respective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and third quarters of 2023, we committed to restructuring plans intended to reduce operating costs, improve operating margins, and continue advancing our ongoing commitment to profitable growth by reducing our workforce by approximately 100 people and, as a result, incurred restructuring and related charges of $4.7 million during the year ended December 31, 2023. These charges consisted primarily of severance payments, employee benefits, and related cash expenses. These charges were recognized within transaction, integration, and restructuring expenses in the accompanying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Execution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2024 Restructuring Plan, we made significant changes to our go-to-market team that reduced overlay expenses, created a separate group and sales motion for our small and medium sized customers, and allocated more resources to our Enterprise Customers (as the term is defined below). These changes initially created disruptions to our sales efforts in fiscal year 2024, impacting both new customer acquisition and upsell to existing customers. These factors, in addition to the lower than historical renewal rates we observed throughout fiscal year 2025, impacted our results in 2025, and we expect will continue to impact our results into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Company’s ongoing review of its organizational design with respect to executive leadership, we have recently experienced several 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2024, we announced that our former Chief Financial Officer, Richard Booth, would be leaving the Company effective June 1, 2025. After a thorough search process, our Board appointed Casey Heller, our former Senior Vice President of Finance, to the role of Chief Financial Officer effective June 2,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2025, we announced that the Chief Operating Officer position, held by Kate Shamsuddin Jensen, would be eliminated. Ms. Shamsuddin Jensen’s departure constituted a termination of employment without “cause” for purposes of any employment, equity compensation, or benefit agreement, plan, or arrangement of the Company and its subsidiaries to which Ms. Shamsuddin Jensen was a party or in which she otherwise participated.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July 20, 2025, Jill Larsen resigned from the Board and as a member and chair of the human capital management and compensation committee (the “Compensation Committee”) of the Board, effective July 21, 2025. Ms. Larsen’s resignation was related to increased responsibilities at her present employer and not the result of any disagreements with the Company relating to the Company’s operations, policies, or practices. Due to Ms. Larsen’s resignation, the size of the Board was reduced from 10 members to 9 members. In addition, the Board appointed Scott Stephenson as a member and Chair of the Compensation Committee.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2022, our current and prospective customers, along with their business spending, have been affected by challenging macroeconomic conditions to varying degrees. This has contributed to heightened customer churn relative to historical levels. These trends have been particularly pronounced for smaller customers and in the Life Sciences market. The elevated churn has impacted our revenue growth since 2023, and we expect this will continue to have an impact on our growth in 2026. However, late in 2025, we began seeing modest signs of improvement in the macroeconomic backdrop, with healthier demand trends, more normalized procurement cycles, improving customer retention dynamics, and increased visibility into customer budgets, all of which are encouraging signs we will continue to monitor.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 in Ukraine and the regional instability in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We worked throughout 2025 to mitigate potential risk through renegotiation of select existing agreements and the addition of new data sources and will continue to do so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ARR, which we refer to as “Enterprise Customers,” represent the majority of our ARR and are a key focus of our go-to-market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total customer count, which includes smaller customers, was approximately 2,330 as of December 31, 2025, compared with approximately 2,500 customers as of December 31, 2024. Our Enterprise Customer accounts have decreased by eight to 511 customers as of December 31, 2025 compared with 519 customers as of December 31, 2024. Our smaller customers have churned at disproportionately higher rates year-over-year, primarily due to current macroeconomic conditions.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pStyle w:val="TextBody"/>
        <w:bidi w:val="0"/>
        <w:spacing w:before="12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opportunity to generate additional revenue from our existing customer base of approximately 2,330 customers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expanding usage of our platform with our existing customers is measured by our Net Dollar Retention Rate (“NDR”) (see “Key Metrics”). For the year ended December 31, 2025, our NDR for Enterprise Customers was 85%. As of December 31, 2025, we had 511 Enterprise Customers, which represented approximately 69% of our ARR. Our NDR for all customers over $17,500 ARR was 82%. For the year ended December 31, 2024, our NDR for Enterprise Customers was 90% and our NDR for all customers over $17,500 ARR was 85%. For the year ended December 31, 2023, our NDR for Enterprise Customers was 96% and our NDR for all customers over $17,500 ARR was 92%.</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Dollar Retention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macroeconomic challenges are elongating deal cycles as customers implement more stringent approval processes or delay spending decisions, which impacts revenue from our existing customers, including upsells. As previously discussed, we have also experienced a significant number of deferred purchasing decisions and heightened customer churn, particularly in the Life Science market, along with sales execution challenges impacting new customer acquisition and upsell to existing customers. As a result, our total NDR of 81% for the year ended December 31, 2025 is lower relative to our total NDR of 85% for the year ended December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Remaining Performance Obligations (</w:t>
      </w:r>
      <w:r>
        <w:rPr>
          <w:rFonts w:ascii="Times New Roman" w:hAnsi="Times New Roman"/>
          <w:color w:val="000000"/>
          <w:sz w:val="20"/>
        </w:rPr>
        <w:t>“</w:t>
      </w:r>
      <w:r>
        <w:rPr>
          <w:rFonts w:ascii="Times New Roman" w:hAnsi="Times New Roman"/>
          <w:b/>
          <w:i/>
          <w:color w:val="000000"/>
          <w:sz w:val="20"/>
        </w:rPr>
        <w:t>cRPO</w:t>
      </w:r>
      <w:r>
        <w:rPr>
          <w:rFonts w:ascii="Times New Roman" w:hAnsi="Times New Roman"/>
          <w:color w:val="000000"/>
          <w:sz w:val="20"/>
        </w:rPr>
        <w:t>”</w:t>
      </w:r>
      <w:r>
        <w:rPr>
          <w:rFonts w:ascii="Times New Roman" w:hAnsi="Times New Roman"/>
          <w:b/>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2026 relative to 2025. In addition, we experienced a drop in the mix of new customers committing to multi-year subscriptions versus single-year subscriptions, resulting in reductions to cRPO and total remaining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our current and total remaining performance obligations as of December 31, 2025 and 2024: </w:t>
      </w:r>
    </w:p>
    <w:p>
      <w:pPr>
        <w:pStyle w:val="TextBody"/>
        <w:bidi w:val="0"/>
        <w:jc w:val="left"/>
        <w:rPr/>
      </w:pPr>
      <w:r>
        <w:rPr/>
        <w:t> </w:t>
      </w:r>
    </w:p>
    <w:tbl>
      <w:tblPr>
        <w:tblW w:w="5145" w:type="dxa"/>
        <w:jc w:val="left"/>
        <w:tblInd w:w="0" w:type="dxa"/>
        <w:tblLayout w:type="fixed"/>
        <w:tblCellMar>
          <w:top w:w="28" w:type="dxa"/>
          <w:left w:w="28" w:type="dxa"/>
          <w:bottom w:w="28" w:type="dxa"/>
          <w:right w:w="28" w:type="dxa"/>
        </w:tblCellMar>
      </w:tblPr>
      <w:tblGrid>
        <w:gridCol w:w="1226"/>
        <w:gridCol w:w="646"/>
        <w:gridCol w:w="233"/>
        <w:gridCol w:w="862"/>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 of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enhance our platform, data and business through internal development and through acquisitions of and investments in businesses that broaden and strengthen our platform. During fiscal year 2024, we completed the purchase of assets comprising the Carevoyance business line of H1 Insights, Inc., a product that helps MedTech customers to improve segmentation, targeting, and prospect engagement. During fiscal year 2023, we completed the acquisition of Populi, Inc., a provider-focused data and analytics company that works with healthcare organizations to optimize physician relationships, reduce network leakage, and expand market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Acquisitions can result in transaction costs, amortization expenses, and other adjustments as purchase accounting requires that all assets acquired and liabilities assumed be recorded at fair value on the acquisition date. Refer to Note 3. </w:t>
      </w:r>
      <w:r>
        <w:rPr>
          <w:rFonts w:ascii="Times New Roman" w:hAnsi="Times New Roman"/>
          <w:i/>
          <w:color w:val="000000"/>
          <w:sz w:val="20"/>
        </w:rPr>
        <w:t>Acquisitions</w:t>
      </w:r>
      <w:r>
        <w:rPr>
          <w:rFonts w:ascii="Times New Roman" w:hAnsi="Times New Roman"/>
          <w:color w:val="000000"/>
          <w:sz w:val="20"/>
        </w:rPr>
        <w:t xml:space="preserve"> to our accompanying consolidated financial statements for further details.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we derived approximately 96%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execution challenges, as previously mentioned, coupled with sustained macroeconomic headwinds, continue to negatively impact our sales efforts. Accordingly, we expect our revenue to decline in 2026 compared with 2025.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xml:space="preserve">. Includes amortization expense for technology and data acquired in business combinations and asset purchase agreements. We anticipate that amortization will increase only if we make additional acquisitions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 We worked throughout 2025 to mitigate potential risk through the renegotiation of select existing agreements and the addition of new data sources and will continue to do so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goods sold and amortization related to cost of goods sold,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declines, in combination with our largely fixed cost structure, are expected to result in a decrease in gross profit margin in 2026. Additionally, we received one-time credits during fiscal year 2025 resulting from renegotiations on existing data contracts, which will not repeat and will contribute to a year-over-year decrease in gross profit margins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make targeted investments in growth areas like enhancing our digital marketing capabilities.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 In fiscal year 2025, we made investments in software application development tools and have shifted more development efforts to innovation and growth initiatives, both of which have been resulted in increases to capitalized software and payroll.</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Prior to fiscal year 2025, general and administration expenses also included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business combinations, and purchases of data assets, as well as depreciation of property and equipment. We anticipate depreciation of property and equipment as a percentage of revenue to moderately increase as we continue to make investments in internal software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strategic partnership, and integration activities we have undertaken, primarily accounting, legal due diligence, consulting, and advisory fees, as well as expenses related to the 2024 Restructuring Plan and our office relocations and consolidations.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Goodwill represents the excess of consideration transferred over the fair value of tangible and identifiable intangible net assets acquired and the liabilities assumed in a business combination. A substantial portion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Over the past three years,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$196.1 million, $688.9 million, and $287.4 million during the years ended December 31, 2025, 2024, and 2023, respectively. The goodwill impairment charges did not affect our liquidity or the financial covenants in our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short-term investments.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consists primarily of the revaluation of TRA liabilities, realized and unrealized gains and losses related to the impact of transactions denominated in a foreign currency, and the loss on partial extinguishment of debt resulting from the refinancing of our credit agreement in fiscal year 2025. Significant changes in the projected liability resulting from the TRA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of our consolidated results of operations includes year-over-year comparisons of 2025 results compared to those in 2024. For a discussion of the 2024 results compared to those in 2023, see the discussion in Item 7, Management’s Discussion and Analysis of Financial Condition and Results of Operations in our 2024 Form 10-K,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consolidated statements of operations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8"/>
        <w:gridCol w:w="1246"/>
        <w:gridCol w:w="211"/>
        <w:gridCol w:w="841"/>
        <w:gridCol w:w="266"/>
        <w:gridCol w:w="246"/>
        <w:gridCol w:w="211"/>
        <w:gridCol w:w="841"/>
        <w:gridCol w:w="266"/>
        <w:gridCol w:w="246"/>
        <w:gridCol w:w="211"/>
        <w:gridCol w:w="841"/>
        <w:gridCol w:w="811"/>
      </w:tblGrid>
      <w:tr>
        <w:trPr/>
        <w:tc>
          <w:tcPr>
            <w:tcW w:w="396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908,289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before income taxes</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Benefit from income taxes</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loss</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Year Ended December 31, 2025 compared to Year Ended December 31, 2024</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$10.7 million, or 4%, for the year ended December 31, 2025 compared with the same period in the prior year, resulting from lower subscription revenue of $12.7 million, partially offset by higher professional services revenue of $2.0 million. Revenue attributable to customers that existed prior to the start of 2025 decreased $33.7 million, which was partially offset by a $23.0 million increase in revenue from new customers in 2025, inclusive of revenue from a data partnership that was launched earlier this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cost of revenue increased $3.5 million, or 6%, for the year ended December 31, 2025 compared with the same period in the prior year. The increase was driven primarily by a $6.2 million increase in amortization expense resulting from new data asset purchases and higher rates of amortization on certain technology assets amortized under economic consumption methods, partially offset by a $1.7 million net decrease in hosting fees and data subscription and collection costs. Though we continue to experience increased data and hosting costs as a result of expanded customer usage of our platform, the year-over-year net decrease in these costs was primarily driven by one-time credits during the current year resulting from renegotiations on existing data contracts and the exit of a major data contract from a prior acquisition that no longer provided an economic benefit to the Company. We also experienced a $1.0 million decrease in personnel costs, including stock-based compensation, which was primarily driven by a moderate reduction in headcount.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expenses, which include goodwill impairment charges of $196.1 million recorded during the year ended December 31, 2025 compared with $688.9 million incurred during the year ended December 31, 2024 (refer to Note 10. </w:t>
      </w:r>
      <w:r>
        <w:rPr>
          <w:rFonts w:ascii="Times New Roman" w:hAnsi="Times New Roman"/>
          <w:i/>
          <w:color w:val="000000"/>
          <w:sz w:val="20"/>
        </w:rPr>
        <w:t>Goodwill and Intangible Assets</w:t>
      </w:r>
      <w:r>
        <w:rPr>
          <w:rFonts w:ascii="Times New Roman" w:hAnsi="Times New Roman"/>
          <w:color w:val="000000"/>
          <w:sz w:val="20"/>
        </w:rPr>
        <w:t xml:space="preserve"> to our accompanying consolidated financial statements for further details), decreased $500.7 million, or 55%, for the year ended December 31, 2025 compared with the same period in the prior year. The decrease in operating expenses as compared to the prior-year period was primarily driven by lower goodwill impairment charges in the current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$2.2 million for the year ended December 31, 2025, primarily due to lower personnel costs in the current period, including stock-based compensation expense, resulting from the 2024 Restructuring Plan and the departure of certain executive-level employees in the prior year, which did not repeat at the same level during the year ended December 31, 2025, partially offset by increased costs associated with new software applications and with certain sales and marketing events and advertising campaigns in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$1.7 million for the year ended December 31, 2025, primarily driven by lower personnel costs in the current period, including stock-based compensation expense, and lower professional service fees. Higher stock-based compensation costs during the year ended December 31, 2024 associated with equity grant modifications were primarily driven by the 2024 Restructuring Plan, which did not repeat at the same level during the year ended December 31, 2025. Capitalized payroll and third-party costs related to internal-use software development also increased during the current period, further contributing to the year-over-year decrease in product development expense, which was partially offset by increased costs associated with new software application investments in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general and administrative expense of $2.4 million for the year ended December 31, 2025, primarily driven by higher professional fees and severance costs associated with strategic initiatives, higher franchise taxes, and a charge for the write-off of deferred offering costs associated with our expired shelf registration. Further contributing to the increase was expense relief during the year ended December 2024 from sales tax exposure resulting from voluntary disclosure agreements and finalized favorable rulings on the taxability of our products in certain states that did not repeat in the year ended December 31, 2025. These increases were partially offset by bad debt recoveries and lower stock-based compensation expense during the year ended December 31, 2025, primarily driven by decreases in our stock price and higher costs incurred during the year ended December 31, 2024 associated with equity grant modifications resulting from the 2024 Restructuring Plan and the departure of certain executive-level employees, which did not repeat at the same level during the year ended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$1.8 million for the year ended December 31, 2025, primarily driven by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$4.6 million for the year ended December 31, 2025, primarily driven by higher costs incurred in the prior year period associated with the 2024 Restructuring Plan and the consolidation of certain leased office facilities, which did not repeat at the same level during the current period, partially offset by higher acquisition and integration costs during the current period, including an integration charge to recognize a liability for a major data contract from a prior acquisition that no longer provided an economic benefit to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$15.0 million for the year ended December 31, 2025 compared to total other income, net of $77.1 million in the same period in the prior year. The overall change was primarily attributable to a decrease in the TRA liability remeasurement gain of $55.2 million to $21.7 million during the year ended December 31, 2025, compared with a TRA liability remeasurement gain of $76.9 million during the year ended December 31, 2024. These TRA remeasurement gains were primarily driven by the impairments of goodwill during the respective periods, as well as changes in future realizability of tax attributes payable under the TRA. The decrease in the TRA liability remeasurement gain year-over-year was primarily driven by a decrease in goodwill impairment charges of $492.8 million during the year ended December 31, 2025 compared with the prior year period. Interest income earned from our short-term investments also decreased by $7.6 million to $7.0 million in the year ended December 31, 2025 compared with $14.6 million in the comparable prior year period, and interest expense decreased to $11.3 million during the year ended December 31, 2025 compared with $14.8 million during the year ended December 31, 2024. Also contributing to the decrease in other income, net during the current year were foreign currency transaction losses of $1.8 million and a loss on the partial extinguishment of debt of $0.5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income taxes for the year ended December 31, 2025 was $10.0 million compared to $42.3 million in the same period in the prior year. The overall decrease was primarily attributed to smaller goodwill impairment charges during the current period compared with the same period in the prior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Gross Profit and Adjusted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Adjusted Gross Margin is defined as Adjusted Gross Profit as a percentage of revenue. These are key metrics used by management and our Board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2707"/>
        <w:gridCol w:w="146"/>
        <w:gridCol w:w="211"/>
        <w:gridCol w:w="781"/>
        <w:gridCol w:w="146"/>
        <w:gridCol w:w="146"/>
        <w:gridCol w:w="246"/>
        <w:gridCol w:w="536"/>
        <w:gridCol w:w="271"/>
        <w:gridCol w:w="146"/>
        <w:gridCol w:w="211"/>
        <w:gridCol w:w="781"/>
        <w:gridCol w:w="146"/>
        <w:gridCol w:w="146"/>
        <w:gridCol w:w="246"/>
        <w:gridCol w:w="536"/>
        <w:gridCol w:w="271"/>
        <w:gridCol w:w="146"/>
        <w:gridCol w:w="211"/>
        <w:gridCol w:w="781"/>
        <w:gridCol w:w="146"/>
        <w:gridCol w:w="146"/>
        <w:gridCol w:w="246"/>
        <w:gridCol w:w="536"/>
        <w:gridCol w:w="320"/>
      </w:tblGrid>
      <w:tr>
        <w:trPr/>
        <w:tc>
          <w:tcPr>
            <w:tcW w:w="2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Amortization of intangible assets resulting from acquisition-related purchase accounting adjustments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resulting from purchase accounting adjustments represents non-cash amortization of acquired intangibles, primarily resulting from the Advent Acquisition.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net and loss on partial extinguishment of debt, (ii) benefit from income taxes, and (iii) depreciation and amortization. Management further adjusts EBITDA in its presentation of Adjusted EBITDA to exclude (i) other income, net,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1535"/>
        <w:gridCol w:w="246"/>
        <w:gridCol w:w="211"/>
        <w:gridCol w:w="841"/>
        <w:gridCol w:w="266"/>
        <w:gridCol w:w="246"/>
        <w:gridCol w:w="202"/>
        <w:gridCol w:w="523"/>
        <w:gridCol w:w="371"/>
        <w:gridCol w:w="246"/>
        <w:gridCol w:w="211"/>
        <w:gridCol w:w="841"/>
        <w:gridCol w:w="266"/>
        <w:gridCol w:w="246"/>
        <w:gridCol w:w="168"/>
        <w:gridCol w:w="558"/>
        <w:gridCol w:w="371"/>
        <w:gridCol w:w="246"/>
        <w:gridCol w:w="211"/>
        <w:gridCol w:w="841"/>
        <w:gridCol w:w="266"/>
        <w:gridCol w:w="246"/>
        <w:gridCol w:w="168"/>
        <w:gridCol w:w="558"/>
        <w:gridCol w:w="321"/>
      </w:tblGrid>
      <w:tr>
        <w:trPr/>
        <w:tc>
          <w:tcPr>
            <w:tcW w:w="15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w:t>
            </w:r>
            <w:r>
              <w:rPr>
                <w:rFonts w:ascii="Times New Roman" w:hAnsi="Times New Roman"/>
                <w:b/>
                <w:color w:val="000000"/>
                <w:sz w:val="20"/>
              </w:rPr>
              <w:t>and margin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partial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&amp;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EBITDA 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Equity-based compensation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integration and restructuring expenses </w:t>
            </w:r>
            <w:r>
              <w:rPr>
                <w:rFonts w:ascii="Times New Roman" w:hAnsi="Times New Roman"/>
                <w:color w:val="000000"/>
                <w:sz w:val="13"/>
              </w:rPr>
              <w:t>(c)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 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integration, and restructuring expenses primarily represent legal, accounting, consulting expenses, and fair value adjustments for contingent consideration related to our acquisitions and strategic partnerships, inclusive of an integration charge in the third quarter of 2025 to recognize a liability for a major data contract from a prior acquisition that no longer provided an economic benefit to the Company. Restructuring expenses relate to the 2024 Restructuring Plan as well as impairment and restructuring charges related to office closures, relocations, and consolidations.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28"/>
        <w:gridCol w:w="546"/>
        <w:gridCol w:w="211"/>
        <w:gridCol w:w="631"/>
        <w:gridCol w:w="266"/>
        <w:gridCol w:w="246"/>
        <w:gridCol w:w="211"/>
        <w:gridCol w:w="676"/>
        <w:gridCol w:w="266"/>
        <w:gridCol w:w="246"/>
        <w:gridCol w:w="211"/>
        <w:gridCol w:w="676"/>
        <w:gridCol w:w="191"/>
      </w:tblGrid>
      <w:tr>
        <w:trPr/>
        <w:tc>
          <w:tcPr>
            <w:tcW w:w="582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non-cash, pre-tax, goodwill impairment charges. We experienced declines in our market capitalization as a result of sustained decreases in our stock price, which represented triggering events requiring our management to perform multiple quantitative goodwill impairment tests during the years ended December 31, 2025, 2024, and 2023. As a result of each impairment test conducted in their respective periods, we determined that the fair value of our single reporting unit was lower than its carrying value and, accordingly, recorded these impairment charges.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 including a charge in the third quarter of 2025 for the write-off of deferred offering costs associated with the Company’s expired shelf registration.</w:t>
      </w:r>
    </w:p>
    <w:p>
      <w:pPr>
        <w:pStyle w:val="TextBody"/>
        <w:bidi w:val="0"/>
        <w:jc w:val="left"/>
        <w:rPr/>
      </w:pPr>
      <w:r>
        <w:rPr/>
        <w:t> </w:t>
      </w:r>
    </w:p>
    <w:tbl>
      <w:tblPr>
        <w:tblW w:w="9918" w:type="dxa"/>
        <w:jc w:val="left"/>
        <w:tblInd w:w="0" w:type="dxa"/>
        <w:tblLayout w:type="fixed"/>
        <w:tblCellMar>
          <w:top w:w="28" w:type="dxa"/>
          <w:left w:w="28" w:type="dxa"/>
          <w:bottom w:w="28" w:type="dxa"/>
          <w:right w:w="28" w:type="dxa"/>
        </w:tblCellMar>
      </w:tblPr>
      <w:tblGrid>
        <w:gridCol w:w="5771"/>
        <w:gridCol w:w="546"/>
        <w:gridCol w:w="211"/>
        <w:gridCol w:w="571"/>
        <w:gridCol w:w="246"/>
        <w:gridCol w:w="246"/>
        <w:gridCol w:w="211"/>
        <w:gridCol w:w="631"/>
        <w:gridCol w:w="266"/>
        <w:gridCol w:w="246"/>
        <w:gridCol w:w="211"/>
        <w:gridCol w:w="571"/>
        <w:gridCol w:w="191"/>
      </w:tblGrid>
      <w:tr>
        <w:trPr/>
        <w:tc>
          <w:tcPr>
            <w:tcW w:w="5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2025, we had $163.6 million of cash and cash equivalents, $17.3 million of short-term investments and $49.7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as well as debt services (see Note 11. </w:t>
      </w:r>
      <w:r>
        <w:rPr>
          <w:rFonts w:ascii="Times New Roman" w:hAnsi="Times New Roman"/>
          <w:i/>
          <w:color w:val="000000"/>
          <w:sz w:val="20"/>
        </w:rPr>
        <w:t>Long-Term Debt</w:t>
      </w:r>
      <w:r>
        <w:rPr>
          <w:rFonts w:ascii="Times New Roman" w:hAnsi="Times New Roman"/>
          <w:color w:val="000000"/>
          <w:sz w:val="20"/>
        </w:rPr>
        <w:t xml:space="preserve"> to our accompanying consolidated financial statements for further details), repurchases of our Class A common stock, distributions to members of Definitive OpCo, and payments under our TRA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the “Risk Factors” section within this Annual Report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Additionally,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Impact of Inflation</w:t>
      </w:r>
    </w:p>
    <w:p>
      <w:pPr>
        <w:pStyle w:val="TextBody"/>
        <w:bidi w:val="0"/>
        <w:jc w:val="left"/>
        <w:rPr>
          <w:rFonts w:ascii="Times New Roman" w:hAnsi="Times New Roman"/>
          <w:color w:val="000000"/>
          <w:sz w:val="20"/>
        </w:rPr>
      </w:pPr>
      <w:r>
        <w:rPr>
          <w:rFonts w:ascii="Times New Roman" w:hAnsi="Times New Roman"/>
          <w:color w:val="000000"/>
          <w:sz w:val="20"/>
        </w:rPr>
        <w:t>While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cash approximates fair value.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of our cash flows includes a year-over-year comparison of 2025 cash flows to those in 2024. For a discussion of our 2024 cash flows compared to 2023 cash flows, see the discussion in Item 7, Management’s Discussion and Analysis of Financial Condition and Results of Operations in our 2024 Form 10-K,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8"/>
        <w:gridCol w:w="546"/>
        <w:gridCol w:w="211"/>
        <w:gridCol w:w="841"/>
        <w:gridCol w:w="266"/>
        <w:gridCol w:w="246"/>
        <w:gridCol w:w="211"/>
        <w:gridCol w:w="736"/>
        <w:gridCol w:w="266"/>
        <w:gridCol w:w="246"/>
        <w:gridCol w:w="211"/>
        <w:gridCol w:w="736"/>
        <w:gridCol w:w="611"/>
      </w:tblGrid>
      <w:tr>
        <w:trPr/>
        <w:tc>
          <w:tcPr>
            <w:tcW w:w="50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(150,788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$53.8 million during the year ended December 31, 2025, primarily as a result of non-cash charges of $262.5 million, partially offset by a net loss of $199.3 million and a $9.4 million net decrease in our operating assets and liabilities. The non-cash charges were primarily comprised of $196.1 million in goodwill impairment charges recorded during the year, amortization of intangible assets of $52.8 million, equity compensation costs of $29.1 million, a gain on remeasurement of the TRA of $21.7 million, amortization of deferred contract costs of $15.9 million, a decrease in deferred taxes of $10.9 million, and a $0.5 million loss on the partial extinguishment of debt. The net decrease in operating assets and liabilities for the year was primarily driven by cash outflows resulting from an increase in deferred contract costs of $13.4 million, an increase in prepaid expenses and other assets of $2.2 million, and lower accounts payable, accrued expenses, and other liabilities, collectively, of $1.1 million. These factors were partially offset by an increase in deferred revenue of $5.9 million due to the timing of billings and cash received in advance of revenue recognition for subscription services and a decrease in accounts receivable of $1.4 million.</w:t>
      </w:r>
    </w:p>
    <w:p>
      <w:pPr>
        <w:pStyle w:val="TextBody"/>
        <w:bidi w:val="0"/>
        <w:spacing w:before="240" w:after="283"/>
        <w:jc w:val="left"/>
        <w:rPr>
          <w:rFonts w:ascii="Times New Roman" w:hAnsi="Times New Roman"/>
          <w:sz w:val="20"/>
        </w:rPr>
      </w:pPr>
      <w:r>
        <w:rPr>
          <w:rFonts w:ascii="Times New Roman" w:hAnsi="Times New Roman"/>
          <w:i/>
          <w:color w:val="000000"/>
          <w:sz w:val="20"/>
        </w:rPr>
        <w:t>Cash Flows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investing activities during the year ended December 31, 2025 was $153.9 million, driven primarily by $234.7 million in maturities of short-term investments, partially offset by $64.1 million in purchases of short-term investments, and $16.7 million in purchases of property (including software), equipment, and data assets.</w:t>
      </w:r>
    </w:p>
    <w:p>
      <w:pPr>
        <w:pStyle w:val="TextBody"/>
        <w:bidi w:val="0"/>
        <w:spacing w:before="24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year ended December 31, 2025 was $150.8 million, driven by net repayments of the 2021 Term Loan (as defined below) of $77.8 million, payments of $49.5 million for repurchases of our Class A common stock, including commissions, payments of $13.8 million under the TRA, taxes paid related to the net share settlement of equity awards of $4.9 million, distributions to members of $3.1 million, and payments of debt issuance costs of $1.7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Debt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December 31, 2025, the Pledged Assets of these subsidiaries approximated $626.8 million, and the net assets of these subsidiaries approximated $312.8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outstanding balance on the Revolving Credit Facility as of December 31, 2025, though we provided a standby letter of credit of $0.3 million to the lessor of our corporate headquarters in lieu of a security deposit, reducing the amount available under our Revolving Credit Facility to $49.7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2021 Credit Agreement, as amended, includes certain financial covenants for which we were compliant as of December 31, 2025 and 2024. Refer to Note 11. </w:t>
      </w:r>
      <w:r>
        <w:rPr>
          <w:rFonts w:ascii="Times New Roman" w:hAnsi="Times New Roman"/>
          <w:i/>
          <w:color w:val="000000"/>
          <w:sz w:val="20"/>
        </w:rPr>
        <w:t>Long-Term Debt</w:t>
      </w:r>
      <w:r>
        <w:rPr>
          <w:rFonts w:ascii="Times New Roman" w:hAnsi="Times New Roman"/>
          <w:color w:val="000000"/>
          <w:sz w:val="20"/>
        </w:rPr>
        <w:t xml:space="preserve"> to our accompanying consolidated financial statements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we repaid $77.8 million of outstanding principal amount of the Term Facility and reduced our borrowing capacity under the Revolving Credit Facility by $25.0 million. As a result, we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our Revolving Credit Facility. In addition, we capitalized financing costs totaling $1.7 million, of which $1.2 million related to the Term Facility and $0.5 million related to the Revolving Credit Facility.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Credit Facility are recorded in other assets in the consolidated balance sheets and are amortized over the life of the arrangement. At December 31, 2025 and 2024, the unamortized financing costs were $0.5 million and $0.3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our term loan (as detailed above in “Debt Obligations”), lease payments, and purchase obligations. The leases relate to office facilities and expire at various times through 2029. The lease obligations include $3.0 million to be paid in 2026 and $5.3 million thereafter. Refer to Note 5. </w:t>
      </w:r>
      <w:r>
        <w:rPr>
          <w:rFonts w:ascii="Times New Roman" w:hAnsi="Times New Roman"/>
          <w:i/>
          <w:color w:val="000000"/>
          <w:sz w:val="20"/>
        </w:rPr>
        <w:t xml:space="preserve">Leases </w:t>
      </w:r>
      <w:r>
        <w:rPr>
          <w:rFonts w:ascii="Times New Roman" w:hAnsi="Times New Roman"/>
          <w:color w:val="000000"/>
          <w:sz w:val="20"/>
        </w:rPr>
        <w:t xml:space="preserve">to our accompanying consolidated financial statements for further information. Estimated purchase commitments, which currently run through 2028, are $16.0 million in 2026 and $16.0 million thereafter. Refer to Note 15. </w:t>
      </w:r>
      <w:r>
        <w:rPr>
          <w:rFonts w:ascii="Times New Roman" w:hAnsi="Times New Roman"/>
          <w:i/>
          <w:color w:val="000000"/>
          <w:sz w:val="20"/>
        </w:rPr>
        <w:t>Commitments and Contingencies</w:t>
      </w:r>
      <w:r>
        <w:rPr>
          <w:rFonts w:ascii="Times New Roman" w:hAnsi="Times New Roman"/>
          <w:color w:val="000000"/>
          <w:sz w:val="20"/>
        </w:rPr>
        <w:t xml:space="preserve"> to our accompanying consolidated financial statements for further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our Board authorized a stock repurchase program of up to $20.0 million of our Class A common stock, which expired on December 31, 2024 (the “2024 Repurchase Program”). In November 2024, our Board announced a new stock repurchase program (the “2025 Repurchase Program” and, together with the 2024 Repurchase Program, the “Repurchase Programs”) of our Class A common stock authorizing up to $100.0 million in share repurchases. The 2025 Repurchase Program, which became effective upon the expiration or completion of the 2024 Repurchase Program, expired on December 31, 2025. As of December 31, 2025 and 2024, 13,880,866 shares and 4,780,799 shares, respectively, of our Class A common stock have been repurchased under the Repurchase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20. </w:t>
      </w:r>
      <w:r>
        <w:rPr>
          <w:rFonts w:ascii="Times New Roman" w:hAnsi="Times New Roman"/>
          <w:i/>
          <w:color w:val="000000"/>
          <w:sz w:val="20"/>
        </w:rPr>
        <w:t>Income Taxes</w:t>
      </w:r>
      <w:r>
        <w:rPr>
          <w:rFonts w:ascii="Times New Roman" w:hAnsi="Times New Roman"/>
          <w:color w:val="000000"/>
          <w:sz w:val="20"/>
        </w:rPr>
        <w:t xml:space="preserve"> to our accompanying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increased by $4.4 million to $16.7 million for the year ended December 31, 2025 compared to $12.3 million for the same period in the prior year, primarily driven by higher spend on software, using both internal and third-party resources, and data assets in the current year compared with the comparable prior year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requirement of our lease agreement for our corporate headquarters, in lieu of a security deposit, we provided a standby letter of credit of $0.6 million, which is effective through March 2038.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While our significant accounting policies are discussed more fully in Note 2. </w:t>
      </w:r>
      <w:r>
        <w:rPr>
          <w:rFonts w:ascii="Times New Roman" w:hAnsi="Times New Roman"/>
          <w:i/>
          <w:color w:val="000000"/>
          <w:sz w:val="20"/>
        </w:rPr>
        <w:t xml:space="preserve">Summary of Significant Accounting Policies </w:t>
      </w:r>
      <w:r>
        <w:rPr>
          <w:rFonts w:ascii="Times New Roman" w:hAnsi="Times New Roman"/>
          <w:color w:val="000000"/>
          <w:sz w:val="20"/>
        </w:rPr>
        <w:t>to our accompanying consolidated financial statements,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our revenue primarily from subscription license fees charged for access to our database platform, and professional services. The customer arrangements include a promise to allow customers to access a subscription license to the database platform which is hosted by us over the contract period, without allowing the customer to take possession of the subscription license or transfer hosting to a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We recognize revenue in accordance with ASC 606–</w:t>
      </w:r>
      <w:r>
        <w:rPr>
          <w:rFonts w:ascii="Times New Roman" w:hAnsi="Times New Roman"/>
          <w:i/>
          <w:color w:val="000000"/>
          <w:sz w:val="20"/>
        </w:rPr>
        <w:t>Revenue from Contracts with Customers</w:t>
      </w:r>
      <w:r>
        <w:rPr>
          <w:rFonts w:ascii="Times New Roman" w:hAnsi="Times New Roman"/>
          <w:color w:val="000000"/>
          <w:sz w:val="20"/>
        </w:rPr>
        <w:t xml:space="preserve">, which provides a five-step model for recognizing revenue from contracts with customers. Revenue is recognized upon transfer of control of promised services to customers in an amount that reflects the consideration we expect to receive in exchange for those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revenue related to non-hosted subscription license arrangements where customers can purchase a specified quantity of data based on their selection criteria and data layout, each data record is a distinct performance obligation, satisfied on delivery. If we promise to update the initial data set at specified intervals, each update is a performance obligation, which we satisfy when the updated data is delivered.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enter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a contract contains multiple performance obligations, the contract transaction price is allocated on a relative standalone selling price (“SSP”) basis to each performance obligation. We typically determine SSP based on observable selling prices of our products and services. In instances where SSP is not directly observable, SSP is determined using information that may include market conditions and other observable inputs, or by using the residual approach.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an arrangement when it has approval and commitment from both parties, the rights are identified, the contract has commercial substance, and collectability of consideration is probable. We generally obtain written purchase contracts from our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we have determined that in such cases, a significant financing component generally does not exist. We have elected the practical expedient that permits an entity not to recognize a significant financing component if the time between the transfer of a good or service and payment is one year or less. Payment terms on invoiced amounts are typically 30 days. We do not offer rights of return for our products and services in the normal course of business, and contracts generally do not include customer acceptance clauses.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We estimate the amount of variable consideration at the expected value based on our assessment of legal enforceability, anticipated performance, and a review of specific transactions, historical experience, and market and economic conditions. We historically have not experienced any significant incidents that affected the defined levels of reliability and performance as required by the contracts.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economically hedge certain of its risk, even though hedge accounting does not apply or we elect not to apply hedge accounting. We measure the credit risk of our derivative financial instruments that are subject to master netting agreements on a net basis by counterparty portfolio.</w:t>
      </w:r>
    </w:p>
    <w:p>
      <w:pPr>
        <w:pStyle w:val="TextBody"/>
        <w:bidi w:val="0"/>
        <w:spacing w:before="240" w:after="283"/>
        <w:jc w:val="left"/>
        <w:rPr>
          <w:rFonts w:ascii="Times New Roman" w:hAnsi="Times New Roman"/>
          <w:sz w:val="20"/>
        </w:rPr>
      </w:pPr>
      <w:r>
        <w:rPr>
          <w:rFonts w:ascii="Times New Roman" w:hAnsi="Times New Roman"/>
          <w:b/>
          <w:i/>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reporting unit is an operating segment or a component of an operating segment. We first assess qualitative and quantitative factors to evaluate whether it is more likely than not that the fair value of a reporting unit is less than the carrying amount, or we may elect to bypass such assessment. If it is determined that it is more likely than not that the fair value of the reporting unit is less than its carrying value, or if we elect to bypass the qualitative assessment, our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our market capitalization plus an appropriate control premium. Market capitalization is determined by multiplying the number of shares of Class A common stock outstanding by the market price of our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We perform our annual impairment assessment in the first month of the fourth quarter of each calendar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Definite-lived intangible assets are amortized over their estimated useful lives, which represent the period over which we expect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 </w:t>
      </w:r>
    </w:p>
    <w:tbl>
      <w:tblPr>
        <w:tblW w:w="3767" w:type="dxa"/>
        <w:jc w:val="left"/>
        <w:tblInd w:w="0" w:type="dxa"/>
        <w:tblLayout w:type="fixed"/>
        <w:tblCellMar>
          <w:top w:w="28" w:type="dxa"/>
          <w:left w:w="28" w:type="dxa"/>
          <w:bottom w:w="28" w:type="dxa"/>
          <w:right w:w="28" w:type="dxa"/>
        </w:tblCellMar>
      </w:tblPr>
      <w:tblGrid>
        <w:gridCol w:w="2296"/>
        <w:gridCol w:w="1471"/>
      </w:tblGrid>
      <w:tr>
        <w:trPr/>
        <w:tc>
          <w:tcPr>
            <w:tcW w:w="229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Customer relationships</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14 – 20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Technology</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6 – 8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Tradenames / trademark</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 19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Data</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the past three years,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$196.1 million, $688.9 million, and $287.4 million during the years ended December 31, 2025, 2024, and 2023, respectively. The goodwill impairment charges did not affect our liquidity or the financial covenants in our outstanding debt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will continue to monitor for potential impairment should impairment indicators arise. Refer to Note 10. </w:t>
      </w:r>
      <w:r>
        <w:rPr>
          <w:rFonts w:ascii="Times New Roman" w:hAnsi="Times New Roman"/>
          <w:i/>
          <w:color w:val="000000"/>
          <w:sz w:val="20"/>
        </w:rPr>
        <w:t>Goodwill and Intangible Assets</w:t>
      </w:r>
      <w:r>
        <w:rPr>
          <w:rFonts w:ascii="Times New Roman" w:hAnsi="Times New Roman"/>
          <w:color w:val="000000"/>
          <w:sz w:val="20"/>
        </w:rPr>
        <w:t xml:space="preserve"> to our accompanying consolidated financial statements for further details.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OpCo is taxed as a partnership. For federal and state income tax purposes, income, losses, and other tax attributes not generated by Definitive OpCo’s incorporated subsidiary, Analytical Wizards, Inc. (“AW”) and its wholly owned U.S. and foreign subsidiaries generally pass through to the Definitive OpCo members’ individual income tax returns. Additionally, Definitive OpCo may be subject to certain taxes on behalf of its members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 and its wholly-owned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TRA, which we expect to be significant. We anticipate that we will account for the income tax effects and corresponding TRA’s effects resulting from future redemptions or exchanges of LLC Units by recognizing an increase in Definitive Healthcare Corp.’s deferred tax assets, based on enacted tax rates at the date of the purchase or exchange. </w:t>
      </w:r>
    </w:p>
    <w:p>
      <w:pPr>
        <w:pStyle w:val="TextBody"/>
        <w:bidi w:val="0"/>
        <w:spacing w:before="120" w:after="283"/>
        <w:jc w:val="left"/>
        <w:rPr>
          <w:rFonts w:ascii="Times New Roman" w:hAnsi="Times New Roman"/>
          <w:sz w:val="20"/>
        </w:rPr>
      </w:pPr>
      <w:r>
        <w:rPr>
          <w:rFonts w:ascii="Times New Roman" w:hAnsi="Times New Roman"/>
          <w:color w:val="000000"/>
          <w:sz w:val="20"/>
        </w:rPr>
        <w:t>Further, we account for amounts payable under the TRA in accordance with ASC 450—</w:t>
      </w:r>
      <w:r>
        <w:rPr>
          <w:rFonts w:ascii="Times New Roman" w:hAnsi="Times New Roman"/>
          <w:i/>
          <w:color w:val="000000"/>
          <w:sz w:val="20"/>
        </w:rPr>
        <w:t>Contingencies</w:t>
      </w:r>
      <w:r>
        <w:rPr>
          <w:rFonts w:ascii="Times New Roman" w:hAnsi="Times New Roman"/>
          <w:color w:val="000000"/>
          <w:sz w:val="20"/>
        </w:rPr>
        <w:t xml:space="preserve">. The amounts to be recorded for both the deferred tax assets and the liability for our obligations under the TRA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 </w:t>
      </w:r>
    </w:p>
    <w:p>
      <w:pPr>
        <w:pStyle w:val="TextBody"/>
        <w:bidi w:val="0"/>
        <w:spacing w:before="120" w:after="283"/>
        <w:jc w:val="left"/>
        <w:rPr>
          <w:rFonts w:ascii="Times New Roman" w:hAnsi="Times New Roman"/>
          <w:sz w:val="20"/>
        </w:rPr>
      </w:pPr>
      <w:r>
        <w:rPr>
          <w:rFonts w:ascii="Times New Roman" w:hAnsi="Times New Roman"/>
          <w:color w:val="000000"/>
          <w:sz w:val="20"/>
        </w:rPr>
        <w:t>Under the provisions of ASC 740—</w:t>
      </w:r>
      <w:r>
        <w:rPr>
          <w:rFonts w:ascii="Times New Roman" w:hAnsi="Times New Roman"/>
          <w:i/>
          <w:color w:val="000000"/>
          <w:sz w:val="20"/>
        </w:rPr>
        <w:t>Income Taxes</w:t>
      </w:r>
      <w:r>
        <w:rPr>
          <w:rFonts w:ascii="Times New Roman" w:hAnsi="Times New Roman"/>
          <w:color w:val="000000"/>
          <w:sz w:val="20"/>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2025, 2024, and 2023, we did not have any uncertain tax positions.</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 summary of recent accounting pronouncements applicable to our consolidated financial statements, 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accompanying consolidated financial statements included in Part II, Item 8 of this Form 10-K. </w:t>
      </w:r>
    </w:p>
    <w:p>
      <w:pPr>
        <w:pStyle w:val="TextBody"/>
        <w:bidi w:val="0"/>
        <w:spacing w:before="120" w:after="283"/>
        <w:jc w:val="left"/>
        <w:rPr>
          <w:rFonts w:ascii="Times New Roman" w:hAnsi="Times New Roman"/>
          <w:b/>
          <w:color w:val="000000"/>
          <w:sz w:val="20"/>
        </w:rPr>
      </w:pPr>
      <w:bookmarkStart w:id="17" w:name="item_7a_quant_qual_risk"/>
      <w:bookmarkEnd w:id="17"/>
      <w:r>
        <w:rPr>
          <w:rFonts w:ascii="Times New Roman" w:hAnsi="Times New Roman"/>
          <w:b/>
          <w:color w:val="000000"/>
          <w:sz w:val="20"/>
        </w:rPr>
        <w:t>Item 7A.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8_financial_statements"/>
      <w:bookmarkEnd w:id="18"/>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reports of our independent registered public accounting firm, appear beginning on page F-1 of this Annual Report for the year ended December 31, 2025.</w:t>
      </w:r>
    </w:p>
    <w:p>
      <w:pPr>
        <w:pStyle w:val="TextBody"/>
        <w:bidi w:val="0"/>
        <w:spacing w:before="360" w:after="283"/>
        <w:jc w:val="left"/>
        <w:rPr>
          <w:rFonts w:ascii="Times New Roman" w:hAnsi="Times New Roman"/>
          <w:b/>
          <w:color w:val="000000"/>
          <w:sz w:val="20"/>
        </w:rPr>
      </w:pPr>
      <w:bookmarkStart w:id="19" w:name="item_9_changes_in_and_disagreements"/>
      <w:bookmarkEnd w:id="19"/>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9a_controls_and_procedures"/>
      <w:bookmarkEnd w:id="20"/>
      <w:r>
        <w:rPr>
          <w:rFonts w:ascii="Times New Roman" w:hAnsi="Times New Roman"/>
          <w:b/>
          <w:color w:val="000000"/>
          <w:sz w:val="20"/>
        </w:rPr>
        <w:t>Item 9A.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Based on such evaluation, our Chief Executive Officer and Chief Financial Officer have concluded that our disclosure controls and procedures were effective as of December 31, 2025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Management</w:t>
      </w:r>
      <w:r>
        <w:rPr>
          <w:rFonts w:ascii="Times New Roman" w:hAnsi="Times New Roman"/>
          <w:color w:val="000000"/>
          <w:sz w:val="20"/>
        </w:rPr>
        <w:t>’</w:t>
      </w:r>
      <w:r>
        <w:rPr>
          <w:rFonts w:ascii="Times New Roman" w:hAnsi="Times New Roman"/>
          <w:b/>
          <w:i/>
          <w:color w:val="000000"/>
          <w:sz w:val="20"/>
        </w:rPr>
        <w:t>s Annual Report on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GAAP.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2025, based on the criteria set forth in Internal Control-Integrated Framework issued by the Committee of Sponsoring Organizations of the Treadway Commission (2013 framework). Based on this evaluation, management concluded that our internal control over financial reporting was effective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Deloitte &amp; Touche LLP, our independent registered public accounting firm, has audited our consolidated financial statements included in this Annual Report and issued its report, which is included herein, stating that the Company’s internal controls over financial reporting were effective as of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shareholders and the Board of Directors of Definitive Healthcare Corp.</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Definitive Healthcare Corp. and subsidiaries (the “Company”) as of December 31, 2025, based on criteria established in </w:t>
      </w:r>
      <w:r>
        <w:rPr>
          <w:rFonts w:ascii="Times New Roman" w:hAnsi="Times New Roman"/>
          <w:i/>
          <w:color w:val="000000"/>
          <w:sz w:val="20"/>
        </w:rPr>
        <w:t xml:space="preserve">Internal Control — Integrated Framework (2013) </w:t>
      </w:r>
      <w:r>
        <w:rPr>
          <w:rFonts w:ascii="Times New Roman" w:hAnsi="Times New Roman"/>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Boston, Massachusetts</w:t>
        <w:br/>
        <w:t>February 26,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item_9b_other_information"/>
      <w:bookmarkEnd w:id="21"/>
      <w:r>
        <w:rPr>
          <w:rFonts w:ascii="Times New Roman" w:hAnsi="Times New Roman"/>
          <w:b/>
          <w:color w:val="000000"/>
          <w:sz w:val="20"/>
        </w:rPr>
        <w:t>Item 9B. Other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2" w:name="item_9c_foreign_jurisdictions"/>
      <w:bookmarkEnd w:id="22"/>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part_iii"/>
      <w:bookmarkEnd w:id="23"/>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4" w:name="item_10_directors_executive_officers"/>
      <w:bookmarkEnd w:id="24"/>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system of corporate governance, our Board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pStyle w:val="TextBody"/>
        <w:bidi w:val="0"/>
        <w:spacing w:before="360" w:after="283"/>
        <w:jc w:val="left"/>
        <w:rPr>
          <w:rFonts w:ascii="Times New Roman" w:hAnsi="Times New Roman"/>
          <w:b/>
          <w:color w:val="000000"/>
          <w:sz w:val="20"/>
        </w:rPr>
      </w:pPr>
      <w:bookmarkStart w:id="25" w:name="item_11_executive_compensation"/>
      <w:bookmarkEnd w:id="25"/>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2025.</w:t>
      </w:r>
    </w:p>
    <w:p>
      <w:pPr>
        <w:pStyle w:val="TextBody"/>
        <w:bidi w:val="0"/>
        <w:spacing w:before="360" w:after="283"/>
        <w:jc w:val="left"/>
        <w:rPr>
          <w:rFonts w:ascii="Times New Roman" w:hAnsi="Times New Roman"/>
          <w:b/>
          <w:color w:val="000000"/>
          <w:sz w:val="20"/>
        </w:rPr>
      </w:pPr>
      <w:bookmarkStart w:id="26" w:name="item_12_security_ownership"/>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2025.</w:t>
      </w:r>
    </w:p>
    <w:p>
      <w:pPr>
        <w:pStyle w:val="TextBody"/>
        <w:bidi w:val="0"/>
        <w:spacing w:before="360" w:after="283"/>
        <w:jc w:val="left"/>
        <w:rPr>
          <w:rFonts w:ascii="Times New Roman" w:hAnsi="Times New Roman"/>
          <w:b/>
          <w:color w:val="000000"/>
          <w:sz w:val="20"/>
        </w:rPr>
      </w:pPr>
      <w:bookmarkStart w:id="27" w:name="item_13_certain_relationships"/>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2025.</w:t>
      </w:r>
    </w:p>
    <w:p>
      <w:pPr>
        <w:pStyle w:val="TextBody"/>
        <w:bidi w:val="0"/>
        <w:spacing w:before="360" w:after="283"/>
        <w:jc w:val="left"/>
        <w:rPr>
          <w:rFonts w:ascii="Times New Roman" w:hAnsi="Times New Roman"/>
          <w:b/>
          <w:color w:val="000000"/>
          <w:sz w:val="20"/>
        </w:rPr>
      </w:pPr>
      <w:bookmarkStart w:id="28" w:name="item_14_principal_accounting_fees"/>
      <w:bookmarkEnd w:id="28"/>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part_iv"/>
      <w:bookmarkEnd w:id="29"/>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30" w:name="item_15_exhibits_financial_statement"/>
      <w:bookmarkEnd w:id="30"/>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Index to Consolidated Financial Statements in the Financial Statements Section beginning on page F-1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as they are not required, not applicable, or the required information is included in the financial statements or notes to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Limited Liability Company Agreement of AIDH TopCo, LLC (incorporated by reference to Exhibit 3.3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Registrant’s Securities (incorporated by reference to Exhibit 4.1 to the Company’s Annual Report on Form 10-K (File No. 001-40815) filed with the SEC on March 15,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Credit Agreement, dated September 17, 2021, by and among DH Holdings and Administrative Agent, the lenders party thereto and the issuing banks from time to time party thereto (incorporated by reference to Exhibit 10.1 to the Company’s current report on Form 8-K (File No. 001-40815), filed with the SEC on September 20,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No. 1, dated October 31, 2022, to Credit Agreement, dated September 17, 2021, by and among Definitive Healthcare Holdings, LLC, AIDH Buyer, LLC, Bank of America, N.A. as Administrative Agent, the lenders party thereto and the issuing banks from time to time party thereto (incorporated by reference to Exhibit 10.5 to the Company’s Quarterly Report on Form 10-Q (File No.001-40815) filed with the SEC on November 3,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Registration Rights Agreement, dated September 14, 2021, by and among Definitive Healthcare Corp. and the Continuing Pre-IPO LLC Members (incorporated by reference to Exhibit 10.9 to the Company’s Quarterly Report on Form 10-Q (File No. 001-40815) filed with the SEC on November 8, 2021).</w:t>
              </w:r>
            </w:hyperlink>
            <w:hyperlink r:id="rId11">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Tax Receivable Agreement, dated September 14, 2021, between Definitive Healthcare Corp. and the TRA Parties (incorporated by reference to Exhibit 10.10 to the Company’s Quarterly Report on Form10-Q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Nominating Agreement, dated September 17, 2021, between the Company and Advent (incorporated by reference to Exhibit 10.11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Nominating Agreement, dated September 17, 2021 between the Company and SE VII DHC AIV, L.P. (incorporated by reference to Exhibit 10.12 to the Company’s Quarterly Report on Form10-Q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Nominating Agreement, dated September 17, 2021, between the Company and Jason Krantz (incorporated by reference to Exhibit 10.13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Reimbursement Agreement, dated September 17, 2021, between Definitive Healthcare Corp. and Jason Krantz and certain other stockholders (incorporated by reference to Exhibit 10.14 to the Company’s Quarterly Report on Form10-Q (File No. 001-40815) filed with the SEC on November 8, 2021).</w:t>
              </w:r>
            </w:hyperlink>
            <w:hyperlink r:id="rId17">
              <w:r>
                <w:rPr>
                  <w:rStyle w:val="InternetLink"/>
                  <w:rFonts w:ascii="Times New Roman" w:hAnsi="Times New Roman"/>
                  <w:color w:val="0000FF"/>
                  <w:sz w:val="20"/>
                </w:rPr>
                <w:t xml:space="preserve">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Stock and Unit Purchase Agreement, dated September 7, 2021, by and among Definitive Health Care Corp. and the parties named therein (incorporated by reference to Exhibit 10.19 to Amendment No. 2 to the Company’s Registration Statement on Form S-1 (File No. 333-258990) filed with the SEC on September 7,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Stock and Unit Purchase Agreement, dated November 10, 2021, by and among Definitive Healthcare Corp. and the parties named therein (incorporated by reference to Exhibit 10.21 to the Company’s Registration Statement on Form S-1 (File No. 333-261083) filed with the SEC on November 15,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2019 Equity Incentive Plan (incorporated by reference to Exhibit 10.1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2021 Equity Incentive Plan (incorporated by reference to Exhibit 10.12 to the Company's Annual Report on Form 10-K (File No. 001-40815) filed with the SEC on March 15, 2022.</w:t>
              </w:r>
            </w:hyperlink>
            <w:r>
              <w:rPr>
                <w:rFonts w:ascii="Times New Roman" w:hAnsi="Times New Roman"/>
                <w:color w:val="000000"/>
                <w:sz w:val="20"/>
              </w:rPr>
              <w:t xml:space="preserve">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Equity Award Agreements under 2019 Equity Incentive Plan (incorporated by reference to Exhibit 10.3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Executive Equity Award Agreements under 2021 Equity Incentive Plan (incorporated by reference to Exhibit 10.4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Executive Restricted Stock Unit Award Agreement under Definitive Healthcare Corp. 2021 Equity Incentive Plan (incorporated by reference to Exhibit 10.2 to the Company’s Current Report on Form 8-K (File No. 001-40815) filed with the SEC on November 3,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Executive Performance-Based Restricted Stock Unit Award Agreement under Definitive Healthcare Corp. 2021 Equity Incentive Plan (incorporated by reference to Exhibit 10.17 to the Company’s Annual Report on Form 10-K (File No. 001-40815) filed with the SEC on February 27,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Director Restricted Stock Unit Award Agreement under Definitive Healthcare Corp. 2021 Equity Incentive Plan (incorporated by reference to Exhibit 10.1 to the Company’s Current Report on Form 8-K (File No. 001-40815) filed with the SEC on October 3, 2022).</w:t>
              </w:r>
            </w:hyperlink>
          </w:p>
        </w:tc>
      </w:tr>
      <w:tr>
        <w:trPr/>
        <w:tc>
          <w:tcPr>
            <w:tcW w:w="58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10.19</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Executive Performance-Based Restricted Stock Unit Award Agreement under Definitive Healthcare Corp. 2021 Equity Incentive Plan (2025) (incorporated by reference to Exhibit 10.3 to the Company’s Quarterly Report on Form 10-Q (File No. 001-40815) filed with the SEC on May 8,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Definitive Healthcare Corp. Cash Incentive Plan (incorporated by reference to Exhibit 10.2 to the Company’s Current Report on Form 8-K (File No. 001-40815) filed with the SEC on February 23,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Executive Officer and Director Indemnification Agreement for Definitive Healthcare Corp. (incorporated by reference to Exhibit 10.6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2021 Employee Stock Purchase Plan (incorporated by reference to Exhibit 10.7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Executive Chairman Agreement, dated as of May 4, 2022, by and among Definitive Healthcare, LLC, Definitive Healthcare Corp. and Jason Krantz (incorporated by reference to Exhibit 10.2 to the Company’s Current Report on Form 8-K (File No. 001-40815) filed with the SEC on May 5,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Amendment to Executive Chairman Agreement and Employment Agreement of Jason Krantz, dated as of February 16, 2023 (incorporated by reference to Exhibit 10.1 to the Company’s Current Report on Form 8-K (File No. 001-40815) filed with the SEC on February 23,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Definitive Healthcare Corp. Severance Plan for Executives (incorporated by reference to Exhibit 10.1 to the Company’s Current Report on Form 8-K (File No. 001-40815) filed with the SEC on November 21,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Definitive Healthcare Corp. Change in Control Severance Plan for Executives (incorporated by reference to Exhibit 10.36 to the Company’s Annual Report on Form 10-K (File No. 001-40815) filed with the SEC on February 27,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The Amended and Restated Definitive Healthcare Corp. 2023 Inducement Plan (incorporated by reference to Exhibit 10.29 to the Company's Annual Report on Form 10-K (File No. 001-40815) filed with the SEC on February 27,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RSU Award Agreement under 2023 Inducement Plan (incorporated by reference to Exhibit 99.2 to the Company’s S-8 (File No. 333-274370) filed with the SEC on September 6,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PSU Award Agreement under 2023 Inducement Plan (incorporated by reference to Exhibit 99.3 to the Company’s S-8 (File No. 333-274370) filed with the SEC on September 6,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The Definitive Healthcare Corp. Director Compensation Plan (incorporated by reference to Exhibit 10.1 to the Company’s Quarterly Report on Form 10-Q (File No. 001-40815) filed with the SEC on August 14,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Employment Agreement, dated as of May 20, 2024, by and among Definitive Healthcare, LLC, Definitive Healthcare Corp. and Kevin Coop (incorporated by reference to Exhibit 10.1 to the Company’s Current Report on Form 8-K (File No. 001-40815) filed with the SEC on May 24, 2024).</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0"/>
        <w:gridCol w:w="146"/>
        <w:gridCol w:w="9419"/>
      </w:tblGrid>
      <w:tr>
        <w:trPr/>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9" w:type="dxa"/>
            <w:tcBorders/>
            <w:vAlign w:val="center"/>
          </w:tcPr>
          <w:p>
            <w:pPr>
              <w:pStyle w:val="TableContents"/>
              <w:bidi w:val="0"/>
              <w:spacing w:before="0" w:after="283"/>
              <w:jc w:val="left"/>
              <w:rPr>
                <w:sz w:val="4"/>
                <w:szCs w:val="4"/>
              </w:rPr>
            </w:pPr>
            <w:r>
              <w:rPr>
                <w:sz w:val="4"/>
                <w:szCs w:val="4"/>
              </w:rPr>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Executive Value Creation PSU Award Agreement under the Definitive Healthcare Corp. 2023 Inducement Plan (incorporated by reference to Exhibit 10.2 to the Company’s Current Report on Form 8-K (File No. 001-40815) filed with the SEC on May 24, 2024).</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Voting Agreement, dated November 7, 2024 (incorporated by reference to Exhibit 10.1 to the Company’s Current Report on Form 8-K (File No. 001-40815) filed with the SEC on November 7, 2024).</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Amendment No. 2, dated as of January 16, 2025, to Credit Agreement, dated September 17, 2021, by and among Definitive Healthcare Holdings, LLC, AIDH Buyer, LLC, the other loan guarantors from time to time party thereto, Bank of America, N.A., as Administrative Agent, the lenders party thereto and the issuing banks from time to time party thereto (incorporated by reference to Exhibit 10.1 to the Company’s Current Report on Form 8-K (File No. 001-40815) filed with the SEC on January 16, 2025).</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19_1.htm">
              <w:r>
                <w:rPr>
                  <w:rStyle w:val="InternetLink"/>
                  <w:rFonts w:ascii="Times New Roman" w:hAnsi="Times New Roman"/>
                  <w:color w:val="0000FF"/>
                  <w:sz w:val="20"/>
                  <w:u w:val="single"/>
                </w:rPr>
                <w:t>Definitive Healthcare Corp. Insider Trading Policy.</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21_1.htm">
              <w:r>
                <w:rPr>
                  <w:rStyle w:val="InternetLink"/>
                  <w:rFonts w:ascii="Times New Roman" w:hAnsi="Times New Roman"/>
                  <w:color w:val="0000FF"/>
                  <w:sz w:val="20"/>
                  <w:u w:val="single"/>
                </w:rPr>
                <w:t>List of subsidiaries.</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23_1.htm">
              <w:r>
                <w:rPr>
                  <w:rStyle w:val="InternetLink"/>
                  <w:rFonts w:ascii="Times New Roman" w:hAnsi="Times New Roman"/>
                  <w:color w:val="0000FF"/>
                  <w:sz w:val="20"/>
                  <w:u w:val="single"/>
                </w:rPr>
                <w:t>Consent of Deloitte &amp; Touche LLP, Independent Registered Public Accounting Firm</w:t>
              </w:r>
            </w:hyperlink>
            <w:r>
              <w:rPr>
                <w:rFonts w:ascii="Times New Roman" w:hAnsi="Times New Roman"/>
                <w:color w:val="000000"/>
                <w:sz w:val="20"/>
              </w:rPr>
              <w:t>.</w:t>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302 of the Sarbanes-Oxley Act of 2002.</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Definitive Healthcare Corp. Incentive Compensation Recoupment Policy (incorporated by reference to Exhibit 97.1 to the Company’s Annual Report on Form 10-K (File No. 001-40815) filed with the SEC on February 28, 2024).</w:t>
              </w:r>
            </w:hyperlink>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 Filed herewith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Portions of this exhibit have been omitted in accordance with Item 601(b)(10)(iv) of Regulation 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certification attached as Exhibit 32.1 that accompanies this Annual Report on Form 10-K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Management contract or compensatory plan or arrangement.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360" w:after="283"/>
        <w:jc w:val="left"/>
        <w:rPr>
          <w:rFonts w:ascii="Times New Roman" w:hAnsi="Times New Roman"/>
          <w:b/>
          <w:color w:val="000000"/>
          <w:sz w:val="20"/>
        </w:rPr>
      </w:pPr>
      <w:bookmarkStart w:id="31" w:name="item_16_form_10_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4732" w:type="dxa"/>
        <w:jc w:val="left"/>
        <w:tblInd w:w="0" w:type="dxa"/>
        <w:tblLayout w:type="fixed"/>
        <w:tblCellMar>
          <w:top w:w="28" w:type="dxa"/>
          <w:left w:w="28" w:type="dxa"/>
          <w:bottom w:w="28" w:type="dxa"/>
          <w:right w:w="28" w:type="dxa"/>
        </w:tblCellMar>
      </w:tblPr>
      <w:tblGrid>
        <w:gridCol w:w="2086"/>
        <w:gridCol w:w="109"/>
        <w:gridCol w:w="406"/>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Kevin Coop</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Coop</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whose signature appears below constitutes and appoints Kevin Coop and Richard Booth,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120" w:after="283"/>
        <w:jc w:val="left"/>
        <w:rPr>
          <w:rFonts w:ascii="Times New Roman" w:hAnsi="Times New Roman"/>
          <w:color w:val="000000"/>
          <w:sz w:val="20"/>
        </w:rPr>
      </w:pPr>
      <w:bookmarkStart w:id="33" w:name="power_of_attorney"/>
      <w:bookmarkEnd w:id="33"/>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060" w:type="dxa"/>
        <w:jc w:val="left"/>
        <w:tblInd w:w="0" w:type="dxa"/>
        <w:tblLayout w:type="fixed"/>
        <w:tblCellMar>
          <w:top w:w="28" w:type="dxa"/>
          <w:left w:w="28" w:type="dxa"/>
          <w:bottom w:w="28" w:type="dxa"/>
          <w:right w:w="28" w:type="dxa"/>
        </w:tblCellMar>
      </w:tblPr>
      <w:tblGrid>
        <w:gridCol w:w="1906"/>
        <w:gridCol w:w="146"/>
        <w:gridCol w:w="6226"/>
        <w:gridCol w:w="146"/>
        <w:gridCol w:w="163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Kevin Coop</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Kevin Coop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Casey Heller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Casey Heller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Jason Krantz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Sastry Chilukuri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Sastry Chilukuri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Chris Egan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 Egan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A. Hamood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Samuel A. Hamood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Jeff Haywood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 Haywood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Scott Stephenson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Scott Stephenson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4690" w:type="dxa"/>
        <w:jc w:val="left"/>
        <w:tblInd w:w="0" w:type="dxa"/>
        <w:tblLayout w:type="fixed"/>
        <w:tblCellMar>
          <w:top w:w="28" w:type="dxa"/>
          <w:left w:w="28" w:type="dxa"/>
          <w:bottom w:w="28" w:type="dxa"/>
          <w:right w:w="28" w:type="dxa"/>
        </w:tblCellMar>
      </w:tblPr>
      <w:tblGrid>
        <w:gridCol w:w="1996"/>
        <w:gridCol w:w="146"/>
        <w:gridCol w:w="766"/>
        <w:gridCol w:w="146"/>
        <w:gridCol w:w="163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Kathleen A. Winters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Kathleen A. Winters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Lauren Young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Lauren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5387" w:type="dxa"/>
        <w:jc w:val="left"/>
        <w:tblInd w:w="0" w:type="dxa"/>
        <w:tblLayout w:type="fixed"/>
        <w:tblCellMar>
          <w:top w:w="28" w:type="dxa"/>
          <w:left w:w="28" w:type="dxa"/>
          <w:bottom w:w="28" w:type="dxa"/>
          <w:right w:w="28" w:type="dxa"/>
        </w:tblCellMar>
      </w:tblPr>
      <w:tblGrid>
        <w:gridCol w:w="4861"/>
        <w:gridCol w:w="526"/>
      </w:tblGrid>
      <w:tr>
        <w:trPr/>
        <w:tc>
          <w:tcPr>
            <w:tcW w:w="48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accountant">
              <w:r>
                <w:rPr>
                  <w:rStyle w:val="InternetLink"/>
                  <w:rFonts w:ascii="Times New Roman" w:hAnsi="Times New Roman"/>
                  <w:color w:val="0000FF"/>
                  <w:sz w:val="20"/>
                  <w:u w:val="single"/>
                </w:rPr>
                <w:t>Report of Independent Registered Public Accounting Firm</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_">
              <w:r>
                <w:rPr>
                  <w:rStyle w:val="InternetLink"/>
                  <w:rFonts w:ascii="Times New Roman" w:hAnsi="Times New Roman"/>
                  <w:color w:val="0000FF"/>
                  <w:sz w:val="20"/>
                  <w:u w:val="single"/>
                </w:rPr>
                <w:t>Consolidated Balance Sheets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loss_income__">
              <w:r>
                <w:rPr>
                  <w:rStyle w:val="InternetLink"/>
                  <w:rFonts w:ascii="Times New Roman" w:hAnsi="Times New Roman"/>
                  <w:color w:val="0000FF"/>
                  <w:sz w:val="20"/>
                  <w:u w:val="single"/>
                </w:rPr>
                <w:t>Consolidated Statements of Operations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_income">
              <w:r>
                <w:rPr>
                  <w:rStyle w:val="InternetLink"/>
                  <w:rFonts w:ascii="Times New Roman" w:hAnsi="Times New Roman"/>
                  <w:color w:val="0000FF"/>
                  <w:sz w:val="20"/>
                  <w:u w:val="single"/>
                </w:rPr>
                <w:t>Consolidated Statements of Comprehensive Loss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in_members_equity_">
              <w:r>
                <w:rPr>
                  <w:rStyle w:val="InternetLink"/>
                  <w:rFonts w:ascii="Times New Roman" w:hAnsi="Times New Roman"/>
                  <w:color w:val="0000FF"/>
                  <w:sz w:val="20"/>
                  <w:u w:val="single"/>
                </w:rPr>
                <w:t>Consolidated Statements of Changes in Total Equity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cash_flows">
              <w:r>
                <w:rPr>
                  <w:rStyle w:val="InternetLink"/>
                  <w:rFonts w:ascii="Times New Roman" w:hAnsi="Times New Roman"/>
                  <w:color w:val="0000FF"/>
                  <w:sz w:val="20"/>
                  <w:u w:val="single"/>
                </w:rPr>
                <w:t>Consolidated Statements of Cash Flows</w:t>
              </w:r>
            </w:hyperlink>
            <w:hyperlink w:anchor="consolidated_stmt_cash_flows">
              <w:r>
                <w:rPr>
                  <w:rStyle w:val="InternetLink"/>
                  <w:rFonts w:ascii="Times New Roman" w:hAnsi="Times New Roman"/>
                  <w:color w:val="0000FF"/>
                  <w:sz w:val="20"/>
                </w:rPr>
                <w:t xml:space="preserve"> </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
              <w:r>
                <w:rPr>
                  <w:rStyle w:val="InternetLink"/>
                  <w:rFonts w:ascii="Times New Roman" w:hAnsi="Times New Roman"/>
                  <w:color w:val="0000FF"/>
                  <w:sz w:val="20"/>
                  <w:u w:val="single"/>
                </w:rPr>
                <w:t>Notes to Consolidated Financial Statements</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report_of_independent_accountant"/>
      <w:bookmarkEnd w:id="34"/>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the Board of Directors of Definitive Healthcare Corp.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Definitive Healthcare Corp. and subsidiaries (the “Company”) as of December 31, 2025 and 2024, the related consolidated statements of operations, comprehensive loss, changes in total equity, and cash flow,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26, 2026, expressed an unqualified opinion on the Company’s internal control over financial reporting.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Impairment — Refer to Notes 2 and 10 to the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the market approach required management to make a significant judgment to determine the estimated control premium. As of and during the year ended December 31, 2025, the Company recorded goodwill impairment charges of $196.1 million as it was determined that the fair value of its one reporting unit was less than its carrying value as of March 31, 2025 and December 31, 2025. As of December 31, 2025, the goodwill balance was $197.2 million.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judgments and estimates related to the estimated control premium.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procedures related to management’s judgments and estimates used in its application of the market approach model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management’s goodwill impairment evaluation, including those controls related to management’s selection of the estimated control premium.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the Company’s control premium by comparing it to data from publicly available premium studies for public company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Structure — Refer to Notes 2 and 20 to the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on December 31, 2025 was $27.2 million. Under the TRA, the Company generally will be required to pay certain pre-IPO owners 85% of the amount of cash savings, if any, related to any U.S. federal, state, or local taxes that the Company actually realizes. The payments related to the initial and subsequent exchanges are treated as additional consideration paid, which in turn increases the tax basis of the Company’s investment in the Partnership. Most of this additional tax basis is amortizable under requisite sections of the Internal Revenue Code and therefore subject to the TRA.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(v) the Company’s state tax footprint in the years in which any benefits are generated and/or realized, and (vi) the U.S. federal and state income tax rates then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the Critical Audit Matter Was Addressed in the Audit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audit procedures related to the TRA liability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tested the effectiveness of controls over management’s determination of the TRA liability, including controls over significant tax judgments and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income tax specialists, our audit procedures related to the TRA liability included evaluating and assessing the following,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appropriateness of management’s application of the accounting for the TRA liability, and the reasonableness of the methods, inputs, and assumptions used by management to determine the TRA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impact of partnership exchange transactions on the computation of the TRA liability by performing testing, on a sample basis, of exchanges, tax basis amounts and calculations related to the step-up in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appropriateness of the tax rates and tax amortization utilized in the determination of the TRA liability, by agreeing to the terms in the TRA and applicable federal and state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mathematical accuracy of the TRA liability calculation by recomputing the liability.</w:t>
      </w:r>
    </w:p>
    <w:p>
      <w:pPr>
        <w:pStyle w:val="TextBody"/>
        <w:bidi w:val="0"/>
        <w:spacing w:before="120" w:after="283"/>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br/>
        <w:t>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35" w:name="consolidated_balance_sheets_"/>
      <w:bookmarkEnd w:id="35"/>
      <w:r>
        <w:rPr>
          <w:rFonts w:ascii="Times New Roman" w:hAnsi="Times New Roman"/>
          <w:b/>
          <w:caps/>
          <w:color w:val="000000"/>
          <w:sz w:val="20"/>
        </w:rPr>
        <w:t>Consolidated Balance Sheets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87"/>
        <w:gridCol w:w="246"/>
        <w:gridCol w:w="228"/>
        <w:gridCol w:w="1006"/>
        <w:gridCol w:w="166"/>
        <w:gridCol w:w="246"/>
        <w:gridCol w:w="228"/>
        <w:gridCol w:w="1006"/>
        <w:gridCol w:w="592"/>
      </w:tblGrid>
      <w:tr>
        <w:trPr/>
        <w:tc>
          <w:tcPr>
            <w:tcW w:w="64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104,020,957 and 113,953,554 shares issued and outstanding at December 31, 2025 and 2024,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38,339,076 shares issued and outstanding at December 31, 2025, and 39,439,198 and 39,375,806 shares issued and outstanding, respectively,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fin204687_6"/>
      <w:bookmarkEnd w:id="36"/>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37" w:name="statements_of_loss_income__"/>
      <w:bookmarkEnd w:id="37"/>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amounts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888"/>
        <w:gridCol w:w="246"/>
        <w:gridCol w:w="211"/>
        <w:gridCol w:w="1141"/>
        <w:gridCol w:w="266"/>
        <w:gridCol w:w="246"/>
        <w:gridCol w:w="211"/>
        <w:gridCol w:w="1141"/>
        <w:gridCol w:w="266"/>
        <w:gridCol w:w="246"/>
        <w:gridCol w:w="211"/>
        <w:gridCol w:w="1141"/>
        <w:gridCol w:w="991"/>
      </w:tblGrid>
      <w:tr>
        <w:trPr/>
        <w:tc>
          <w:tcPr>
            <w:tcW w:w="38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 exclusive of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197,469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impairment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908,289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remeasurement of 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partial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from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(60,365</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9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stock outstanding: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106,650,845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116,640,183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fin204687_7"/>
      <w:bookmarkEnd w:id="38"/>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bookmarkStart w:id="39" w:name="comprehensive_loss_income"/>
      <w:bookmarkEnd w:id="39"/>
      <w:r>
        <w:rPr>
          <w:rFonts w:ascii="Times New Roman" w:hAnsi="Times New Roman"/>
          <w:b/>
          <w:color w:val="000000"/>
          <w:sz w:val="20"/>
        </w:rPr>
        <w:t>CONSOLIDATED STATEMENTS OF COMPREHENSIVE LOSS</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10173" w:type="dxa"/>
        <w:jc w:val="left"/>
        <w:tblInd w:w="0" w:type="dxa"/>
        <w:tblLayout w:type="fixed"/>
        <w:tblCellMar>
          <w:top w:w="28" w:type="dxa"/>
          <w:left w:w="28" w:type="dxa"/>
          <w:bottom w:w="28" w:type="dxa"/>
          <w:right w:w="28" w:type="dxa"/>
        </w:tblCellMar>
      </w:tblPr>
      <w:tblGrid>
        <w:gridCol w:w="5636"/>
        <w:gridCol w:w="146"/>
        <w:gridCol w:w="211"/>
        <w:gridCol w:w="841"/>
        <w:gridCol w:w="166"/>
        <w:gridCol w:w="146"/>
        <w:gridCol w:w="211"/>
        <w:gridCol w:w="841"/>
        <w:gridCol w:w="166"/>
        <w:gridCol w:w="146"/>
        <w:gridCol w:w="211"/>
        <w:gridCol w:w="841"/>
        <w:gridCol w:w="611"/>
      </w:tblGrid>
      <w:tr>
        <w:trPr/>
        <w:tc>
          <w:tcPr>
            <w:tcW w:w="5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bookmarkStart w:id="40" w:name="changes_in_members_equity_"/>
      <w:bookmarkEnd w:id="40"/>
      <w:r>
        <w:rPr>
          <w:rFonts w:ascii="Times New Roman" w:hAnsi="Times New Roman"/>
          <w:b/>
          <w:color w:val="000000"/>
          <w:sz w:val="20"/>
        </w:rPr>
        <w:t>CONSOLIDATED STATEMENTS OF CHANGES IN TOTAL EQUITY</w:t>
      </w:r>
    </w:p>
    <w:p>
      <w:pPr>
        <w:pStyle w:val="TextBody"/>
        <w:bidi w:val="0"/>
        <w:jc w:val="center"/>
        <w:rPr>
          <w:rFonts w:ascii="Times New Roman" w:hAnsi="Times New Roman"/>
          <w:sz w:val="20"/>
        </w:rPr>
      </w:pPr>
      <w:r>
        <w:rPr>
          <w:rFonts w:ascii="Times New Roman" w:hAnsi="Times New Roman"/>
          <w:i/>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1394" w:type="dxa"/>
        <w:jc w:val="left"/>
        <w:tblInd w:w="0" w:type="dxa"/>
        <w:tblLayout w:type="fixed"/>
        <w:tblCellMar>
          <w:top w:w="28" w:type="dxa"/>
          <w:left w:w="28" w:type="dxa"/>
          <w:bottom w:w="28" w:type="dxa"/>
          <w:right w:w="28" w:type="dxa"/>
        </w:tblCellMar>
      </w:tblPr>
      <w:tblGrid>
        <w:gridCol w:w="1171"/>
        <w:gridCol w:w="146"/>
        <w:gridCol w:w="1006"/>
        <w:gridCol w:w="166"/>
        <w:gridCol w:w="216"/>
        <w:gridCol w:w="415"/>
        <w:gridCol w:w="166"/>
        <w:gridCol w:w="146"/>
        <w:gridCol w:w="976"/>
        <w:gridCol w:w="166"/>
        <w:gridCol w:w="228"/>
        <w:gridCol w:w="403"/>
        <w:gridCol w:w="146"/>
        <w:gridCol w:w="196"/>
        <w:gridCol w:w="826"/>
        <w:gridCol w:w="166"/>
        <w:gridCol w:w="196"/>
        <w:gridCol w:w="751"/>
        <w:gridCol w:w="166"/>
        <w:gridCol w:w="279"/>
        <w:gridCol w:w="817"/>
        <w:gridCol w:w="166"/>
        <w:gridCol w:w="223"/>
        <w:gridCol w:w="858"/>
        <w:gridCol w:w="16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105,138,273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50,433,101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(10,562,033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116,562,252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1,199,174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113,953,554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39,439,198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(13,880,866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104,020,957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38,339,076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fin204687_9"/>
      <w:bookmarkEnd w:id="41"/>
      <w:r>
        <w:rPr>
          <w:rFonts w:ascii="Times New Roman" w:hAnsi="Times New Roman"/>
          <w:b/>
          <w:caps/>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2" w:name="consolidated_stmt_cash_flows"/>
      <w:bookmarkEnd w:id="42"/>
      <w:r>
        <w:rPr>
          <w:rFonts w:ascii="Times New Roman" w:hAnsi="Times New Roman"/>
          <w:b/>
          <w:color w:val="000000"/>
          <w:sz w:val="20"/>
        </w:rPr>
        <w:t>CONSOLIDATED STATEME</w:t>
      </w:r>
      <w:bookmarkStart w:id="43" w:name="consolidated_stmt_of_cash_flows_"/>
      <w:bookmarkEnd w:id="43"/>
      <w:r>
        <w:rPr>
          <w:rFonts w:ascii="Times New Roman" w:hAnsi="Times New Roman"/>
          <w:b/>
          <w:color w:val="000000"/>
          <w:sz w:val="20"/>
        </w:rPr>
        <w:t>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4683"/>
        <w:gridCol w:w="946"/>
        <w:gridCol w:w="196"/>
        <w:gridCol w:w="751"/>
        <w:gridCol w:w="166"/>
        <w:gridCol w:w="146"/>
        <w:gridCol w:w="196"/>
        <w:gridCol w:w="751"/>
        <w:gridCol w:w="266"/>
        <w:gridCol w:w="246"/>
        <w:gridCol w:w="196"/>
        <w:gridCol w:w="751"/>
        <w:gridCol w:w="911"/>
      </w:tblGrid>
      <w:tr>
        <w:trPr/>
        <w:tc>
          <w:tcPr>
            <w:tcW w:w="468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(289,627</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49,797</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Write-off of deferred offering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(Recovery of) provision for bad debt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Loss on partial extinguishment of debt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Non-cash restructuring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Goodwill impairment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Tax Receivable Agreement remeasurement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Changes in fair value of contingent consideration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Prepaid expenses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Contingent consideration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(6,580</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41,190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Purchases of property, equipment, and data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Purchases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(304,304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(259,208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Maturities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275,426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paid for acquisitions and investments, net of cash acquired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(31,782</w:t>
            </w:r>
          </w:p>
        </w:tc>
        <w:tc>
          <w:tcPr>
            <w:tcW w:w="9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(used in)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Repayments of term loans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Proceeds from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Repurchases of Class A common stock</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of contingent consideration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under Tax Receivable Agreement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of equity offering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Member distributions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(12,282</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(25,584</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146,934</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and cash equivalents, end of year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CASH FLOWS (CONTINUED)</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73"/>
        <w:gridCol w:w="646"/>
        <w:gridCol w:w="196"/>
        <w:gridCol w:w="601"/>
        <w:gridCol w:w="146"/>
        <w:gridCol w:w="146"/>
        <w:gridCol w:w="196"/>
        <w:gridCol w:w="601"/>
        <w:gridCol w:w="246"/>
        <w:gridCol w:w="246"/>
        <w:gridCol w:w="196"/>
        <w:gridCol w:w="601"/>
        <w:gridCol w:w="1011"/>
      </w:tblGrid>
      <w:tr>
        <w:trPr/>
        <w:tc>
          <w:tcPr>
            <w:tcW w:w="537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Supplemental cash flow disclosures: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paid during the year for: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Income taxes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Acquisitions: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7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assets acquired, net of cash acquired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Working capital adjustment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Contingent consideration</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paid for acquisitions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 expenditures included in accounts payable and accrued expenses and other liabilities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fin204687_10"/>
      <w:bookmarkEnd w:id="44"/>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45" w:name="notes_consolidated_financial_"/>
      <w:bookmarkEnd w:id="45"/>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Definitive Healthcare Corp. was formed as a Delaware corporation for the purposes of facilitating an initial public offering (“IPO”) and other related transactions in order to carry on the business of Definitive OpCo. Following consummation of the Reorganization Transactions, Definitive OpCo became a subsidiary of Definitive Healthcare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Framingham, Massachusetts.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Reorganization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its IPO in September 2021,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Definitive Healthcare Corp entered into a tax receivable agreement (“TRA”). See Note 20.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consolidated subsidiaries. All significant intercompany accounts and transactions have been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 in the Preparation of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reporting unit valuations used in impairment testing, and income taxes.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recognizes revenue in accordance with ASC 606–</w:t>
      </w:r>
      <w:r>
        <w:rPr>
          <w:rFonts w:ascii="Times New Roman" w:hAnsi="Times New Roman"/>
          <w:i/>
          <w:color w:val="000000"/>
          <w:sz w:val="20"/>
        </w:rPr>
        <w:t>Revenue from Contracts with Customers</w:t>
      </w:r>
      <w:r>
        <w:rPr>
          <w:rFonts w:ascii="Times New Roman" w:hAnsi="Times New Roman"/>
          <w:color w:val="000000"/>
          <w:sz w:val="20"/>
        </w:rPr>
        <w:t xml:space="preserve">, which provides a five-step model for recognizing revenue from contracts with customers. Revenue is recognized upon transfer of control of promised services to customers in an amount that reflects the consideration the Company expects to receive in exchange for those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revenue related to non-hosted subscription license arrangements where customers can purchase a specified quantity of data based on their selection criteria and data layout, each data record is considered a distinct performance obligation, satisfied on delivery. If the Company promises to update the initial data set at specified intervals, each update is a performance obligation, which the Company satisfies when the updated data is delivered.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enters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Observable inputs that reflect unadjusted quoted prices in active markets for identical assets or liabilities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 Other inputs that are directly or indirectly observable in the marketplace </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highly liquid investments with an original maturity of three months or less to be cash and cash equivalents. Cash also includes cash advances and prefunded balances provided to third-party payment processors that are used to settle vendor transactions. These amounts are typically held for short periods and are available for settlement or withdrawal on demand or within a short contractual timeframe, generally not exceeding three business days. Accordingly, management considers these balances to be readily convertible to known amounts of cash and subject to insignificant risk of changes in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Concentrations of credit risk with respect to trade account receivables are limited due to the large number of customers comprising the Company’s customer base. No single customer accounted for more than 10% of total net sales in 2025, 2024 or 2023. The Company has a receivable for more than 10% of net receivables as of December 31, 2025. No single customer accounted for more than 10% of total net receivables in fiscal year 2024.</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Net and Contract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net are stated at the amount management expects to collect from outstanding balances. Allowances for estimated credit losses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2025 and 2024, the allowance for estimated credit losses was $1.4 million and $2.1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2025, 2024 or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net of accumulated depreciation and amortization. The assets are depreciated on a straight-line basis over the estimated useful lives as follows: </w:t>
      </w:r>
    </w:p>
    <w:tbl>
      <w:tblPr>
        <w:tblW w:w="5387" w:type="dxa"/>
        <w:jc w:val="left"/>
        <w:tblInd w:w="0" w:type="dxa"/>
        <w:tblLayout w:type="fixed"/>
        <w:tblCellMar>
          <w:top w:w="28" w:type="dxa"/>
          <w:left w:w="28" w:type="dxa"/>
          <w:bottom w:w="28" w:type="dxa"/>
          <w:right w:w="28" w:type="dxa"/>
        </w:tblCellMar>
      </w:tblPr>
      <w:tblGrid>
        <w:gridCol w:w="2401"/>
        <w:gridCol w:w="2986"/>
      </w:tblGrid>
      <w:tr>
        <w:trPr/>
        <w:tc>
          <w:tcPr>
            <w:tcW w:w="240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Furniture and equipment</w:t>
            </w:r>
          </w:p>
        </w:tc>
        <w:tc>
          <w:tcPr>
            <w:tcW w:w="2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years</w:t>
            </w:r>
          </w:p>
        </w:tc>
      </w:tr>
      <w:tr>
        <w:trPr/>
        <w:tc>
          <w:tcPr>
            <w:tcW w:w="24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Computers and software</w:t>
            </w:r>
          </w:p>
        </w:tc>
        <w:tc>
          <w:tcPr>
            <w:tcW w:w="2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3-5 years</w:t>
            </w:r>
          </w:p>
        </w:tc>
      </w:tr>
      <w:tr>
        <w:trPr/>
        <w:tc>
          <w:tcPr>
            <w:tcW w:w="24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Leasehold improvements</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the asset life or lease term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and Promotional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expenses advertising costs as incurred in accordance with ASC 720—</w:t>
      </w:r>
      <w:r>
        <w:rPr>
          <w:rFonts w:ascii="Times New Roman" w:hAnsi="Times New Roman"/>
          <w:i/>
          <w:color w:val="000000"/>
          <w:sz w:val="20"/>
        </w:rPr>
        <w:t>Other Expenses – Advertising Cost</w:t>
      </w:r>
      <w:r>
        <w:rPr>
          <w:rFonts w:ascii="Times New Roman" w:hAnsi="Times New Roman"/>
          <w:color w:val="000000"/>
          <w:sz w:val="20"/>
        </w:rPr>
        <w:t xml:space="preserve">. Advertising expenses of $2.1 million, $1.9 million, and $1.6 million for the years ended December 31, 2025, 2024, and 2023, respectively, are included in sales and marketing expenses on the consolidated statements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Software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accounts for its software development costs in accordance with the guidance set forth in ASC 350-40—</w:t>
      </w:r>
      <w:r>
        <w:rPr>
          <w:rFonts w:ascii="Times New Roman" w:hAnsi="Times New Roman"/>
          <w:i/>
          <w:color w:val="000000"/>
          <w:sz w:val="20"/>
        </w:rPr>
        <w:t>Intangibles – Goodwill and Other – Internal Use Software.</w:t>
      </w:r>
      <w:r>
        <w:rPr>
          <w:rFonts w:ascii="Times New Roman" w:hAnsi="Times New Roman"/>
          <w:color w:val="000000"/>
          <w:sz w:val="20"/>
        </w:rPr>
        <w:t xml:space="preserve"> The Company capitalizes costs to develop software for internal use incurred during the application development stage. Costs related to preliminary project activities and post implementation activities are expensed as incurred. Capitalized costs of $9.1 million and $2.3 million as of December 31, 2025 and 2024, respectively, are included in property and equipment, net.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business combinations using the acquisition method in accordance with ASC 805, Business Combinations.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the Company’s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 </w:t>
      </w:r>
    </w:p>
    <w:tbl>
      <w:tblPr>
        <w:tblW w:w="3767" w:type="dxa"/>
        <w:jc w:val="left"/>
        <w:tblInd w:w="0" w:type="dxa"/>
        <w:tblLayout w:type="fixed"/>
        <w:tblCellMar>
          <w:top w:w="28" w:type="dxa"/>
          <w:left w:w="28" w:type="dxa"/>
          <w:bottom w:w="28" w:type="dxa"/>
          <w:right w:w="28" w:type="dxa"/>
        </w:tblCellMar>
      </w:tblPr>
      <w:tblGrid>
        <w:gridCol w:w="2296"/>
        <w:gridCol w:w="1471"/>
      </w:tblGrid>
      <w:tr>
        <w:trPr/>
        <w:tc>
          <w:tcPr>
            <w:tcW w:w="229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Customer relationships</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14 – 20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Technology</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6 – 8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Tradenames / trademark</w:t>
            </w:r>
          </w:p>
        </w:tc>
        <w:tc>
          <w:tcPr>
            <w:tcW w:w="14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 19 years</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Data</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the past three years, the Company has experienced declines in its market capitalization as a result of sustained decreases in its stock price, which represented triggering events requiring the Company’s management to perform quantitative goodwill impairment tests. As a result of each impairment test, the Company determined that the fair value of its single reporting unit was lower than its carrying value and, accordingly, recorded non-cash, pre-tax, goodwill impairment charges of $196.1 million, $688.9 million, and $287.4 million during the years ended December 31, 2025, 2024, and 2023, respectively. The goodwill impairment charges did not affect the Company’s liquidity or the financial covenants in our outstanding debt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will continue to monitor for potential impairment should impairment indicators arise. Refer to Note 10. </w:t>
      </w:r>
      <w:r>
        <w:rPr>
          <w:rFonts w:ascii="Times New Roman" w:hAnsi="Times New Roman"/>
          <w:i/>
          <w:color w:val="000000"/>
          <w:sz w:val="20"/>
        </w:rPr>
        <w:t>Goodwill and Intangible Assets</w:t>
      </w:r>
      <w:r>
        <w:rPr>
          <w:rFonts w:ascii="Times New Roman" w:hAnsi="Times New Roman"/>
          <w:color w:val="000000"/>
          <w:sz w:val="20"/>
        </w:rPr>
        <w:t xml:space="preserve">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2025 and 2024, the Company had $1.4 million and $0.9 million, respectively, of unamortized deferred financing costs related to its non-revolving credit facilities, and $0.5 million and $0.3 million, respectively, of unamortized deferred financing costs related to its revolving credit facility.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Tax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revenues are subject to local sales taxes in certain states.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OpCo is taxed as a partnership. For federal and state income tax purposes, income, losses, and other tax attributes not generated by Definitive OpCo’s incorporated subsidiary, Analytical Wizards, Inc. (“AW”) and its wholly owned U.S. and foreign subsidiaries generally pass through to the Definitive OpCo members’ individual income tax returns. Additionally, Definitive OpCo may be subject to certain taxes on behalf of its members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 and its wholly 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TRA, which the Company expects could be significant. The Company anticipates that it will account for the income tax effects and corresponding TRA’s effects resulting from future redemptions or exchanges of LLC Units by recognizing an increase in Definitive Healthcare Corp.’s deferred tax assets, based on enacted tax rates at the date of the purchase or exchange.</w:t>
      </w:r>
    </w:p>
    <w:p>
      <w:pPr>
        <w:pStyle w:val="TextBody"/>
        <w:bidi w:val="0"/>
        <w:spacing w:before="120" w:after="283"/>
        <w:jc w:val="left"/>
        <w:rPr>
          <w:rFonts w:ascii="Times New Roman" w:hAnsi="Times New Roman"/>
          <w:sz w:val="20"/>
        </w:rPr>
      </w:pPr>
      <w:r>
        <w:rPr>
          <w:rFonts w:ascii="Times New Roman" w:hAnsi="Times New Roman"/>
          <w:color w:val="000000"/>
          <w:sz w:val="20"/>
        </w:rPr>
        <w:t>Further, the Company accounts for amounts payable under the TRA in accordance with ASC 450—</w:t>
      </w:r>
      <w:r>
        <w:rPr>
          <w:rFonts w:ascii="Times New Roman" w:hAnsi="Times New Roman"/>
          <w:i/>
          <w:color w:val="000000"/>
          <w:sz w:val="20"/>
        </w:rPr>
        <w:t>Contingencies</w:t>
      </w:r>
      <w:r>
        <w:rPr>
          <w:rFonts w:ascii="Times New Roman" w:hAnsi="Times New Roman"/>
          <w:color w:val="000000"/>
          <w:sz w:val="20"/>
        </w:rPr>
        <w:t xml:space="preserve">. The amounts to be recorded for both the deferred tax assets and the liability for the Company’s obligations under the TRA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pStyle w:val="TextBody"/>
        <w:bidi w:val="0"/>
        <w:spacing w:before="120" w:after="283"/>
        <w:jc w:val="left"/>
        <w:rPr>
          <w:rFonts w:ascii="Times New Roman" w:hAnsi="Times New Roman"/>
          <w:sz w:val="20"/>
        </w:rPr>
      </w:pPr>
      <w:r>
        <w:rPr>
          <w:rFonts w:ascii="Times New Roman" w:hAnsi="Times New Roman"/>
          <w:color w:val="000000"/>
          <w:sz w:val="20"/>
        </w:rPr>
        <w:t>Under the provisions of ASC 740—</w:t>
      </w:r>
      <w:r>
        <w:rPr>
          <w:rFonts w:ascii="Times New Roman" w:hAnsi="Times New Roman"/>
          <w:i/>
          <w:color w:val="000000"/>
          <w:sz w:val="20"/>
        </w:rPr>
        <w:t>Income Taxes</w:t>
      </w:r>
      <w:r>
        <w:rPr>
          <w:rFonts w:ascii="Times New Roman" w:hAnsi="Times New Roman"/>
          <w:color w:val="000000"/>
          <w:sz w:val="20"/>
        </w:rPr>
        <w:t xml:space="preserve">,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2025, 2024, and 2023, the Company did not have any uncertain tax positions.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periods presented as the inclusion of all potential shares outstanding would have been anti-dilutive. See Note 21. </w:t>
      </w:r>
      <w:r>
        <w:rPr>
          <w:rFonts w:ascii="Times New Roman" w:hAnsi="Times New Roman"/>
          <w:i/>
          <w:color w:val="000000"/>
          <w:sz w:val="20"/>
        </w:rPr>
        <w:t>Loss Per Share</w:t>
      </w:r>
      <w:r>
        <w:rPr>
          <w:rFonts w:ascii="Times New Roman" w:hAnsi="Times New Roman"/>
          <w:color w:val="000000"/>
          <w:sz w:val="20"/>
        </w:rPr>
        <w:t xml:space="preserve"> for additional information on dilutive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instruments issued in exchange for services performed by officers, employees, consultants, and directors of the Company are accounted for using a fair-value based method, and the fair value of such equity instruments is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units and shares which had performance conditions not tied to market-based criteria, the Company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equity-based compensation expense in its consolidated statements of operations in the same manner in which the award recipient’s salary and related costs are classified.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Recently Issued Financial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(“ASU 2023-09”), which intends to enhance the transparency, as well as the usefulness, of income tax disclosures, primarily related to the rate reconciliation and income taxes paid. The Company has adopted the guidance relevant to ASU 2023-09, expanding its applicable income tax disclosures. See Note 20. </w:t>
      </w:r>
      <w:r>
        <w:rPr>
          <w:rFonts w:ascii="Times New Roman" w:hAnsi="Times New Roman"/>
          <w:i/>
          <w:color w:val="000000"/>
          <w:sz w:val="20"/>
        </w:rPr>
        <w:t xml:space="preserve">Income Taxes </w:t>
      </w:r>
      <w:r>
        <w:rPr>
          <w:rFonts w:ascii="Times New Roman" w:hAnsi="Times New Roman"/>
          <w:color w:val="000000"/>
          <w:sz w:val="20"/>
        </w:rPr>
        <w:t>for further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(“ASU 2024-03”). ASU 2024-03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ASU 2024-03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if any, that adoption of this new accounting standard will have on its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Other-Internal-Use Software</w:t>
      </w:r>
      <w:r>
        <w:rPr>
          <w:rFonts w:ascii="Times New Roman" w:hAnsi="Times New Roman"/>
          <w:color w:val="000000"/>
          <w:sz w:val="20"/>
        </w:rPr>
        <w:t xml:space="preserve"> (“ASU 2025-06”). ASU 2025-06 modernizes and clarifies the threshold for when an entity is required to begin capitalizing software costs and is based on when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reporting periods, with early adoption permitted. The Company is currently assessing the impact, if any, that adoption of this new accounting standard will have on its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(Topic 815) and Revenue from Contracts with Customers (Topic 606): Derivative Scope Refinements and Scope Clarification for Share-Based Noncash Consideration from a Customer in a Revenue Contract</w:t>
      </w:r>
      <w:r>
        <w:rPr>
          <w:rFonts w:ascii="Times New Roman" w:hAnsi="Times New Roman"/>
          <w:color w:val="000000"/>
          <w:sz w:val="20"/>
        </w:rPr>
        <w:t xml:space="preserve"> (“ASU 2025-07”), which refines the scope Topic 815 and clarifies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assessing the impact, if any, that adoption of this new accounting standard will have on its consolidated financial statements and footnote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new accounting pronouncements issued or effective during the year have had, or are expected to have, a material impact on the Company’s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Carevoyance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finalized the purchase price allocations of the Carevoyance acquisition during the fourth quarter of 2024. Acquisition-date fair values of assets and liabilities pertaining to this business combination have been allocated as follows:</w:t>
      </w:r>
    </w:p>
    <w:p>
      <w:pPr>
        <w:pStyle w:val="TextBody"/>
        <w:bidi w:val="0"/>
        <w:jc w:val="left"/>
        <w:rPr/>
      </w:pPr>
      <w:r>
        <w:rPr/>
        <w:t> </w:t>
      </w:r>
    </w:p>
    <w:tbl>
      <w:tblPr>
        <w:tblW w:w="6234" w:type="dxa"/>
        <w:jc w:val="left"/>
        <w:tblInd w:w="0" w:type="dxa"/>
        <w:tblLayout w:type="fixed"/>
        <w:tblCellMar>
          <w:top w:w="28" w:type="dxa"/>
          <w:left w:w="28" w:type="dxa"/>
          <w:bottom w:w="28" w:type="dxa"/>
          <w:right w:w="28" w:type="dxa"/>
        </w:tblCellMar>
      </w:tblPr>
      <w:tblGrid>
        <w:gridCol w:w="3821"/>
        <w:gridCol w:w="946"/>
        <w:gridCol w:w="232"/>
        <w:gridCol w:w="744"/>
        <w:gridCol w:w="491"/>
      </w:tblGrid>
      <w:tr>
        <w:trPr/>
        <w:tc>
          <w:tcPr>
            <w:tcW w:w="38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single reporting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Carevoyance acquisition are estimated to be amortized over a weighted average of 6.9 years. See Note 10.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 and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 forma results of operation for this acquisition have not been presented because the effects were not material to the Company’s consolidated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Populi,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$0.1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consolidated statements of operations. The assets acquired and liabilities assumed were recorded at their estimated fair values and the results of operations were included in the Company’s consolidated results as of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transferred for the transaction is summarized as follows:</w:t>
      </w:r>
    </w:p>
    <w:p>
      <w:pPr>
        <w:pStyle w:val="TextBody"/>
        <w:bidi w:val="0"/>
        <w:jc w:val="left"/>
        <w:rPr/>
      </w:pPr>
      <w:r>
        <w:rPr/>
        <w:t> </w:t>
      </w:r>
    </w:p>
    <w:tbl>
      <w:tblPr>
        <w:tblW w:w="5150" w:type="dxa"/>
        <w:jc w:val="left"/>
        <w:tblInd w:w="0" w:type="dxa"/>
        <w:tblLayout w:type="fixed"/>
        <w:tblCellMar>
          <w:top w:w="28" w:type="dxa"/>
          <w:left w:w="28" w:type="dxa"/>
          <w:bottom w:w="28" w:type="dxa"/>
          <w:right w:w="28" w:type="dxa"/>
        </w:tblCellMar>
      </w:tblPr>
      <w:tblGrid>
        <w:gridCol w:w="3026"/>
        <w:gridCol w:w="646"/>
        <w:gridCol w:w="211"/>
        <w:gridCol w:w="676"/>
        <w:gridCol w:w="591"/>
      </w:tblGrid>
      <w:tr>
        <w:trPr/>
        <w:tc>
          <w:tcPr>
            <w:tcW w:w="30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consideration paid at closing</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Working capital adjustment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Purchase price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initially recorded in other liabilities in the consolidated balance sheets as of the acquisition date and is measured to fair value at each reporting date. Refer to Note 13. </w:t>
      </w:r>
      <w:r>
        <w:rPr>
          <w:rFonts w:ascii="Times New Roman" w:hAnsi="Times New Roman"/>
          <w:i/>
          <w:color w:val="000000"/>
          <w:sz w:val="20"/>
        </w:rPr>
        <w:t>Fair Value Measurements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finalized the purchase price allocations of the Populi acquisition during the first quarter of 2024. Acquisition-date fair values of assets and liabilities pertaining to this business combination have been allocated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1"/>
        <w:gridCol w:w="946"/>
        <w:gridCol w:w="496"/>
        <w:gridCol w:w="1601"/>
        <w:gridCol w:w="166"/>
        <w:gridCol w:w="146"/>
        <w:gridCol w:w="506"/>
        <w:gridCol w:w="1522"/>
        <w:gridCol w:w="166"/>
        <w:gridCol w:w="146"/>
        <w:gridCol w:w="220"/>
        <w:gridCol w:w="705"/>
        <w:gridCol w:w="494"/>
      </w:tblGrid>
      <w:tr>
        <w:trPr/>
        <w:tc>
          <w:tcPr>
            <w:tcW w:w="30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as originally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16,354</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single reporting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Populi acquisition are estimated to be amortized over a weighted average period of 7.2 years. See Note 10.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 and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recognized acquisition related costs of $2.3 million and $5.1 million, which were recorded within transaction, integration, and restructuring expenses in the accompanying consolidated statements of operations for the years ended December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Supplementary Data as if the transaction had occurred on January 1, 2023:</w:t>
      </w:r>
    </w:p>
    <w:p>
      <w:pPr>
        <w:pStyle w:val="TextBody"/>
        <w:bidi w:val="0"/>
        <w:jc w:val="left"/>
        <w:rPr/>
      </w:pPr>
      <w:r>
        <w:rPr/>
        <w:t> </w:t>
      </w:r>
    </w:p>
    <w:tbl>
      <w:tblPr>
        <w:tblW w:w="2983" w:type="dxa"/>
        <w:jc w:val="left"/>
        <w:tblInd w:w="0" w:type="dxa"/>
        <w:tblLayout w:type="fixed"/>
        <w:tblCellMar>
          <w:top w:w="28" w:type="dxa"/>
          <w:left w:w="28" w:type="dxa"/>
          <w:bottom w:w="28" w:type="dxa"/>
          <w:right w:w="28" w:type="dxa"/>
        </w:tblCellMar>
      </w:tblPr>
      <w:tblGrid>
        <w:gridCol w:w="1126"/>
        <w:gridCol w:w="146"/>
        <w:gridCol w:w="301"/>
        <w:gridCol w:w="1199"/>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 forma results have been prepared for comparative purposes only and do not purport to be indicative of the operating results of the Company that would have been achieved had the acquisition actually taken place on January 1, 2023.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from its arrangements with customers by type of service as it believes these categories best depict how the nature, amount, timing, and uncertainty of revenue and cash flows are affected by economic factors.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years ended December 31, 2025, 2024, and 2023. </w:t>
      </w:r>
    </w:p>
    <w:tbl>
      <w:tblPr>
        <w:tblW w:w="6343" w:type="dxa"/>
        <w:jc w:val="left"/>
        <w:tblInd w:w="0" w:type="dxa"/>
        <w:tblLayout w:type="fixed"/>
        <w:tblCellMar>
          <w:top w:w="28" w:type="dxa"/>
          <w:left w:w="28" w:type="dxa"/>
          <w:bottom w:w="28" w:type="dxa"/>
          <w:right w:w="28" w:type="dxa"/>
        </w:tblCellMar>
      </w:tblPr>
      <w:tblGrid>
        <w:gridCol w:w="1946"/>
        <w:gridCol w:w="246"/>
        <w:gridCol w:w="211"/>
        <w:gridCol w:w="781"/>
        <w:gridCol w:w="246"/>
        <w:gridCol w:w="246"/>
        <w:gridCol w:w="211"/>
        <w:gridCol w:w="781"/>
        <w:gridCol w:w="246"/>
        <w:gridCol w:w="246"/>
        <w:gridCol w:w="211"/>
        <w:gridCol w:w="781"/>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during the years ended December 31, 2025 and 2024 is presented below: </w:t>
      </w:r>
    </w:p>
    <w:tbl>
      <w:tblPr>
        <w:tblW w:w="8395" w:type="dxa"/>
        <w:jc w:val="left"/>
        <w:tblInd w:w="0" w:type="dxa"/>
        <w:tblLayout w:type="fixed"/>
        <w:tblCellMar>
          <w:top w:w="28" w:type="dxa"/>
          <w:left w:w="28" w:type="dxa"/>
          <w:bottom w:w="28" w:type="dxa"/>
          <w:right w:w="28" w:type="dxa"/>
        </w:tblCellMar>
      </w:tblPr>
      <w:tblGrid>
        <w:gridCol w:w="4436"/>
        <w:gridCol w:w="646"/>
        <w:gridCol w:w="244"/>
        <w:gridCol w:w="851"/>
        <w:gridCol w:w="266"/>
        <w:gridCol w:w="246"/>
        <w:gridCol w:w="244"/>
        <w:gridCol w:w="851"/>
        <w:gridCol w:w="611"/>
      </w:tblGrid>
      <w:tr>
        <w:trPr/>
        <w:tc>
          <w:tcPr>
            <w:tcW w:w="44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years ended December 31, 2025 and 2024 </w:t>
      </w:r>
    </w:p>
    <w:p>
      <w:pPr>
        <w:pStyle w:val="TextBody"/>
        <w:bidi w:val="0"/>
        <w:jc w:val="left"/>
        <w:rPr>
          <w:rFonts w:ascii="Times New Roman" w:hAnsi="Times New Roman"/>
          <w:color w:val="000000"/>
          <w:sz w:val="20"/>
        </w:rPr>
      </w:pPr>
      <w:r>
        <w:rPr>
          <w:rFonts w:ascii="Times New Roman" w:hAnsi="Times New Roman"/>
          <w:color w:val="000000"/>
          <w:sz w:val="20"/>
        </w:rPr>
        <w:t xml:space="preserve">is presented below as of: </w:t>
      </w:r>
    </w:p>
    <w:tbl>
      <w:tblPr>
        <w:tblW w:w="5720" w:type="dxa"/>
        <w:jc w:val="left"/>
        <w:tblInd w:w="0" w:type="dxa"/>
        <w:tblLayout w:type="fixed"/>
        <w:tblCellMar>
          <w:top w:w="28" w:type="dxa"/>
          <w:left w:w="28" w:type="dxa"/>
          <w:bottom w:w="28" w:type="dxa"/>
          <w:right w:w="28" w:type="dxa"/>
        </w:tblCellMar>
      </w:tblPr>
      <w:tblGrid>
        <w:gridCol w:w="2561"/>
        <w:gridCol w:w="246"/>
        <w:gridCol w:w="219"/>
        <w:gridCol w:w="876"/>
        <w:gridCol w:w="266"/>
        <w:gridCol w:w="246"/>
        <w:gridCol w:w="219"/>
        <w:gridCol w:w="876"/>
        <w:gridCol w:w="211"/>
      </w:tblGrid>
      <w:tr>
        <w:trPr/>
        <w:tc>
          <w:tcPr>
            <w:tcW w:w="25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as of: </w:t>
      </w:r>
    </w:p>
    <w:tbl>
      <w:tblPr>
        <w:tblW w:w="5145" w:type="dxa"/>
        <w:jc w:val="left"/>
        <w:tblInd w:w="0" w:type="dxa"/>
        <w:tblLayout w:type="fixed"/>
        <w:tblCellMar>
          <w:top w:w="28" w:type="dxa"/>
          <w:left w:w="28" w:type="dxa"/>
          <w:bottom w:w="28" w:type="dxa"/>
          <w:right w:w="28" w:type="dxa"/>
        </w:tblCellMar>
      </w:tblPr>
      <w:tblGrid>
        <w:gridCol w:w="1226"/>
        <w:gridCol w:w="646"/>
        <w:gridCol w:w="233"/>
        <w:gridCol w:w="862"/>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real estate in the form of office space facilities. Generally, the term for real estate leases ranges from 1 to 9 years at inception of the contract. Some real estate leases include options to renew that can extend the original term by 5 to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costs are allocated according to headcount to cost of revenue, sales and marketing, product development, and general and administrative expenses in the consolidated statements of operations. As of December 31, 2025, the Company does not have any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2025, the Company executed a new one-year lease agreement for its office space in India. Accordingly, the Company recorded an initial right-of-use asset (“ROU asset”) and corresponding operating lease liability of $0.2 million, which represented the present value of the expected future minimum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the Company executed a plan to exit part of its office headquarters, which was accounted for as a lease modification under ASC 842, and plans to sublease the vacant space. The Company ceased use of the office facility during the second quarter of 2024 and recorded impairment charges of $1.2 million, comprised of $0.9 million related to the ROU asset and $0.3 million related to the remaining unamortized balance of leasehold improvements associated with the exited space. During the year ended December 31, 2025, the Company recorded additional impairment charges of $0.6 million related to the ROU asset. The impairment charges were based on estimates of future income that may be collected from a sublease tenant. These impairment charges were recognized within transaction, integration, and restructuring expenses in the Company’s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2024, the Company executed a new five-year lease agreement for an office in India. Accordingly, the Company recorded an initial ROU asset and corresponding operating lease liability of $0.8 million, which represented the present value of the expected future minimum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2023, the Company executed a plan to exit one of its office facilities by exercising an early termination clause, which was accounted for as a lease modification under ASC 842. The Company ceased use of the office facility during the period and accordingly recorded a $0.2 million impairment charge, which represented the remaining carrying value of the ROU asset as of March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2023, the Company executed a new four-year lease agreement for its office in Sweden. Accordingly, the Company recorded an initial ROU asset and corresponding operating lease liability of $1.6 million, which represented the present value of the expected future minimum lease payments.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recorded the following lease costs for the years ended December 31, 2025, 2024, and 2023:</w:t>
      </w:r>
    </w:p>
    <w:tbl>
      <w:tblPr>
        <w:tblW w:w="7873" w:type="dxa"/>
        <w:jc w:val="left"/>
        <w:tblInd w:w="0" w:type="dxa"/>
        <w:tblLayout w:type="fixed"/>
        <w:tblCellMar>
          <w:top w:w="28" w:type="dxa"/>
          <w:left w:w="28" w:type="dxa"/>
          <w:bottom w:w="28" w:type="dxa"/>
          <w:right w:w="28" w:type="dxa"/>
        </w:tblCellMar>
      </w:tblPr>
      <w:tblGrid>
        <w:gridCol w:w="4106"/>
        <w:gridCol w:w="246"/>
        <w:gridCol w:w="211"/>
        <w:gridCol w:w="571"/>
        <w:gridCol w:w="246"/>
        <w:gridCol w:w="246"/>
        <w:gridCol w:w="211"/>
        <w:gridCol w:w="571"/>
        <w:gridCol w:w="246"/>
        <w:gridCol w:w="246"/>
        <w:gridCol w:w="211"/>
        <w:gridCol w:w="571"/>
        <w:gridCol w:w="191"/>
      </w:tblGrid>
      <w:tr>
        <w:trPr/>
        <w:tc>
          <w:tcPr>
            <w:tcW w:w="4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capitalized operating lease cost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and other information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6238"/>
        <w:gridCol w:w="246"/>
        <w:gridCol w:w="211"/>
        <w:gridCol w:w="571"/>
        <w:gridCol w:w="246"/>
        <w:gridCol w:w="246"/>
        <w:gridCol w:w="211"/>
        <w:gridCol w:w="571"/>
        <w:gridCol w:w="246"/>
        <w:gridCol w:w="246"/>
        <w:gridCol w:w="211"/>
        <w:gridCol w:w="571"/>
        <w:gridCol w:w="391"/>
      </w:tblGrid>
      <w:tr>
        <w:trPr/>
        <w:tc>
          <w:tcPr>
            <w:tcW w:w="62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3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measurement of lease liabilities and capitalized 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Lease term and discount rate consisted of the following as of:</w:t>
      </w:r>
    </w:p>
    <w:tbl>
      <w:tblPr>
        <w:tblW w:w="8540" w:type="dxa"/>
        <w:jc w:val="left"/>
        <w:tblInd w:w="0" w:type="dxa"/>
        <w:tblLayout w:type="fixed"/>
        <w:tblCellMar>
          <w:top w:w="28" w:type="dxa"/>
          <w:left w:w="28" w:type="dxa"/>
          <w:bottom w:w="28" w:type="dxa"/>
          <w:right w:w="28" w:type="dxa"/>
        </w:tblCellMar>
      </w:tblPr>
      <w:tblGrid>
        <w:gridCol w:w="4286"/>
        <w:gridCol w:w="246"/>
        <w:gridCol w:w="357"/>
        <w:gridCol w:w="1143"/>
        <w:gridCol w:w="371"/>
        <w:gridCol w:w="246"/>
        <w:gridCol w:w="357"/>
        <w:gridCol w:w="1143"/>
        <w:gridCol w:w="391"/>
      </w:tblGrid>
      <w:tr>
        <w:trPr/>
        <w:tc>
          <w:tcPr>
            <w:tcW w:w="4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2025.</w:t>
      </w:r>
    </w:p>
    <w:tbl>
      <w:tblPr>
        <w:tblW w:w="8138" w:type="dxa"/>
        <w:jc w:val="left"/>
        <w:tblInd w:w="0" w:type="dxa"/>
        <w:tblLayout w:type="fixed"/>
        <w:tblCellMar>
          <w:top w:w="28" w:type="dxa"/>
          <w:left w:w="28" w:type="dxa"/>
          <w:bottom w:w="28" w:type="dxa"/>
          <w:right w:w="28" w:type="dxa"/>
        </w:tblCellMar>
      </w:tblPr>
      <w:tblGrid>
        <w:gridCol w:w="5126"/>
        <w:gridCol w:w="646"/>
        <w:gridCol w:w="586"/>
        <w:gridCol w:w="1589"/>
        <w:gridCol w:w="191"/>
      </w:tblGrid>
      <w:tr>
        <w:trPr/>
        <w:tc>
          <w:tcPr>
            <w:tcW w:w="51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Operating Lease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2029</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Imputed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liability balance at December 31, 2025</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rent expense, which was allocated according to headcount to cost of revenue, sales and marketing, product development and general and administrative expenses in the consolidated statements of operations, was $2.1 million, $2.0 million, and $2.0 million for the years ended December 31, 2025,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Short-term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as of: </w:t>
      </w:r>
    </w:p>
    <w:tbl>
      <w:tblPr>
        <w:tblW w:w="10205" w:type="dxa"/>
        <w:jc w:val="left"/>
        <w:tblInd w:w="0" w:type="dxa"/>
        <w:tblLayout w:type="fixed"/>
        <w:tblCellMar>
          <w:top w:w="28" w:type="dxa"/>
          <w:left w:w="28" w:type="dxa"/>
          <w:bottom w:w="28" w:type="dxa"/>
          <w:right w:w="28" w:type="dxa"/>
        </w:tblCellMar>
      </w:tblPr>
      <w:tblGrid>
        <w:gridCol w:w="2356"/>
        <w:gridCol w:w="646"/>
        <w:gridCol w:w="278"/>
        <w:gridCol w:w="893"/>
        <w:gridCol w:w="246"/>
        <w:gridCol w:w="246"/>
        <w:gridCol w:w="649"/>
        <w:gridCol w:w="976"/>
        <w:gridCol w:w="246"/>
        <w:gridCol w:w="246"/>
        <w:gridCol w:w="623"/>
        <w:gridCol w:w="1026"/>
        <w:gridCol w:w="246"/>
        <w:gridCol w:w="246"/>
        <w:gridCol w:w="211"/>
        <w:gridCol w:w="676"/>
        <w:gridCol w:w="395"/>
      </w:tblGrid>
      <w:tr>
        <w:trPr/>
        <w:tc>
          <w:tcPr>
            <w:tcW w:w="23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632"/>
        <w:gridCol w:w="950"/>
        <w:gridCol w:w="246"/>
        <w:gridCol w:w="246"/>
        <w:gridCol w:w="575"/>
        <w:gridCol w:w="1028"/>
        <w:gridCol w:w="266"/>
        <w:gridCol w:w="246"/>
        <w:gridCol w:w="211"/>
        <w:gridCol w:w="781"/>
        <w:gridCol w:w="394"/>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127,642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December 31, 2025 and 2024 is accretion of $0.3 million and $1.6 million, respectively. Interest accretion on short-term investments was $3.1 million and $7.2 million during the years ended December 31,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consisted of the following as of: </w:t>
      </w:r>
    </w:p>
    <w:tbl>
      <w:tblPr>
        <w:tblW w:w="7155" w:type="dxa"/>
        <w:jc w:val="left"/>
        <w:tblInd w:w="0" w:type="dxa"/>
        <w:tblLayout w:type="fixed"/>
        <w:tblCellMar>
          <w:top w:w="28" w:type="dxa"/>
          <w:left w:w="28" w:type="dxa"/>
          <w:bottom w:w="28" w:type="dxa"/>
          <w:right w:w="28" w:type="dxa"/>
        </w:tblCellMar>
      </w:tblPr>
      <w:tblGrid>
        <w:gridCol w:w="3216"/>
        <w:gridCol w:w="646"/>
        <w:gridCol w:w="260"/>
        <w:gridCol w:w="835"/>
        <w:gridCol w:w="266"/>
        <w:gridCol w:w="246"/>
        <w:gridCol w:w="260"/>
        <w:gridCol w:w="835"/>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Prepaid Expenses and Other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assets consisted of the following as of: </w:t>
      </w:r>
    </w:p>
    <w:tbl>
      <w:tblPr>
        <w:tblW w:w="6055" w:type="dxa"/>
        <w:jc w:val="left"/>
        <w:tblInd w:w="0" w:type="dxa"/>
        <w:tblLayout w:type="fixed"/>
        <w:tblCellMar>
          <w:top w:w="28" w:type="dxa"/>
          <w:left w:w="28" w:type="dxa"/>
          <w:bottom w:w="28" w:type="dxa"/>
          <w:right w:w="28" w:type="dxa"/>
        </w:tblCellMar>
      </w:tblPr>
      <w:tblGrid>
        <w:gridCol w:w="2936"/>
        <w:gridCol w:w="246"/>
        <w:gridCol w:w="260"/>
        <w:gridCol w:w="835"/>
        <w:gridCol w:w="246"/>
        <w:gridCol w:w="246"/>
        <w:gridCol w:w="260"/>
        <w:gridCol w:w="835"/>
        <w:gridCol w:w="191"/>
      </w:tblGrid>
      <w:tr>
        <w:trPr/>
        <w:tc>
          <w:tcPr>
            <w:tcW w:w="29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as of: </w:t>
      </w:r>
    </w:p>
    <w:p>
      <w:pPr>
        <w:pStyle w:val="TextBody"/>
        <w:bidi w:val="0"/>
        <w:jc w:val="left"/>
        <w:rPr/>
      </w:pPr>
      <w:r>
        <w:rPr/>
        <w:t> </w:t>
      </w:r>
    </w:p>
    <w:tbl>
      <w:tblPr>
        <w:tblW w:w="8550" w:type="dxa"/>
        <w:jc w:val="left"/>
        <w:tblInd w:w="0" w:type="dxa"/>
        <w:tblLayout w:type="fixed"/>
        <w:tblCellMar>
          <w:top w:w="28" w:type="dxa"/>
          <w:left w:w="28" w:type="dxa"/>
          <w:bottom w:w="28" w:type="dxa"/>
          <w:right w:w="28" w:type="dxa"/>
        </w:tblCellMar>
      </w:tblPr>
      <w:tblGrid>
        <w:gridCol w:w="4611"/>
        <w:gridCol w:w="646"/>
        <w:gridCol w:w="260"/>
        <w:gridCol w:w="835"/>
        <w:gridCol w:w="266"/>
        <w:gridCol w:w="246"/>
        <w:gridCol w:w="260"/>
        <w:gridCol w:w="835"/>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purchased software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Internally developed software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was $3.3 million, $2.2 million and $2.0 million for the years ended December 31, 2025,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disposed of fully depreciated property and equipment of $1.4 million and $1.0 million during the years ended December 31, 2025 and 2024,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2024, the Company consolidated certain leased office space at its corporate headquarters and, as a result, recorded impairment charges of $0.3 million related to leasehold improvements during the year ended December 31, 2024. These non-cash charges were recognized within transaction, integration, and restructuring expenses in the Company’s consolidated statements of operations (see Note 5. </w:t>
      </w:r>
      <w:r>
        <w:rPr>
          <w:rFonts w:ascii="Times New Roman" w:hAnsi="Times New Roman"/>
          <w:i/>
          <w:color w:val="000000"/>
          <w:sz w:val="20"/>
        </w:rPr>
        <w:t>Leases</w:t>
      </w:r>
      <w:r>
        <w:rPr>
          <w:rFonts w:ascii="Times New Roman" w:hAnsi="Times New Roman"/>
          <w:color w:val="000000"/>
          <w:sz w:val="20"/>
        </w:rPr>
        <w:t xml:space="preserve"> for further details). The Company also recorded accelerated depreciation of furniture and fixtures of $0.1 million in connection with the office consolidation during the year ended December 31,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Goodwill and 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goodwill and intangible assets consisted of the following as of: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598,998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992,281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associated with finite-lived intangible assets was $52.8 million, $49.4 million, and $49.8 million for the years ended December 31, 2025, 2024, and 2023, respectively, of which $20.3 million, $14.0 million, and $12.7 million was included in cost of revenue for each respective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Estimated total intangible amortization expense during the next five years and thereafter is as follows: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13. </w:t>
      </w:r>
      <w:r>
        <w:rPr>
          <w:rFonts w:ascii="Times New Roman" w:hAnsi="Times New Roman"/>
          <w:i/>
          <w:color w:val="000000"/>
          <w:sz w:val="20"/>
        </w:rPr>
        <w:t>Fair Value Measurements</w:t>
      </w:r>
      <w:r>
        <w:rPr>
          <w:rFonts w:ascii="Times New Roman" w:hAnsi="Times New Roman"/>
          <w:color w:val="000000"/>
          <w:sz w:val="20"/>
        </w:rPr>
        <w:t>. The Company performs an impairment test of goodwill during the fourth quarter of each fiscal year and more frequently if indicators of potential impairment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past three years, the Company experienced declines in its market capitalization as a result of sustained decreases in the Company’s stock price, which represented triggering events requiring management to perform quantitative goodwill impairment tests. As a result of each impairment test, the Company determined that the fair value of its single reporting unit was lower than its carrying value and, accordingly, recorded non-cash, pretax, goodwill impairment charges of $196.1 million, $688.9 million, and $287.4 million during the years ended December 31, 2025, 2024, and 2023, respectively. The goodwill impairment charges did not affect the Company’s liquidity or the financial covenants in its outstanding debt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continue to monitor for potential impairment should impairment indicators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and for the periods ended December 31, 2025 and 2024, goodwill consisted of the following:</w:t>
      </w:r>
    </w:p>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3166"/>
        <w:gridCol w:w="146"/>
        <w:gridCol w:w="277"/>
        <w:gridCol w:w="1223"/>
        <w:gridCol w:w="166"/>
        <w:gridCol w:w="146"/>
        <w:gridCol w:w="277"/>
        <w:gridCol w:w="122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acquired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6750" w:type="dxa"/>
        <w:jc w:val="left"/>
        <w:tblInd w:w="0" w:type="dxa"/>
        <w:tblLayout w:type="fixed"/>
        <w:tblCellMar>
          <w:top w:w="28" w:type="dxa"/>
          <w:left w:w="28" w:type="dxa"/>
          <w:bottom w:w="28" w:type="dxa"/>
          <w:right w:w="28" w:type="dxa"/>
        </w:tblCellMar>
      </w:tblPr>
      <w:tblGrid>
        <w:gridCol w:w="2901"/>
        <w:gridCol w:w="146"/>
        <w:gridCol w:w="263"/>
        <w:gridCol w:w="1237"/>
        <w:gridCol w:w="166"/>
        <w:gridCol w:w="146"/>
        <w:gridCol w:w="277"/>
        <w:gridCol w:w="122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considered its intangible assets with finite useful lives, which are amortized over their estimated useful lives, generally on a straight-line basis or using the economic consumption method if anticipated future revenues can be reasonably estimated. These assets are reviewed for impairment when facts or circumstances indicate that the carrying values may not be recoverable. The Company experienced triggering events over the past three years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as of: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429"/>
        <w:gridCol w:w="981"/>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2025 and 2024, the Company repaid $77.8 million and $13.8 million, respectively, in outstanding principal of the 2021 Term Loan (as defined below).</w:t>
      </w:r>
    </w:p>
    <w:p>
      <w:pPr>
        <w:pStyle w:val="TextBody"/>
        <w:bidi w:val="0"/>
        <w:spacing w:before="240" w:after="283"/>
        <w:jc w:val="left"/>
        <w:rPr>
          <w:rFonts w:ascii="Times New Roman" w:hAnsi="Times New Roman"/>
          <w:sz w:val="20"/>
        </w:rPr>
      </w:pPr>
      <w:r>
        <w:rPr>
          <w:rFonts w:ascii="Times New Roman" w:hAnsi="Times New Roman"/>
          <w:b/>
          <w:i/>
          <w:color w:val="000000"/>
          <w:sz w:val="20"/>
        </w:rPr>
        <w:t>2021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December 31, 2025, the Pledged Assets of these subsidiaries approximated $626.8 million, and the net assets of these subsidiaries approximated $312.8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condensed consolidated statements of operations. There was no outstanding balance on the Revolving Credit Facility at December 31, 2025 or 2024. However, in lieu of a security deposit, the Company has provided a standby letter of credit of $0.3 million to the lessor of the Company’s corporate headquarters, which reduced the amount available under the Revolving Credit Facility to $49.7 million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the Company repaid $69.1 million of outstanding principal amount of the Term Facility and reduced its borrowing capacity under the Revolving Credit Facility by $25.0 million. As a result, the Company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the Revolving Credit Facility. In addition, the Company capitalized financing costs totaling $1.7 million, of which $1.2 million related to the Term Facility and $0.5 million related to the Revolving Credit Facility.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Credit Facility are recorded in other assets in the consolidated balance sheets and are amortized over the life of the arrangement. At December 31, 2025 and 2024, the unamortized financing costs were $0.5 million and $0.3 million,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expected future principal payments under the 2021 Credit Agreement as of December 31, 2025 are as follows: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11.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two interest rate swap agreements, effective on March 31, 2022. The swap agreements matured on March 31, 2025. The two interest rate swap agreements each had a notional value of $61.9 million with fixed interest rates of 1.90650% and 1.90900%. Interest payments under the swaps were made monthly on a net settlement basis. The Company has not recorded any amounts due to ineffectiveness for the years ended December 31, 2025, 2024, or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entered into two interest rate cap agreements, effective March 31, 2025. The two interest rate cap agreements each have a notional value of $66.5 million as of December 31, 2025, with an interest rate cap of 4.50%. Interest payment receipts under the caps, if any, are made monthly on a net settlement basis. The Company has not recorded any amounts due to ineffectiveness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derivative interest rate caps are designated and qualify as cash flow hedges. Consequently, the change in the estimated fair value of the effective portion of the derivative is recognized in accumulated other comprehensive deficit (“AOCI”) on the condensed consolidated balance sheets and reclassified to interest expense, net, when the underlying transaction has an impact on earnings. The Company expects to recognize $0.3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fair values of the interest rate caps as of December 31, 2025 and the fair values of the interest rate swaps as of December 31, 2024 were recorded in the Company’s consolidated balance sheets as follows:</w:t>
      </w:r>
    </w:p>
    <w:tbl>
      <w:tblPr>
        <w:tblW w:w="9477" w:type="dxa"/>
        <w:jc w:val="left"/>
        <w:tblInd w:w="0" w:type="dxa"/>
        <w:tblLayout w:type="fixed"/>
        <w:tblCellMar>
          <w:top w:w="28" w:type="dxa"/>
          <w:left w:w="28" w:type="dxa"/>
          <w:bottom w:w="28" w:type="dxa"/>
          <w:right w:w="28" w:type="dxa"/>
        </w:tblCellMar>
      </w:tblPr>
      <w:tblGrid>
        <w:gridCol w:w="2381"/>
        <w:gridCol w:w="246"/>
        <w:gridCol w:w="2921"/>
        <w:gridCol w:w="246"/>
        <w:gridCol w:w="499"/>
        <w:gridCol w:w="1001"/>
        <w:gridCol w:w="246"/>
        <w:gridCol w:w="246"/>
        <w:gridCol w:w="499"/>
        <w:gridCol w:w="1001"/>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jc w:val="left"/>
        <w:rPr>
          <w:rFonts w:ascii="Times New Roman" w:hAnsi="Times New Roman"/>
          <w:sz w:val="20"/>
        </w:rPr>
      </w:pPr>
      <w:r>
        <w:rPr>
          <w:rFonts w:ascii="Times New Roman" w:hAnsi="Times New Roman"/>
          <w:color w:val="000000"/>
          <w:sz w:val="20"/>
        </w:rPr>
        <w:t>ASC 820—</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that reflect unadjusted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derivative financial instruments, accounts payable, long-term and short-term debt and contingent consideration payable. The estimated fair value of cash included in cash and cash equivalents, accounts receivable, and accounts payable approximates their carrying value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short- and long-term debt are recorded at their carrying values in the consolidated balance sheets. The estimated fair values of the Company’s short- and long-term debt approximate their carrying values as of December 31, 2025 and 2024, based on interest rates currently available to the Company for similar borrowings.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2025 and 2024 were classified as Level 2 in the fair value hierarchy.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consideration resulting from the acquisition of Populi in the third quarter of 2023, which is subject to meeting certain revenue metrics during calendar years 2024 and 2025, is measured at fair value on a recurring basis. During the fourth quarter of 2025, management estimated the fair value of the contingent consideration liability by calculating the present value of the expected payment at the conclusion of the measurement period. This assessment was performed using a probability-weighted approach, which incorporated updated assumptions reflecting increased certainty and reduced variability in the range of probable outcomes for the final three months of the measurement period. At December 31, 2025, the fair value of the contingent consideration associated with this acquisition was estimated to be $3.0 million, all of which was included in accrued expenses and other liabilities in the consolidated balance sheets. The change in estimate of contingent consideration subsequent to initial measurement as of the acquisition date was recorded in transaction, integration, and restructuring expense in the accompanying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Contingent consideration resulting from an earnout associated with a previous acquisition was paid during the year ended December 31, 2024.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8145" w:type="dxa"/>
        <w:jc w:val="left"/>
        <w:tblInd w:w="0" w:type="dxa"/>
        <w:tblLayout w:type="fixed"/>
        <w:tblCellMar>
          <w:top w:w="28" w:type="dxa"/>
          <w:left w:w="28" w:type="dxa"/>
          <w:bottom w:w="28" w:type="dxa"/>
          <w:right w:w="28" w:type="dxa"/>
        </w:tblCellMar>
      </w:tblPr>
      <w:tblGrid>
        <w:gridCol w:w="4386"/>
        <w:gridCol w:w="646"/>
        <w:gridCol w:w="274"/>
        <w:gridCol w:w="821"/>
        <w:gridCol w:w="266"/>
        <w:gridCol w:w="246"/>
        <w:gridCol w:w="260"/>
        <w:gridCol w:w="835"/>
        <w:gridCol w:w="411"/>
      </w:tblGrid>
      <w:tr>
        <w:trPr/>
        <w:tc>
          <w:tcPr>
            <w:tcW w:w="43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Payments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December 31, 2025 and 2024, assets and liabilities measured at fair value on a recurring basis were as follows:</w:t>
      </w:r>
    </w:p>
    <w:tbl>
      <w:tblPr>
        <w:tblW w:w="8822"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571"/>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4106"/>
        <w:gridCol w:w="246"/>
        <w:gridCol w:w="211"/>
        <w:gridCol w:w="781"/>
        <w:gridCol w:w="246"/>
        <w:gridCol w:w="246"/>
        <w:gridCol w:w="211"/>
        <w:gridCol w:w="676"/>
        <w:gridCol w:w="246"/>
        <w:gridCol w:w="246"/>
        <w:gridCol w:w="211"/>
        <w:gridCol w:w="781"/>
        <w:gridCol w:w="146"/>
        <w:gridCol w:w="146"/>
        <w:gridCol w:w="211"/>
        <w:gridCol w:w="571"/>
        <w:gridCol w:w="591"/>
      </w:tblGrid>
      <w:tr>
        <w:trPr/>
        <w:tc>
          <w:tcPr>
            <w:tcW w:w="41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 (maturities less than 90 days)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and 2024, except for the long-term contingent consideration noted above, the estimated fair values of all of the Company’s financial assets and liabilities subject to the three-level fair value hierarchy approximated their carrying values due to their short-term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performed multiple interim goodwill impairment tests during the years ended December 31, 2025, 2024, and 2023 and concluded in each case that the carrying value of its single reporting unit exceeded its fair value. Accordingly, the Company recorded $196.1 million, $688.9 million, and $287.4 million in non-cash goodwill impairment charges during the years ended December 31, 2025, 2024, and 2023, respectively. For further discussion about the impairment testing of assets not measured at fair value on a recurring basis, see Note 10. </w:t>
      </w:r>
      <w:r>
        <w:rPr>
          <w:rFonts w:ascii="Times New Roman" w:hAnsi="Times New Roman"/>
          <w:i/>
          <w:color w:val="000000"/>
          <w:sz w:val="20"/>
        </w:rPr>
        <w:t>Goodwill and Intangible Assets</w:t>
      </w:r>
      <w:r>
        <w:rPr>
          <w:rFonts w:ascii="Times New Roman" w:hAnsi="Times New Roman"/>
          <w:color w:val="000000"/>
          <w:sz w:val="20"/>
        </w:rPr>
        <w: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and Other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tbl>
      <w:tblPr>
        <w:tblW w:w="7075" w:type="dxa"/>
        <w:jc w:val="left"/>
        <w:tblInd w:w="0" w:type="dxa"/>
        <w:tblLayout w:type="fixed"/>
        <w:tblCellMar>
          <w:top w:w="28" w:type="dxa"/>
          <w:left w:w="28" w:type="dxa"/>
          <w:bottom w:w="28" w:type="dxa"/>
          <w:right w:w="28" w:type="dxa"/>
        </w:tblCellMar>
      </w:tblPr>
      <w:tblGrid>
        <w:gridCol w:w="3956"/>
        <w:gridCol w:w="246"/>
        <w:gridCol w:w="260"/>
        <w:gridCol w:w="835"/>
        <w:gridCol w:w="246"/>
        <w:gridCol w:w="246"/>
        <w:gridCol w:w="260"/>
        <w:gridCol w:w="835"/>
        <w:gridCol w:w="191"/>
      </w:tblGrid>
      <w:tr>
        <w:trPr/>
        <w:tc>
          <w:tcPr>
            <w:tcW w:w="3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 liability,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liability for data contract termination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matters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capital data expenditures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Accordingly, during the year ended December 31, 2024, the Company incurred restructuring and related charges of $8.1 million, consisting of severance payments, employee benefits, and related cash expenses. The charges incurred during the year ended December 31, 2025 related to the 2024 Restructuring Plan were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and third quarters of 2023, the Company announced restructuring plans with similar objectives (the “2023 Restructuring Plans” and, collectively with the 2024 Restructuring Plan, the “Restructuring Plans.” During the year ended December 31, 2023, the Company incurred restructuring and related charges of $4.7 million, consisting primarily of severance payments, employee benefits, and related cash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Charges incurred associated with the Restructuring Plans were recognized within transaction, integration, and restructuring expenses in the Company’s consolidated statements of operations. The Company does not expect to incur any additional material charges associated with the Restructuring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employee termination costs in the Company’s liabilities resulting from the Restructuring Plans:</w:t>
      </w:r>
    </w:p>
    <w:p>
      <w:pPr>
        <w:pStyle w:val="TextBody"/>
        <w:bidi w:val="0"/>
        <w:spacing w:before="120" w:after="283"/>
        <w:jc w:val="left"/>
        <w:rPr/>
      </w:pPr>
      <w:r>
        <w:rPr/>
        <w:t> </w:t>
      </w:r>
    </w:p>
    <w:tbl>
      <w:tblPr>
        <w:tblW w:w="6875" w:type="dxa"/>
        <w:jc w:val="left"/>
        <w:tblInd w:w="0" w:type="dxa"/>
        <w:tblLayout w:type="fixed"/>
        <w:tblCellMar>
          <w:top w:w="28" w:type="dxa"/>
          <w:left w:w="28" w:type="dxa"/>
          <w:bottom w:w="28" w:type="dxa"/>
          <w:right w:w="28" w:type="dxa"/>
        </w:tblCellMar>
      </w:tblPr>
      <w:tblGrid>
        <w:gridCol w:w="2696"/>
        <w:gridCol w:w="246"/>
        <w:gridCol w:w="386"/>
        <w:gridCol w:w="1159"/>
        <w:gridCol w:w="266"/>
        <w:gridCol w:w="246"/>
        <w:gridCol w:w="371"/>
        <w:gridCol w:w="1114"/>
        <w:gridCol w:w="391"/>
      </w:tblGrid>
      <w:tr>
        <w:trPr/>
        <w:tc>
          <w:tcPr>
            <w:tcW w:w="26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Restructuring Plans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Restructuring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Regarding the contingent consideration associated with the Company’s acquisition of Populi (see Note 3. </w:t>
      </w:r>
      <w:r>
        <w:rPr>
          <w:rFonts w:ascii="Times New Roman" w:hAnsi="Times New Roman"/>
          <w:i/>
          <w:color w:val="000000"/>
          <w:sz w:val="20"/>
        </w:rPr>
        <w:t>Acquisitions</w:t>
      </w:r>
      <w:r>
        <w:rPr>
          <w:rFonts w:ascii="Times New Roman" w:hAnsi="Times New Roman"/>
          <w:color w:val="000000"/>
          <w:sz w:val="20"/>
        </w:rPr>
        <w:t>), the Company determined that the earn-out revenue targets were partially achieved for the calendar year 2024 performance period and not achieved for the calendar year 2025 performance period.</w:t>
      </w:r>
    </w:p>
    <w:p>
      <w:pPr>
        <w:pStyle w:val="TextBody"/>
        <w:bidi w:val="0"/>
        <w:jc w:val="left"/>
        <w:rPr>
          <w:rFonts w:ascii="Times New Roman" w:hAnsi="Times New Roman"/>
          <w:color w:val="000000"/>
          <w:sz w:val="20"/>
        </w:rPr>
      </w:pPr>
      <w:r>
        <w:rPr>
          <w:rFonts w:ascii="Times New Roman" w:hAnsi="Times New Roman"/>
          <w:color w:val="000000"/>
          <w:sz w:val="20"/>
        </w:rPr>
        <w:t>In May 2025, the former Populi equity holders delivered a notice asserting that the performance conditions for the 2024 performance period were satisfied at a higher payout tier than calculated by the Company and that additional consideration is due. The Company disputes this assertion and believes that, based on its interpretation of the purchase agreement and its calculation of the applicable performance metrics, no additional amounts are payable. The parties are engaged in litigation regarding this issue.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has recorded a contingent consideration liability of $3.0 million, representing management’s estimate of the fair value of the earn-out obligation. The liability is included within accrued expenses and other liabilities as of December 31, 2025. While the Company believes its interpretation of the agreement is appropriate and intends to vigorously defend its position, the ultimate outcome of this matter is uncertain. The Company will continue to evaluate this matter and adjust the estimated fair value of the contingent consideration liability as necessary based on developments in the dispute and any new information that becomes available.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purchase obligations in the normal course of doing business. The estimated annual minimum purchase commitments under those agreements were as follows for each of the years ending December 31: </w:t>
      </w:r>
    </w:p>
    <w:p>
      <w:pPr>
        <w:pStyle w:val="TextBody"/>
        <w:bidi w:val="0"/>
        <w:jc w:val="left"/>
        <w:rPr/>
      </w:pPr>
      <w:r>
        <w:rPr/>
        <w:t> </w:t>
      </w:r>
    </w:p>
    <w:tbl>
      <w:tblPr>
        <w:tblW w:w="2350" w:type="dxa"/>
        <w:jc w:val="left"/>
        <w:tblInd w:w="0" w:type="dxa"/>
        <w:tblLayout w:type="fixed"/>
        <w:tblCellMar>
          <w:top w:w="28" w:type="dxa"/>
          <w:left w:w="28" w:type="dxa"/>
          <w:bottom w:w="28" w:type="dxa"/>
          <w:right w:w="28" w:type="dxa"/>
        </w:tblCellMar>
      </w:tblPr>
      <w:tblGrid>
        <w:gridCol w:w="1126"/>
        <w:gridCol w:w="146"/>
        <w:gridCol w:w="211"/>
        <w:gridCol w:w="67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which arise during the ordinary course of business. The outcomes of such matters are not expected to have a material, adverse effect on the Company’s financial position, results of operations, and/or cash flows.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Accumulated Other Comprehensive Deficit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changes in accumulated balances of AOCI for the years ended December 31, 2025, 2024, and 2023, respectively. </w:t>
      </w:r>
    </w:p>
    <w:tbl>
      <w:tblPr>
        <w:tblW w:w="10205" w:type="dxa"/>
        <w:jc w:val="left"/>
        <w:tblInd w:w="0" w:type="dxa"/>
        <w:tblLayout w:type="fixed"/>
        <w:tblCellMar>
          <w:top w:w="28" w:type="dxa"/>
          <w:left w:w="28" w:type="dxa"/>
          <w:bottom w:w="28" w:type="dxa"/>
          <w:right w:w="28" w:type="dxa"/>
        </w:tblCellMar>
      </w:tblPr>
      <w:tblGrid>
        <w:gridCol w:w="2919"/>
        <w:gridCol w:w="491"/>
        <w:gridCol w:w="1471"/>
        <w:gridCol w:w="166"/>
        <w:gridCol w:w="547"/>
        <w:gridCol w:w="1250"/>
        <w:gridCol w:w="166"/>
        <w:gridCol w:w="599"/>
        <w:gridCol w:w="1373"/>
        <w:gridCol w:w="166"/>
        <w:gridCol w:w="211"/>
        <w:gridCol w:w="631"/>
        <w:gridCol w:w="215"/>
      </w:tblGrid>
      <w:tr>
        <w:trPr/>
        <w:tc>
          <w:tcPr>
            <w:tcW w:w="291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pPr>
      <w:r>
        <w:rPr>
          <w:rFonts w:ascii="Times New Roman" w:hAnsi="Times New Roman"/>
          <w:b/>
          <w:color w:val="000000"/>
          <w:sz w:val="20"/>
        </w:rPr>
        <w:t>Stockholders</w:t>
      </w:r>
      <w:r>
        <w:rPr>
          <w:color w:val="000000"/>
        </w:rPr>
        <w:t xml:space="preserve">’ </w:t>
      </w:r>
      <w:r>
        <w:rPr>
          <w:rFonts w:ascii="Times New Roman" w:hAnsi="Times New Roman"/>
          <w:b/>
          <w:color w:val="000000"/>
          <w:sz w:val="20"/>
        </w:rPr>
        <w:t>Equity</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LLC Units (directly or indirectly through AIDH Management Holdings, LLC) that are unvested shall have no vote per share until such time as such have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Class A common stock are entitled to receive dividends, if declared by the Company’s board of directors (the “Board”) out of legally available funds. Upon the Company’s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Class B common stock are not entitled to economic interests in Definitive Healthcare Corp. and do not have any right to receive dividends or to receive a distribution upon a liquidation or winding up of Definitive Healthcare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preferred stock have not been issued at December 31, 2025. The Board may authorize one or more series of preferred stock (including convertible preferred stock) and will determine, with respect to any series of preferred stock, the voting rights, preferences, participation, or other special right and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formation of Definitive OpCo in conjunction with the Advent Acquisition in July 2019, two classes of LLC units were established: Class A Units and Class B Units (“Class B Units”), collectively “the Units”.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18. </w:t>
      </w:r>
      <w:r>
        <w:rPr>
          <w:rFonts w:ascii="Times New Roman" w:hAnsi="Times New Roman"/>
          <w:i/>
          <w:color w:val="000000"/>
          <w:sz w:val="20"/>
        </w:rPr>
        <w:t>Equity-Based Compensation</w:t>
      </w:r>
      <w:r>
        <w:rPr>
          <w:rFonts w:ascii="Times New Roman" w:hAnsi="Times New Roman"/>
          <w:color w:val="000000"/>
          <w:sz w:val="20"/>
        </w:rPr>
        <w:t xml:space="preserve"> for further information on Class B Units.</w:t>
      </w:r>
    </w:p>
    <w:p>
      <w:pPr>
        <w:pStyle w:val="TextBody"/>
        <w:bidi w:val="0"/>
        <w:spacing w:before="240" w:after="120"/>
        <w:jc w:val="left"/>
        <w:rPr>
          <w:rFonts w:ascii="Times New Roman" w:hAnsi="Times New Roman"/>
          <w:sz w:val="20"/>
        </w:rPr>
      </w:pPr>
      <w:r>
        <w:rPr>
          <w:rFonts w:ascii="Times New Roman" w:hAnsi="Times New Roman"/>
          <w:b/>
          <w:i/>
          <w:color w:val="000000"/>
          <w:sz w:val="20"/>
        </w:rPr>
        <w:t>Stock Repurchase Programs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2024, the Board authorized a stock repurchase program of up to $20.0 million of the Company’s Class A common stock, which expired on December 31, 2024 (the “2024 Repurchase Program”). In November 2024, the Board announced a new stock repurchase program (the “2025 Repurchase Program” and, together with the 2024 Repurchase Program, the “Repurchase Programs”) of the Company’s Class A common stock authorizing up to $100.0 million in share repurchases. The 2025 Repurchase Program expired on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years ended December 31, 2025 and 2024, the Company repurchased 13.9 million and 4.8 million shares, respectively, of Class A common stock under the Repurchase Programs for an aggregate purchase price of $71.8 million, including commissions. All shares of Class A common stock repurchased under the Repurchase Programs were subsequently retired.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1,099,551 LLC Units held by Continuing Pre-IPO LLC Members were exchanged for shares of Class A common stock of Definitive Healthcare Corp. pursuant to the terms of the Amended LLC Agreement. In addition, 4,246,355 restricted stock units (“RSUs”) vested and 1,397,637 shares of Class A common stock were withheld to cover withholding tax obligations, resulting in the net issuance of 2,848,718 shares of Class A common stock of Definitive Healthcare Corp.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Definitive Healthcare Corp. held ownership interests in Definitive OpCo of 73.1% and 74.3%, respectively, and noncontrolling interests of 26.9% and 25.7%, respectively.</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Equity-Based Compensation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shares of Class A common stock available for grant under the 2021 Plan was 10,922,313 shares at December 31, 2025. The outstanding RSUs granted under this plan have time-based and/or performance-based vesting criteria.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Definitive Healthcare Corp. 2023 Inducement Plan (the “Inducement Plan” and, collectively with the 2021 Plan, the “Equity Plans”) was adopted in September 2023 for the purpose of granting equity-based awards to individuals who were not previously employees or directors of the Company. The Inducement Plan provides for the grant of equity-based awards in the form of nonstatutory stock options, SARs, RSAs, RSUs, and dividend equivalent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shares of Class A common stock available for grant under the Inducement Plan was 1,503,666 shares at December 31, 2025. The outstanding RSUs granted under this plan have time-based and/or performance-based vesting criteria.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Time-Based RSUs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Outstanding time-based RSUs granted under the 2021 Plan generally vest partially on the one-year anniversary of each grant and quarterly over the subsequent two- or three-year period. Outstanding time-based RSUs granted under the Inducement Plan generally vest partially in annual and quarterly increments over the subsequent two-, three-, or four-year periods.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year ended December 31, 2025, the Company accelerated the vesting of 1,493,547 previously unvested time-based RSUs in connection with executive-level award modifications and terminations. Remaining unvested shares held by the award holders were forfeited upon separation, as applicable, and the modifications resulted in incremental stock-based compensation charges of approximately $3.2 million during the year ended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year ended December 31, 2024, the Company accelerated the vesting of 779,024 previously unvested time-based RSUs, along with 67,937 previously unvested LLC Units in connection with the departures of certain executive-level employees. Remaining unvested shares held by the award holders were forfeited upon separation, and the modifications resulted in incremental stock-based compensation charges of approximately $4.2 million during the year ended December 31,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year ended December 31, 2023, the Company accelerated the vesting of 99,662 previously unvested time-based RSUs in connection with restructuring plans announced during the year, along with the departure of two management-level employees. The incremental stock-based compensation expense resulting from the modifications was not material and any unvested time-based RSUs and PSUs held by the individuals were forfeited upon separation.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Company’s unvested time-based RSU activity for the years ended December 31, 2025 and 2024:</w:t>
      </w:r>
    </w:p>
    <w:tbl>
      <w:tblPr>
        <w:tblW w:w="9488" w:type="dxa"/>
        <w:jc w:val="left"/>
        <w:tblInd w:w="0" w:type="dxa"/>
        <w:tblLayout w:type="fixed"/>
        <w:tblCellMar>
          <w:top w:w="28" w:type="dxa"/>
          <w:left w:w="28" w:type="dxa"/>
          <w:bottom w:w="28" w:type="dxa"/>
          <w:right w:w="28" w:type="dxa"/>
        </w:tblCellMar>
      </w:tblPr>
      <w:tblGrid>
        <w:gridCol w:w="2666"/>
        <w:gridCol w:w="246"/>
        <w:gridCol w:w="146"/>
        <w:gridCol w:w="1036"/>
        <w:gridCol w:w="266"/>
        <w:gridCol w:w="246"/>
        <w:gridCol w:w="342"/>
        <w:gridCol w:w="933"/>
        <w:gridCol w:w="246"/>
        <w:gridCol w:w="246"/>
        <w:gridCol w:w="146"/>
        <w:gridCol w:w="991"/>
        <w:gridCol w:w="266"/>
        <w:gridCol w:w="2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2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6,460,699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5,581,890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10,453,081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5,626,732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(3,940,247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(2,664,642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(2,546,067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(2,083,281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10,427,466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6,460,699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Performance-Based RSUs (“Performance Stock Units” or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periodically grants PSUs under the Equity Plans to certain members of the Company’s senior management team subject to the satisfaction of annual and cumulative performance conditions and/or market conditions established by the human capital management and compensation committee of the Board. PSUs granted under the Equity Plans generally vest over three years, subject to the achievement of certain performance targets, market conditions, and/or continued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 for PSU awards is recognized when it becomes probable that performance measures triggering vesting will be achieved.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PSUs with Market Conditions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During the year ended December 31, 2025, the Company granted 1,544,724 PSUs to certain executives with a relative total stockholder return (“TSR”) component, pursuant to the 2021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2025, the revenue and adjusted EBITDA margin targets have been determined, with the fiscal year 2026 and 2027 targets to be determined within 75 days following the end of the previous applicable fiscal year, and the three-year cumulative performance targets set in 2027. In accordance with ASC 718, </w:t>
      </w:r>
      <w:r>
        <w:rPr>
          <w:rFonts w:ascii="Times New Roman" w:hAnsi="Times New Roman"/>
          <w:i/>
          <w:color w:val="000000"/>
          <w:sz w:val="20"/>
        </w:rPr>
        <w:t>Compensation - 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2027. In addition, the awards are not forfeited in the event an interim annual target for 2025 or 2026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February 2024, the Company granted PSUs to its Executive Chairman with performance criteria related to the relative ranking of the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recognized approximately $2.3 million, $4.3 million, and $2.5 million in stock-based compensation expense associated with PSUs with market conditions during the years ended December 31, 2025, 2024, and 2023, respectively.</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2025, the Company accelerated the vesting of 82,216 previously unvested PSUs. These modifications occurred in connection with departures of certain executive-level employees. Remaining unvested shares held by the award holders were forfeited upon separation, and the modifications did not result in any material incremental stock-based compensation expense charges during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the Company accelerated the vesting of 58,565 previously unvested performance-based PSUs. These modifications occurred in connection with departures of certain executive-level employees. Remaining unvested shares held by the award holders were forfeited upon separation, and the modifications resulted in incremental stock-based compensation charges of approximately $2.9 million during the year ended December 31, 2024.</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Company’s unvested PSU activity for the years ended December 31, 2025 and 2024:</w:t>
      </w:r>
    </w:p>
    <w:tbl>
      <w:tblPr>
        <w:tblW w:w="9323" w:type="dxa"/>
        <w:jc w:val="left"/>
        <w:tblInd w:w="0" w:type="dxa"/>
        <w:tblLayout w:type="fixed"/>
        <w:tblCellMar>
          <w:top w:w="28" w:type="dxa"/>
          <w:left w:w="28" w:type="dxa"/>
          <w:bottom w:w="28" w:type="dxa"/>
          <w:right w:w="28" w:type="dxa"/>
        </w:tblCellMar>
      </w:tblPr>
      <w:tblGrid>
        <w:gridCol w:w="2666"/>
        <w:gridCol w:w="246"/>
        <w:gridCol w:w="146"/>
        <w:gridCol w:w="931"/>
        <w:gridCol w:w="266"/>
        <w:gridCol w:w="246"/>
        <w:gridCol w:w="342"/>
        <w:gridCol w:w="933"/>
        <w:gridCol w:w="246"/>
        <w:gridCol w:w="246"/>
        <w:gridCol w:w="146"/>
        <w:gridCol w:w="931"/>
        <w:gridCol w:w="266"/>
        <w:gridCol w:w="2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6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2,645,092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3"/>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(641,893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(692,709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Unvested at end of year </w:t>
            </w:r>
            <w:r>
              <w:rPr>
                <w:rFonts w:ascii="Times New Roman" w:hAnsi="Times New Roman"/>
                <w:color w:val="000000"/>
                <w:sz w:val="13"/>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1,795,184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2,645,092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PSUs awarded represents the target number of shares of common stock that may be earned; however, the actual number of shares may vary based on the satisfaction of performance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Excluded from shares granted in 2025 is 1,544,724 shares awarded to certain executives with a relative TSR component, which did not meet the grant date criteria under ASC 718, </w:t>
      </w:r>
      <w:r>
        <w:rPr>
          <w:rFonts w:ascii="Times New Roman" w:hAnsi="Times New Roman"/>
          <w:i/>
          <w:color w:val="000000"/>
          <w:sz w:val="20"/>
        </w:rPr>
        <w:t xml:space="preserve">Compensation - Stock Compensation </w:t>
      </w:r>
      <w:r>
        <w:rPr>
          <w:rFonts w:ascii="Times New Roman" w:hAnsi="Times New Roman"/>
          <w:color w:val="000000"/>
          <w:sz w:val="20"/>
        </w:rPr>
        <w:t>as of December 31, 2025 (as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1,795,184 unvested PSUs outstanding as of December 31, 2025, 1,617,135 shares were unearned and subject to achievement of specific financial goals. Based on fiscal year 2025 financial results, 106,370 of the 1,617,135 unearned shares are expected to be forfeited in the first quarter of 2026.</w:t>
      </w:r>
    </w:p>
    <w:p>
      <w:pPr>
        <w:pStyle w:val="TextBody"/>
        <w:bidi w:val="0"/>
        <w:spacing w:before="240" w:after="283"/>
        <w:jc w:val="left"/>
        <w:rPr>
          <w:rFonts w:ascii="Times New Roman" w:hAnsi="Times New Roman"/>
          <w:sz w:val="20"/>
        </w:rPr>
      </w:pPr>
      <w:r>
        <w:rPr>
          <w:rFonts w:ascii="Times New Roman" w:hAnsi="Times New Roman"/>
          <w:b/>
          <w:i/>
          <w:color w:val="000000"/>
          <w:sz w:val="20"/>
        </w:rPr>
        <w:t>2019 Incentive Equity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LLC Units (held directly or indirectly through AIDH Management Holdings, LLC) based on their respective participation thresholds and the IPO price of $27.00 per share. The Company no longer grants any awards under the 2019 Plan, and all outstanding awards were fully vested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the Company accelerated the vesting of 67,937 previously unvested LLC Units (held indirectly through AIDH Management Holdings, LLC). These modifications occurred in connection with departures of certain executive-level employees. Any remaining unvested LLC Units (held indirectly through AIDH Management Holdings, LLC) were forfeited upon separation, and the modifications resulted in incremental stock-based compensation charges of approximately $0.5 million during the year ended December 31, 2024.</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During the year ended December 31, 2023, in connection with the departure of three management-level employees during the year, the Company accelerated the vesting of 50,772 previously unvested LLC Units (held indirectly through AIDH Management Holdings, LLC). The incremental stock-based compensation expense was not material and any unvested LLC Units (held indirectly through AIDH Management Holdings, LLC) were forfeited upon separation.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unvested unit activity.</w:t>
      </w:r>
    </w:p>
    <w:tbl>
      <w:tblPr>
        <w:tblW w:w="9202" w:type="dxa"/>
        <w:jc w:val="left"/>
        <w:tblInd w:w="0" w:type="dxa"/>
        <w:tblLayout w:type="fixed"/>
        <w:tblCellMar>
          <w:top w:w="28" w:type="dxa"/>
          <w:left w:w="28" w:type="dxa"/>
          <w:bottom w:w="28" w:type="dxa"/>
          <w:right w:w="28" w:type="dxa"/>
        </w:tblCellMar>
      </w:tblPr>
      <w:tblGrid>
        <w:gridCol w:w="2666"/>
        <w:gridCol w:w="246"/>
        <w:gridCol w:w="156"/>
        <w:gridCol w:w="790"/>
        <w:gridCol w:w="266"/>
        <w:gridCol w:w="246"/>
        <w:gridCol w:w="396"/>
        <w:gridCol w:w="879"/>
        <w:gridCol w:w="246"/>
        <w:gridCol w:w="246"/>
        <w:gridCol w:w="146"/>
        <w:gridCol w:w="841"/>
        <w:gridCol w:w="266"/>
        <w:gridCol w:w="246"/>
        <w:gridCol w:w="396"/>
        <w:gridCol w:w="879"/>
        <w:gridCol w:w="2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2025, 2024, and 2023, is provided in the following table.</w:t>
      </w:r>
    </w:p>
    <w:tbl>
      <w:tblPr>
        <w:tblW w:w="6128" w:type="dxa"/>
        <w:jc w:val="left"/>
        <w:tblInd w:w="0" w:type="dxa"/>
        <w:tblLayout w:type="fixed"/>
        <w:tblCellMar>
          <w:top w:w="28" w:type="dxa"/>
          <w:left w:w="28" w:type="dxa"/>
          <w:bottom w:w="28" w:type="dxa"/>
          <w:right w:w="28" w:type="dxa"/>
        </w:tblCellMar>
      </w:tblPr>
      <w:tblGrid>
        <w:gridCol w:w="2446"/>
        <w:gridCol w:w="246"/>
        <w:gridCol w:w="211"/>
        <w:gridCol w:w="676"/>
        <w:gridCol w:w="146"/>
        <w:gridCol w:w="146"/>
        <w:gridCol w:w="211"/>
        <w:gridCol w:w="676"/>
        <w:gridCol w:w="146"/>
        <w:gridCol w:w="146"/>
        <w:gridCol w:w="211"/>
        <w:gridCol w:w="67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$24.8 million, $28.9 million, and $39.4 million in stock-based compensation expense associated with RSUs in the years ended December 31, 2025, 2024, and 2023, respectively. Total unrecognized expense for these awards was estimated to be $36.5 million at December 31, 2025 and is expected to be recognized over a weighted-average period of approximately 2.7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$4.3 million, $6.6 million, and $4.6 million in stock-based compensation expense associated with PSUs in the years ended December 31, 2025, 2024, and 2023, respectively. Total unrecognized expense for these awards was estimated to be $4.1 million at December 31, 2025 and is expected to be recognized over a weighted-average period of approximately 1.6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less than $0.1 million, $2.6 million, and $4.7 million in stock-based compensation expense associated with LLC Units in the years ended December 31, 2025,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Retirement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401(k) plan covering all employees who have met certain eligibility requirements. The Company made matching contributions in accordance with the plan documents. The Company incurred $3.1 million, $2.9 million and $3.8 million in employer matching contributions during the years ended December 31, 2025,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U.S. and foreign components of income before income taxes were as follows:</w:t>
      </w:r>
    </w:p>
    <w:tbl>
      <w:tblPr>
        <w:tblW w:w="629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components of the provision for income taxes are as follows: </w:t>
      </w:r>
    </w:p>
    <w:tbl>
      <w:tblPr>
        <w:tblW w:w="6393" w:type="dxa"/>
        <w:jc w:val="left"/>
        <w:tblInd w:w="0" w:type="dxa"/>
        <w:tblLayout w:type="fixed"/>
        <w:tblCellMar>
          <w:top w:w="28" w:type="dxa"/>
          <w:left w:w="28" w:type="dxa"/>
          <w:bottom w:w="28" w:type="dxa"/>
          <w:right w:w="28" w:type="dxa"/>
        </w:tblCellMar>
      </w:tblPr>
      <w:tblGrid>
        <w:gridCol w:w="2371"/>
        <w:gridCol w:w="146"/>
        <w:gridCol w:w="211"/>
        <w:gridCol w:w="736"/>
        <w:gridCol w:w="166"/>
        <w:gridCol w:w="146"/>
        <w:gridCol w:w="211"/>
        <w:gridCol w:w="736"/>
        <w:gridCol w:w="166"/>
        <w:gridCol w:w="146"/>
        <w:gridCol w:w="211"/>
        <w:gridCol w:w="736"/>
        <w:gridCol w:w="41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Effective Income Tax Rate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reconciliation of the provision for income taxes to the amount computed by applying the 21% statutory U.S. federal income tax rate to income before income taxes after the adoption of ASU 2023-09 is as follows: </w:t>
      </w:r>
    </w:p>
    <w:tbl>
      <w:tblPr>
        <w:tblW w:w="10205" w:type="dxa"/>
        <w:jc w:val="left"/>
        <w:tblInd w:w="0" w:type="dxa"/>
        <w:tblLayout w:type="fixed"/>
        <w:tblCellMar>
          <w:top w:w="28" w:type="dxa"/>
          <w:left w:w="28" w:type="dxa"/>
          <w:bottom w:w="28" w:type="dxa"/>
          <w:right w:w="28" w:type="dxa"/>
        </w:tblCellMar>
      </w:tblPr>
      <w:tblGrid>
        <w:gridCol w:w="5884"/>
        <w:gridCol w:w="206"/>
        <w:gridCol w:w="365"/>
        <w:gridCol w:w="1277"/>
        <w:gridCol w:w="270"/>
        <w:gridCol w:w="238"/>
        <w:gridCol w:w="238"/>
        <w:gridCol w:w="932"/>
        <w:gridCol w:w="235"/>
        <w:gridCol w:w="560"/>
      </w:tblGrid>
      <w:tr>
        <w:trPr/>
        <w:tc>
          <w:tcPr>
            <w:tcW w:w="58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 in thousands)</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(percent)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(43,943</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taxes, net of federal income tax effect </w:t>
            </w:r>
            <w:r>
              <w:rPr>
                <w:rFonts w:ascii="Times New Roman" w:hAnsi="Times New Roman"/>
                <w:color w:val="000000"/>
                <w:sz w:val="13"/>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taxation of foreign earnings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Partnership income, not subject to taxation</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12,903</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basis adjustment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 remeasurement gain/loss</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 deferred tax asset adjustment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states and local jurisdictions that contribute to the majority (greater than 50%) of the tax effect in this category include California, Massachusetts, New Jersey, and Illinois.</w:t>
            </w:r>
          </w:p>
        </w:tc>
      </w:tr>
    </w:tbl>
    <w:p>
      <w:pPr>
        <w:pStyle w:val="TextBody"/>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reconciliation of the provision for income taxes to the amount computed by applying the 21% statutory U.S. federal income tax rate to income before income taxes for years prior to the adoption of ASU 2023-09 is as follows:</w:t>
      </w:r>
    </w:p>
    <w:tbl>
      <w:tblPr>
        <w:tblW w:w="7366" w:type="dxa"/>
        <w:jc w:val="left"/>
        <w:tblInd w:w="0" w:type="dxa"/>
        <w:tblLayout w:type="fixed"/>
        <w:tblCellMar>
          <w:top w:w="28" w:type="dxa"/>
          <w:left w:w="28" w:type="dxa"/>
          <w:bottom w:w="28" w:type="dxa"/>
          <w:right w:w="28" w:type="dxa"/>
        </w:tblCellMar>
      </w:tblPr>
      <w:tblGrid>
        <w:gridCol w:w="4401"/>
        <w:gridCol w:w="146"/>
        <w:gridCol w:w="146"/>
        <w:gridCol w:w="631"/>
        <w:gridCol w:w="166"/>
        <w:gridCol w:w="271"/>
        <w:gridCol w:w="146"/>
        <w:gridCol w:w="146"/>
        <w:gridCol w:w="631"/>
        <w:gridCol w:w="166"/>
        <w:gridCol w:w="516"/>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U.S. federal income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 income taxes, net of federal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basis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Partnership income, not subject to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deferred tax assets and liabilities were as follows:</w:t>
      </w:r>
    </w:p>
    <w:tbl>
      <w:tblPr>
        <w:tblW w:w="8434" w:type="dxa"/>
        <w:jc w:val="left"/>
        <w:tblInd w:w="0" w:type="dxa"/>
        <w:tblLayout w:type="fixed"/>
        <w:tblCellMar>
          <w:top w:w="28" w:type="dxa"/>
          <w:left w:w="28" w:type="dxa"/>
          <w:bottom w:w="28" w:type="dxa"/>
          <w:right w:w="28" w:type="dxa"/>
        </w:tblCellMar>
      </w:tblPr>
      <w:tblGrid>
        <w:gridCol w:w="5461"/>
        <w:gridCol w:w="146"/>
        <w:gridCol w:w="211"/>
        <w:gridCol w:w="841"/>
        <w:gridCol w:w="166"/>
        <w:gridCol w:w="146"/>
        <w:gridCol w:w="211"/>
        <w:gridCol w:w="841"/>
        <w:gridCol w:w="4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Outside partnership basis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 (liabilities),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984" w:type="dxa"/>
        <w:jc w:val="left"/>
        <w:tblInd w:w="0" w:type="dxa"/>
        <w:tblLayout w:type="fixed"/>
        <w:tblCellMar>
          <w:top w:w="28" w:type="dxa"/>
          <w:left w:w="28" w:type="dxa"/>
          <w:bottom w:w="28" w:type="dxa"/>
          <w:right w:w="28" w:type="dxa"/>
        </w:tblCellMar>
      </w:tblPr>
      <w:tblGrid>
        <w:gridCol w:w="5241"/>
        <w:gridCol w:w="146"/>
        <w:gridCol w:w="211"/>
        <w:gridCol w:w="736"/>
        <w:gridCol w:w="166"/>
        <w:gridCol w:w="146"/>
        <w:gridCol w:w="211"/>
        <w:gridCol w:w="736"/>
        <w:gridCol w:w="39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deferred tax assets (included within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income tax balances reflect the effects of temporary differences between the carrying amounts of assets and liabilities and their tax bases and are stated at enacted tax rates expected to be in effect when the taxes are paid or recovered.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federal tax loss carryforward of $319.0 million has an unlimited carryforward period. The federal research and development tax credit carryforwards of $2.1 million expire in the years 2041 through 2045. The state tax loss carryforwards of $257.1 million expire at various times in years 2026 through indefinite. The foreign tax loss carryforwards of $8.3 million expire in the years 2031 through indefinite. The Company does not have any state tax credit carryforwards.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research and development (“R&amp;D”) credit carryforwards and other net deferred tax assets that remain after all sources of taxable income are exhausted, not supportable by the “naked credit” deferred tax liability sourced income as of December 31,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subject to taxation in the United States and various states and foreign jurisdictions. The Company remains subject to U.S. federal income tax examination for 2022 and subsequent years. For the majority of U.S. states, with few exceptions and generally for the foreign tax jurisdictions, the Company remains subject to examination for 2021 and subsequent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amounts of cash income taxes paid by the Company were as follows:</w:t>
      </w:r>
    </w:p>
    <w:tbl>
      <w:tblPr>
        <w:tblW w:w="6403" w:type="dxa"/>
        <w:jc w:val="left"/>
        <w:tblInd w:w="0" w:type="dxa"/>
        <w:tblLayout w:type="fixed"/>
        <w:tblCellMar>
          <w:top w:w="28" w:type="dxa"/>
          <w:left w:w="28" w:type="dxa"/>
          <w:bottom w:w="28" w:type="dxa"/>
          <w:right w:w="28" w:type="dxa"/>
        </w:tblCellMar>
      </w:tblPr>
      <w:tblGrid>
        <w:gridCol w:w="4366"/>
        <w:gridCol w:w="146"/>
        <w:gridCol w:w="499"/>
        <w:gridCol w:w="1001"/>
        <w:gridCol w:w="3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amounts refunded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cash income taxes paid by the Company during the years ended December 31, 2024 and 2023 was nil and $0.1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(the “OBBBA”), enacted on July 4, 2025, among other things, repealed the mandatory capitalization of Internal Revenue Code Section 174 R&amp;D expenditures allowing taxpayers to fully expense qualifying costs in the year incurred. The Company does not expect to accelerate writing-off the previously capitalized amounts. This approach results in a more consistent pattern of deductions and moderates the creation of additional tax attributes. The OBBBA did not otherwise have a material impact on the Company’s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uncertain income tax positions when it is more-likely-than-not the position will be sustained upon examination. As of December 31, 2025 and 2024, has not identified any uncertain tax positions and has not recognized any related reserves. Accordingly, the company has not recorded any interest or penalties associated with uncertain tax positions.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Receivable Agreement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Definitive OpCo’s election under Section 754 of the Internal Revenue Code (the “Code”), the Company expects to obtain an increase in its share of the tax basis in the net assets of Definitive OpCo when LLC Units are redeemed or exchanged by other members. The Company is required to adjust the basis of partnership assets under Section 743(b) of the Code for each taxable year in which a redemption or exchange of LLC Units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TRA, the Company generally will be required to pay to Unitholders 85% of the amount of cash savings, if any, in U.S. federal, state, or local tax that the Company actually realizes directly or indirectly (or are deemed to realize in certain circumstances) as a result of (i) certain tax attributes acquired by the Company from the Blocker Companies in the Reorganization Transactions, (ii) certain tax basis adjustments resulting from (a) acquisitions by the Company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TRA Payments if it determines that it is probable that the Company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$27.2 million as of December 31, 2025. The TRA liability decreased by $36.0 million during the year ended December 31, 2025, primarily driven by a $21.7 million remeasurement of the liability based on future realizability of tax attributes with an offsetting adjustment to statement of operations and $13.8 million of payments to TRA Parties, while concurrently decreasing $0.5 million with an offsetting adjustment to additional paid-in capital for current year exchange transactions and redemptions. To the extent that the Company determines that it is able to realize the tax benefits associated with the basis adjustments and net operating losses, the Company would record an additional liability of $227.6 million, for a total liability of $254.8 million. Should the Company anticipate a reduction in future taxable income, it would record a reduction in the TRA liability that would result in a benefit recorded within the consolidated statements of operations. In addition to the foregoing, the TRA is subject to early termination provisions as provided for in the agreement upon certain change in control events or elected early termination. In all early termination circumstances, such provisions assume that there is sufficient taxable income to realize the tax benefits in measuring the settlement value of the TRA.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reconciliation of the numerators and denominators used to compute basic and diluted net loss per share of Class A common stock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4246"/>
        <w:gridCol w:w="246"/>
        <w:gridCol w:w="292"/>
        <w:gridCol w:w="1166"/>
        <w:gridCol w:w="266"/>
        <w:gridCol w:w="246"/>
        <w:gridCol w:w="292"/>
        <w:gridCol w:w="1166"/>
        <w:gridCol w:w="266"/>
        <w:gridCol w:w="246"/>
        <w:gridCol w:w="292"/>
        <w:gridCol w:w="1166"/>
        <w:gridCol w:w="315"/>
      </w:tblGrid>
      <w:tr>
        <w:trPr/>
        <w:tc>
          <w:tcPr>
            <w:tcW w:w="4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3"/>
        <w:gridCol w:w="146"/>
        <w:gridCol w:w="230"/>
        <w:gridCol w:w="1249"/>
        <w:gridCol w:w="166"/>
        <w:gridCol w:w="146"/>
        <w:gridCol w:w="230"/>
        <w:gridCol w:w="1249"/>
        <w:gridCol w:w="166"/>
        <w:gridCol w:w="146"/>
        <w:gridCol w:w="230"/>
        <w:gridCol w:w="1249"/>
        <w:gridCol w:w="215"/>
      </w:tblGrid>
      <w:tr>
        <w:trPr/>
        <w:tc>
          <w:tcPr>
            <w:tcW w:w="4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Class A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106,650,845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potentially dilutive securities which were excluded from the computation of diluted net loss per share for the periods presented because their effects on net loss per share would have been anti-dilutive:</w:t>
      </w:r>
    </w:p>
    <w:p>
      <w:pPr>
        <w:pStyle w:val="TextBody"/>
        <w:bidi w:val="0"/>
        <w:jc w:val="left"/>
        <w:rPr/>
      </w:pPr>
      <w:r>
        <w:rPr/>
        <w:t> </w:t>
      </w:r>
    </w:p>
    <w:tbl>
      <w:tblPr>
        <w:tblW w:w="8712" w:type="dxa"/>
        <w:jc w:val="left"/>
        <w:tblInd w:w="0" w:type="dxa"/>
        <w:tblLayout w:type="fixed"/>
        <w:tblCellMar>
          <w:top w:w="28" w:type="dxa"/>
          <w:left w:w="28" w:type="dxa"/>
          <w:bottom w:w="28" w:type="dxa"/>
          <w:right w:w="28" w:type="dxa"/>
        </w:tblCellMar>
      </w:tblPr>
      <w:tblGrid>
        <w:gridCol w:w="2791"/>
        <w:gridCol w:w="246"/>
        <w:gridCol w:w="185"/>
        <w:gridCol w:w="1315"/>
        <w:gridCol w:w="246"/>
        <w:gridCol w:w="246"/>
        <w:gridCol w:w="185"/>
        <w:gridCol w:w="1315"/>
        <w:gridCol w:w="246"/>
        <w:gridCol w:w="246"/>
        <w:gridCol w:w="185"/>
        <w:gridCol w:w="1315"/>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LLC Units (vested and unvested)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38,339,076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39,439,198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39,762,700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12,222,650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9,105,791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Segment and Geographic Data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 - 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hAnsi="Times New Roman"/>
          <w:i/>
          <w:color w:val="000000"/>
          <w:sz w:val="20"/>
        </w:rPr>
        <w:t>Summary of Significant Accounting Policies</w:t>
      </w:r>
      <w:r>
        <w:rPr>
          <w:rFonts w:ascii="Times New Roman" w:hAnsi="Times New Roman"/>
          <w:color w:val="000000"/>
          <w:sz w:val="20"/>
        </w:rPr>
        <w:t>.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operating financial results of our single reportable segment, including revenue, significant expenses regularly provided to the CODM, and net loss:</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656"/>
        <w:gridCol w:w="146"/>
        <w:gridCol w:w="211"/>
        <w:gridCol w:w="841"/>
        <w:gridCol w:w="166"/>
        <w:gridCol w:w="146"/>
        <w:gridCol w:w="211"/>
        <w:gridCol w:w="841"/>
        <w:gridCol w:w="166"/>
        <w:gridCol w:w="146"/>
        <w:gridCol w:w="211"/>
        <w:gridCol w:w="841"/>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net </w:t>
            </w:r>
            <w:r>
              <w:rPr>
                <w:rFonts w:ascii="Times New Roman" w:hAnsi="Times New Roman"/>
                <w:color w:val="000000"/>
                <w:sz w:val="13"/>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year ended December 31, 2025, other segment items, net includes goodwill impairment charges of $196.1</w:t>
      </w:r>
      <w:r>
        <w:rPr>
          <w:rFonts w:ascii="sans-serif" w:hAnsi="sans-serif"/>
          <w:color w:val="000000"/>
          <w:sz w:val="22"/>
        </w:rPr>
        <w:t xml:space="preserve"> </w:t>
      </w:r>
      <w:r>
        <w:rPr>
          <w:rFonts w:ascii="Times New Roman" w:hAnsi="Times New Roman"/>
          <w:color w:val="000000"/>
          <w:sz w:val="20"/>
        </w:rPr>
        <w:t>million, depreciation and amortization expense of $35.8</w:t>
      </w:r>
      <w:r>
        <w:rPr>
          <w:rFonts w:ascii="sans-serif" w:hAnsi="sans-serif"/>
          <w:color w:val="000000"/>
          <w:sz w:val="22"/>
        </w:rPr>
        <w:t xml:space="preserve"> </w:t>
      </w:r>
      <w:r>
        <w:rPr>
          <w:rFonts w:ascii="Times New Roman" w:hAnsi="Times New Roman"/>
          <w:color w:val="000000"/>
          <w:sz w:val="20"/>
        </w:rPr>
        <w:t>million, a TRA remeasurement gain of $21.7</w:t>
      </w:r>
      <w:r>
        <w:rPr>
          <w:rFonts w:ascii="sans-serif" w:hAnsi="sans-serif"/>
          <w:color w:val="000000"/>
          <w:sz w:val="22"/>
        </w:rPr>
        <w:t xml:space="preserve"> </w:t>
      </w:r>
      <w:r>
        <w:rPr>
          <w:rFonts w:ascii="Times New Roman" w:hAnsi="Times New Roman"/>
          <w:color w:val="000000"/>
          <w:sz w:val="20"/>
        </w:rPr>
        <w:t>million, interest expense of $11.3</w:t>
      </w:r>
      <w:r>
        <w:rPr>
          <w:rFonts w:ascii="sans-serif" w:hAnsi="sans-serif"/>
          <w:color w:val="000000"/>
          <w:sz w:val="22"/>
        </w:rPr>
        <w:t xml:space="preserve"> </w:t>
      </w:r>
      <w:r>
        <w:rPr>
          <w:rFonts w:ascii="Times New Roman" w:hAnsi="Times New Roman"/>
          <w:color w:val="000000"/>
          <w:sz w:val="20"/>
        </w:rPr>
        <w:t>million, transaction integration, and restructuring expenses of $7.6</w:t>
      </w:r>
      <w:r>
        <w:rPr>
          <w:rFonts w:ascii="sans-serif" w:hAnsi="sans-serif"/>
          <w:color w:val="000000"/>
          <w:sz w:val="22"/>
        </w:rPr>
        <w:t xml:space="preserve"> </w:t>
      </w:r>
      <w:r>
        <w:rPr>
          <w:rFonts w:ascii="Times New Roman" w:hAnsi="Times New Roman"/>
          <w:color w:val="000000"/>
          <w:sz w:val="20"/>
        </w:rPr>
        <w:t>million, interest income of $7.0</w:t>
      </w:r>
      <w:r>
        <w:rPr>
          <w:rFonts w:ascii="sans-serif" w:hAnsi="sans-serif"/>
          <w:color w:val="000000"/>
          <w:sz w:val="22"/>
        </w:rPr>
        <w:t xml:space="preserve"> </w:t>
      </w:r>
      <w:r>
        <w:rPr>
          <w:rFonts w:ascii="Times New Roman" w:hAnsi="Times New Roman"/>
          <w:color w:val="000000"/>
          <w:sz w:val="20"/>
        </w:rPr>
        <w:t>million, net foreign currency transaction losses of $1.9</w:t>
      </w:r>
      <w:r>
        <w:rPr>
          <w:rFonts w:ascii="sans-serif" w:hAnsi="sans-serif"/>
          <w:color w:val="000000"/>
          <w:sz w:val="22"/>
        </w:rPr>
        <w:t xml:space="preserve"> </w:t>
      </w:r>
      <w:r>
        <w:rPr>
          <w:rFonts w:ascii="Times New Roman" w:hAnsi="Times New Roman"/>
          <w:color w:val="000000"/>
          <w:sz w:val="20"/>
        </w:rPr>
        <w:t>million, and a loss on the partial extinguishment of debt of $0.5</w:t>
      </w:r>
      <w:r>
        <w:rPr>
          <w:rFonts w:ascii="sans-serif" w:hAnsi="sans-serif"/>
          <w:color w:val="000000"/>
          <w:sz w:val="22"/>
        </w:rPr>
        <w:t xml:space="preserve"> </w:t>
      </w:r>
      <w:r>
        <w:rPr>
          <w:rFonts w:ascii="Times New Roman" w:hAnsi="Times New Roman"/>
          <w:color w:val="000000"/>
          <w:sz w:val="20"/>
        </w:rPr>
        <w:t>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year ended December 31, 2024, other segment items, net includes a goodwill impairment charge of $688.9</w:t>
      </w:r>
      <w:r>
        <w:rPr>
          <w:rFonts w:ascii="sans-serif" w:hAnsi="sans-serif"/>
          <w:color w:val="000000"/>
          <w:sz w:val="22"/>
        </w:rPr>
        <w:t xml:space="preserve"> </w:t>
      </w:r>
      <w:r>
        <w:rPr>
          <w:rFonts w:ascii="Times New Roman" w:hAnsi="Times New Roman"/>
          <w:color w:val="000000"/>
          <w:sz w:val="20"/>
        </w:rPr>
        <w:t>million, a TRA remeasurement gain of $76.9</w:t>
      </w:r>
      <w:r>
        <w:rPr>
          <w:rFonts w:ascii="sans-serif" w:hAnsi="sans-serif"/>
          <w:color w:val="000000"/>
          <w:sz w:val="22"/>
        </w:rPr>
        <w:t xml:space="preserve"> </w:t>
      </w:r>
      <w:r>
        <w:rPr>
          <w:rFonts w:ascii="Times New Roman" w:hAnsi="Times New Roman"/>
          <w:color w:val="000000"/>
          <w:sz w:val="20"/>
        </w:rPr>
        <w:t>million, depreciation and amortization expense of $37.6</w:t>
      </w:r>
      <w:r>
        <w:rPr>
          <w:rFonts w:ascii="sans-serif" w:hAnsi="sans-serif"/>
          <w:color w:val="000000"/>
          <w:sz w:val="22"/>
        </w:rPr>
        <w:t xml:space="preserve"> </w:t>
      </w:r>
      <w:r>
        <w:rPr>
          <w:rFonts w:ascii="Times New Roman" w:hAnsi="Times New Roman"/>
          <w:color w:val="000000"/>
          <w:sz w:val="20"/>
        </w:rPr>
        <w:t>million, interest expense of $14.8</w:t>
      </w:r>
      <w:r>
        <w:rPr>
          <w:rFonts w:ascii="sans-serif" w:hAnsi="sans-serif"/>
          <w:color w:val="000000"/>
          <w:sz w:val="22"/>
        </w:rPr>
        <w:t xml:space="preserve"> </w:t>
      </w:r>
      <w:r>
        <w:rPr>
          <w:rFonts w:ascii="Times New Roman" w:hAnsi="Times New Roman"/>
          <w:color w:val="000000"/>
          <w:sz w:val="20"/>
        </w:rPr>
        <w:t>million, interest income of $14.6</w:t>
      </w:r>
      <w:r>
        <w:rPr>
          <w:rFonts w:ascii="sans-serif" w:hAnsi="sans-serif"/>
          <w:color w:val="000000"/>
          <w:sz w:val="22"/>
        </w:rPr>
        <w:t xml:space="preserve"> </w:t>
      </w:r>
      <w:r>
        <w:rPr>
          <w:rFonts w:ascii="Times New Roman" w:hAnsi="Times New Roman"/>
          <w:color w:val="000000"/>
          <w:sz w:val="20"/>
        </w:rPr>
        <w:t>million, transaction integration, and restructuring expenses of $12.2</w:t>
      </w:r>
      <w:r>
        <w:rPr>
          <w:rFonts w:ascii="sans-serif" w:hAnsi="sans-serif"/>
          <w:color w:val="000000"/>
          <w:sz w:val="22"/>
        </w:rPr>
        <w:t xml:space="preserve"> </w:t>
      </w:r>
      <w:r>
        <w:rPr>
          <w:rFonts w:ascii="Times New Roman" w:hAnsi="Times New Roman"/>
          <w:color w:val="000000"/>
          <w:sz w:val="20"/>
        </w:rPr>
        <w:t>million, and net foreign currency transaction gains of $0.4</w:t>
      </w:r>
      <w:r>
        <w:rPr>
          <w:rFonts w:ascii="sans-serif" w:hAnsi="sans-serif"/>
          <w:color w:val="000000"/>
          <w:sz w:val="22"/>
        </w:rPr>
        <w:t xml:space="preserve"> </w:t>
      </w:r>
      <w:r>
        <w:rPr>
          <w:rFonts w:ascii="Times New Roman" w:hAnsi="Times New Roman"/>
          <w:color w:val="000000"/>
          <w:sz w:val="20"/>
        </w:rPr>
        <w:t>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year ended December 31, 2023, other segment items, net includes a goodwill impairment charge of $287.4</w:t>
      </w:r>
      <w:r>
        <w:rPr>
          <w:rFonts w:ascii="sans-serif" w:hAnsi="sans-serif"/>
          <w:color w:val="000000"/>
          <w:sz w:val="22"/>
        </w:rPr>
        <w:t xml:space="preserve"> </w:t>
      </w:r>
      <w:r>
        <w:rPr>
          <w:rFonts w:ascii="Times New Roman" w:hAnsi="Times New Roman"/>
          <w:color w:val="000000"/>
          <w:sz w:val="20"/>
        </w:rPr>
        <w:t>million, a TRA remeasurement gain of $23.5</w:t>
      </w:r>
      <w:r>
        <w:rPr>
          <w:rFonts w:ascii="sans-serif" w:hAnsi="sans-serif"/>
          <w:color w:val="000000"/>
          <w:sz w:val="22"/>
        </w:rPr>
        <w:t xml:space="preserve"> </w:t>
      </w:r>
      <w:r>
        <w:rPr>
          <w:rFonts w:ascii="Times New Roman" w:hAnsi="Times New Roman"/>
          <w:color w:val="000000"/>
          <w:sz w:val="20"/>
        </w:rPr>
        <w:t>million, depreciation and amortization expense of $39.0</w:t>
      </w:r>
      <w:r>
        <w:rPr>
          <w:rFonts w:ascii="sans-serif" w:hAnsi="sans-serif"/>
          <w:color w:val="000000"/>
          <w:sz w:val="22"/>
        </w:rPr>
        <w:t xml:space="preserve"> </w:t>
      </w:r>
      <w:r>
        <w:rPr>
          <w:rFonts w:ascii="Times New Roman" w:hAnsi="Times New Roman"/>
          <w:color w:val="000000"/>
          <w:sz w:val="20"/>
        </w:rPr>
        <w:t>million, interest expense of $15.2</w:t>
      </w:r>
      <w:r>
        <w:rPr>
          <w:rFonts w:ascii="sans-serif" w:hAnsi="sans-serif"/>
          <w:color w:val="000000"/>
          <w:sz w:val="22"/>
        </w:rPr>
        <w:t xml:space="preserve"> </w:t>
      </w:r>
      <w:r>
        <w:rPr>
          <w:rFonts w:ascii="Times New Roman" w:hAnsi="Times New Roman"/>
          <w:color w:val="000000"/>
          <w:sz w:val="20"/>
        </w:rPr>
        <w:t>million, interest income of $13.6</w:t>
      </w:r>
      <w:r>
        <w:rPr>
          <w:rFonts w:ascii="sans-serif" w:hAnsi="sans-serif"/>
          <w:color w:val="000000"/>
          <w:sz w:val="22"/>
        </w:rPr>
        <w:t xml:space="preserve"> </w:t>
      </w:r>
      <w:r>
        <w:rPr>
          <w:rFonts w:ascii="Times New Roman" w:hAnsi="Times New Roman"/>
          <w:color w:val="000000"/>
          <w:sz w:val="20"/>
        </w:rPr>
        <w:t>million, transaction integration, and restructuring expenses of $11.5</w:t>
      </w:r>
      <w:r>
        <w:rPr>
          <w:rFonts w:ascii="sans-serif" w:hAnsi="sans-serif"/>
          <w:color w:val="000000"/>
          <w:sz w:val="22"/>
        </w:rPr>
        <w:t xml:space="preserve"> </w:t>
      </w:r>
      <w:r>
        <w:rPr>
          <w:rFonts w:ascii="Times New Roman" w:hAnsi="Times New Roman"/>
          <w:color w:val="000000"/>
          <w:sz w:val="20"/>
        </w:rPr>
        <w:t>million, and net foreign currency transaction losses of $0.3</w:t>
      </w:r>
      <w:r>
        <w:rPr>
          <w:rFonts w:ascii="sans-serif" w:hAnsi="sans-serif"/>
          <w:color w:val="000000"/>
          <w:sz w:val="22"/>
        </w:rPr>
        <w:t xml:space="preserve"> </w:t>
      </w:r>
      <w:r>
        <w:rPr>
          <w:rFonts w:ascii="Times New Roman" w:hAnsi="Times New Roman"/>
          <w:color w:val="000000"/>
          <w:sz w:val="20"/>
        </w:rPr>
        <w:t>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w:t>
      </w:r>
    </w:p>
    <w:p>
      <w:pPr>
        <w:pStyle w:val="TextBody"/>
        <w:bidi w:val="0"/>
        <w:jc w:val="left"/>
        <w:rPr/>
      </w:pPr>
      <w:r>
        <w:rPr/>
        <w:t> </w:t>
      </w:r>
    </w:p>
    <w:tbl>
      <w:tblPr>
        <w:tblW w:w="7018" w:type="dxa"/>
        <w:jc w:val="left"/>
        <w:tblInd w:w="0" w:type="dxa"/>
        <w:tblLayout w:type="fixed"/>
        <w:tblCellMar>
          <w:top w:w="28" w:type="dxa"/>
          <w:left w:w="28" w:type="dxa"/>
          <w:bottom w:w="28" w:type="dxa"/>
          <w:right w:w="28" w:type="dxa"/>
        </w:tblCellMar>
      </w:tblPr>
      <w:tblGrid>
        <w:gridCol w:w="1821"/>
        <w:gridCol w:w="646"/>
        <w:gridCol w:w="211"/>
        <w:gridCol w:w="781"/>
        <w:gridCol w:w="246"/>
        <w:gridCol w:w="246"/>
        <w:gridCol w:w="211"/>
        <w:gridCol w:w="781"/>
        <w:gridCol w:w="246"/>
        <w:gridCol w:w="246"/>
        <w:gridCol w:w="211"/>
        <w:gridCol w:w="781"/>
        <w:gridCol w:w="591"/>
      </w:tblGrid>
      <w:tr>
        <w:trPr/>
        <w:tc>
          <w:tcPr>
            <w:tcW w:w="18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224,359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241,805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 of world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 summary of our revenue disaggregated by service, refer to Note 4. </w:t>
      </w: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Long-lived assets by geographical region are based on the location of the legal entity that owns the assets. Long-lived assets by geographic area presented based upon the location of the assets are as follows:</w:t>
      </w:r>
    </w:p>
    <w:tbl>
      <w:tblPr>
        <w:tblW w:w="6385" w:type="dxa"/>
        <w:jc w:val="left"/>
        <w:tblInd w:w="0" w:type="dxa"/>
        <w:tblLayout w:type="fixed"/>
        <w:tblCellMar>
          <w:top w:w="28" w:type="dxa"/>
          <w:left w:w="28" w:type="dxa"/>
          <w:bottom w:w="28" w:type="dxa"/>
          <w:right w:w="28" w:type="dxa"/>
        </w:tblCellMar>
      </w:tblPr>
      <w:tblGrid>
        <w:gridCol w:w="2466"/>
        <w:gridCol w:w="646"/>
        <w:gridCol w:w="260"/>
        <w:gridCol w:w="835"/>
        <w:gridCol w:w="246"/>
        <w:gridCol w:w="246"/>
        <w:gridCol w:w="294"/>
        <w:gridCol w:w="801"/>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 of world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long-lived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revenue transactions within the ordinary course of business with entities affiliated with its Sponsors and with members of the Company’s Board. During each of the years ended December 31, 2025, 2024, and 2023, the Company recorded revenue from related parties of $0.7 million, $0.9 million, and $1.4 million, respectively. The associated receivables for the revenue transactions amounted to nil, $0.2 million, and $0.9 million at December 31, 2025,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each of the years ended December 31, 2025 and 2024, the Company also paid $2.5 million and $2.1 million, respectively, to related parties for transactions within the ordinary course of business. Payables to related parties amounted to $0.2 million at December 31, 2025. There were no such payables during the year ended December 31,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6" w:name="dh-ex19_1.htm"/>
      <w:bookmarkStart w:id="47" w:name="ksdhex19_1"/>
      <w:bookmarkEnd w:id="46"/>
      <w:bookmarkEnd w:id="47"/>
      <w:r>
        <w:rPr>
          <w:rFonts w:ascii="Times New Roman" w:hAnsi="Times New Roman"/>
          <w:b/>
          <w:color w:val="000000"/>
          <w:sz w:val="24"/>
        </w:rPr>
        <w:t>Exhibit 19.1</w:t>
      </w:r>
      <w:r>
        <w:br w:type="page"/>
      </w:r>
    </w:p>
    <w:p>
      <w:pPr>
        <w:pStyle w:val="TextBody"/>
        <w:bidi w:val="0"/>
        <w:spacing w:before="0" w:after="160"/>
        <w:jc w:val="left"/>
        <w:rPr>
          <w:rFonts w:ascii="Times New Roman" w:hAnsi="Times New Roman"/>
          <w:b/>
          <w:color w:val="000000"/>
          <w:sz w:val="36"/>
        </w:rPr>
      </w:pPr>
      <w:r>
        <w:rPr>
          <w:rFonts w:ascii="Times New Roman" w:hAnsi="Times New Roman"/>
          <w:b/>
          <w:color w:val="000000"/>
          <w:sz w:val="36"/>
        </w:rPr>
        <w:t>Insider Trading Policy</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I.</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INTRODUCTION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Purpose</w:t>
      </w:r>
    </w:p>
    <w:p>
      <w:pPr>
        <w:pStyle w:val="TextBody"/>
        <w:bidi w:val="0"/>
        <w:jc w:val="left"/>
        <w:rPr>
          <w:rFonts w:ascii="Times New Roman" w:hAnsi="Times New Roman"/>
          <w:sz w:val="20"/>
        </w:rPr>
      </w:pPr>
      <w:r>
        <w:rPr>
          <w:rFonts w:ascii="Times New Roman" w:hAnsi="Times New Roman"/>
          <w:color w:val="000000"/>
          <w:sz w:val="24"/>
        </w:rPr>
        <w:t>The purpose of this Insider Trading Policy (this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to help Definitive Healthcare Corp. and its subsidiaries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comply with U.S. federal and state securities laws relating to insider trading, as well as similar laws in other countries where the Company does business, and to preserve the reputation and integrity of the Company.</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What is Insider Trading?</w:t>
      </w:r>
    </w:p>
    <w:p>
      <w:pPr>
        <w:pStyle w:val="TextBody"/>
        <w:bidi w:val="0"/>
        <w:jc w:val="left"/>
        <w:rPr>
          <w:rFonts w:ascii="Times New Roman" w:hAnsi="Times New Roman"/>
          <w:color w:val="000000"/>
          <w:sz w:val="24"/>
        </w:rPr>
      </w:pPr>
      <w:r>
        <w:rPr>
          <w:rFonts w:ascii="Times New Roman" w:hAnsi="Times New Roman"/>
          <w:color w:val="000000"/>
          <w:sz w:val="24"/>
        </w:rPr>
        <w:t>Insider trading is illegal and prohibited. Insider trading occurs when a person who is aware of material non-public information about a company buys or sells that company’s securities or provides material non-public information to another person who then trades while aware of that information.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C.</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What Securities are Subject to this Policy?</w:t>
      </w:r>
    </w:p>
    <w:p>
      <w:pPr>
        <w:pStyle w:val="TextBody"/>
        <w:bidi w:val="0"/>
        <w:jc w:val="left"/>
        <w:rPr>
          <w:rFonts w:ascii="Times New Roman" w:hAnsi="Times New Roman"/>
          <w:sz w:val="20"/>
        </w:rPr>
      </w:pPr>
      <w:r>
        <w:rPr>
          <w:rFonts w:ascii="Times New Roman" w:hAnsi="Times New Roman"/>
          <w:color w:val="000000"/>
          <w:sz w:val="24"/>
        </w:rPr>
        <w:t>This Policy applies to trading in the Company’s securities (e.g., common stock, as well as options, puts, calls or other derivatives, whether or not issued by the Company) or any other type of securities that the Company may issue, such as preferred stock, debt, convertible debentures and warrants (collectively, “</w:t>
      </w:r>
      <w:r>
        <w:rPr>
          <w:rFonts w:ascii="Times New Roman" w:hAnsi="Times New Roman"/>
          <w:color w:val="000000"/>
          <w:sz w:val="24"/>
          <w:u w:val="single"/>
        </w:rPr>
        <w:t>Company Securities</w:t>
      </w:r>
      <w:r>
        <w:rPr>
          <w:rFonts w:ascii="Times New Roman" w:hAnsi="Times New Roman"/>
          <w:color w:val="000000"/>
          <w:sz w:val="20"/>
        </w:rPr>
        <w:t>”</w:t>
      </w:r>
      <w:r>
        <w:rPr>
          <w:rFonts w:ascii="Times New Roman" w:hAnsi="Times New Roman"/>
          <w:color w:val="000000"/>
          <w:sz w:val="24"/>
        </w:rPr>
        <w:t>). This Policy also prohibits trading in the securities of another company if you become aware of material non-public information about that company in the course of your relationship with the Company.</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Who is Subject to this Policy?</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(1)</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Company Personnel</w:t>
      </w:r>
    </w:p>
    <w:p>
      <w:pPr>
        <w:pStyle w:val="TextBody"/>
        <w:bidi w:val="0"/>
        <w:spacing w:before="0" w:after="160"/>
        <w:jc w:val="left"/>
        <w:rPr>
          <w:rFonts w:ascii="Times New Roman" w:hAnsi="Times New Roman"/>
          <w:sz w:val="20"/>
        </w:rPr>
      </w:pPr>
      <w:r>
        <w:rPr>
          <w:rFonts w:ascii="Times New Roman" w:hAnsi="Times New Roman"/>
          <w:color w:val="000000"/>
          <w:sz w:val="24"/>
        </w:rPr>
        <w:t>This policy applies to all directors, officers and employees of the Company and, to the extent advised by the Company that they are covered by the Policy, consultants and other agents (collectively, “</w:t>
      </w:r>
      <w:r>
        <w:rPr>
          <w:rFonts w:ascii="Times New Roman" w:hAnsi="Times New Roman"/>
          <w:color w:val="000000"/>
          <w:sz w:val="24"/>
          <w:u w:val="single"/>
        </w:rPr>
        <w:t>Company Personnel</w:t>
      </w:r>
      <w:r>
        <w:rPr>
          <w:rFonts w:ascii="Times New Roman" w:hAnsi="Times New Roman"/>
          <w:color w:val="000000"/>
          <w:sz w:val="20"/>
        </w:rPr>
        <w:t>”</w:t>
      </w:r>
      <w:r>
        <w:rPr>
          <w:rFonts w:ascii="Times New Roman" w:hAnsi="Times New Roman"/>
          <w:color w:val="000000"/>
          <w:sz w:val="24"/>
        </w:rPr>
        <w:t>). The use of “you” throughout this Policy speaks directly to Company Personnel.</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(2)</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Family Members and Others Living In Your Household</w:t>
      </w:r>
    </w:p>
    <w:p>
      <w:pPr>
        <w:pStyle w:val="TextBody"/>
        <w:bidi w:val="0"/>
        <w:spacing w:before="0" w:after="160"/>
        <w:jc w:val="left"/>
        <w:rPr>
          <w:rFonts w:ascii="Times New Roman" w:hAnsi="Times New Roman"/>
          <w:sz w:val="20"/>
        </w:rPr>
      </w:pPr>
      <w:r>
        <w:rPr>
          <w:rFonts w:ascii="Times New Roman" w:hAnsi="Times New Roman"/>
          <w:color w:val="000000"/>
          <w:sz w:val="24"/>
        </w:rPr>
        <w:t>This Policy also applies to (i) anyone who lives in the household of Company Personnel (whether or not family members) and (ii) any child, stepchild, grandchild, parent, stepparent, grandparent, spouse, sibling, mother-in-law, father-in-law, son-in-law, daughter-in-law, brother-in-law, or sister-in-law, and includes adoptive relationships, whose transactions are subject to your influence or control (collectively referred to as “</w:t>
      </w:r>
      <w:r>
        <w:rPr>
          <w:rFonts w:ascii="Times New Roman" w:hAnsi="Times New Roman"/>
          <w:color w:val="000000"/>
          <w:sz w:val="24"/>
          <w:u w:val="single"/>
        </w:rPr>
        <w:t>Family Members</w:t>
      </w:r>
      <w:r>
        <w:rPr>
          <w:rFonts w:ascii="Times New Roman" w:hAnsi="Times New Roman"/>
          <w:color w:val="000000"/>
          <w:sz w:val="20"/>
        </w:rPr>
        <w:t>”</w:t>
      </w:r>
      <w:r>
        <w:rPr>
          <w:rFonts w:ascii="Times New Roman" w:hAnsi="Times New Roman"/>
          <w:color w:val="000000"/>
          <w:sz w:val="24"/>
        </w:rPr>
        <w:t>). Company Personnel are responsible for the transactions of their Family Members and therefore Company Personnel should inform their Family Members of the need to confer with them before they trade in Company Securities.</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(3)</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Controlled Entities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Times New Roman" w:hAnsi="Times New Roman"/>
          <w:color w:val="000000"/>
          <w:sz w:val="24"/>
        </w:rPr>
        <w:t>This Policy also applies to any entities or accounts that are under the control of Company Personnel or their Family Members, including corporations, partnerships or trusts (collectively, “</w:t>
      </w:r>
      <w:r>
        <w:rPr>
          <w:rFonts w:ascii="Times New Roman" w:hAnsi="Times New Roman"/>
          <w:color w:val="000000"/>
          <w:sz w:val="24"/>
          <w:u w:val="single"/>
        </w:rPr>
        <w:t>Controlled Entities</w:t>
      </w:r>
      <w:r>
        <w:rPr>
          <w:rFonts w:ascii="Times New Roman" w:hAnsi="Times New Roman"/>
          <w:color w:val="000000"/>
          <w:sz w:val="20"/>
        </w:rPr>
        <w:t>”</w:t>
      </w:r>
      <w:r>
        <w:rPr>
          <w:rFonts w:ascii="Times New Roman" w:hAnsi="Times New Roman"/>
          <w:color w:val="000000"/>
          <w:sz w:val="24"/>
        </w:rPr>
        <w:t>), and transactions by such Controlled Entities should be treated for the purposes of this Policy as if they were for the account of the relevant Company Personnel or Family Member.</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(4)</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Designated Persons</w:t>
      </w:r>
    </w:p>
    <w:p>
      <w:pPr>
        <w:pStyle w:val="TextBody"/>
        <w:bidi w:val="0"/>
        <w:jc w:val="left"/>
        <w:rPr>
          <w:rFonts w:ascii="Times New Roman" w:hAnsi="Times New Roman"/>
          <w:color w:val="000000"/>
          <w:sz w:val="24"/>
        </w:rPr>
      </w:pPr>
      <w:r>
        <w:rPr>
          <w:rFonts w:ascii="Times New Roman" w:hAnsi="Times New Roman"/>
          <w:color w:val="000000"/>
          <w:sz w:val="24"/>
        </w:rPr>
        <w:t>In addition, as specified in Section IV of this Policy, Designated Persons (as defined below) are subject to additional restrictions relating to the prohibition on trading in Company Securities.</w:t>
      </w:r>
    </w:p>
    <w:p>
      <w:pPr>
        <w:pStyle w:val="TextBody"/>
        <w:bidi w:val="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Questions</w:t>
      </w:r>
    </w:p>
    <w:p>
      <w:pPr>
        <w:pStyle w:val="TextBody"/>
        <w:bidi w:val="0"/>
        <w:jc w:val="left"/>
        <w:rPr>
          <w:rFonts w:ascii="Times New Roman" w:hAnsi="Times New Roman"/>
          <w:sz w:val="20"/>
        </w:rPr>
      </w:pPr>
      <w:r>
        <w:rPr>
          <w:rFonts w:ascii="Times New Roman" w:hAnsi="Times New Roman"/>
          <w:color w:val="000000"/>
          <w:sz w:val="24"/>
        </w:rPr>
        <w:t>Questions about this Policy or any proposed transaction or communication should be directed to the Chief Legal Officer or any individual designated by the Chief Legal Officer (the “</w:t>
      </w:r>
      <w:r>
        <w:rPr>
          <w:rFonts w:ascii="Times New Roman" w:hAnsi="Times New Roman"/>
          <w:color w:val="000000"/>
          <w:sz w:val="24"/>
          <w:u w:val="single"/>
        </w:rPr>
        <w:t>Chief Legal Officer</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F.</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Individual Responsibility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You are responsible for complying with this Policy, including for determining whether you are aware of material non-public information. Any action on the part of the Company, the Chief Legal Officer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II.</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INSIDER TRADING</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Policy Prohibiting Insider Trading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No Trading if Aware of Material Non-Public Information. If you are aware of material non- public information about the Company, you may not, directly or indirectly, engage in any transactions in Company Securities.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No Recommendations. You may not recommend the purchase or sale of Company Securities to anyone at any time.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No Tipping. If you are aware of material non-public information about the Company, you may not communicate or pass (“tip”) that information on to others outside the Company, including Family Members and friends. The federal securities laws impose liability on any person who “tips” or communicates material non-public information (the “tipper”) to another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person or entity (the “tippee”), who then trades on the basis of the information. Penalties may apply regardless of whether the tipper derives any economic benefits from the tippee’s trading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Moreover, if you, in the course of your relationship with the Company, learn of material non- public information about another publicly traded company, including but not limited to a customer, supplier, partner of the Company or an economically-linked company such as a competitor of the Company, you may not trade in that company’s securities or share information about that company until the information becomes public or is no longer material to that other company.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For purposes of this Policy, the terms “trade,” “trading” and “transactions” include not only purchases and sales of securities in the public market, but also any other purchases, sales, transfers, gifts or other acquisitions and dispositions of securities, and other arrangements or transactions that affect economic exposure to changes in the prices of these securities.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B.</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What is Material, Non-Public Information?</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(1)</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Identifying Material Information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 general rule, you should consider material information as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While it is not possible to define all categories of material information, some examples of information that ordinarily would be regarded as material are: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proposed acquisition, sale, joint venture, merger or tender offer;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Large contracts, renewals and terminations;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Financial results or projected future earnings or losses;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Changes to earnings guidance or projections, if any;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significant expansion or cutback of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Significant changes to vendor or supplier pricing;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Extraordinary management or business developments;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Changes in executive management;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Major lawsuits or legal settlements;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Material cybersecurity incidents or privacy breaches;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Extraordinary customer quality claims;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commencement or results of regulatory proceedings;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gain or loss of a major supplier or key vendor;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Company restructuring;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Borrowing activities, including contemplated financings and refinancings (other than in the ordinary course);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change in dividend policy, the declaration of a stock split, or an offering of additional securities;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establishment, actual purchases, or the anticipated timing of purchases of a repurchase program for Company Securities;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change in pricing or cost structure;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Major marketing changes;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change in auditors or notification that the auditor’s reports may no longer be relied upon;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Commercialization of a significant new product, process, or service;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Removal of product from the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imposition of a ban on trading in Company Securities or the securities of another company; 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Impending bankruptcy or the existence of severe liquidity problems.</w:t>
      </w:r>
    </w:p>
    <w:p>
      <w:pPr>
        <w:pStyle w:val="TextBody"/>
        <w:bidi w:val="0"/>
        <w:jc w:val="left"/>
        <w:rPr/>
      </w:pPr>
      <w:r>
        <w:rPr/>
        <w:t> </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(2)</w:t>
      </w:r>
    </w:p>
    <w:p>
      <w:pPr>
        <w:pStyle w:val="TextBody"/>
        <w:bidi w:val="0"/>
        <w:spacing w:before="0" w:after="160"/>
        <w:jc w:val="left"/>
        <w:rPr>
          <w:rFonts w:ascii="Times New Roman" w:hAnsi="Times New Roman"/>
          <w:i/>
          <w:color w:val="000000"/>
          <w:sz w:val="24"/>
        </w:rPr>
      </w:pPr>
      <w:r>
        <w:rPr>
          <w:rFonts w:ascii="Times New Roman" w:hAnsi="Times New Roman"/>
          <w:i/>
          <w:color w:val="000000"/>
          <w:sz w:val="24"/>
        </w:rPr>
        <w:t>When Is Information Considered “Public”?</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Information that has not been disclosed to the public is generally considered to be non-public information. For purposes of this Policy, “public disclosure” must be made by a method (or combination of methods) of disclosure reasonably designed to provide broad, non-exclusionary distribution of the information to the public, such as: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press release distributed through a widely disseminated news or wire service.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 Exchange Act filing with the SEC, such as a Form 8-K, an Annual Report on Form 10-K, a Quarterly Report on Form 10-Q or a proxy statement; 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 announcement made at a conference call or webcast, if the public is given adequate advance notice of the conference call or webcast, which is reasonably designed to provide broad, non-exclusionary distribution of the conference call or webcast e information to the public.</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 adequate advance notice of a conference call or webcast, including quarterly earnings calls, must include the date, time, subject matter intended to be discussed and access information. In addition, it should indicate whether a transcript or re-play of the conference or call will be available to the public after it has occurred via the Company’s website, and state for how long it will be available. Public notice should be provided, to the extent practicable, at least 48 hours ahead of the webcast or call.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Once information is widely disseminated, it is still necessary to afford the investing public with sufficient time to absorb the information. As a general rule, information should not be considered fully absorbed by the marketplace until after one full trading day has elapsed since the information is released. Depending on the particular circumstances, the Company may determine that a longer or shorter period should apply to the release of specific material non-public information.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If you have any question as to whether information is material or is publicly available, please err on the side of caution and direct an inquiry to the Chief Legal Officer.</w:t>
      </w:r>
    </w:p>
    <w:p>
      <w:pPr>
        <w:pStyle w:val="TextBody"/>
        <w:bidi w:val="0"/>
        <w:jc w:val="left"/>
        <w:rPr>
          <w:rFonts w:ascii="Times New Roman" w:hAnsi="Times New Roman"/>
          <w:b/>
          <w:color w:val="000000"/>
          <w:sz w:val="24"/>
        </w:rPr>
      </w:pPr>
      <w:r>
        <w:rPr>
          <w:rFonts w:ascii="Times New Roman" w:hAnsi="Times New Roman"/>
          <w:b/>
          <w:color w:val="000000"/>
          <w:sz w:val="24"/>
        </w:rPr>
        <w:t>If you have any question as to whether information is material or is publicly available, please err on the side of caution and direct an inquiry to the Chief Legal Officer.</w:t>
      </w:r>
    </w:p>
    <w:p>
      <w:pPr>
        <w:pStyle w:val="TextBody"/>
        <w:bidi w:val="0"/>
        <w:jc w:val="left"/>
        <w:rPr/>
      </w:pPr>
      <w:r>
        <w:rPr/>
        <w:t> </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III.</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BLACKOUT PERIODS</w:t>
      </w:r>
    </w:p>
    <w:p>
      <w:pPr>
        <w:pStyle w:val="TextBody"/>
        <w:bidi w:val="0"/>
        <w:spacing w:before="80" w:after="160"/>
        <w:jc w:val="left"/>
        <w:rPr>
          <w:rFonts w:ascii="Times New Roman" w:hAnsi="Times New Roman"/>
          <w:sz w:val="20"/>
        </w:rPr>
      </w:pPr>
      <w:r>
        <w:rPr>
          <w:rFonts w:ascii="Times New Roman" w:hAnsi="Times New Roman"/>
          <w:color w:val="000000"/>
          <w:sz w:val="24"/>
        </w:rPr>
        <w:t>All Company Personnel are prohibited from engaging in transactions involving Company Securities during the following periods (the “</w:t>
      </w:r>
      <w:r>
        <w:rPr>
          <w:rFonts w:ascii="Times New Roman" w:hAnsi="Times New Roman"/>
          <w:color w:val="000000"/>
          <w:sz w:val="24"/>
          <w:u w:val="single"/>
        </w:rPr>
        <w:t>Blackout Periods</w:t>
      </w:r>
      <w:r>
        <w:rPr>
          <w:rFonts w:ascii="Times New Roman" w:hAnsi="Times New Roman"/>
          <w:color w:val="000000"/>
          <w:sz w:val="20"/>
        </w:rPr>
        <w:t>”</w:t>
      </w:r>
      <w:r>
        <w:rPr>
          <w:rFonts w:ascii="Times New Roman" w:hAnsi="Times New Roman"/>
          <w:color w:val="000000"/>
          <w:sz w:val="24"/>
        </w:rPr>
        <w:t>):</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The period in each fiscal quarter commencing on the fifteenth day of the third calendar month (i.e., March 15, June 15, September 15 and December 15) and ending after the first full trading day has elapsed after public disclosure of the financial results for such fiscal quarter or year. If public disclosure occurs on a trading day after the markets open, then such date of disclosure shall not be considered the first full trading day with respect to such public disclosure. For example, trading would be permissible on a Tuesday following a Monday release before trading hours and on a Wednesday following a Monday release during or after trading hours.</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Any other period designated in writing by the Chief Legal Officer.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60"/>
        <w:jc w:val="left"/>
        <w:rPr>
          <w:rFonts w:ascii="Times New Roman" w:hAnsi="Times New Roman"/>
          <w:color w:val="000000"/>
          <w:sz w:val="24"/>
        </w:rPr>
      </w:pPr>
      <w:r>
        <w:rPr>
          <w:rFonts w:ascii="Times New Roman" w:hAnsi="Times New Roman"/>
          <w:color w:val="000000"/>
          <w:sz w:val="24"/>
        </w:rPr>
        <w:t>If you are made aware of the existence of an event-specific Blackout Period, you should not disclose the existence of such Blackout Period to any other person.</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IV.</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CERTAIN ADDITIONAL RESTRICTIONS</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Designated Persons</w:t>
      </w:r>
    </w:p>
    <w:p>
      <w:pPr>
        <w:pStyle w:val="TextBody"/>
        <w:bidi w:val="0"/>
        <w:spacing w:before="80" w:after="160"/>
        <w:jc w:val="left"/>
        <w:rPr>
          <w:rFonts w:ascii="Times New Roman" w:hAnsi="Times New Roman"/>
          <w:sz w:val="20"/>
        </w:rPr>
      </w:pPr>
      <w:r>
        <w:rPr>
          <w:rFonts w:ascii="Times New Roman" w:hAnsi="Times New Roman"/>
          <w:color w:val="000000"/>
          <w:sz w:val="24"/>
        </w:rPr>
        <w:t>All Designated Persons are subject to Pre-Clearance restrictions described in this Section IV. The following are “</w:t>
      </w:r>
      <w:r>
        <w:rPr>
          <w:rFonts w:ascii="Times New Roman" w:hAnsi="Times New Roman"/>
          <w:color w:val="000000"/>
          <w:sz w:val="24"/>
          <w:u w:val="single"/>
        </w:rPr>
        <w:t>Designated Persons</w:t>
      </w:r>
      <w:r>
        <w:rPr>
          <w:rFonts w:ascii="Times New Roman" w:hAnsi="Times New Roman"/>
          <w:color w:val="000000"/>
          <w:sz w:val="20"/>
        </w:rPr>
        <w:t>”</w:t>
      </w:r>
      <w:r>
        <w:rPr>
          <w:rFonts w:ascii="Times New Roman" w:hAnsi="Times New Roman"/>
          <w:color w:val="000000"/>
          <w:sz w:val="24"/>
        </w:rPr>
        <w:t>:</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color w:val="000000"/>
          <w:sz w:val="24"/>
        </w:rPr>
        <w:t>All directors and officers (as defined in Rule 16a-1(f) of the Exchange Act) of the Company (each, a “</w:t>
      </w:r>
      <w:r>
        <w:rPr>
          <w:rFonts w:ascii="Times New Roman" w:hAnsi="Times New Roman"/>
          <w:color w:val="000000"/>
          <w:sz w:val="24"/>
          <w:u w:val="single"/>
        </w:rPr>
        <w:t>Section 16 Person</w:t>
      </w:r>
      <w:r>
        <w:rPr>
          <w:color w:val="000000"/>
        </w:rPr>
        <w:t>”</w:t>
      </w:r>
      <w:r>
        <w:rPr>
          <w:rFonts w:ascii="Times New Roman" w:hAnsi="Times New Roman"/>
          <w:color w:val="000000"/>
          <w:sz w:val="24"/>
        </w:rPr>
        <w:t>).</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Company Personnel in key financial reporting or communication roles and such other persons, in each case, as may be designated from time to time by the Chief Legal Officer (designated individuals will be identified and contacted through a separate memorandum).</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B.</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Pre-Clearance</w:t>
      </w:r>
    </w:p>
    <w:p>
      <w:pPr>
        <w:pStyle w:val="TextBody"/>
        <w:bidi w:val="0"/>
        <w:spacing w:before="80" w:after="160"/>
        <w:jc w:val="left"/>
        <w:rPr>
          <w:rFonts w:ascii="Times New Roman" w:hAnsi="Times New Roman"/>
          <w:sz w:val="20"/>
        </w:rPr>
      </w:pPr>
      <w:r>
        <w:rPr>
          <w:rFonts w:ascii="Times New Roman" w:hAnsi="Times New Roman"/>
          <w:color w:val="000000"/>
          <w:sz w:val="24"/>
        </w:rPr>
        <w:t xml:space="preserve">All Designated Persons must clear all transactions in Company Securities by them, their Family Members and their Controlled Entities, including stock option exercises, gifts, and adoption of 10b5- 1 Trading Plans (as defined below) and Non-10b5-1 Trading Plans (as defined below), with the Chief Legal Officer </w:t>
      </w:r>
      <w:r>
        <w:rPr>
          <w:rFonts w:ascii="Times New Roman" w:hAnsi="Times New Roman"/>
          <w:b/>
          <w:color w:val="000000"/>
          <w:sz w:val="24"/>
          <w:u w:val="single"/>
        </w:rPr>
        <w:t>before</w:t>
      </w:r>
      <w:r>
        <w:rPr>
          <w:rFonts w:ascii="Times New Roman" w:hAnsi="Times New Roman"/>
          <w:color w:val="000000"/>
          <w:sz w:val="20"/>
        </w:rPr>
        <w:t xml:space="preserve"> </w:t>
      </w:r>
      <w:r>
        <w:rPr>
          <w:rFonts w:ascii="Times New Roman" w:hAnsi="Times New Roman"/>
          <w:color w:val="000000"/>
          <w:sz w:val="24"/>
        </w:rPr>
        <w:t>the trade may occur. The Chief Legal Officer may designate and provide notice to other key employees who may, from time to time, be subject to the pre-clearance procedures under this Policy.</w:t>
      </w:r>
    </w:p>
    <w:p>
      <w:pPr>
        <w:pStyle w:val="TextBody"/>
        <w:bidi w:val="0"/>
        <w:spacing w:before="80" w:after="160"/>
        <w:jc w:val="left"/>
        <w:rPr>
          <w:rFonts w:ascii="Times New Roman" w:hAnsi="Times New Roman"/>
          <w:sz w:val="20"/>
        </w:rPr>
      </w:pPr>
      <w:r>
        <w:rPr>
          <w:rFonts w:ascii="Times New Roman" w:hAnsi="Times New Roman"/>
          <w:color w:val="000000"/>
          <w:sz w:val="24"/>
        </w:rPr>
        <w:t xml:space="preserve">Designated Persons seeking to pre-clear a trade in Company Securities must notify the Chief Legal Officer (or his/her designee) in writing of the desire to conduct a trade at least two (2) business days before the date of the proposed transaction. Designated Persons should be prepared to provide the dates on which the proposed transactions are expected to occur and to identify the broker- dealer or any other investment professional responsible for executing the trade. The Chief Legal Officer (or his/her designee) will inform the requesting individual of a decision with respect to the request as soon as possible after considering all the circumstances relevant to his/her determination. The Chief Legal Officer (or his/her designee) is under no obligation to approve a transaction submitted for pre-clearance, and may determine not to permit the transaction. If the Chief Legal Officer (or his/her designee) has not responded to a request for pre-clearance, </w:t>
      </w:r>
      <w:r>
        <w:rPr>
          <w:rFonts w:ascii="Times New Roman" w:hAnsi="Times New Roman"/>
          <w:b/>
          <w:color w:val="000000"/>
          <w:sz w:val="24"/>
          <w:u w:val="single"/>
        </w:rPr>
        <w:t>do not</w:t>
      </w:r>
      <w:r>
        <w:rPr>
          <w:rFonts w:ascii="Times New Roman" w:hAnsi="Times New Roman"/>
          <w:color w:val="000000"/>
          <w:sz w:val="20"/>
        </w:rPr>
        <w:t xml:space="preserve"> </w:t>
      </w:r>
      <w:r>
        <w:rPr>
          <w:rFonts w:ascii="Times New Roman" w:hAnsi="Times New Roman"/>
          <w:color w:val="000000"/>
          <w:sz w:val="24"/>
        </w:rPr>
        <w:t>trade in the Company Securities. If approved, the transaction must occur within five (5) business days after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60"/>
        <w:jc w:val="left"/>
        <w:rPr>
          <w:rFonts w:ascii="Times New Roman" w:hAnsi="Times New Roman"/>
          <w:sz w:val="20"/>
        </w:rPr>
      </w:pPr>
      <w:r>
        <w:rPr>
          <w:rFonts w:ascii="Times New Roman" w:hAnsi="Times New Roman"/>
          <w:b/>
          <w:color w:val="000000"/>
          <w:sz w:val="24"/>
        </w:rPr>
        <w:t>Even if approval to trade pursuant to the pre-clearance process is obtained in writing, or pre- clearance is not required for a particular transaction, Designated Persons may not trade in Company Securities if they are aware of material, non-public information about the Company.</w:t>
      </w:r>
      <w:r>
        <w:rPr>
          <w:rFonts w:ascii="Times New Roman" w:hAnsi="Times New Roman"/>
          <w:color w:val="000000"/>
          <w:sz w:val="20"/>
        </w:rPr>
        <w:t xml:space="preserve"> </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C.</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Other Prohibited and Special Transactions</w:t>
      </w:r>
    </w:p>
    <w:p>
      <w:pPr>
        <w:pStyle w:val="TextBody"/>
        <w:bidi w:val="0"/>
        <w:spacing w:before="80" w:after="160"/>
        <w:jc w:val="left"/>
        <w:rPr>
          <w:rFonts w:ascii="Times New Roman" w:hAnsi="Times New Roman"/>
          <w:sz w:val="20"/>
        </w:rPr>
      </w:pPr>
      <w:r>
        <w:rPr>
          <w:rFonts w:ascii="Times New Roman" w:hAnsi="Times New Roman"/>
          <w:color w:val="000000"/>
          <w:sz w:val="24"/>
        </w:rPr>
        <w:t xml:space="preserve">In addition to the other restrictions and prohibitions contained in this Policy, all Company Personnel </w:t>
      </w:r>
      <w:r>
        <w:rPr>
          <w:rFonts w:ascii="Times New Roman" w:hAnsi="Times New Roman"/>
          <w:b/>
          <w:color w:val="000000"/>
          <w:sz w:val="24"/>
          <w:u w:val="single"/>
        </w:rPr>
        <w:t>may not</w:t>
      </w:r>
      <w:r>
        <w:rPr>
          <w:rFonts w:ascii="Times New Roman" w:hAnsi="Times New Roman"/>
          <w:color w:val="000000"/>
          <w:sz w:val="24"/>
        </w:rPr>
        <w:t>:</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Short-Term Trading</w:t>
      </w:r>
      <w:r>
        <w:rPr>
          <w:rFonts w:ascii="Times New Roman" w:hAnsi="Times New Roman"/>
          <w:color w:val="000000"/>
          <w:sz w:val="24"/>
        </w:rPr>
        <w:t>: Sell any Company Securities of the same class during the six months following a purchase of any Company Securities of that class (or vice versa). Shares purchased through the Company are not subject to this restriction.</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Short Sales</w:t>
      </w:r>
      <w:r>
        <w:rPr>
          <w:rFonts w:ascii="Times New Roman" w:hAnsi="Times New Roman"/>
          <w:color w:val="000000"/>
          <w:sz w:val="24"/>
        </w:rPr>
        <w:t>: Engage in short sales (selling securities that you do not own, with the intention of buying the securities at a lower price in the future) of Company Securities. In addition, Section 16(c) of the Exchange Act prohibits Section 16 Persons from engaging in short sales.</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Publicly Traded Options</w:t>
      </w:r>
      <w:r>
        <w:rPr>
          <w:rFonts w:ascii="Times New Roman" w:hAnsi="Times New Roman"/>
          <w:color w:val="000000"/>
          <w:sz w:val="24"/>
        </w:rPr>
        <w:t>: Engage in Company Securities in the form of puts, calls, or other derivative securities, on an exchange or in any other organized market.</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Pledging</w:t>
      </w:r>
      <w:r>
        <w:rPr>
          <w:rFonts w:ascii="Times New Roman" w:hAnsi="Times New Roman"/>
          <w:color w:val="000000"/>
          <w:sz w:val="24"/>
        </w:rPr>
        <w:t>: Pledge, hypothecate, or otherwise encumber shares of Company Securities as collateral for indebtedness. This includes but is not limited to holding such shares in a margin account or any other account that could cause Company Securities to be subject to a margin call or otherwise be available as collateral for a margin loan.</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Hedging</w:t>
      </w:r>
      <w:r>
        <w:rPr>
          <w:rFonts w:ascii="Times New Roman" w:hAnsi="Times New Roman"/>
          <w:color w:val="000000"/>
          <w:sz w:val="24"/>
        </w:rPr>
        <w:t>: Purchase a financial instrument or entering into any transaction that is designed to hedge, establish downside price protection or otherwise offset declines in the market value of Company Securities, including puts, calls, prepaid variable forward contracts, equity swaps, collars, exchange funds (excluding broad-based index funds) and other financial instruments that are designed to or have the effect of hedging or offsetting any decrease in the market value of Company Securities.</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Standing and Limit Orders</w:t>
      </w:r>
      <w:r>
        <w:rPr>
          <w:rFonts w:ascii="Times New Roman" w:hAnsi="Times New Roman"/>
          <w:color w:val="000000"/>
          <w:sz w:val="24"/>
        </w:rPr>
        <w:t>: Place standing or limit orders on Company Securities outside of a properly established Rule 10b5-1 Plan (as defined in Section III.F below).</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60"/>
        <w:jc w:val="left"/>
        <w:rPr>
          <w:rFonts w:ascii="Times New Roman" w:hAnsi="Times New Roman"/>
          <w:b/>
          <w:color w:val="000000"/>
          <w:sz w:val="24"/>
        </w:rPr>
      </w:pPr>
      <w:r>
        <w:rPr>
          <w:rFonts w:ascii="Times New Roman" w:hAnsi="Times New Roman"/>
          <w:b/>
          <w:color w:val="000000"/>
          <w:sz w:val="24"/>
        </w:rPr>
        <w:t>D.</w:t>
      </w:r>
    </w:p>
    <w:p>
      <w:pPr>
        <w:pStyle w:val="TextBody"/>
        <w:bidi w:val="0"/>
        <w:spacing w:before="240" w:after="160"/>
        <w:jc w:val="left"/>
        <w:rPr>
          <w:rFonts w:ascii="Times New Roman" w:hAnsi="Times New Roman"/>
          <w:b/>
          <w:color w:val="000000"/>
          <w:sz w:val="24"/>
        </w:rPr>
      </w:pPr>
      <w:r>
        <w:rPr>
          <w:rFonts w:ascii="Times New Roman" w:hAnsi="Times New Roman"/>
          <w:b/>
          <w:color w:val="000000"/>
          <w:sz w:val="24"/>
        </w:rPr>
        <w:t>Transactions under Company Plans</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The limitations of this Policy do not apply to the following, except as specifically noted:</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Stock Option Exercises</w:t>
      </w:r>
      <w:r>
        <w:rPr>
          <w:rFonts w:ascii="Times New Roman" w:hAnsi="Times New Roman"/>
          <w:color w:val="000000"/>
          <w:sz w:val="24"/>
        </w:rPr>
        <w:t>: The trading restrictions in this Policy, including those imposed during Blackout Periods, do not apply to the exercise of options granted under the Company’s equity compensation plans using cash to pay the exercise price or, where permitted under the applicable award agreement, by a net exercise transaction with the Company. This Policy does, however, apply to any sale of stock as part of a broker- assisted cashless exercise or any other market sale, whether or not for the purpose of generating the cash needed to pay the exercise price or pay taxes.</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Tax Withholding Transactions</w:t>
      </w:r>
      <w:r>
        <w:rPr>
          <w:rFonts w:ascii="Times New Roman" w:hAnsi="Times New Roman"/>
          <w:color w:val="000000"/>
          <w:sz w:val="24"/>
        </w:rPr>
        <w:t>: This Policy does not apply to the surrender of shares directly to the Company as permitted by the Company to satisfy tax withholding obligations as a result of the issuance of shares upon exercise or vesting of stock options, restricted stock units or other equity awards granted under the Company’s equity compensation plans. This Policy does, however, apply to any market sale of the stock received upon exercise or vesting of any such equity awards.</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401(k) Plan</w:t>
      </w:r>
      <w:r>
        <w:rPr>
          <w:rFonts w:ascii="Times New Roman" w:hAnsi="Times New Roman"/>
          <w:color w:val="000000"/>
          <w:sz w:val="24"/>
        </w:rPr>
        <w:t>: Purchases of Company Securities in the Company’s 401(k) plan resulting from periodic contribution of money to the plan pursuant to standard payroll deduction elections. This Policy does apply, however, to certain elections you may make under the 401(k) plan, including: (a) an election to increase or decrease the percentage of your periodic contributions that will be allocated to the Company’s stock fund; (b) an election to make an intra-plan transfer of an existing account balance into or out of the Company’s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pStyle w:val="TextBody"/>
        <w:bidi w:val="0"/>
        <w:spacing w:before="80" w:after="160"/>
        <w:jc w:val="left"/>
        <w:rPr>
          <w:color w:val="000000"/>
        </w:rPr>
      </w:pPr>
      <w:r>
        <w:rPr>
          <w:color w:val="000000"/>
        </w:rPr>
        <w:t>•</w:t>
      </w:r>
    </w:p>
    <w:p>
      <w:pPr>
        <w:pStyle w:val="TextBody"/>
        <w:bidi w:val="0"/>
        <w:spacing w:before="80" w:after="160"/>
        <w:jc w:val="left"/>
        <w:rPr/>
      </w:pPr>
      <w:r>
        <w:rPr>
          <w:rFonts w:ascii="Times New Roman" w:hAnsi="Times New Roman"/>
          <w:b/>
          <w:i/>
          <w:color w:val="000000"/>
          <w:sz w:val="24"/>
        </w:rPr>
        <w:t>Employee Stock Purchase Plan</w:t>
      </w:r>
      <w:r>
        <w:rPr>
          <w:rFonts w:ascii="Times New Roman" w:hAnsi="Times New Roman"/>
          <w:color w:val="000000"/>
          <w:sz w:val="24"/>
        </w:rPr>
        <w:t>: Purchases of Company Securities in any employee stock purchase plan resulting from periodic contribution of money to the plan pursuant to the election made at the time of enrollment in the plan. This Policy also does not apply to purchases of Company Securities resulting from lump sum contributions to the plan, provided that elections to participate by lump sum payment were made at the beginning of the applicable enrollment period. This Policy does apply, however, to elections to participate in the plan for any enrollment period, and to sales of Company Securities purchased pursuant to the plan.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60"/>
        <w:jc w:val="left"/>
        <w:rPr>
          <w:rFonts w:ascii="Times New Roman" w:hAnsi="Times New Roman"/>
          <w:b/>
          <w:color w:val="000000"/>
          <w:sz w:val="24"/>
        </w:rPr>
      </w:pPr>
      <w:r>
        <w:rPr>
          <w:rFonts w:ascii="Times New Roman" w:hAnsi="Times New Roman"/>
          <w:b/>
          <w:color w:val="000000"/>
          <w:sz w:val="24"/>
        </w:rPr>
        <w:t>E.</w:t>
      </w:r>
    </w:p>
    <w:p>
      <w:pPr>
        <w:pStyle w:val="TextBody"/>
        <w:bidi w:val="0"/>
        <w:spacing w:before="240" w:after="160"/>
        <w:jc w:val="left"/>
        <w:rPr>
          <w:rFonts w:ascii="Times New Roman" w:hAnsi="Times New Roman"/>
          <w:b/>
          <w:color w:val="000000"/>
          <w:sz w:val="24"/>
        </w:rPr>
      </w:pPr>
      <w:r>
        <w:rPr>
          <w:rFonts w:ascii="Times New Roman" w:hAnsi="Times New Roman"/>
          <w:b/>
          <w:color w:val="000000"/>
          <w:sz w:val="24"/>
        </w:rPr>
        <w:t>Planned Trading Programs</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Under Rule 10b5-1 of the Exchange Act, Company Personnel may establish a trading plan under which a broker is instructed to trade Company Securities based on pre-determined criteria (a “10b5-1 Trading Plan”). So long as a 10b5-1 Trading Plan is properly established, trading of Company Securities pursuant to that 10b5-1 Trading Plan is not subject to this Policy, including additional pre- clearance and closed trading window restrictions. To be properly established, a 10b5-1 Trading Plan must be established in compliance with the requirements of Rule 10b5-1 of the Exchange Act and any applicable 10b5-1 trading plan guidelines established by the Company at a time when the Company is not in a Blackout Period and the Company Personnel adopting the plan is not otherwise aware of any material, non-public information relating to the Company. Moreover, all 10b5-1 Trading Plans must be reviewed and approved by the Chief Legal Officer before being established to confirm that the 10b5-1 Trading Plan complies with all pertinent company policies and applicable securities laws.</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The Company is required to disclose certain information on a quarterly basis on Form 10-Q and 10-K with respect to the adoption, material modification or termination by any Section 16 Person of (i) 10b5-1 Trading Plans, and (ii) any written trading arrangement for Company Securities that (A) specifies, or includes a written formula, algorithm or computer formula for determining, the amount of securities to be purchased or sold and the price at which and date on which the securities are to be purchased or sold, or (B) does not permit the person adopting the plan to exercise any subsequent influence over how, when or whether to effect purchases or sales (any such trading arrangement, a “Non-10b5-1 Trading Plan”). By entering into a 10b5-1 Trading Plan or Non-10b5-1 Trading Plan, Section 16 Persons are deemed to understand, and agree to cooperate with NGM with respect to, such disclosure obligations, including by notifying the Chief Compliance Officer or their designee of information relevant to the preparation of such disclosure.</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F.</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Post-Termination Transactions</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purchase or sell Company Securities until that information has become public or is no longer material.</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60"/>
        <w:jc w:val="left"/>
        <w:rPr/>
      </w:pPr>
      <w:r>
        <w:rPr/>
        <w:t> </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V.</w:t>
      </w:r>
    </w:p>
    <w:p>
      <w:pPr>
        <w:pStyle w:val="TextBody"/>
        <w:bidi w:val="0"/>
        <w:spacing w:before="80" w:after="160"/>
        <w:jc w:val="left"/>
        <w:rPr>
          <w:rFonts w:ascii="Times New Roman" w:hAnsi="Times New Roman"/>
          <w:b/>
          <w:color w:val="000000"/>
          <w:sz w:val="24"/>
        </w:rPr>
      </w:pPr>
      <w:r>
        <w:rPr>
          <w:rFonts w:ascii="Times New Roman" w:hAnsi="Times New Roman"/>
          <w:b/>
          <w:color w:val="000000"/>
          <w:sz w:val="24"/>
        </w:rPr>
        <w:t>CONSEQUENCES OF VIOLATION</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Insider trading is a serious crime. There are no thresholds or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Individuals found liable for insider trading (and tipping) face penalties of up to three (3) times the profit gained or loss avoided, a criminal fine of up to $5 million and up to twenty (20) years in jail. In addition to the potential criminal and civil liabilities, in certain circumstances the Company may be able to recover all profits made by an insider who traded illegally plus collect other damages. Furthermore, the Company (and its executive officers and directors) could face penalties the greater of $1 million or three</w:t>
      </w:r>
    </w:p>
    <w:p>
      <w:pPr>
        <w:pStyle w:val="TextBody"/>
        <w:bidi w:val="0"/>
        <w:spacing w:before="80" w:after="160"/>
        <w:jc w:val="left"/>
        <w:rPr>
          <w:rFonts w:ascii="Times New Roman" w:hAnsi="Times New Roman"/>
          <w:color w:val="000000"/>
          <w:sz w:val="24"/>
        </w:rPr>
      </w:pPr>
      <w:r>
        <w:rPr>
          <w:rFonts w:ascii="Times New Roman" w:hAnsi="Times New Roman"/>
          <w:color w:val="000000"/>
          <w:sz w:val="24"/>
        </w:rPr>
        <w:t>(3) times the profit gained or loss avoided as a result of an employee’s violation and/or criminal penalty of up to $25 million.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Any violation of this Policy should be brought to the attention of the Chief Legal Officer. Without regard to civil or criminal penalties that may be imposed by others, violation of this Policy and its procedures may constitute grounds for dismissal from the Company.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Last updated by the Board of Directors on September 19,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dh-ex21_1.htm"/>
      <w:bookmarkStart w:id="49" w:name="ksdhex21_1"/>
      <w:bookmarkEnd w:id="48"/>
      <w:bookmarkEnd w:id="49"/>
      <w:r>
        <w:rPr>
          <w:rFonts w:ascii="Times New Roman" w:hAnsi="Times New Roman"/>
          <w:b/>
          <w:color w:val="000000"/>
          <w:sz w:val="20"/>
        </w:rPr>
        <w:t>Exhibit 21.1</w:t>
      </w:r>
      <w:r>
        <w:br w:type="page"/>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Subsidiaries of the Registrant</w:t>
      </w:r>
    </w:p>
    <w:p>
      <w:pPr>
        <w:pStyle w:val="TextBody"/>
        <w:bidi w:val="0"/>
        <w:spacing w:before="0" w:after="160"/>
        <w:jc w:val="left"/>
        <w:rPr/>
      </w:pPr>
      <w:r>
        <w:rPr/>
        <w:t> </w:t>
      </w:r>
    </w:p>
    <w:tbl>
      <w:tblPr>
        <w:tblW w:w="6647" w:type="dxa"/>
        <w:jc w:val="left"/>
        <w:tblInd w:w="0" w:type="dxa"/>
        <w:tblLayout w:type="fixed"/>
        <w:tblCellMar>
          <w:top w:w="28" w:type="dxa"/>
          <w:left w:w="28" w:type="dxa"/>
          <w:bottom w:w="28" w:type="dxa"/>
          <w:right w:w="28" w:type="dxa"/>
        </w:tblCellMar>
      </w:tblPr>
      <w:tblGrid>
        <w:gridCol w:w="3826"/>
        <w:gridCol w:w="2821"/>
      </w:tblGrid>
      <w:tr>
        <w:trPr/>
        <w:tc>
          <w:tcPr>
            <w:tcW w:w="382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Entity Name</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Jurisdiction of Incorporation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AIDH TopCo,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AIDH Buyer,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Definitive Healthcare Holdings,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Definitive Healthcare,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Massachusetts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Analytical Wizards, Inc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Analytical Wizards Services Private Ltd</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India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Holding Company,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Company,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AB</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Sweden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Healthcare Sales Enablement,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Populi,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0" w:name="dh-ex23_1.htm"/>
      <w:bookmarkStart w:id="51" w:name="ksdhex23_1"/>
      <w:bookmarkEnd w:id="50"/>
      <w:bookmarkEnd w:id="51"/>
      <w:r>
        <w:rPr>
          <w:rFonts w:ascii="Times New Roman" w:hAnsi="Times New Roman"/>
          <w:b/>
          <w:color w:val="000000"/>
          <w:sz w:val="22"/>
        </w:rPr>
        <w:t>Exhibit 23.1</w:t>
      </w:r>
      <w:r>
        <w:br w:type="page"/>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CONSENT OF INDEPENDENT REGISTERED PUBLIC ACCOUNTING FIRM</w:t>
      </w:r>
    </w:p>
    <w:p>
      <w:pPr>
        <w:pStyle w:val="TextBody"/>
        <w:bidi w:val="0"/>
        <w:jc w:val="left"/>
        <w:rPr>
          <w:rFonts w:ascii="Times New Roman" w:hAnsi="Times New Roman"/>
          <w:color w:val="000000"/>
          <w:sz w:val="22"/>
        </w:rPr>
      </w:pPr>
      <w:r>
        <w:rPr>
          <w:rFonts w:ascii="Times New Roman" w:hAnsi="Times New Roman"/>
          <w:color w:val="000000"/>
          <w:sz w:val="22"/>
        </w:rPr>
        <w:t>We consent to the incorporation by reference in Registration Statement Nos. 333-259535, 333-270059, 333-274370, 333-277492, and 333-280140 on Form S-8 of our reports dated February 26, 2026, relating to the financial statements of Definitive Healthcare Corp. and the effectiveness of Definitive Healthcare Corp.’s internal control over financial reporting appearing in this Annual Report on Form 10-K for the year ended December 31, 2025.</w:t>
      </w:r>
    </w:p>
    <w:p>
      <w:pPr>
        <w:pStyle w:val="TextBody"/>
        <w:bidi w:val="0"/>
        <w:jc w:val="left"/>
        <w:rPr/>
      </w:pPr>
      <w:r>
        <w:rPr/>
        <w:t> </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/s/ Deloitte &amp; Touche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Boston, Massachusetts</w:t>
      </w:r>
    </w:p>
    <w:p>
      <w:pPr>
        <w:pStyle w:val="TextBody"/>
        <w:bidi w:val="0"/>
        <w:jc w:val="left"/>
        <w:rPr>
          <w:rFonts w:ascii="Times New Roman" w:hAnsi="Times New Roman"/>
          <w:color w:val="000000"/>
          <w:sz w:val="22"/>
        </w:rPr>
      </w:pPr>
      <w:r>
        <w:rPr>
          <w:rFonts w:ascii="Times New Roman" w:hAnsi="Times New Roman"/>
          <w:color w:val="000000"/>
          <w:sz w:val="22"/>
        </w:rPr>
        <w:t>February 26,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2" w:name="dh-ex31_1.htm"/>
      <w:bookmarkStart w:id="53" w:name="ksdhex31_1"/>
      <w:bookmarkEnd w:id="52"/>
      <w:bookmarkEnd w:id="53"/>
      <w:r>
        <w:rPr>
          <w:rFonts w:ascii="Times New Roman" w:hAnsi="Times New Roman"/>
          <w:b/>
          <w:color w:val="000000"/>
          <w:sz w:val="22"/>
        </w:rPr>
        <w:t>Exhibit 31.1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Coop,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05" w:type="dxa"/>
        <w:jc w:val="left"/>
        <w:tblInd w:w="0" w:type="dxa"/>
        <w:tblLayout w:type="fixed"/>
        <w:tblCellMar>
          <w:top w:w="28" w:type="dxa"/>
          <w:left w:w="28" w:type="dxa"/>
          <w:bottom w:w="28" w:type="dxa"/>
          <w:right w:w="28" w:type="dxa"/>
        </w:tblCellMar>
      </w:tblPr>
      <w:tblGrid>
        <w:gridCol w:w="556"/>
        <w:gridCol w:w="1651"/>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dh-ex31_2.htm"/>
      <w:bookmarkStart w:id="55" w:name="ksdhex31_2"/>
      <w:bookmarkEnd w:id="54"/>
      <w:bookmarkEnd w:id="55"/>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Casey Heller,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74" w:type="dxa"/>
        <w:jc w:val="left"/>
        <w:tblInd w:w="0" w:type="dxa"/>
        <w:tblLayout w:type="fixed"/>
        <w:tblCellMar>
          <w:top w:w="28" w:type="dxa"/>
          <w:left w:w="28" w:type="dxa"/>
          <w:bottom w:w="28" w:type="dxa"/>
          <w:right w:w="28" w:type="dxa"/>
        </w:tblCellMar>
      </w:tblPr>
      <w:tblGrid>
        <w:gridCol w:w="556"/>
        <w:gridCol w:w="165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dh-ex32_1.htm"/>
      <w:bookmarkStart w:id="57" w:name="ksdhex32_1"/>
      <w:bookmarkEnd w:id="56"/>
      <w:bookmarkEnd w:id="57"/>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Definitive Healthcare Corp. (the “Company”) for the annual period ended December 31, 2025 as filed with the Securities and Exchange Commission on the date hereof (the “Report”), Kevin Coop,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such officer’s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61795/000095017021003484/dh-ex3_1.htm" TargetMode="External"/><Relationship Id="rId4" Type="http://schemas.openxmlformats.org/officeDocument/2006/relationships/hyperlink" Target="https://www.sec.gov/Archives/edgar/data/1861795/000095017021003484/dh-ex3_2.htm" TargetMode="External"/><Relationship Id="rId5" Type="http://schemas.openxmlformats.org/officeDocument/2006/relationships/hyperlink" Target="https://www.sec.gov/Archives/edgar/data/1861795/000095017021003484/dh-ex3_3.htm" TargetMode="External"/><Relationship Id="rId6" Type="http://schemas.openxmlformats.org/officeDocument/2006/relationships/hyperlink" Target="https://www.sec.gov/Archives/edgar/data/1861795/000095017022003770/dh-ex4_1.htm" TargetMode="External"/><Relationship Id="rId7" Type="http://schemas.openxmlformats.org/officeDocument/2006/relationships/hyperlink" Target="https://www.sec.gov/Archives/edgar/data/1861795/000119312521277423/d402153dex101.htm" TargetMode="External"/><Relationship Id="rId8" Type="http://schemas.openxmlformats.org/officeDocument/2006/relationships/hyperlink" Target="https://www.sec.gov/Archives/edgar/data/1861795/000095017022021958/dh-ex10_5.htm" TargetMode="External"/><Relationship Id="rId9" Type="http://schemas.openxmlformats.org/officeDocument/2006/relationships/hyperlink" Target="https://www.sec.gov/Archives/edgar/data/1861795/000095017021003484/dh-ex10_8.htm" TargetMode="External"/><Relationship Id="rId10" Type="http://schemas.openxmlformats.org/officeDocument/2006/relationships/hyperlink" Target="https://www.sec.gov/Archives/edgar/data/1861795/000095017021003484/dh-ex10_9.htm" TargetMode="External"/><Relationship Id="rId11" Type="http://schemas.openxmlformats.org/officeDocument/2006/relationships/hyperlink" Target="https://www.sec.gov/Archives/edgar/data/1861795/000095017021003484/dh-ex10_9.htm" TargetMode="External"/><Relationship Id="rId12" Type="http://schemas.openxmlformats.org/officeDocument/2006/relationships/hyperlink" Target="https://www.sec.gov/Archives/edgar/data/1861795/000095017021003484/dh-ex10_10.htm" TargetMode="External"/><Relationship Id="rId13" Type="http://schemas.openxmlformats.org/officeDocument/2006/relationships/hyperlink" Target="https://www.sec.gov/Archives/edgar/data/1861795/000095017021003484/dh-ex10_11.htm" TargetMode="External"/><Relationship Id="rId14" Type="http://schemas.openxmlformats.org/officeDocument/2006/relationships/hyperlink" Target="https://www.sec.gov/Archives/edgar/data/1861795/000095017021003484/dh-ex10_12.htm" TargetMode="External"/><Relationship Id="rId15" Type="http://schemas.openxmlformats.org/officeDocument/2006/relationships/hyperlink" Target="https://www.sec.gov/Archives/edgar/data/1861795/000095017021003484/dh-ex10_13.htm" TargetMode="External"/><Relationship Id="rId16" Type="http://schemas.openxmlformats.org/officeDocument/2006/relationships/hyperlink" Target="https://www.sec.gov/Archives/edgar/data/1861795/000095017021003484/dh-ex10_14.htm" TargetMode="External"/><Relationship Id="rId17" Type="http://schemas.openxmlformats.org/officeDocument/2006/relationships/hyperlink" Target="https://www.sec.gov/Archives/edgar/data/1861795/000095017021003484/dh-ex10_14.htm" TargetMode="External"/><Relationship Id="rId18" Type="http://schemas.openxmlformats.org/officeDocument/2006/relationships/hyperlink" Target="https://www.sec.gov/Archives/edgar/data/1861795/000119312521266049/d127783dex1019.htm" TargetMode="External"/><Relationship Id="rId19" Type="http://schemas.openxmlformats.org/officeDocument/2006/relationships/hyperlink" Target="https://www.sec.gov/Archives/edgar/data/1861795/000119312521330014/d204687dex1021.htm" TargetMode="External"/><Relationship Id="rId20" Type="http://schemas.openxmlformats.org/officeDocument/2006/relationships/hyperlink" Target="https://www.sec.gov/Archives/edgar/data/1861795/000119312521252899/d127783dex101.htm" TargetMode="External"/><Relationship Id="rId21" Type="http://schemas.openxmlformats.org/officeDocument/2006/relationships/hyperlink" Target="https://www.sec.gov/Archives/edgar/data/1861795/000095017022003770/dh-ex10_12.htm" TargetMode="External"/><Relationship Id="rId22" Type="http://schemas.openxmlformats.org/officeDocument/2006/relationships/hyperlink" Target="https://www.sec.gov/Archives/edgar/data/1861795/000119312521252899/d127783dex103.htm" TargetMode="External"/><Relationship Id="rId23" Type="http://schemas.openxmlformats.org/officeDocument/2006/relationships/hyperlink" Target="https://www.sec.gov/Archives/edgar/data/1861795/000119312521252899/d127783dex104.htm" TargetMode="External"/><Relationship Id="rId24" Type="http://schemas.openxmlformats.org/officeDocument/2006/relationships/hyperlink" Target="https://www.sec.gov/Archives/edgar/data/1861795/000095017022021909/dh-ex10_2.htm" TargetMode="External"/><Relationship Id="rId25" Type="http://schemas.openxmlformats.org/officeDocument/2006/relationships/hyperlink" Target="https://www.sec.gov/Archives/edgar/data/1861795/000095017023004643/dh-ex10_17.htm" TargetMode="External"/><Relationship Id="rId26" Type="http://schemas.openxmlformats.org/officeDocument/2006/relationships/hyperlink" Target="https://www.sec.gov/Archives/edgar/data/1861795/000119312522256657/d383931dex101.htm" TargetMode="External"/><Relationship Id="rId27" Type="http://schemas.openxmlformats.org/officeDocument/2006/relationships/hyperlink" Target="https://www.sec.gov/Archives/edgar/data/1861795/000095017025067044/dh-ex10_3.htm" TargetMode="External"/><Relationship Id="rId28" Type="http://schemas.openxmlformats.org/officeDocument/2006/relationships/hyperlink" Target="https://www.sec.gov/Archives/edgar/data/1861795/000095017023004128/dh-ex10_2.htm" TargetMode="External"/><Relationship Id="rId29" Type="http://schemas.openxmlformats.org/officeDocument/2006/relationships/hyperlink" Target="https://www.sec.gov/Archives/edgar/data/1861795/000119312521252899/d127783dex106.htm" TargetMode="External"/><Relationship Id="rId30" Type="http://schemas.openxmlformats.org/officeDocument/2006/relationships/hyperlink" Target="https://www.sec.gov/Archives/edgar/data/1861795/000119312521252899/d127783dex107.htm" TargetMode="External"/><Relationship Id="rId31" Type="http://schemas.openxmlformats.org/officeDocument/2006/relationships/hyperlink" Target="https://www.sec.gov/Archives/edgar/data/1861795/000119312522142304/d329213dex102.htm" TargetMode="External"/><Relationship Id="rId32" Type="http://schemas.openxmlformats.org/officeDocument/2006/relationships/hyperlink" Target="https://www.sec.gov/Archives/edgar/data/1861795/000095017023004128/dh-ex10_1.htm" TargetMode="External"/><Relationship Id="rId33" Type="http://schemas.openxmlformats.org/officeDocument/2006/relationships/hyperlink" Target="https://www.sec.gov/Archives/edgar/data/1861795/000095017023065480/dh-ex10_1.htm" TargetMode="External"/><Relationship Id="rId34" Type="http://schemas.openxmlformats.org/officeDocument/2006/relationships/hyperlink" Target="https://www.sec.gov/Archives/edgar/data/1861795/000095017023004643/dh-ex10_36.htm" TargetMode="External"/><Relationship Id="rId35" Type="http://schemas.openxmlformats.org/officeDocument/2006/relationships/hyperlink" Target="https://www.sec.gov/Archives/edgar/data/1861795/000095017025029086/dh-ex10_29.htm" TargetMode="External"/><Relationship Id="rId36" Type="http://schemas.openxmlformats.org/officeDocument/2006/relationships/hyperlink" Target="https://www.sec.gov/Archives/edgar/data/1861795/000119312523229619/d501211dex992.htm" TargetMode="External"/><Relationship Id="rId37" Type="http://schemas.openxmlformats.org/officeDocument/2006/relationships/hyperlink" Target="https://www.sec.gov/Archives/edgar/data/1861795/000119312523229619/d501211dex993.htm" TargetMode="External"/><Relationship Id="rId38" Type="http://schemas.openxmlformats.org/officeDocument/2006/relationships/hyperlink" Target="https://www.sec.gov/Archives/edgar/data/1861795/000095017023042435/dh-ex10_1.htm" TargetMode="External"/><Relationship Id="rId39" Type="http://schemas.openxmlformats.org/officeDocument/2006/relationships/hyperlink" Target="https://www.sec.gov/Archives/edgar/data/1861795/000095017024064571/dh-ex10_1.htm" TargetMode="External"/><Relationship Id="rId40" Type="http://schemas.openxmlformats.org/officeDocument/2006/relationships/hyperlink" Target="https://www.sec.gov/Archives/edgar/data/1861795/000095017024064571/dh-ex10_2.htm" TargetMode="External"/><Relationship Id="rId41" Type="http://schemas.openxmlformats.org/officeDocument/2006/relationships/hyperlink" Target="https://www.sec.gov/Archives/edgar/data/1861795/000095017024123356/dh-ex10_1.htm" TargetMode="External"/><Relationship Id="rId42" Type="http://schemas.openxmlformats.org/officeDocument/2006/relationships/hyperlink" Target="https://www.sec.gov/Archives/edgar/data/1861795/000095017025006199/dh-ex10_1.htm" TargetMode="External"/><Relationship Id="rId43" Type="http://schemas.openxmlformats.org/officeDocument/2006/relationships/hyperlink" Target="https://www.sec.gov/Archives/edgar/data/1861795/000095017024022134/dh-ex97_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82307</Words>
  <Characters>459618</Characters>
  <CharactersWithSpaces>542593</CharactersWithSpaces>
  <Paragraphs>10086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