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184150</wp:posOffset>
            </wp:positionV>
            <wp:extent cx="360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203200</wp:posOffset>
            </wp:positionV>
            <wp:extent cx="3600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3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201930</wp:posOffset>
            </wp:positionV>
            <wp:extent cx="3600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 $0.001 PAR VALUE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24477E103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194310</wp:posOffset>
            </wp:positionV>
            <wp:extent cx="360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040" w:hanging="203"/>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040" w:hanging="203"/>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040" w:hanging="203"/>
        <w:spacing w:after="0"/>
        <w:tabs>
          <w:tab w:leader="none" w:pos="10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left="340" w:right="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16"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L.P.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62,493,676</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62,493,676</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62,493,676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 (1)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 LLC</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62,493,676</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62,493,676</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62,493,676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53.7% (1)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 LLC</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46,251,909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46,251,909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46,251,909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39.8% (1)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GPE IX GP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36,492,659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36,492,659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36,492,659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31.4% (1)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6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16,955,510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16,955,510</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16,955,510</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14.6% (1)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7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IX-B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3,359,809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3,359,809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3,359,809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2.9%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8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IX-C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1,394,766</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1,394,766</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1,394,766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9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IX-F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1,463,380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1,463,380</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1,463,380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10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IX-G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4,815,226</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4,815,226</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4,815,226</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11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IX-H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5,428,915</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5,428,915</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5,428,915</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12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IX-I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3,075,053</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3,075,053</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3,075,053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13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GPE IX GP S.à r.l</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8,301,241</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8,301,241</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8,301,241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7.1%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14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IX-A SCSp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4,985,850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4,985,850</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4,985,850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15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IX-D SCSp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1,061,241</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1,061,241</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1,061,241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0.9%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16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IX-E SCSp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2,156,723</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2,156,723</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2,156,723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50"/>
        </w:trPr>
        <w:tc>
          <w:tcPr>
            <w:tcW w:w="2160" w:type="dxa"/>
            <w:vAlign w:val="bottom"/>
            <w:tcBorders>
              <w:top w:val="single" w:sz="8" w:color="auto"/>
              <w:left w:val="single" w:sz="8" w:color="auto"/>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17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International GPE IX Strategic Investors SCSp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97,427</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97,427</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97,427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0.1% (1)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18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AP GPE IX GP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1,458,009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1,458,009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1,458,009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19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Partners GPE IX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55,642</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55,642</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55,642</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Less than 0.1% (1)</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20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Partners GPE IX-A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128,669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128,669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128,669</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0.1% (1)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250"/>
        </w:trPr>
        <w:tc>
          <w:tcPr>
            <w:tcW w:w="2160" w:type="dxa"/>
            <w:vAlign w:val="bottom"/>
            <w:tcBorders>
              <w:top w:val="single" w:sz="8" w:color="auto"/>
              <w:left w:val="single" w:sz="8" w:color="auto"/>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21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Partners GPE IX Cayman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321,070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321,070</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321,070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0.3% (1)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22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5"/>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Advent Partners GPE IX-A Cayman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5"/>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54,121</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54,121</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54,121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Less than 0.1% (1)</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250"/>
        </w:trPr>
        <w:tc>
          <w:tcPr>
            <w:tcW w:w="2160" w:type="dxa"/>
            <w:vAlign w:val="bottom"/>
            <w:tcBorders>
              <w:top w:val="single" w:sz="8" w:color="auto"/>
              <w:left w:val="single" w:sz="8" w:color="auto"/>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23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Partners GPE IX-B Cayman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898,507</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898,507</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898,507</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0.8% (1)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24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 LLC</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12,617,980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12,617,980</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12,617,980</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 (1)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25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 GP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20" w:type="dxa"/>
            <w:vAlign w:val="bottom"/>
            <w:shd w:val="clear" w:color="auto" w:fill="BFBFBF"/>
          </w:tcPr>
          <w:p>
            <w:pPr>
              <w:spacing w:after="0"/>
              <w:rPr>
                <w:sz w:val="24"/>
                <w:szCs w:val="24"/>
                <w:color w:val="auto"/>
              </w:rPr>
            </w:pPr>
          </w:p>
        </w:tc>
        <w:tc>
          <w:tcPr>
            <w:tcW w:w="4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10,326,106</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20" w:type="dxa"/>
            <w:vAlign w:val="bottom"/>
          </w:tcPr>
          <w:p>
            <w:pPr>
              <w:spacing w:after="0"/>
              <w:rPr>
                <w:sz w:val="18"/>
                <w:szCs w:val="18"/>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10,326,106</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10,326,106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8.9% (1)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26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3,818,770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3,818,770</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3,818,770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27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Technology-B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2,971,879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2,971,879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2,971,879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28 of 58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Technology-C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1,609,070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1,609,070</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1,609,070</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29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Technology-D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1,926,387</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1,926,387</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1,926,387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1.7%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30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 GP S.à r.l.</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1,885,069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1,885,069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1,885,069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31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Technology-A SCSP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1,885,069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1,885,069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1,885,069</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32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AP AGT GP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406,805</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406,805</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406,805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0.3% (1)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33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Partners AGT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31,561</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31,561</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31,561</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Less than 0.1% (1)</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50"/>
        </w:trPr>
        <w:tc>
          <w:tcPr>
            <w:tcW w:w="2200" w:type="dxa"/>
            <w:vAlign w:val="bottom"/>
            <w:tcBorders>
              <w:top w:val="single" w:sz="8" w:color="auto"/>
              <w:left w:val="single" w:sz="8" w:color="auto"/>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34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Partners AGT-A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27,373</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27,373</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27,373</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Less than 0.1% (1)</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50"/>
        </w:trPr>
        <w:tc>
          <w:tcPr>
            <w:tcW w:w="2160" w:type="dxa"/>
            <w:vAlign w:val="bottom"/>
            <w:tcBorders>
              <w:top w:val="single" w:sz="8" w:color="auto"/>
              <w:left w:val="single" w:sz="8" w:color="auto"/>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54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35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Partners AGT Cayman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7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317,329</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317,329</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317,329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0.3% (1)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50"/>
        </w:trPr>
        <w:tc>
          <w:tcPr>
            <w:tcW w:w="2040" w:type="dxa"/>
            <w:vAlign w:val="bottom"/>
            <w:tcBorders>
              <w:top w:val="single" w:sz="8" w:color="auto"/>
              <w:left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36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5"/>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Technology Strategic Investors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5"/>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30,542</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30,542</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30,542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Less than 0.1% (1)</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37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Opportunities Management LLC</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3,623,787</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3,623,787</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3,623,787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38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Opportunities GP LLC</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3,623,787</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3,623,787</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3,623,787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39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Opportunities GP LP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3,623,787</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3,623,787</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3,623,787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50"/>
        </w:trPr>
        <w:tc>
          <w:tcPr>
            <w:tcW w:w="2220" w:type="dxa"/>
            <w:vAlign w:val="bottom"/>
            <w:tcBorders>
              <w:top w:val="single" w:sz="8" w:color="auto"/>
              <w:left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4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40 of 58 Pages</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5920" w:type="dxa"/>
            <w:vAlign w:val="bottom"/>
            <w:tcBorders>
              <w:bottom w:val="single" w:sz="8" w:color="auto"/>
            </w:tcBorders>
            <w:gridSpan w:val="6"/>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Advent Global Opportunities Master Limited Partnership</w:t>
            </w: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5920" w:type="dxa"/>
            <w:vAlign w:val="bottom"/>
            <w:tcBorders>
              <w:bottom w:val="single" w:sz="8" w:color="auto"/>
            </w:tcBorders>
            <w:gridSpan w:val="6"/>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9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240" w:type="dxa"/>
            <w:vAlign w:val="bottom"/>
            <w:tcBorders>
              <w:right w:val="single" w:sz="8" w:color="BFBFBF"/>
            </w:tcBorders>
            <w:shd w:val="clear" w:color="auto" w:fill="BFBFBF"/>
          </w:tcPr>
          <w:p>
            <w:pPr>
              <w:spacing w:after="0"/>
              <w:rPr>
                <w:sz w:val="20"/>
                <w:szCs w:val="20"/>
                <w:color w:val="auto"/>
              </w:rPr>
            </w:pPr>
          </w:p>
        </w:tc>
        <w:tc>
          <w:tcPr>
            <w:tcW w:w="3360" w:type="dxa"/>
            <w:vAlign w:val="bottom"/>
            <w:tcBorders>
              <w:right w:val="single" w:sz="8" w:color="BFBFBF"/>
            </w:tcBorders>
            <w:shd w:val="clear" w:color="auto" w:fill="BFBFBF"/>
          </w:tcPr>
          <w:p>
            <w:pPr>
              <w:spacing w:after="0"/>
              <w:rPr>
                <w:sz w:val="20"/>
                <w:szCs w:val="20"/>
                <w:color w:val="auto"/>
              </w:rPr>
            </w:pPr>
          </w:p>
        </w:tc>
        <w:tc>
          <w:tcPr>
            <w:tcW w:w="39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240" w:type="dxa"/>
            <w:vAlign w:val="bottom"/>
            <w:tcBorders>
              <w:right w:val="single" w:sz="8" w:color="BFBFBF"/>
            </w:tcBorders>
            <w:shd w:val="clear" w:color="auto" w:fill="BFBFBF"/>
          </w:tcPr>
          <w:p>
            <w:pPr>
              <w:spacing w:after="0"/>
              <w:rPr>
                <w:sz w:val="24"/>
                <w:szCs w:val="24"/>
                <w:color w:val="auto"/>
              </w:rPr>
            </w:pPr>
          </w:p>
        </w:tc>
        <w:tc>
          <w:tcPr>
            <w:tcW w:w="3360" w:type="dxa"/>
            <w:vAlign w:val="bottom"/>
            <w:tcBorders>
              <w:right w:val="single" w:sz="8" w:color="BFBFBF"/>
            </w:tcBorders>
            <w:shd w:val="clear" w:color="auto" w:fill="BFBFBF"/>
          </w:tcPr>
          <w:p>
            <w:pPr>
              <w:spacing w:after="0"/>
              <w:rPr>
                <w:sz w:val="24"/>
                <w:szCs w:val="24"/>
                <w:color w:val="auto"/>
              </w:rPr>
            </w:pPr>
          </w:p>
        </w:tc>
        <w:tc>
          <w:tcPr>
            <w:tcW w:w="39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62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9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3,623,787</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19"/>
                <w:szCs w:val="19"/>
                <w:color w:val="auto"/>
              </w:rPr>
            </w:pPr>
          </w:p>
        </w:tc>
        <w:tc>
          <w:tcPr>
            <w:tcW w:w="3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3,623,787</w:t>
            </w:r>
          </w:p>
        </w:tc>
        <w:tc>
          <w:tcPr>
            <w:tcW w:w="3360" w:type="dxa"/>
            <w:vAlign w:val="bottom"/>
          </w:tcPr>
          <w:p>
            <w:pPr>
              <w:spacing w:after="0"/>
              <w:rPr>
                <w:sz w:val="20"/>
                <w:szCs w:val="20"/>
                <w:color w:val="auto"/>
              </w:rPr>
            </w:pP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360" w:type="dxa"/>
            <w:vAlign w:val="bottom"/>
          </w:tcPr>
          <w:p>
            <w:pPr>
              <w:spacing w:after="0"/>
              <w:rPr>
                <w:sz w:val="10"/>
                <w:szCs w:val="10"/>
                <w:color w:val="auto"/>
              </w:rPr>
            </w:pPr>
          </w:p>
        </w:tc>
        <w:tc>
          <w:tcPr>
            <w:tcW w:w="3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3,623,787</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6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3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620" w:type="dxa"/>
            <w:vAlign w:val="bottom"/>
            <w:tcBorders>
              <w:bottom w:val="single" w:sz="8" w:color="auto"/>
            </w:tcBorders>
            <w:gridSpan w:val="3"/>
          </w:tcPr>
          <w:p>
            <w:pPr>
              <w:spacing w:after="0"/>
              <w:rPr>
                <w:sz w:val="11"/>
                <w:szCs w:val="11"/>
                <w:color w:val="auto"/>
              </w:rPr>
            </w:pPr>
          </w:p>
        </w:tc>
        <w:tc>
          <w:tcPr>
            <w:tcW w:w="3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 (1)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620" w:type="dxa"/>
            <w:vAlign w:val="bottom"/>
            <w:tcBorders>
              <w:bottom w:val="single" w:sz="8" w:color="auto"/>
            </w:tcBorders>
            <w:gridSpan w:val="3"/>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9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500" w:hanging="49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116,328,089 shares of Class A Common Stock outstanding, as disclosed in the Issuer’s Quarterly Report on Form 10-Q filed with the Securities and Exchange Commission on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41 of 58 Pages</w:t>
            </w:r>
          </w:p>
        </w:tc>
      </w:tr>
    </w:tbl>
    <w:p>
      <w:pPr>
        <w:spacing w:after="0" w:line="15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Issuer</w:t>
      </w:r>
    </w:p>
    <w:p>
      <w:pPr>
        <w:spacing w:after="0" w:line="229" w:lineRule="exact"/>
        <w:rPr>
          <w:sz w:val="20"/>
          <w:szCs w:val="20"/>
          <w:color w:val="auto"/>
        </w:rPr>
      </w:pPr>
    </w:p>
    <w:p>
      <w:pPr>
        <w:ind w:left="1620" w:hanging="802"/>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Healthcare Corp.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Filing Person</w:t>
      </w:r>
    </w:p>
    <w:p>
      <w:pPr>
        <w:spacing w:after="0" w:line="229" w:lineRule="exact"/>
        <w:rPr>
          <w:sz w:val="20"/>
          <w:szCs w:val="20"/>
          <w:color w:val="auto"/>
        </w:rPr>
      </w:pPr>
    </w:p>
    <w:p>
      <w:pPr>
        <w:ind w:left="1060" w:hanging="242"/>
        <w:spacing w:after="0"/>
        <w:tabs>
          <w:tab w:leader="none" w:pos="10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Name of Persons Filing; Address; Citizenship:</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L.P., a Delaware limited partnership (f/k/a Advent International Corporation);</w:t>
      </w:r>
    </w:p>
    <w:p>
      <w:pPr>
        <w:spacing w:after="0" w:line="27"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 LLC, a Delaware limited liability company;</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 LLC, a Delaware limited liability company;</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GPE IX GP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IX-B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IX-C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IX-F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IX-G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IX-H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right="620" w:hanging="652"/>
        <w:spacing w:after="0" w:line="250" w:lineRule="auto"/>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IX-I Limited Partnership, a Cayman Islands limited partnership (the funds set forth in the foregoing clauses (v)-(xi), the “</w:t>
      </w:r>
      <w:r>
        <w:rPr>
          <w:rFonts w:ascii="Times New Roman" w:cs="Times New Roman" w:eastAsia="Times New Roman" w:hAnsi="Times New Roman"/>
          <w:sz w:val="18"/>
          <w:szCs w:val="18"/>
          <w:u w:val="single" w:color="auto"/>
          <w:color w:val="auto"/>
        </w:rPr>
        <w:t>Advent IX Cayman Funds</w:t>
      </w:r>
      <w:r>
        <w:rPr>
          <w:rFonts w:ascii="Times New Roman" w:cs="Times New Roman" w:eastAsia="Times New Roman" w:hAnsi="Times New Roman"/>
          <w:sz w:val="18"/>
          <w:szCs w:val="18"/>
          <w:color w:val="auto"/>
        </w:rPr>
        <w:t>”);</w:t>
      </w: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GPE IX GP S.à.r.l., a Luxembourg Société à responsabilité limitée;</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IX-A SCSp, a Luxembourg société en commandite spéciale;</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IX-D SCSp, a Luxembourg société en commandite spéciale;</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IX-E SCSp, a Luxembourg société en commandite spéciale;</w:t>
      </w:r>
    </w:p>
    <w:p>
      <w:pPr>
        <w:spacing w:after="0" w:line="9" w:lineRule="exact"/>
        <w:rPr>
          <w:rFonts w:ascii="Times New Roman" w:cs="Times New Roman" w:eastAsia="Times New Roman" w:hAnsi="Times New Roman"/>
          <w:sz w:val="18"/>
          <w:szCs w:val="18"/>
          <w:color w:val="auto"/>
        </w:rPr>
      </w:pPr>
    </w:p>
    <w:p>
      <w:pPr>
        <w:ind w:left="2280" w:right="80" w:hanging="652"/>
        <w:spacing w:after="0" w:line="250" w:lineRule="auto"/>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International GPE IX Strategic Investors SCSp, a Luxembourg société en commandite spéciale; (the funds set forth in the foregoing clauses (xiii)-(xvi), the “</w:t>
      </w:r>
      <w:r>
        <w:rPr>
          <w:rFonts w:ascii="Times New Roman" w:cs="Times New Roman" w:eastAsia="Times New Roman" w:hAnsi="Times New Roman"/>
          <w:sz w:val="18"/>
          <w:szCs w:val="18"/>
          <w:u w:val="single" w:color="auto"/>
          <w:color w:val="auto"/>
        </w:rPr>
        <w:t>Advent IX Luxembourg Funds</w:t>
      </w:r>
      <w:r>
        <w:rPr>
          <w:rFonts w:ascii="Times New Roman" w:cs="Times New Roman" w:eastAsia="Times New Roman" w:hAnsi="Times New Roman"/>
          <w:sz w:val="18"/>
          <w:szCs w:val="18"/>
          <w:color w:val="auto"/>
        </w:rPr>
        <w:t>”);</w:t>
      </w: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GPE IX GP Limited Partnership, a Delaware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Partners GPE IX Limited Partnership, a Delaware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Partners GPE IX-A Limited Partnership, a Delaware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Partners GPE IX Cayman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Partners GPE IX-A Cayman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right="240" w:hanging="652"/>
        <w:spacing w:after="0" w:line="250" w:lineRule="auto"/>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Partners GPE IX-B Cayman Limited Partnership, a Cayman Islands limited partnership (the funds set forth in the foregoing clauses (xviii)-(xxii), the “</w:t>
      </w:r>
      <w:r>
        <w:rPr>
          <w:rFonts w:ascii="Times New Roman" w:cs="Times New Roman" w:eastAsia="Times New Roman" w:hAnsi="Times New Roman"/>
          <w:sz w:val="18"/>
          <w:szCs w:val="18"/>
          <w:u w:val="single" w:color="auto"/>
          <w:color w:val="auto"/>
        </w:rPr>
        <w:t>Advent IX Partners Funds</w:t>
      </w:r>
      <w:r>
        <w:rPr>
          <w:rFonts w:ascii="Times New Roman" w:cs="Times New Roman" w:eastAsia="Times New Roman" w:hAnsi="Times New Roman"/>
          <w:sz w:val="18"/>
          <w:szCs w:val="18"/>
          <w:color w:val="auto"/>
        </w:rPr>
        <w:t>”);</w:t>
      </w: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 LLC, a Delaware limited liability company;</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 GP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Technology-B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Technology-C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right="700" w:hanging="652"/>
        <w:spacing w:after="0" w:line="250" w:lineRule="auto"/>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Technology-D Limited Partnership, a Cayman Islands limited partnership (the funds set forth in the foregoing clauses (xxv)-(xxviii), the “</w:t>
      </w:r>
      <w:r>
        <w:rPr>
          <w:rFonts w:ascii="Times New Roman" w:cs="Times New Roman" w:eastAsia="Times New Roman" w:hAnsi="Times New Roman"/>
          <w:sz w:val="18"/>
          <w:szCs w:val="18"/>
          <w:u w:val="single" w:color="auto"/>
          <w:color w:val="auto"/>
        </w:rPr>
        <w:t>Advent Global Technology Funds</w:t>
      </w:r>
      <w:r>
        <w:rPr>
          <w:rFonts w:ascii="Times New Roman" w:cs="Times New Roman" w:eastAsia="Times New Roman" w:hAnsi="Times New Roman"/>
          <w:sz w:val="18"/>
          <w:szCs w:val="18"/>
          <w:color w:val="auto"/>
        </w:rPr>
        <w:t>”);</w:t>
      </w: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 GP S.à r.l., a Luxembourg Société à responsabilité limitée;</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Technology-A SCSP, a Luxembourg société en commandite spéciale;</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AGT GP Limited Partnership, a Delaware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Partners AGT Limited Partnership, a Delaware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Partners AGT-A Limited Partnership, a Delaware limited partnership;</w:t>
      </w:r>
    </w:p>
    <w:p>
      <w:pPr>
        <w:spacing w:after="0" w:line="9"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Partners AGT Cayman Limited Partnership, a Cayman Islands limited partnership;</w:t>
      </w:r>
    </w:p>
    <w:p>
      <w:pPr>
        <w:spacing w:after="0" w:line="9" w:lineRule="exact"/>
        <w:rPr>
          <w:rFonts w:ascii="Times New Roman" w:cs="Times New Roman" w:eastAsia="Times New Roman" w:hAnsi="Times New Roman"/>
          <w:sz w:val="18"/>
          <w:szCs w:val="18"/>
          <w:color w:val="auto"/>
        </w:rPr>
      </w:pPr>
    </w:p>
    <w:p>
      <w:pPr>
        <w:ind w:left="2280" w:right="340" w:hanging="652"/>
        <w:spacing w:after="0" w:line="250" w:lineRule="auto"/>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Technology Strategic Investors Limited Partnership, a Cayman Islands limited partnership (the funds set forth in the foregoing clauses (xxxii)-(xxxv), the “</w:t>
      </w:r>
      <w:r>
        <w:rPr>
          <w:rFonts w:ascii="Times New Roman" w:cs="Times New Roman" w:eastAsia="Times New Roman" w:hAnsi="Times New Roman"/>
          <w:sz w:val="18"/>
          <w:szCs w:val="18"/>
          <w:u w:val="single" w:color="auto"/>
          <w:color w:val="auto"/>
        </w:rPr>
        <w:t>Advent AGT Funds</w:t>
      </w:r>
      <w:r>
        <w:rPr>
          <w:rFonts w:ascii="Times New Roman" w:cs="Times New Roman" w:eastAsia="Times New Roman" w:hAnsi="Times New Roman"/>
          <w:sz w:val="18"/>
          <w:szCs w:val="18"/>
          <w:color w:val="auto"/>
        </w:rPr>
        <w:t>”);</w:t>
      </w:r>
    </w:p>
    <w:p>
      <w:pPr>
        <w:ind w:left="2280" w:hanging="652"/>
        <w:spacing w:after="0"/>
        <w:tabs>
          <w:tab w:leader="none" w:pos="22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Opportunities Management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1" w:name="page42"/>
    <w:bookmarkEnd w:id="41"/>
    <w:p>
      <w:pPr>
        <w:ind w:left="140"/>
        <w:spacing w:after="0"/>
        <w:tabs>
          <w:tab w:leader="none" w:pos="4940" w:val="left"/>
          <w:tab w:leader="none" w:pos="7400" w:val="left"/>
        </w:tabs>
        <w:rPr>
          <w:sz w:val="20"/>
          <w:szCs w:val="20"/>
          <w:color w:val="auto"/>
        </w:rPr>
      </w:pPr>
      <w:r>
        <w:rPr>
          <w:rFonts w:ascii="Times New Roman" w:cs="Times New Roman" w:eastAsia="Times New Roman" w:hAnsi="Times New Roman"/>
          <w:sz w:val="18"/>
          <w:szCs w:val="18"/>
          <w:b w:val="1"/>
          <w:bCs w:val="1"/>
          <w:color w:val="auto"/>
        </w:rPr>
        <w:t>CUSIP No. 24477E103</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42 of 58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-125095</wp:posOffset>
            </wp:positionV>
            <wp:extent cx="250317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031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251142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11425" cy="171450"/>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sectPr>
      </w:pPr>
    </w:p>
    <w:p>
      <w:pPr>
        <w:spacing w:after="0" w:line="229" w:lineRule="exact"/>
        <w:rPr>
          <w:sz w:val="20"/>
          <w:szCs w:val="20"/>
          <w:color w:val="auto"/>
        </w:rPr>
      </w:pPr>
    </w:p>
    <w:p>
      <w:pPr>
        <w:ind w:left="1620" w:right="3260" w:firstLine="8"/>
        <w:spacing w:after="0" w:line="261" w:lineRule="auto"/>
        <w:tabs>
          <w:tab w:leader="none" w:pos="22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Opportunities GP LLC, a Delaware limited liability company; (xxxviii)Advent Global Opportunities GP LP, a Cayman Islands limited partnership;</w:t>
      </w:r>
    </w:p>
    <w:p>
      <w:pPr>
        <w:ind w:left="2280" w:right="700" w:hanging="652"/>
        <w:spacing w:after="0" w:line="260" w:lineRule="auto"/>
        <w:tabs>
          <w:tab w:leader="none" w:pos="2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Global Opportunities Master Limited Partnership, a Cayman Islands limited partnership (“</w:t>
      </w:r>
      <w:r>
        <w:rPr>
          <w:rFonts w:ascii="Times New Roman" w:cs="Times New Roman" w:eastAsia="Times New Roman" w:hAnsi="Times New Roman"/>
          <w:sz w:val="18"/>
          <w:szCs w:val="18"/>
          <w:u w:val="single" w:color="auto"/>
          <w:color w:val="auto"/>
        </w:rPr>
        <w:t>Advent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Opportunities Master Fund</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620"/>
        <w:spacing w:after="0" w:line="261" w:lineRule="auto"/>
        <w:rPr>
          <w:sz w:val="20"/>
          <w:szCs w:val="20"/>
          <w:color w:val="auto"/>
        </w:rPr>
      </w:pPr>
      <w:r>
        <w:rPr>
          <w:rFonts w:ascii="Times New Roman" w:cs="Times New Roman" w:eastAsia="Times New Roman" w:hAnsi="Times New Roman"/>
          <w:sz w:val="18"/>
          <w:szCs w:val="18"/>
          <w:color w:val="auto"/>
        </w:rPr>
        <w:t>GPE IX GP Limited Partnership is the general partner of the Advent IX Cayman Funds, GPE IX GP S.à r.l. is the general partner of the Advent IX Luxembourg Funds, and AP GPE IX GP Limited Partnership is the general partner of the Advent IX Partners Funds. Advent International GPE IX, LLC is the general partner of GPE IX GP Limited Partnership and AP GPE IX GP Limited Partnership, and is the manager of GPE IX GP S.à r.l.</w:t>
      </w:r>
    </w:p>
    <w:p>
      <w:pPr>
        <w:spacing w:after="0" w:line="180" w:lineRule="exact"/>
        <w:rPr>
          <w:sz w:val="20"/>
          <w:szCs w:val="20"/>
          <w:color w:val="auto"/>
        </w:rPr>
      </w:pPr>
    </w:p>
    <w:p>
      <w:pPr>
        <w:ind w:left="1620" w:right="20"/>
        <w:spacing w:after="0" w:line="261" w:lineRule="auto"/>
        <w:rPr>
          <w:sz w:val="20"/>
          <w:szCs w:val="20"/>
          <w:color w:val="auto"/>
        </w:rPr>
      </w:pPr>
      <w:r>
        <w:rPr>
          <w:rFonts w:ascii="Times New Roman" w:cs="Times New Roman" w:eastAsia="Times New Roman" w:hAnsi="Times New Roman"/>
          <w:sz w:val="18"/>
          <w:szCs w:val="18"/>
          <w:color w:val="auto"/>
        </w:rPr>
        <w:t>Advent Global Technology GP Limited Partnership is the general partner of the Advent Global Technology Funds, Advent Global Technology GP S.à r.l. is the general partner of Advent Global Technology-A SCSp, and AP AGT GP Limited Partnership is the general partner of the Advent AGT Funds. Advent Global Technology LLC is the general partner of Advent Global Technology GP Limited Partnership and AP AGT GP Limited Partnership, and is the manager of Advent Global Technology GP S.à r.l..</w:t>
      </w:r>
    </w:p>
    <w:p>
      <w:pPr>
        <w:spacing w:after="0" w:line="180" w:lineRule="exact"/>
        <w:rPr>
          <w:sz w:val="20"/>
          <w:szCs w:val="20"/>
          <w:color w:val="auto"/>
        </w:rPr>
      </w:pPr>
    </w:p>
    <w:p>
      <w:pPr>
        <w:ind w:left="1620" w:right="260"/>
        <w:spacing w:after="0" w:line="253" w:lineRule="auto"/>
        <w:rPr>
          <w:sz w:val="20"/>
          <w:szCs w:val="20"/>
          <w:color w:val="auto"/>
        </w:rPr>
      </w:pPr>
      <w:r>
        <w:rPr>
          <w:rFonts w:ascii="Times New Roman" w:cs="Times New Roman" w:eastAsia="Times New Roman" w:hAnsi="Times New Roman"/>
          <w:sz w:val="18"/>
          <w:szCs w:val="18"/>
          <w:color w:val="auto"/>
        </w:rPr>
        <w:t>Advent Global Opportunities GP LP is the general partner of Advent Global Opportunities Master Fund, Advent Global Opportunities GP LLC is the general partner of Advent Global Opportunities GP LP, and Advent Global Opportunities Management LLC is the investment manager to Advent Global Opportunities Master Fund. Investors in Advent Global Opportunities Master Fund invest in one or more of the following feeder funds: Advent Global Opportunities Fund LP, Advent Global Opportunities Limited Partnership, Advent Global Opportunities Fund Ltd. and Advent Global Opportunities Ltd. (collectively, the “</w:t>
      </w:r>
      <w:r>
        <w:rPr>
          <w:rFonts w:ascii="Times New Roman" w:cs="Times New Roman" w:eastAsia="Times New Roman" w:hAnsi="Times New Roman"/>
          <w:sz w:val="18"/>
          <w:szCs w:val="18"/>
          <w:u w:val="single" w:color="auto"/>
          <w:color w:val="auto"/>
        </w:rPr>
        <w:t>Advent Global Opportunities Feeder Funds</w:t>
      </w:r>
      <w:r>
        <w:rPr>
          <w:rFonts w:ascii="Times New Roman" w:cs="Times New Roman" w:eastAsia="Times New Roman" w:hAnsi="Times New Roman"/>
          <w:sz w:val="18"/>
          <w:szCs w:val="18"/>
          <w:color w:val="auto"/>
        </w:rPr>
        <w:t>”), which are the limited partners of Advent Global Opportunities Master Fund. The Advent Global Opportunities Feeder Funds have ownership interests in Advent Global Opportunities Master Fund, but none of the Advent Global Opportunities Feeder Funds owns shares directly and none has voting or dispositive power over the shares held directly by Advent Global Opportunities Master Fund. The various Advent Global Opportunities entities referenced in this Item 2 were previously branded as Sunley House.</w:t>
      </w:r>
    </w:p>
    <w:p>
      <w:pPr>
        <w:spacing w:after="0" w:line="194" w:lineRule="exact"/>
        <w:rPr>
          <w:sz w:val="20"/>
          <w:szCs w:val="20"/>
          <w:color w:val="auto"/>
        </w:rPr>
      </w:pPr>
    </w:p>
    <w:p>
      <w:pPr>
        <w:ind w:left="1620" w:right="40"/>
        <w:spacing w:after="0" w:line="256" w:lineRule="auto"/>
        <w:rPr>
          <w:sz w:val="20"/>
          <w:szCs w:val="20"/>
          <w:color w:val="auto"/>
        </w:rPr>
      </w:pPr>
      <w:r>
        <w:rPr>
          <w:rFonts w:ascii="Times New Roman" w:cs="Times New Roman" w:eastAsia="Times New Roman" w:hAnsi="Times New Roman"/>
          <w:sz w:val="18"/>
          <w:szCs w:val="18"/>
          <w:color w:val="auto"/>
        </w:rPr>
        <w:t>Advent International GP, LLC is the general partner of Advent International, L.P., and Advent International, L.P. is the manager of Advent International GPE IX, LLC and Advent Global Technology LLC and is the sole member of both Advent Global Opportunities GP LLC and Advent Global Opportunities Management LLC. Each of Advent International GP, LLC and Advent International, L.P. may be deemed to have voting and dispositive power over the shares held by the Advent IX Cayman Funds, the Advent IX Luxembourg Funds, the Advent IX Partners Funds, the Advent Global Technology funds, Advent Global Technology-A SCSp, the Advent AGT Funds and Advent Global Opportunities Master Fund.</w:t>
      </w:r>
    </w:p>
    <w:p>
      <w:pPr>
        <w:spacing w:after="0" w:line="187" w:lineRule="exact"/>
        <w:rPr>
          <w:sz w:val="20"/>
          <w:szCs w:val="20"/>
          <w:color w:val="auto"/>
        </w:rPr>
      </w:pPr>
    </w:p>
    <w:p>
      <w:pPr>
        <w:ind w:left="1620" w:right="28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and the principal office of the Reporting Persons is Prudential Tower, 800 Boylston Street, Boston, Massachusetts 02199-8069.</w:t>
      </w:r>
    </w:p>
    <w:p>
      <w:pPr>
        <w:spacing w:after="0" w:line="162" w:lineRule="exact"/>
        <w:rPr>
          <w:sz w:val="20"/>
          <w:szCs w:val="20"/>
          <w:color w:val="auto"/>
        </w:rPr>
      </w:pPr>
    </w:p>
    <w:p>
      <w:pPr>
        <w:ind w:left="1620" w:right="480"/>
        <w:spacing w:after="0" w:line="266" w:lineRule="auto"/>
        <w:rPr>
          <w:sz w:val="20"/>
          <w:szCs w:val="20"/>
          <w:color w:val="auto"/>
        </w:rPr>
      </w:pPr>
      <w:r>
        <w:rPr>
          <w:rFonts w:ascii="Times New Roman" w:cs="Times New Roman" w:eastAsia="Times New Roman" w:hAnsi="Times New Roman"/>
          <w:sz w:val="18"/>
          <w:szCs w:val="18"/>
          <w:color w:val="auto"/>
        </w:rPr>
        <w:t>During 2023, Advent International Corporation effected a change in the form of entity and became Advent International, L.P. Accordingly, Advent International GP, LLC, which is the general partner of Advent International, L.P., has been added as a Reporting Person on this Schedule 13G.</w:t>
      </w:r>
    </w:p>
    <w:p>
      <w:pPr>
        <w:spacing w:after="0" w:line="176" w:lineRule="exact"/>
        <w:rPr>
          <w:sz w:val="20"/>
          <w:szCs w:val="20"/>
          <w:color w:val="auto"/>
        </w:rPr>
      </w:pPr>
    </w:p>
    <w:p>
      <w:pPr>
        <w:ind w:left="1620" w:hanging="802"/>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$0.001 par value per share (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right="8300" w:hanging="802"/>
        <w:spacing w:after="0" w:line="498"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24477E103</w:t>
      </w:r>
    </w:p>
    <w:p>
      <w:pPr>
        <w:spacing w:after="0" w:line="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2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31" w:right="459" w:bottom="1440" w:gutter="0" w:footer="0" w:header="0"/>
          <w:type w:val="continuous"/>
        </w:sectPr>
      </w:pPr>
    </w:p>
    <w:bookmarkStart w:id="42" w:name="page43"/>
    <w:bookmarkEnd w:id="42"/>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43 of 58 Pages</w:t>
            </w:r>
          </w:p>
        </w:tc>
      </w:tr>
    </w:tbl>
    <w:p>
      <w:pPr>
        <w:spacing w:after="0" w:line="15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tab/>
        <w:t>Ownership.</w:t>
      </w:r>
    </w:p>
    <w:p>
      <w:pPr>
        <w:spacing w:after="0" w:line="229" w:lineRule="exact"/>
        <w:rPr>
          <w:sz w:val="20"/>
          <w:szCs w:val="20"/>
          <w:color w:val="auto"/>
        </w:rPr>
      </w:pPr>
    </w:p>
    <w:p>
      <w:pPr>
        <w:ind w:left="1620" w:right="60" w:hanging="802"/>
        <w:spacing w:after="0" w:line="282" w:lineRule="auto"/>
        <w:tabs>
          <w:tab w:leader="none" w:pos="10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Provide the following information regarding the aggregate number and percentage of the class of securities of the issuer identified in Item 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Percentage of</w:t>
            </w:r>
          </w:p>
        </w:tc>
      </w:tr>
      <w:tr>
        <w:trPr>
          <w:trHeight w:val="216"/>
        </w:trPr>
        <w:tc>
          <w:tcPr>
            <w:tcW w:w="39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Sole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Shared</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r>
      <w:tr>
        <w:trPr>
          <w:trHeight w:val="216"/>
        </w:trPr>
        <w:tc>
          <w:tcPr>
            <w:tcW w:w="39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Beneficially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Sole Voting</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Voting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Dispositive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Dispositive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r>
      <w:tr>
        <w:trPr>
          <w:trHeight w:val="241"/>
        </w:trPr>
        <w:tc>
          <w:tcPr>
            <w:tcW w:w="398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Owned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Power</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Power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Power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Power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1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International, L.P.</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62,493,676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62,493,676</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62,493,676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International GP, LLC</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62,493,676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62,493,676</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62,493,676</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International GPE IX, LLC</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46,251,909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46,251,909</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46,251,909</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GPE IX GP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36,492,659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36,492,659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36,492,659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International GPE IX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16,955,510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16,955,510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16,955,510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International GPE IX-B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3,359,809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3,359,809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3,359,809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International GPE IX-C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1,394,766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1,394,766</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1,394,766</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International GPE IX-F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1,463,380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1,463,380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1,463,380</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International GPE IX-G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4,815,226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4,815,226</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4,815,226</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International GPE IX-H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5,428,915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5,428,915</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5,428,915</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International GPE IX-I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3,075,053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3,075,053</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3,075,053</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GPE IX GP S.à r.l</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8,301,241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8,301,241</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8,301,241</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International GPE IX-A SCSp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4,985,850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4,985,850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4,985,850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International GPE IX-D SCSp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1,061,241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1,061,241</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1,061,241</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International GPE IX-E SCSp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2,156,723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2,156,723</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2,156,723</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Advent International GPE IX Strategic Investors</w:t>
            </w:r>
          </w:p>
        </w:tc>
        <w:tc>
          <w:tcPr>
            <w:tcW w:w="12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97,427</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97,427</w:t>
            </w:r>
          </w:p>
        </w:tc>
        <w:tc>
          <w:tcPr>
            <w:tcW w:w="1220" w:type="dxa"/>
            <w:vAlign w:val="bottom"/>
            <w:gridSpan w:val="2"/>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97,427</w:t>
            </w:r>
          </w:p>
        </w:tc>
        <w:tc>
          <w:tcPr>
            <w:tcW w:w="1220" w:type="dxa"/>
            <w:vAlign w:val="bottom"/>
            <w:gridSpan w:val="2"/>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0.1%</w:t>
            </w:r>
          </w:p>
        </w:tc>
      </w:tr>
      <w:tr>
        <w:trPr>
          <w:trHeight w:val="234"/>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SCSp</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 GPE IX GP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1,458,009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1,458,009</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1,458,009</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Partners GPE IX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55,642</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55,642</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Partners GPE IX-A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128,669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128,669</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128,669</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Advent Partners GPE IX Cayman Limited</w:t>
            </w:r>
          </w:p>
        </w:tc>
        <w:tc>
          <w:tcPr>
            <w:tcW w:w="12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321,070</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321,070</w:t>
            </w:r>
          </w:p>
        </w:tc>
        <w:tc>
          <w:tcPr>
            <w:tcW w:w="1220" w:type="dxa"/>
            <w:vAlign w:val="bottom"/>
            <w:gridSpan w:val="2"/>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321,070</w:t>
            </w:r>
          </w:p>
        </w:tc>
        <w:tc>
          <w:tcPr>
            <w:tcW w:w="1220" w:type="dxa"/>
            <w:vAlign w:val="bottom"/>
            <w:gridSpan w:val="2"/>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0.3%</w:t>
            </w:r>
          </w:p>
        </w:tc>
      </w:tr>
      <w:tr>
        <w:trPr>
          <w:trHeight w:val="234"/>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98"/>
        </w:trPr>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Advent Partners GPE IX-A Cayman Limited</w:t>
            </w:r>
          </w:p>
        </w:tc>
        <w:tc>
          <w:tcPr>
            <w:tcW w:w="126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54,121</w:t>
            </w:r>
          </w:p>
        </w:tc>
        <w:tc>
          <w:tcPr>
            <w:tcW w:w="12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54,121</w:t>
            </w:r>
          </w:p>
        </w:tc>
        <w:tc>
          <w:tcPr>
            <w:tcW w:w="1220" w:type="dxa"/>
            <w:vAlign w:val="bottom"/>
            <w:gridSpan w:val="2"/>
            <w:shd w:val="clear" w:color="auto" w:fill="CCEEFF"/>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54,121</w:t>
            </w:r>
          </w:p>
        </w:tc>
        <w:tc>
          <w:tcPr>
            <w:tcW w:w="1220" w:type="dxa"/>
            <w:vAlign w:val="bottom"/>
            <w:gridSpan w:val="2"/>
            <w:shd w:val="clear" w:color="auto" w:fill="CCEEFF"/>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0.0%</w:t>
            </w:r>
          </w:p>
        </w:tc>
      </w:tr>
      <w:tr>
        <w:trPr>
          <w:trHeight w:val="234"/>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Advent Partners GPE IX-B Cayman Limited</w:t>
            </w:r>
          </w:p>
        </w:tc>
        <w:tc>
          <w:tcPr>
            <w:tcW w:w="12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898,507</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898,507</w:t>
            </w:r>
          </w:p>
        </w:tc>
        <w:tc>
          <w:tcPr>
            <w:tcW w:w="1220" w:type="dxa"/>
            <w:vAlign w:val="bottom"/>
            <w:gridSpan w:val="2"/>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898,507</w:t>
            </w:r>
          </w:p>
        </w:tc>
        <w:tc>
          <w:tcPr>
            <w:tcW w:w="1220" w:type="dxa"/>
            <w:vAlign w:val="bottom"/>
            <w:gridSpan w:val="2"/>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0.8%</w:t>
            </w:r>
          </w:p>
        </w:tc>
      </w:tr>
      <w:tr>
        <w:trPr>
          <w:trHeight w:val="234"/>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Partnership</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Global Technology LLC</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12,617,980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12,617,980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12,617,980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Global Technology GP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10,326,106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10,326,106</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10,326,106</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Global Technology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3,818,770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3,818,770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3,818,770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Global Technology-B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2,971,879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2,971,879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2,971,879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Global Technology-C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1,609,070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1,609,070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1,609,070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Global Technology-D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1,926,387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1,926,387</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1,926,387</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Global Technology GP S.à r.l.</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1,885,069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1,885,069</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1,885,069</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Global Technology-A SCSP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1,885,069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1,885,069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1,885,069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 AGT GP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406,805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406,805</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406,805</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Partners AGT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31,561</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31,561</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Partners AGT-A Limited Partnership</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27,373</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27,373</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Partners AGT Cayman Limited Partnership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317,329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317,329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317,329</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98"/>
        </w:trPr>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Advent Global Technology Strategic Investors</w:t>
            </w:r>
          </w:p>
        </w:tc>
        <w:tc>
          <w:tcPr>
            <w:tcW w:w="126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30,542</w:t>
            </w:r>
          </w:p>
        </w:tc>
        <w:tc>
          <w:tcPr>
            <w:tcW w:w="12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30,542</w:t>
            </w:r>
          </w:p>
        </w:tc>
        <w:tc>
          <w:tcPr>
            <w:tcW w:w="1220" w:type="dxa"/>
            <w:vAlign w:val="bottom"/>
            <w:gridSpan w:val="2"/>
            <w:shd w:val="clear" w:color="auto" w:fill="CCEEFF"/>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30,542</w:t>
            </w:r>
          </w:p>
        </w:tc>
        <w:tc>
          <w:tcPr>
            <w:tcW w:w="1220" w:type="dxa"/>
            <w:vAlign w:val="bottom"/>
            <w:gridSpan w:val="2"/>
            <w:shd w:val="clear" w:color="auto" w:fill="CCEEFF"/>
          </w:tcPr>
          <w:p>
            <w:pPr>
              <w:ind w:left="9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0.0%</w:t>
            </w:r>
          </w:p>
        </w:tc>
      </w:tr>
      <w:tr>
        <w:trPr>
          <w:trHeight w:val="234"/>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Partnership</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Global Opportunities Management LLC</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Global Opportunities GP LLC</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Advent Global Opportunities GP LP</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Advent Global Opportunities Master Fund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3,623,787</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660" w:type="dxa"/>
            <w:vAlign w:val="bottom"/>
          </w:tcPr>
          <w:p>
            <w:pPr>
              <w:spacing w:after="0"/>
              <w:rPr>
                <w:sz w:val="21"/>
                <w:szCs w:val="21"/>
                <w:color w:val="auto"/>
              </w:rPr>
            </w:pPr>
          </w:p>
        </w:tc>
        <w:tc>
          <w:tcPr>
            <w:tcW w:w="27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44 of 58 Pages</w:t>
            </w:r>
          </w:p>
        </w:tc>
      </w:tr>
      <w:tr>
        <w:trPr>
          <w:trHeight w:val="39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tc>
        <w:tc>
          <w:tcPr>
            <w:tcW w:w="270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pacing w:after="0" w:line="198" w:lineRule="exact"/>
        <w:rPr>
          <w:sz w:val="20"/>
          <w:szCs w:val="20"/>
          <w:color w:val="auto"/>
        </w:rPr>
      </w:pPr>
    </w:p>
    <w:p>
      <w:pPr>
        <w:ind w:left="820" w:right="2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820" w:right="110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tab/>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Reporting Persons expressly disclaim membership in a "group" as used in Rule 13d-5(b)(1).</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4" w:name="page45"/>
    <w:bookmarkEnd w:id="44"/>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45 of 58 Pages</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60" w:firstLine="415"/>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7"/>
          <w:szCs w:val="17"/>
          <w:color w:val="auto"/>
        </w:rPr>
        <w:t>ADVENT INTERNATIONAL,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of Finance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ADVENT INTERNATIONAL GP,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of Finance</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ADVENT INTERNATIONAL GPE IX-A SCSP</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ADVENT INTERNATIONAL GPE IX-D SCSP</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ADVENT INTERNATIONAL GPE IX-E SCSP</w:t>
      </w:r>
    </w:p>
    <w:p>
      <w:pPr>
        <w:spacing w:after="0" w:line="9"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ADVENT INTERNATIONAL GPE IX STRATEGIC INVESTORS SCSP</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GPE IX GP S.A.R.L., GENERAL PARTNER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INTERNATIONAL GPE IX, LLC,</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Justin Nuccio</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46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IX-B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IX-C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IX-F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IX-G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IX-H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IX-I LIMITED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GPE IX GP LIMITED PARTNERSHIP,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 CAYMAN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IX-A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IX-A CAYMAN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IX-B CAYMAN LIMITED 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GPE IX GP LIMITED PARTNERSHIP, GENERAL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47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GPE IX GP S.A.R.L.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Justin Nuccio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GPE IX GP LIMITED PARTNERSHIP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 GPE IX GP LIMITED PARTNERSHIP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48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TECHNOLOGY-B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TECHNOLOGY-C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TECHNOLOGY-D LIMITED 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GP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ADVENT GLOBAL TECHNOLOGY-A SCSP</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GLOBAL TECHNOLOGY S.A.R.L, GENERAL PARTNER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GLOBAL TECHNOLOGY LLC,</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Justin Nuccio</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49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AGT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AGT-A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AGT CAYMAN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STRATEGIC INVESTORS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 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AP AGT GP LIMITED PARTNERSHIP,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GP S.A.R.L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Justin Nuccio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GP LIMITED PARTNERSHIP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TECHOLOGY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50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 AGT GP LIMITED PARTNERSHIP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OPPORTUNITIES MASTER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OPPORTUNITIES GP LP,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OPPORTUNITIES GP LLC,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51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OPPORTUNITIES GP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OPPORTUNITIES GP LLC, GENERAL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OPPORTUNITIES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OPPORTUNITIES MANAGEMENT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52 of 58 Pages</w:t>
            </w:r>
          </w:p>
        </w:tc>
      </w:tr>
    </w:tbl>
    <w:p>
      <w:pPr>
        <w:spacing w:after="0" w:line="1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of the undersigned, pursuant to Rule 13d-1(k)(1) under the Act, hereby agrees and acknowledges that only one statement containing the information required by Schedule 13G need be filed with respect to the ownership by each of the undersigned of the Class A Common Stock and the information required by this Schedule 13G, to which this Agreement is attached as an exhibit, is filed on behalf of them. The undersigned further agree that any further amendments or supplements thereto shall also be filed on behalf of each of them.</w:t>
      </w:r>
    </w:p>
    <w:p>
      <w:pPr>
        <w:spacing w:after="0" w:line="18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7"/>
          <w:szCs w:val="17"/>
          <w:color w:val="auto"/>
        </w:rPr>
        <w:t>ADVENT INTERNATIONAL,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of Finance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ADVENT INTERNATIONAL GP,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of Finance</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ADVENT INTERNATIONAL GPE IX-A SCSP</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ADVENT INTERNATIONAL GPE IX-D SCSP</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ADVENT INTERNATIONAL GPE IX-E SCSP</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ADVENT INTERNATIONAL GPE IX STRATEGIC INVESTORS SCSP</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GPE IX GP S.A.R.L., GENERAL PARTNER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INTERNATIONAL GPE IX, LLC,</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Justin Nuccio</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53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IX-B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IX-C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IX-F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IX-G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IX-H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IX-I LIMITED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GPE IX GP LIMITED PARTNERSHIP,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 CAYMAN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IX-A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IX-A CAYMAN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GPE IX-B CAYMAN LIMITED 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GPE IX GP LIMITED PARTNERSHIP, GENERAL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54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GPE IX GP S.A.R.L.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Justin Nuccio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GPE IX GP LIMITED PARTNERSHIP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 GPE IX GP LIMITED PARTNERSHIP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GPE IX, LLC,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55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TECHNOLOGY-B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TECHNOLOGY-C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TECHNOLOGY-D LIMITED 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GP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TECHNOLOGY-A SCSP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S.A.R.L,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Justin Nuccio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56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AGT LIMITED PARTNERSHIP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AGT-A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PARTNERS AGT CAYMAN LIMITED PARTNERSHIP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STRATEGIC INVESTORS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LIMITED 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AP AGT GP LIMITED PARTNERSHIP,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GP S.A.R.L</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Justin Nuccio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GP LIMITED PARTNERSHIP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TECHOLOGY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57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AP AGT GP LIMITED PARTNERSHIP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TECHNOLOGY LLC,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INTERNATIONAL GPE IX,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TECHNOLOGY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OPPORTUNITIES MASTER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OPPORTUNITIES GP LP, GENERAL PARTNER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OPPORTUNITIES GP LLC, GENERAL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CUSIP No. 24477E103</w:t>
            </w:r>
          </w:p>
        </w:tc>
        <w:tc>
          <w:tcPr>
            <w:tcW w:w="33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9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 58 of 58 Pages</w:t>
            </w:r>
          </w:p>
        </w:tc>
      </w:tr>
    </w:tbl>
    <w:p>
      <w:pPr>
        <w:spacing w:after="0" w:line="1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OPPORTUNITIES GP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GLOBAL OPPORTUNITIES GP LLC, GENERAL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OPPORTUNITIES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ADVENT GLOBAL OPPORTUNITIES MANAGEMENT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L.P., MANAGER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ADVENT INTERNATIONAL GP, LLC,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Neil Crawford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lvl w:ilvl="1">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1"/>
    </w:lvl>
    <w:lvl w:ilvl="1">
      <w:lvlJc w:val="left"/>
      <w:lvlText w:val="(%2)"/>
      <w:numFmt w:val="lowerRoman"/>
      <w:start w:val="1"/>
    </w:lvl>
  </w:abstractNum>
  <w:abstractNum w:abstractNumId="43">
    <w:nsid w:val="7A6D8D3C"/>
    <w:multiLevelType w:val="hybridMultilevel"/>
    <w:lvl w:ilvl="0">
      <w:lvlJc w:val="left"/>
      <w:lvlText w:val="(%1)"/>
      <w:numFmt w:val="lowerRoman"/>
      <w:start w:val="37"/>
    </w:lvl>
  </w:abstractNum>
  <w:abstractNum w:abstractNumId="44">
    <w:nsid w:val="4B588F54"/>
    <w:multiLevelType w:val="hybridMultilevel"/>
    <w:lvl w:ilvl="0">
      <w:lvlJc w:val="left"/>
      <w:lvlText w:val="(%1)"/>
      <w:numFmt w:val="lowerRoman"/>
      <w:start w:val="39"/>
    </w:lvl>
  </w:abstractNum>
  <w:abstractNum w:abstractNumId="45">
    <w:nsid w:val="542289EC"/>
    <w:multiLevelType w:val="hybridMultilevel"/>
    <w:lvl w:ilvl="0">
      <w:lvlJc w:val="left"/>
      <w:lvlText w:val="(%1)"/>
      <w:numFmt w:val="lowerLetter"/>
      <w:start w:val="4"/>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2024-02-14T15:12:06Z</dcterms:created>
  <dcterms:modified xsi:type="dcterms:W3CDTF">2024-02-14T15:12:06Z</dcterms:modified>
</cp:coreProperties>
</file>