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Booth Richard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01/24/2024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01/24/2024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49,014</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301,392.173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01/24/2024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5,592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9.26</w:t>
            </w:r>
          </w:p>
        </w:tc>
        <w:tc>
          <w:tcPr>
            <w:tcW w:w="12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295,800.173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performance-based restricted stock units ("PSUs"), each representing a contingent right to receive one share of the Issuer's Class A Common Stock, par value $0.001, earned upon the certification of achievement of certain performance criteria by the Issuer's compensation committee. The PSUs will vest in three substantially equal installments as to 1/3rd on January 24, 2024, 1/3rd on February 1, 2025, and the remaining 1/3rd on February 1, 2026 and will be settled pursuant to the terms of the Issuer's 2021 Equity Incentive Plan (as amended from time to time), in each case subject to the Reporting Person's continued service with the Issuer through each such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PSUs.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01/26/2024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2024-01-26T16:51:37Z</dcterms:created>
  <dcterms:modified xsi:type="dcterms:W3CDTF">2024-01-26T16:51:37Z</dcterms:modified>
</cp:coreProperties>
</file>