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May 24, 2022</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2"/>
          <w:szCs w:val="42"/>
          <w:b w:val="1"/>
          <w:bCs w:val="1"/>
          <w:color w:val="auto"/>
        </w:rPr>
        <w:t>DEFINITIVE HEALTHCARE CORP.</w:t>
      </w:r>
    </w:p>
    <w:p>
      <w:pPr>
        <w:spacing w:after="0" w:line="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1-40815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86-3988281</w:t>
      </w:r>
    </w:p>
    <w:p>
      <w:pPr>
        <w:spacing w:after="0" w:line="24" w:lineRule="exact"/>
        <w:rPr>
          <w:sz w:val="24"/>
          <w:szCs w:val="24"/>
          <w:color w:val="auto"/>
        </w:rPr>
      </w:pPr>
    </w:p>
    <w:p>
      <w:pPr>
        <w:sectPr>
          <w:pgSz w:w="11900" w:h="16838" w:orient="portrait"/>
          <w:cols w:equalWidth="0" w:num="3">
            <w:col w:w="4600" w:space="720"/>
            <w:col w:w="27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550 Cochituate Rd</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Framingham, MA 01701</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(508) 720-4224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250190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$0.001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DH</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440" w:right="1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440"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24, 2022, Definitive Healthcare Corp. (NASDAQ:DH) (the “Company”) held its 2022 Annual Meeting of Stockholders (the “Annual Meeting”). At the close of business on March 25, 2022, the record date for determination of stockholders entitled to vote at the Annual Meeting, there were 97,563,683 shares of Class A common stock and 55,050,824 shares of Class B common stock of the Company issued and outstanding. At the Annual Meeting, the stockholders (i) elected three Class I directors to serve a three-year term expiring at the annual meeting in 2025, or until their successors have been duly elected and qualified; and (ii) ratified the selection of Deloitte &amp; Touche LLP as the Company’s independent auditor for fiscal year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results are as follows:</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 Election Proposal</w:t>
            </w:r>
          </w:p>
        </w:tc>
        <w:tc>
          <w:tcPr>
            <w:tcW w:w="4180" w:type="dxa"/>
            <w:vAlign w:val="bottom"/>
            <w:gridSpan w:val="2"/>
            <w:vMerge w:val="restart"/>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4"/>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For</w:t>
            </w:r>
          </w:p>
        </w:tc>
        <w:tc>
          <w:tcPr>
            <w:tcW w:w="130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1640" w:type="dxa"/>
            <w:vAlign w:val="bottom"/>
            <w:tcBorders>
              <w:bottom w:val="single" w:sz="8" w:color="auto"/>
            </w:tcBorders>
            <w:vMerge w:val="continue"/>
          </w:tcPr>
          <w:p>
            <w:pPr>
              <w:spacing w:after="0"/>
              <w:rPr>
                <w:sz w:val="15"/>
                <w:szCs w:val="15"/>
                <w:color w:val="auto"/>
              </w:rPr>
            </w:pPr>
          </w:p>
        </w:tc>
        <w:tc>
          <w:tcPr>
            <w:tcW w:w="4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1300" w:type="dxa"/>
            <w:vAlign w:val="bottom"/>
            <w:gridSpan w:val="5"/>
            <w:vMerge w:val="continue"/>
          </w:tcPr>
          <w:p>
            <w:pPr>
              <w:spacing w:after="0"/>
              <w:rPr>
                <w:sz w:val="15"/>
                <w:szCs w:val="15"/>
                <w:color w:val="auto"/>
              </w:rPr>
            </w:pPr>
          </w:p>
        </w:tc>
        <w:tc>
          <w:tcPr>
            <w:tcW w:w="7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Jason Krantz</w:t>
            </w:r>
          </w:p>
        </w:tc>
        <w:tc>
          <w:tcPr>
            <w:tcW w:w="1240" w:type="dxa"/>
            <w:vAlign w:val="bottom"/>
            <w:tcBorders>
              <w:top w:val="single" w:sz="8" w:color="auto"/>
            </w:tcBorders>
            <w:gridSpan w:val="3"/>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141,797,381.40</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gridSpan w:val="3"/>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4,463,609.55</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310,487</w:t>
            </w: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Chris Mitchell</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134,688,485.40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11,572,505.55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310,487</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Young</w:t>
            </w:r>
          </w:p>
        </w:tc>
        <w:tc>
          <w:tcPr>
            <w:tcW w:w="1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132,610,123.40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13,650,867.55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310,487</w:t>
            </w:r>
          </w:p>
        </w:tc>
        <w:tc>
          <w:tcPr>
            <w:tcW w:w="0" w:type="dxa"/>
            <w:vAlign w:val="bottom"/>
          </w:tcPr>
          <w:p>
            <w:pPr>
              <w:spacing w:after="0"/>
              <w:rPr>
                <w:sz w:val="1"/>
                <w:szCs w:val="1"/>
                <w:color w:val="auto"/>
              </w:rPr>
            </w:pPr>
          </w:p>
        </w:tc>
      </w:tr>
      <w:tr>
        <w:trPr>
          <w:trHeight w:val="412"/>
        </w:trPr>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Auditor Ratification Proposal</w:t>
            </w:r>
          </w:p>
        </w:tc>
        <w:tc>
          <w:tcPr>
            <w:tcW w:w="3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For</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203"/>
        </w:trPr>
        <w:tc>
          <w:tcPr>
            <w:tcW w:w="612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Ratification of Deloitte &amp; Touche LLP as independent auditor for fiscal year 2022</w:t>
            </w:r>
          </w:p>
        </w:tc>
        <w:tc>
          <w:tcPr>
            <w:tcW w:w="4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146,570,449.91</w:t>
            </w: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6"/>
              </w:rPr>
              <w:t>700.03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9"/>
              <w:spacing w:after="0" w:line="203" w:lineRule="exact"/>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23"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May 26,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David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18415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Samuels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w:t>
      </w:r>
    </w:p>
    <w:sectPr>
      <w:pgSz w:w="11900" w:h="16838" w:orient="portrait"/>
      <w:cols w:equalWidth="0" w:num="1">
        <w:col w:w="10320"/>
      </w:cols>
      <w:pgMar w:left="440" w:top="293"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2022-05-26T15:51:17Z</dcterms:created>
  <dcterms:modified xsi:type="dcterms:W3CDTF">2022-05-26T15:51:17Z</dcterms:modified>
</cp:coreProperties>
</file>