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As filed with the Securities and Exchange Commission on September 14,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S–8</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REGISTRATION STATEMENT</w:t>
      </w:r>
    </w:p>
    <w:p>
      <w:pPr>
        <w:jc w:val="center"/>
        <w:ind w:right="-3"/>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5020" w:type="dxa"/>
            <w:vAlign w:val="bottom"/>
          </w:tcPr>
          <w:p>
            <w:pPr>
              <w:jc w:val="center"/>
              <w:ind w:right="1217"/>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right"/>
              <w:ind w:right="579"/>
              <w:spacing w:after="0"/>
              <w:rPr>
                <w:sz w:val="20"/>
                <w:szCs w:val="20"/>
                <w:color w:val="auto"/>
              </w:rPr>
            </w:pPr>
            <w:r>
              <w:rPr>
                <w:rFonts w:ascii="Arial" w:cs="Arial" w:eastAsia="Arial" w:hAnsi="Arial"/>
                <w:sz w:val="18"/>
                <w:szCs w:val="18"/>
                <w:b w:val="1"/>
                <w:bCs w:val="1"/>
                <w:color w:val="auto"/>
              </w:rPr>
              <w:t>81-3988281</w:t>
            </w:r>
          </w:p>
        </w:tc>
      </w:tr>
      <w:tr>
        <w:trPr>
          <w:trHeight w:val="186"/>
        </w:trPr>
        <w:tc>
          <w:tcPr>
            <w:tcW w:w="5020" w:type="dxa"/>
            <w:vAlign w:val="bottom"/>
          </w:tcPr>
          <w:p>
            <w:pPr>
              <w:jc w:val="center"/>
              <w:ind w:right="121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020" w:type="dxa"/>
            <w:vAlign w:val="bottom"/>
          </w:tcPr>
          <w:p>
            <w:pPr>
              <w:jc w:val="center"/>
              <w:ind w:right="1217"/>
              <w:spacing w:after="0"/>
              <w:rPr>
                <w:sz w:val="20"/>
                <w:szCs w:val="20"/>
                <w:color w:val="auto"/>
              </w:rPr>
            </w:pPr>
            <w:r>
              <w:rPr>
                <w:rFonts w:ascii="Arial" w:cs="Arial" w:eastAsia="Arial" w:hAnsi="Arial"/>
                <w:sz w:val="18"/>
                <w:szCs w:val="18"/>
                <w:b w:val="1"/>
                <w:bCs w:val="1"/>
                <w:color w:val="auto"/>
                <w:w w:val="91"/>
              </w:rPr>
              <w:t>550 Cochituate Rd</w:t>
            </w:r>
          </w:p>
        </w:tc>
        <w:tc>
          <w:tcPr>
            <w:tcW w:w="3500" w:type="dxa"/>
            <w:vAlign w:val="bottom"/>
          </w:tcPr>
          <w:p>
            <w:pPr>
              <w:spacing w:after="0"/>
              <w:rPr>
                <w:sz w:val="24"/>
                <w:szCs w:val="24"/>
                <w:color w:val="auto"/>
              </w:rPr>
            </w:pPr>
          </w:p>
        </w:tc>
      </w:tr>
      <w:tr>
        <w:trPr>
          <w:trHeight w:val="225"/>
        </w:trPr>
        <w:tc>
          <w:tcPr>
            <w:tcW w:w="5020" w:type="dxa"/>
            <w:vAlign w:val="bottom"/>
          </w:tcPr>
          <w:p>
            <w:pPr>
              <w:jc w:val="center"/>
              <w:ind w:right="1217"/>
              <w:spacing w:after="0"/>
              <w:rPr>
                <w:sz w:val="20"/>
                <w:szCs w:val="20"/>
                <w:color w:val="auto"/>
              </w:rPr>
            </w:pPr>
            <w:r>
              <w:rPr>
                <w:rFonts w:ascii="Arial" w:cs="Arial" w:eastAsia="Arial" w:hAnsi="Arial"/>
                <w:sz w:val="18"/>
                <w:szCs w:val="18"/>
                <w:b w:val="1"/>
                <w:bCs w:val="1"/>
                <w:color w:val="auto"/>
                <w:w w:val="95"/>
              </w:rPr>
              <w:t>Framingham, MA</w:t>
            </w:r>
          </w:p>
        </w:tc>
        <w:tc>
          <w:tcPr>
            <w:tcW w:w="3500" w:type="dxa"/>
            <w:vAlign w:val="bottom"/>
          </w:tcPr>
          <w:p>
            <w:pPr>
              <w:jc w:val="right"/>
              <w:ind w:right="799"/>
              <w:spacing w:after="0"/>
              <w:rPr>
                <w:sz w:val="20"/>
                <w:szCs w:val="20"/>
                <w:color w:val="auto"/>
              </w:rPr>
            </w:pPr>
            <w:r>
              <w:rPr>
                <w:rFonts w:ascii="Arial" w:cs="Arial" w:eastAsia="Arial" w:hAnsi="Arial"/>
                <w:sz w:val="18"/>
                <w:szCs w:val="18"/>
                <w:b w:val="1"/>
                <w:bCs w:val="1"/>
                <w:color w:val="auto"/>
              </w:rPr>
              <w:t>01701</w:t>
            </w:r>
          </w:p>
        </w:tc>
      </w:tr>
      <w:tr>
        <w:trPr>
          <w:trHeight w:val="186"/>
        </w:trPr>
        <w:tc>
          <w:tcPr>
            <w:tcW w:w="5020" w:type="dxa"/>
            <w:vAlign w:val="bottom"/>
          </w:tcPr>
          <w:p>
            <w:pPr>
              <w:jc w:val="center"/>
              <w:ind w:right="12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Definitive Healthcare Corp. 2021 Equity Incentive Plan</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Definitive Healthcare Corp. 2021 Employee Stock Purchase Plan</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(Full Title of Plans)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David M. Samuels</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Chief Legal Officer</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550 Cochituate Rd</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Framingham, MA 01701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(508) 720-4224</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Alexander D. Lynch</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Barbra J. Broudy</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New York, New York 10153</w:t>
      </w:r>
    </w:p>
    <w:p>
      <w:pPr>
        <w:spacing w:after="0" w:line="9" w:lineRule="exact"/>
        <w:rPr>
          <w:sz w:val="24"/>
          <w:szCs w:val="24"/>
          <w:color w:val="auto"/>
        </w:rPr>
      </w:pPr>
    </w:p>
    <w:p>
      <w:pPr>
        <w:ind w:left="5064" w:hanging="440"/>
        <w:spacing w:after="0"/>
        <w:tabs>
          <w:tab w:leader="none" w:pos="506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310-8000 (Phone)</w:t>
      </w:r>
    </w:p>
    <w:p>
      <w:pPr>
        <w:spacing w:after="0" w:line="9" w:lineRule="exact"/>
        <w:rPr>
          <w:rFonts w:ascii="Arial" w:cs="Arial" w:eastAsia="Arial" w:hAnsi="Arial"/>
          <w:sz w:val="18"/>
          <w:szCs w:val="18"/>
          <w:b w:val="1"/>
          <w:bCs w:val="1"/>
          <w:color w:val="auto"/>
        </w:rPr>
      </w:pPr>
    </w:p>
    <w:p>
      <w:pPr>
        <w:ind w:left="5144" w:hanging="425"/>
        <w:spacing w:after="0"/>
        <w:tabs>
          <w:tab w:leader="none" w:pos="5144"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310-8007 (Fax)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 Per</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$0.001 per share(1)(3)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8,989,039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$27</w:t>
            </w:r>
          </w:p>
        </w:tc>
        <w:tc>
          <w:tcPr>
            <w:tcW w:w="1540" w:type="dxa"/>
            <w:vAlign w:val="bottom"/>
            <w:tcBorders>
              <w:bottom w:val="single" w:sz="8" w:color="auto"/>
              <w:right w:val="single" w:sz="8" w:color="auto"/>
            </w:tcBorders>
          </w:tcPr>
          <w:p>
            <w:pPr>
              <w:jc w:val="right"/>
              <w:ind w:right="164"/>
              <w:spacing w:after="0"/>
              <w:rPr>
                <w:sz w:val="20"/>
                <w:szCs w:val="20"/>
                <w:color w:val="auto"/>
              </w:rPr>
            </w:pPr>
            <w:r>
              <w:rPr>
                <w:rFonts w:ascii="Arial" w:cs="Arial" w:eastAsia="Arial" w:hAnsi="Arial"/>
                <w:sz w:val="18"/>
                <w:szCs w:val="18"/>
                <w:color w:val="auto"/>
              </w:rPr>
              <w:t>$242,704,053</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$26,480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$0.001 per share(2)(3)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1,498,173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$27</w:t>
            </w:r>
          </w:p>
        </w:tc>
        <w:tc>
          <w:tcPr>
            <w:tcW w:w="1540" w:type="dxa"/>
            <w:vAlign w:val="bottom"/>
            <w:tcBorders>
              <w:bottom w:val="single" w:sz="8" w:color="auto"/>
              <w:right w:val="single" w:sz="8" w:color="auto"/>
            </w:tcBorders>
          </w:tcPr>
          <w:p>
            <w:pPr>
              <w:jc w:val="right"/>
              <w:ind w:right="224"/>
              <w:spacing w:after="0"/>
              <w:rPr>
                <w:sz w:val="20"/>
                <w:szCs w:val="20"/>
                <w:color w:val="auto"/>
              </w:rPr>
            </w:pPr>
            <w:r>
              <w:rPr>
                <w:rFonts w:ascii="Arial" w:cs="Arial" w:eastAsia="Arial" w:hAnsi="Arial"/>
                <w:sz w:val="18"/>
                <w:szCs w:val="18"/>
                <w:color w:val="auto"/>
              </w:rPr>
              <w:t>$40,450,671</w:t>
            </w:r>
          </w:p>
        </w:tc>
        <w:tc>
          <w:tcPr>
            <w:tcW w:w="152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024"/>
          </w:cols>
          <w:pgMar w:left="436" w:top="229" w:right="439" w:bottom="0" w:gutter="0" w:footer="0" w:header="0"/>
        </w:sectPr>
      </w:pPr>
    </w:p>
    <w:p>
      <w:pPr>
        <w:ind w:left="424" w:right="700" w:hanging="424"/>
        <w:spacing w:after="0" w:line="273"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Covers Class A common stock, par value $0.001 per share (the “Common Stock”), of Definitive Healthcare Corp. (the “Company” or the “Registrant”) issuable under the Definitive Healthcare Corp. 2021 Equity Incentive Plan (the “2021 Equity Plan”).</w:t>
      </w:r>
    </w:p>
    <w:p>
      <w:pPr>
        <w:ind w:left="424" w:hanging="424"/>
        <w:spacing w:after="0"/>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Covers Common Stock issuable under the Definitive Healthcare Corp. 2021 Employee Stock Purchase Plan (the “2021 ESPP”).</w:t>
      </w:r>
    </w:p>
    <w:p>
      <w:pPr>
        <w:sectPr>
          <w:pgSz w:w="11900" w:h="16838" w:orient="portrait"/>
          <w:cols w:equalWidth="0" w:num="1">
            <w:col w:w="11024"/>
          </w:cols>
          <w:pgMar w:left="436" w:top="229" w:right="439" w:bottom="0" w:gutter="0" w:footer="0" w:header="0"/>
          <w:type w:val="continuous"/>
        </w:sectPr>
      </w:pPr>
    </w:p>
    <w:bookmarkStart w:id="1" w:name="page2"/>
    <w:bookmarkEnd w:id="1"/>
    <w:p>
      <w:pPr>
        <w:ind w:left="424"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covers an indeterminate number of additional shares of Common Stock which may be offered and issued to prevent dilution resulting from stock splits, stock distributions or similar transactions.</w:t>
      </w:r>
    </w:p>
    <w:p>
      <w:pPr>
        <w:spacing w:after="0" w:line="2"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457(c) and 457(h)(1) of the Securities Act, the proposed maximum offering price per share and the proposed maximum aggregate offering price are estimated solely for the purpose of calculating the amount of the registration fee and are based on a price of $27.00 per share, which is the price per share of Common Stock for the Registrant’s initial public offering of Common Stock pursuant to the Registrant’s Registration Statement on Form S-1 (File No. 333-258990).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39" w:right="459" w:bottom="1440" w:gutter="0" w:footer="0" w:header="0"/>
        </w:sectPr>
      </w:pPr>
    </w:p>
    <w:bookmarkStart w:id="2" w:name="page3"/>
    <w:bookmarkEnd w:id="2"/>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Registration Statement registers shares of Common Stock of the Registrant that may be issued and sold under the Definitive Healthcare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Equity Incentive Plan and under the Definitive Healthcare Corp. 2021 Employee Stock Purchase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documents containing the information specified in Item 1 and Item 2 of Part I of Form S-8 will be sent or given to employees as specified by Rule 428(b)(1) under the Securities Act. In accordance with the rules and regulations of the U.S.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Commission:</w:t>
      </w:r>
    </w:p>
    <w:p>
      <w:pPr>
        <w:spacing w:after="0" w:line="154" w:lineRule="exact"/>
        <w:rPr>
          <w:sz w:val="20"/>
          <w:szCs w:val="20"/>
          <w:color w:val="auto"/>
        </w:rPr>
      </w:pPr>
    </w:p>
    <w:p>
      <w:pPr>
        <w:ind w:left="1200" w:right="180" w:hanging="219"/>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Registrant’s Prospectus relating to the offering of Common Stock to be filed with the Commission pursuant to Rule 424(b) of the Securities Act, relating to the </w:t>
      </w:r>
      <w:hyperlink r:id="rId18">
        <w:r>
          <w:rPr>
            <w:rFonts w:ascii="Arial" w:cs="Arial" w:eastAsia="Arial" w:hAnsi="Arial"/>
            <w:sz w:val="18"/>
            <w:szCs w:val="18"/>
            <w:u w:val="single" w:color="auto"/>
            <w:color w:val="0000EE"/>
          </w:rPr>
          <w:t>Form S-1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333-258990); and</w:t>
      </w:r>
    </w:p>
    <w:p>
      <w:pPr>
        <w:spacing w:after="0" w:line="75" w:lineRule="exact"/>
        <w:rPr>
          <w:rFonts w:ascii="Arial" w:cs="Arial" w:eastAsia="Arial" w:hAnsi="Arial"/>
          <w:sz w:val="18"/>
          <w:szCs w:val="18"/>
          <w:color w:val="auto"/>
        </w:rPr>
      </w:pPr>
    </w:p>
    <w:p>
      <w:pPr>
        <w:ind w:left="1200" w:right="160" w:hanging="219"/>
        <w:spacing w:after="0" w:line="263"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Registration Statement on Form 8-A to be filed with the Commission pursuant to Section 12(b) of the Exchange Act, relating to the Registrant’s Common Stock, including all other amendments and reports filed for the purpose of updating such description.</w:t>
      </w:r>
    </w:p>
    <w:p>
      <w:pPr>
        <w:spacing w:after="0" w:line="184"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All documents subsequently filed by the Registrant with the Commission pursuant to Sections 13(a), 13(c), 14 and 15(d) of the Exchange Act, on or after the date of this Registration Statement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 with the Commission. Unless expressly incorporated into this Registration Statement, a report (or portion thereof) furnished on Form 8-K prior or subsequent to the date hereof shall not be incorporated by reference into this Registration Statement.</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Any statement contained in a document incorporated by reference herein shall be deemed to be modified or superseded for purposes hereof to the extent that a statement contained herein (or in any subsequently filed document which also is incorporated by reference herein or any document which constitutes part of the prospectus relating to the 2021 Equity Plan and the 2021 ESPP meeting the requirements of Section 10(a) of the Securities Act) modifies or supersedes such statement. Any statement so modified or superseded shall not be deemed, except as so modified or superseded, to constitute a part of this Registration Statement.</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00"/>
          </w:cols>
          <w:pgMar w:left="440" w:top="270" w:right="45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The Registrant’s amended and restated bylaws authorizes the indemnification of its officers and directors, consistent with Section 145 of the DGCL, as amended. The Registrant has entered into indemnification agreements with each of its directors. These agreements, among other things, require the Registrant to indemnify each director to the fullest extent permitted by Delaware law, including indemnification of expenses such as attorneys’ fees, judgments, fines and settlement amounts incurred by the director in any action or proceeding, including any action or proceeding by or in right of the Registrant, arising out of the person’s services as a director.</w:t>
      </w:r>
    </w:p>
    <w:p>
      <w:pPr>
        <w:spacing w:after="0" w:line="188"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to this Registration Statement are listed in the Exhibit Index below and are incorporated by reference herein.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jc w:val="both"/>
        <w:ind w:left="1960" w:right="400" w:hanging="533"/>
        <w:spacing w:after="0" w:line="28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w:t>
      </w:r>
    </w:p>
    <w:p>
      <w:pPr>
        <w:sectPr>
          <w:pgSz w:w="11900" w:h="16838" w:orient="portrait"/>
          <w:cols w:equalWidth="0" w:num="1">
            <w:col w:w="11000"/>
          </w:cols>
          <w:pgMar w:left="440" w:top="270" w:right="459" w:bottom="1440" w:gutter="0" w:footer="0" w:header="0"/>
        </w:sectPr>
      </w:pPr>
    </w:p>
    <w:bookmarkStart w:id="4" w:name="page5"/>
    <w:bookmarkEnd w:id="4"/>
    <w:p>
      <w:pPr>
        <w:ind w:left="1532"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3" w:lineRule="exact"/>
        <w:rPr>
          <w:sz w:val="20"/>
          <w:szCs w:val="20"/>
          <w:color w:val="auto"/>
        </w:rPr>
      </w:pPr>
    </w:p>
    <w:p>
      <w:pPr>
        <w:ind w:left="1532" w:right="420" w:hanging="533"/>
        <w:spacing w:after="0" w:line="277" w:lineRule="auto"/>
        <w:tabs>
          <w:tab w:leader="none" w:pos="1532"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972" w:right="40" w:hanging="433"/>
        <w:spacing w:after="0" w:line="301" w:lineRule="auto"/>
        <w:tabs>
          <w:tab w:leader="none" w:pos="1972" w:val="left"/>
        </w:tabs>
        <w:numPr>
          <w:ilvl w:val="3"/>
          <w:numId w:val="6"/>
        </w:numPr>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paragraphs (a)(1)(i) and (a)(1)(ii) above do not apply if the registration statement is on Form S-8 and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w:t>
      </w:r>
    </w:p>
    <w:p>
      <w:pPr>
        <w:spacing w:after="0" w:line="62" w:lineRule="exact"/>
        <w:rPr>
          <w:rFonts w:ascii="Arial" w:cs="Arial" w:eastAsia="Arial" w:hAnsi="Arial"/>
          <w:sz w:val="16"/>
          <w:szCs w:val="16"/>
          <w:color w:val="auto"/>
        </w:rPr>
      </w:pPr>
    </w:p>
    <w:p>
      <w:pPr>
        <w:ind w:left="992" w:right="120" w:hanging="439"/>
        <w:spacing w:after="0" w:line="263" w:lineRule="auto"/>
        <w:tabs>
          <w:tab w:leader="none" w:pos="992"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u w:val="single" w:color="auto"/>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992" w:right="120" w:hanging="439"/>
        <w:spacing w:after="0" w:line="277" w:lineRule="auto"/>
        <w:tabs>
          <w:tab w:leader="none" w:pos="992"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32" w:hanging="532"/>
        <w:spacing w:after="0" w:line="257" w:lineRule="auto"/>
        <w:tabs>
          <w:tab w:leader="none" w:pos="53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u w:val="single" w:color="auto"/>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532" w:hanging="532"/>
        <w:spacing w:after="0" w:line="253" w:lineRule="auto"/>
        <w:tabs>
          <w:tab w:leader="none" w:pos="5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12"/>
          </w:cols>
          <w:pgMar w:left="868" w:top="274"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140" w:type="dxa"/>
            <w:vAlign w:val="bottom"/>
            <w:gridSpan w:val="14"/>
          </w:tcPr>
          <w:p>
            <w:pPr>
              <w:ind w:left="10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13"/>
          </w:tcPr>
          <w:p>
            <w:pPr>
              <w:ind w:left="900"/>
              <w:spacing w:after="0"/>
              <w:rPr>
                <w:sz w:val="20"/>
                <w:szCs w:val="20"/>
                <w:color w:val="auto"/>
              </w:rPr>
            </w:pPr>
            <w:r>
              <w:rPr>
                <w:rFonts w:ascii="Arial" w:cs="Arial" w:eastAsia="Arial" w:hAnsi="Arial"/>
                <w:sz w:val="14"/>
                <w:szCs w:val="14"/>
                <w:color w:val="auto"/>
              </w:rPr>
              <w:t>Description</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3"/>
                <w:szCs w:val="23"/>
                <w:color w:val="auto"/>
              </w:rPr>
            </w:pPr>
          </w:p>
        </w:tc>
        <w:tc>
          <w:tcPr>
            <w:tcW w:w="9200" w:type="dxa"/>
            <w:vAlign w:val="bottom"/>
            <w:tcBorders>
              <w:bottom w:val="single" w:sz="8" w:color="0000EE"/>
            </w:tcBorders>
            <w:gridSpan w:val="12"/>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Form of Amended and Restated Certificate of Incorporation of Definitive Healthcare Corp. (incorporated herein by reference to</w:t>
              </w:r>
            </w:hyperlink>
          </w:p>
        </w:tc>
        <w:tc>
          <w:tcPr>
            <w:tcW w:w="400" w:type="dxa"/>
            <w:vAlign w:val="bottom"/>
            <w:gridSpan w:val="5"/>
          </w:tcPr>
          <w:p>
            <w:pPr>
              <w:spacing w:after="0"/>
              <w:rPr>
                <w:sz w:val="23"/>
                <w:szCs w:val="23"/>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Exhibit 3.1 of the Registrant’s Registration Statement on Form S-1, filed with the Commission on August 20, 2021 (Registration</w:t>
              </w:r>
            </w:hyperlink>
          </w:p>
        </w:tc>
        <w:tc>
          <w:tcPr>
            <w:tcW w:w="340" w:type="dxa"/>
            <w:vAlign w:val="bottom"/>
            <w:gridSpan w:val="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7"/>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No. 333- 258990))</w:t>
              </w:r>
              <w:r>
                <w:rPr>
                  <w:rFonts w:ascii="Arial" w:cs="Arial" w:eastAsia="Arial" w:hAnsi="Arial"/>
                  <w:sz w:val="18"/>
                  <w:szCs w:val="18"/>
                  <w:color w:val="000000"/>
                </w:rPr>
                <w:t>.</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9060" w:type="dxa"/>
            <w:vAlign w:val="bottom"/>
            <w:tcBorders>
              <w:bottom w:val="single" w:sz="8" w:color="0000EE"/>
            </w:tcBorders>
            <w:gridSpan w:val="11"/>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Form of Amended and Restated Bylaws of Definitive Healthcare Corp. (incorporated herein by reference to Exhibit 3.2 of the</w:t>
              </w:r>
            </w:hyperlink>
          </w:p>
        </w:tc>
        <w:tc>
          <w:tcPr>
            <w:tcW w:w="540" w:type="dxa"/>
            <w:vAlign w:val="bottom"/>
            <w:gridSpan w:val="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7"/>
          </w:tcPr>
          <w:p>
            <w:pPr>
              <w:spacing w:after="0" w:line="196" w:lineRule="exact"/>
              <w:rPr>
                <w:rFonts w:ascii="Arial" w:cs="Arial" w:eastAsia="Arial" w:hAnsi="Arial"/>
                <w:sz w:val="18"/>
                <w:szCs w:val="18"/>
                <w:color w:val="0000EE"/>
                <w:w w:val="93"/>
              </w:rPr>
            </w:pPr>
            <w:hyperlink r:id="rId22">
              <w:r>
                <w:rPr>
                  <w:rFonts w:ascii="Arial" w:cs="Arial" w:eastAsia="Arial" w:hAnsi="Arial"/>
                  <w:sz w:val="18"/>
                  <w:szCs w:val="18"/>
                  <w:color w:val="0000EE"/>
                  <w:w w:val="93"/>
                </w:rPr>
                <w:t>Registrant’s Registration Statement on Form S-1, filed with the Commission on August 27, 2021 (Registration No. 333- 258990)).</w:t>
              </w:r>
            </w:hyperlink>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3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Legal Opinion of Weil, Gotshal &amp; Manges LLP.</w:t>
              </w:r>
            </w:hyperlink>
          </w:p>
        </w:tc>
        <w:tc>
          <w:tcPr>
            <w:tcW w:w="5920" w:type="dxa"/>
            <w:vAlign w:val="bottom"/>
            <w:tcBorders>
              <w:top w:val="single" w:sz="8" w:color="0000EE"/>
            </w:tcBorders>
            <w:gridSpan w:val="11"/>
          </w:tcPr>
          <w:p>
            <w:pPr>
              <w:spacing w:after="0"/>
              <w:rPr>
                <w:sz w:val="24"/>
                <w:szCs w:val="24"/>
                <w:color w:val="auto"/>
              </w:rPr>
            </w:pPr>
          </w:p>
        </w:tc>
        <w:tc>
          <w:tcPr>
            <w:tcW w:w="220" w:type="dxa"/>
            <w:vAlign w:val="bottom"/>
            <w:gridSpan w:val="3"/>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85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Consent of Deloitte &amp; Touche LLP, Independent Registered Public Accounting Firm, as to Definitive Healthcare Corp.</w:t>
              </w:r>
            </w:hyperlink>
          </w:p>
        </w:tc>
        <w:tc>
          <w:tcPr>
            <w:tcW w:w="1040" w:type="dxa"/>
            <w:vAlign w:val="bottom"/>
            <w:gridSpan w:val="8"/>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960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Consent of Deloitte &amp; Touche LLP, Independent Registered Public Accounting Firm, as to AIDH TopCo, LLC.</w:t>
              </w:r>
            </w:hyperlink>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23.3</w:t>
            </w:r>
          </w:p>
        </w:tc>
        <w:tc>
          <w:tcPr>
            <w:tcW w:w="740" w:type="dxa"/>
            <w:vAlign w:val="bottom"/>
          </w:tcPr>
          <w:p>
            <w:pPr>
              <w:spacing w:after="0"/>
              <w:rPr>
                <w:sz w:val="24"/>
                <w:szCs w:val="24"/>
                <w:color w:val="auto"/>
              </w:rPr>
            </w:pPr>
          </w:p>
        </w:tc>
        <w:tc>
          <w:tcPr>
            <w:tcW w:w="8000" w:type="dxa"/>
            <w:vAlign w:val="bottom"/>
            <w:tcBorders>
              <w:top w:val="single" w:sz="8" w:color="0000EE"/>
            </w:tcBorders>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Consent of Weil, Gotshal &amp; Manges LLP (included in Exhibit No. 5.1).</w:t>
              </w:r>
            </w:hyperlink>
          </w:p>
        </w:tc>
        <w:tc>
          <w:tcPr>
            <w:tcW w:w="1600" w:type="dxa"/>
            <w:vAlign w:val="bottom"/>
            <w:gridSpan w:val="9"/>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56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signature page to this Registration Statement).</w:t>
              </w:r>
            </w:hyperlink>
          </w:p>
        </w:tc>
        <w:tc>
          <w:tcPr>
            <w:tcW w:w="3940" w:type="dxa"/>
            <w:vAlign w:val="bottom"/>
            <w:gridSpan w:val="10"/>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9500" w:type="dxa"/>
            <w:vAlign w:val="bottom"/>
            <w:tcBorders>
              <w:bottom w:val="single" w:sz="8" w:color="0000EE"/>
            </w:tcBorders>
            <w:gridSpan w:val="15"/>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The Definitive Healthcare Corp. 2021 Equity Incentive Plan (incorporated by reference to Exhibit 10.2 the Registrant’s Registration</w:t>
              </w:r>
            </w:hyperlink>
          </w:p>
        </w:tc>
        <w:tc>
          <w:tcPr>
            <w:tcW w:w="10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Statement on Form S-1 (Reg. No. 333-258990), as originally filed by the Registrant on August 20, 2021 and subsequently amended).</w:t>
              </w:r>
            </w:hyperlink>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9260" w:type="dxa"/>
            <w:vAlign w:val="bottom"/>
            <w:tcBorders>
              <w:bottom w:val="single" w:sz="8" w:color="0000EE"/>
            </w:tcBorders>
            <w:gridSpan w:val="13"/>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The Definitive Healthcare Corp. 2021 Employee Stock Purchase Plan (incorporated by reference to Exhibit 10.7 the Registrant’s</w:t>
              </w:r>
            </w:hyperlink>
          </w:p>
        </w:tc>
        <w:tc>
          <w:tcPr>
            <w:tcW w:w="34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Registration Statement on Form S-1 (Reg. No. 333-258990), as originally filed by the Registrant on August 20, 2021 and</w:t>
              </w:r>
            </w:hyperlink>
          </w:p>
        </w:tc>
        <w:tc>
          <w:tcPr>
            <w:tcW w:w="880" w:type="dxa"/>
            <w:vAlign w:val="bottom"/>
            <w:gridSpan w:val="7"/>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4">
              <w:r>
                <w:rPr>
                  <w:rFonts w:ascii="Arial" w:cs="Arial" w:eastAsia="Arial" w:hAnsi="Arial"/>
                  <w:sz w:val="18"/>
                  <w:szCs w:val="18"/>
                  <w:color w:val="0000EE"/>
                  <w:w w:val="87"/>
                </w:rPr>
                <w:t>subsequently amended).</w:t>
              </w:r>
            </w:hyperlink>
          </w:p>
        </w:tc>
        <w:tc>
          <w:tcPr>
            <w:tcW w:w="7860" w:type="dxa"/>
            <w:vAlign w:val="bottom"/>
            <w:gridSpan w:val="15"/>
          </w:tcPr>
          <w:p>
            <w:pPr>
              <w:spacing w:after="0"/>
              <w:rPr>
                <w:sz w:val="17"/>
                <w:szCs w:val="17"/>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Framingham, State of Massachusetts, on September 14,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DEFINITIVE HEALTHCARE CORP.</w:t>
      </w:r>
    </w:p>
    <w:p>
      <w:pPr>
        <w:spacing w:after="0" w:line="270"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Richard Booth</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24"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KNOW ALL MEN BY THESE PRESENTS, that each of the undersigned constitutes and appoints each of Jason Krantz or Richard Booth, or any of them, each acting alone, his true and lawful attorney-in-fact and agent, with full power of substitution and resubstitution, for such person and in his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7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September 14,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12"/>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JASON KRANTZ</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89"/>
              </w:rPr>
              <w:t>Jason Krantz</w:t>
            </w:r>
          </w:p>
        </w:tc>
        <w:tc>
          <w:tcPr>
            <w:tcW w:w="10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RICHARD BOOTH</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Richard Booth</w:t>
            </w:r>
          </w:p>
        </w:tc>
        <w:tc>
          <w:tcPr>
            <w:tcW w:w="10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JILL LARSEN</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1"/>
              </w:rPr>
              <w:t>Jill Larsen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CHRIS MITCHELL</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8"/>
              </w:rPr>
              <w:t>Chris Mitchell</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JEFF HAYWOOD</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3"/>
              </w:rPr>
              <w:t>Jeff Haywood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LAUREN YOUNG</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0"/>
              </w:rPr>
              <w:t>Lauren Young</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CHRIS EGAN</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Chris Egan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 RANDALL WINN</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3"/>
              </w:rPr>
              <w:t>D. Randall Winn</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SAMUEL ALLEN HAMOOD</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Samuel Allen Hamood</w:t>
            </w:r>
          </w:p>
        </w:tc>
        <w:tc>
          <w:tcPr>
            <w:tcW w:w="374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ROBERT MUSSLEWHITE</w:t>
            </w:r>
          </w:p>
        </w:tc>
        <w:tc>
          <w:tcPr>
            <w:tcW w:w="3740" w:type="dxa"/>
            <w:vAlign w:val="bottom"/>
          </w:tcPr>
          <w:p>
            <w:pPr>
              <w:ind w:left="3140"/>
              <w:spacing w:after="0"/>
              <w:rPr>
                <w:sz w:val="20"/>
                <w:szCs w:val="20"/>
                <w:color w:val="auto"/>
              </w:rPr>
            </w:pPr>
            <w:r>
              <w:rPr>
                <w:rFonts w:ascii="Arial" w:cs="Arial" w:eastAsia="Arial" w:hAnsi="Arial"/>
                <w:sz w:val="18"/>
                <w:szCs w:val="18"/>
                <w:color w:val="auto"/>
                <w:w w:val="91"/>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2"/>
              </w:rPr>
              <w:t>Robert Musslewhite</w:t>
            </w:r>
          </w:p>
        </w:tc>
        <w:tc>
          <w:tcPr>
            <w:tcW w:w="3740" w:type="dxa"/>
            <w:vAlign w:val="bottom"/>
          </w:tcPr>
          <w:p>
            <w:pPr>
              <w:spacing w:after="0"/>
              <w:rPr>
                <w:sz w:val="19"/>
                <w:szCs w:val="19"/>
                <w:color w:val="auto"/>
              </w:rPr>
            </w:pPr>
          </w:p>
        </w:tc>
      </w:tr>
    </w:tbl>
    <w:p>
      <w:pPr>
        <w:sectPr>
          <w:pgSz w:w="11900" w:h="16838" w:orient="portrait"/>
          <w:cols w:equalWidth="0" w:num="1">
            <w:col w:w="10019"/>
          </w:cols>
          <w:pgMar w:left="440" w:top="49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171450</wp:posOffset>
            </wp:positionV>
            <wp:extent cx="24771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4771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767 Fifth Avenue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Cochituate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Framingham, MA 01701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acted as counsel to Definitive Healthcare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with the Securities and Exchange Commission of the Company’s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by the Company of up to 8,989,039 shares of the Company’s Class A common stock which may be issued pursuant to the Definitive Healthcare Corp. 2021 Equity Incentive Plan (the “</w:t>
      </w:r>
      <w:r>
        <w:rPr>
          <w:rFonts w:ascii="Arial" w:cs="Arial" w:eastAsia="Arial" w:hAnsi="Arial"/>
          <w:sz w:val="18"/>
          <w:szCs w:val="18"/>
          <w:u w:val="single" w:color="auto"/>
          <w:color w:val="auto"/>
        </w:rPr>
        <w:t>Equity Plan</w:t>
      </w:r>
      <w:r>
        <w:rPr>
          <w:rFonts w:ascii="Arial" w:cs="Arial" w:eastAsia="Arial" w:hAnsi="Arial"/>
          <w:sz w:val="18"/>
          <w:szCs w:val="18"/>
          <w:color w:val="auto"/>
        </w:rPr>
        <w:t>”), which is incorporated by reference as Exhibit 99.1 to the Registration Statement, and 1,498,173 shares of Class A common stock to be issued or reserved for issuance under the Definitive Healthcare Corp. 2021 Employee Stock Purchase Plan (the “</w:t>
      </w:r>
      <w:r>
        <w:rPr>
          <w:rFonts w:ascii="Arial" w:cs="Arial" w:eastAsia="Arial" w:hAnsi="Arial"/>
          <w:sz w:val="18"/>
          <w:szCs w:val="18"/>
          <w:u w:val="single" w:color="auto"/>
          <w:color w:val="auto"/>
        </w:rPr>
        <w:t>ESPP</w:t>
      </w:r>
      <w:r>
        <w:rPr>
          <w:rFonts w:ascii="Arial" w:cs="Arial" w:eastAsia="Arial" w:hAnsi="Arial"/>
          <w:sz w:val="18"/>
          <w:szCs w:val="18"/>
          <w:color w:val="auto"/>
        </w:rPr>
        <w:t>”), which is incorporated by reference as Exhibit 99.2 to the Registration Statement, each par value $0.001 per share, of the Company (together with the shares issued pursuant to the Company’s Equity Plan,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so acting, we have examined originals or copies (certified or otherwise identified to our satisfaction) of (i) the Amended and Restated Certificate of Incorporation of the Company; (ii) the Amended and Restated Bylaws of the Company; (iii) the Equity Plan and the ESPP; (iv) the Registration Statement; and (v)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w:t>
      </w:r>
    </w:p>
    <w:p>
      <w:pPr>
        <w:sectPr>
          <w:pgSz w:w="11900" w:h="16838" w:orient="portrait"/>
          <w:cols w:equalWidth="0" w:num="1">
            <w:col w:w="11020"/>
          </w:cols>
          <w:pgMar w:left="440" w:top="12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September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-121920</wp:posOffset>
            </wp:positionV>
            <wp:extent cx="17576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75768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that have not been independently established, we have relied upon certificates or comparable documents of officers and representatives of the Company.</w:t>
      </w:r>
    </w:p>
    <w:p>
      <w:pPr>
        <w:spacing w:after="0" w:line="2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on the foregoing, and subject to the qualifications stated herein, we are of the opinion that the Shares, when issued and delivered upon the receipt of consideration constituting lawful consideration under Delaware law in accordance with the Equity Plan and the ESPP, will be validly issued, fully paid and non-assessable.</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opinions expressed herein is limited to the corporate laws of the State of Delaware, and we express no opinion as to the effect on the matters covered by this letter of the laws of any other jurisdiction.</w:t>
      </w:r>
    </w:p>
    <w:p>
      <w:pPr>
        <w:spacing w:after="0" w:line="170"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We hereby consent to the use of this letter as an exhibit to the Registration Statement and to any and all references to our firm in the Registration Statement. In giving such consent we do not hereby admit that we are in the category of persons whose consent is required under Section 7 of the Securities Act or the rules and regulations of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Weil, Gotshal &amp; Manges LLP</w:t>
      </w:r>
    </w:p>
    <w:p>
      <w:pPr>
        <w:sectPr>
          <w:pgSz w:w="11900" w:h="16838" w:orient="portrait"/>
          <w:cols w:equalWidth="0" w:num="1">
            <w:col w:w="10960"/>
          </w:cols>
          <w:pgMar w:left="440" w:top="274" w:right="4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May 28, 2021, relating to the financial statement of Definitive Healthcare Corp. (the “Company”) appearing in the Company’s Registration Statement No. 333-258990 on Form S-1.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2021</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 dated May 28, 2021, relating to the consolidated financial statements of AIDH Topco, LLC, appearing in Registration No. 333-258990 on Form S-1 of Definitive Healthcare Corp.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12"/>
    </w:lvl>
    <w:lvl w:ilvl="1">
      <w:lvlJc w:val="left"/>
      <w:lvlText w:val="(%2)"/>
      <w:numFmt w:val="decimal"/>
      <w:start w:val="212"/>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lvl w:ilvl="3">
      <w:lvlJc w:val="left"/>
      <w:lvlText w:val="(%4)"/>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jpeg"/><Relationship Id="rId18" Type="http://schemas.openxmlformats.org/officeDocument/2006/relationships/hyperlink" Target="http://www.sec.gov/Archives/edgar/data/1861795/000119312521252899/d127783ds1.htm" TargetMode="External"/><Relationship Id="rId21" Type="http://schemas.openxmlformats.org/officeDocument/2006/relationships/hyperlink" Target="http://www.sec.gov/Archives/edgar/data/0001861795/000119312521252899/d127783dex31.htm" TargetMode="External"/><Relationship Id="rId22" Type="http://schemas.openxmlformats.org/officeDocument/2006/relationships/hyperlink" Target="http://www.sec.gov/Archives/edgar/data/0001861795/000119312521252899/d127783dex32.htm" TargetMode="External"/><Relationship Id="rId23" Type="http://schemas.openxmlformats.org/officeDocument/2006/relationships/hyperlink" Target="http://www.sec.gov/Archives/edgar/data/1861795/000119312521252899/d127783dex102.htm" TargetMode="External"/><Relationship Id="rId24" Type="http://schemas.openxmlformats.org/officeDocument/2006/relationships/hyperlink" Target="http://www.sec.gov/Archives/edgar/data/1861795/000119312521252899/d127783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2021-09-15T06:01:28Z</dcterms:created>
  <dcterms:modified xsi:type="dcterms:W3CDTF">2021-09-15T06:01:28Z</dcterms:modified>
</cp:coreProperties>
</file>